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66675</wp:posOffset>
            </wp:positionV>
            <wp:extent cx="161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93980</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11"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Quarterly Period Ended December 31, 2022</w:t>
      </w:r>
    </w:p>
    <w:p>
      <w:pPr>
        <w:spacing w:after="0" w:line="86"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1"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67310</wp:posOffset>
            </wp:positionV>
            <wp:extent cx="161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99060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p>
      <w:pPr>
        <w:spacing w:after="0" w:line="232"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WASHINGTON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91-1144442</w:t>
      </w:r>
    </w:p>
    <w:p>
      <w:pPr>
        <w:spacing w:after="0" w:line="31" w:lineRule="exact"/>
        <w:rPr>
          <w:sz w:val="24"/>
          <w:szCs w:val="24"/>
          <w:color w:val="auto"/>
        </w:rPr>
      </w:pPr>
    </w:p>
    <w:p>
      <w:pPr>
        <w:sectPr>
          <w:pgSz w:w="11900" w:h="16838" w:orient="portrait"/>
          <w:cols w:equalWidth="0" w:num="2">
            <w:col w:w="7360" w:space="720"/>
            <w:col w:w="3160"/>
          </w:cols>
          <w:pgMar w:left="320" w:top="528" w:right="339" w:bottom="1440"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39" w:lineRule="exact"/>
        <w:rPr>
          <w:sz w:val="24"/>
          <w:szCs w:val="24"/>
          <w:color w:val="auto"/>
        </w:rPr>
      </w:pPr>
    </w:p>
    <w:p>
      <w:pPr>
        <w:sectPr>
          <w:pgSz w:w="11900" w:h="16838" w:orient="portrait"/>
          <w:cols w:equalWidth="0" w:num="2">
            <w:col w:w="7480" w:space="720"/>
            <w:col w:w="3040"/>
          </w:cols>
          <w:pgMar w:left="320" w:top="528"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3"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89"/>
        </w:trPr>
        <w:tc>
          <w:tcPr>
            <w:tcW w:w="450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10"/>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bl>
    <w:p>
      <w:pPr>
        <w:spacing w:after="0" w:line="21" w:lineRule="exact"/>
        <w:rPr>
          <w:sz w:val="24"/>
          <w:szCs w:val="24"/>
          <w:color w:val="auto"/>
        </w:rPr>
      </w:pPr>
    </w:p>
    <w:p>
      <w:pPr>
        <w:jc w:val="both"/>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jc w:val="both"/>
        <w:spacing w:after="0" w:line="23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8" w:right="339" w:bottom="1440" w:gutter="0" w:footer="0" w:header="0"/>
          <w:type w:val="continuous"/>
        </w:sectPr>
      </w:pPr>
    </w:p>
    <w:p>
      <w:pPr>
        <w:spacing w:after="0" w:line="7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528"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7640" w:space="720"/>
            <w:col w:w="2880"/>
          </w:cols>
          <w:pgMar w:left="320" w:top="528" w:right="339" w:bottom="1440" w:gutter="0" w:footer="0" w:header="0"/>
          <w:type w:val="continuous"/>
        </w:sectPr>
      </w:pPr>
    </w:p>
    <w:p>
      <w:pPr>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right="2360"/>
        <w:spacing w:after="0" w:line="22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Class</w:t>
            </w:r>
          </w:p>
        </w:tc>
        <w:tc>
          <w:tcPr>
            <w:tcW w:w="5160" w:type="dxa"/>
            <w:vAlign w:val="bottom"/>
            <w:tcBorders>
              <w:bottom w:val="single" w:sz="8" w:color="auto"/>
            </w:tcBorders>
          </w:tcPr>
          <w:p>
            <w:pPr>
              <w:ind w:left="2700"/>
              <w:spacing w:after="0"/>
              <w:rPr>
                <w:sz w:val="20"/>
                <w:szCs w:val="20"/>
                <w:color w:val="auto"/>
              </w:rPr>
            </w:pPr>
            <w:r>
              <w:rPr>
                <w:rFonts w:ascii="Arial" w:cs="Arial" w:eastAsia="Arial" w:hAnsi="Arial"/>
                <w:sz w:val="13"/>
                <w:szCs w:val="13"/>
                <w:b w:val="1"/>
                <w:bCs w:val="1"/>
                <w:color w:val="auto"/>
              </w:rPr>
              <w:t>Outstanding as of January 19, 2023</w:t>
            </w:r>
          </w:p>
        </w:tc>
      </w:tr>
      <w:tr>
        <w:trPr>
          <w:trHeight w:val="203"/>
        </w:trPr>
        <w:tc>
          <w:tcPr>
            <w:tcW w:w="6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160" w:type="dxa"/>
            <w:vAlign w:val="bottom"/>
            <w:tcBorders>
              <w:bottom w:val="single" w:sz="8" w:color="auto"/>
            </w:tcBorders>
          </w:tcPr>
          <w:p>
            <w:pPr>
              <w:ind w:left="3500"/>
              <w:spacing w:after="0"/>
              <w:rPr>
                <w:sz w:val="20"/>
                <w:szCs w:val="20"/>
                <w:color w:val="auto"/>
              </w:rPr>
            </w:pPr>
            <w:r>
              <w:rPr>
                <w:rFonts w:ascii="Arial" w:cs="Arial" w:eastAsia="Arial" w:hAnsi="Arial"/>
                <w:sz w:val="15"/>
                <w:szCs w:val="15"/>
                <w:color w:val="auto"/>
              </w:rPr>
              <w:t>7,443,803,533 shares</w:t>
            </w:r>
          </w:p>
        </w:tc>
      </w:tr>
      <w:tr>
        <w:trPr>
          <w:trHeight w:val="169"/>
        </w:trPr>
        <w:tc>
          <w:tcPr>
            <w:tcW w:w="608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spacing w:after="0"/>
              <w:rPr>
                <w:sz w:val="14"/>
                <w:szCs w:val="14"/>
                <w:color w:val="auto"/>
              </w:rPr>
            </w:pPr>
          </w:p>
        </w:tc>
      </w:tr>
      <w:tr>
        <w:trPr>
          <w:trHeight w:val="405"/>
        </w:trPr>
        <w:tc>
          <w:tcPr>
            <w:tcW w:w="6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gridSpan w:val="7"/>
            <w:vMerge w:val="restart"/>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7500" w:type="dxa"/>
            <w:vAlign w:val="bottom"/>
            <w:gridSpan w:val="14"/>
            <w:vMerge w:val="restart"/>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8"/>
        </w:trPr>
        <w:tc>
          <w:tcPr>
            <w:tcW w:w="900" w:type="dxa"/>
            <w:vAlign w:val="bottom"/>
            <w:vMerge w:val="continue"/>
          </w:tcPr>
          <w:p>
            <w:pPr>
              <w:spacing w:after="0"/>
              <w:rPr>
                <w:sz w:val="16"/>
                <w:szCs w:val="16"/>
                <w:color w:val="auto"/>
              </w:rPr>
            </w:pPr>
          </w:p>
        </w:tc>
        <w:tc>
          <w:tcPr>
            <w:tcW w:w="2280" w:type="dxa"/>
            <w:vAlign w:val="bottom"/>
            <w:tcBorders>
              <w:bottom w:val="single" w:sz="8" w:color="0000EE"/>
            </w:tcBorders>
            <w:gridSpan w:val="7"/>
            <w:vMerge w:val="continue"/>
          </w:tcPr>
          <w:p>
            <w:pPr>
              <w:spacing w:after="0"/>
              <w:rPr>
                <w:sz w:val="16"/>
                <w:szCs w:val="16"/>
                <w:color w:val="auto"/>
              </w:rPr>
            </w:pPr>
          </w:p>
        </w:tc>
        <w:tc>
          <w:tcPr>
            <w:tcW w:w="7500" w:type="dxa"/>
            <w:vAlign w:val="bottom"/>
            <w:gridSpan w:val="14"/>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Financial Statements</w:t>
            </w:r>
          </w:p>
        </w:tc>
        <w:tc>
          <w:tcPr>
            <w:tcW w:w="710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8460" w:type="dxa"/>
            <w:vAlign w:val="bottom"/>
            <w:gridSpan w:val="18"/>
          </w:tcPr>
          <w:p>
            <w:pPr>
              <w:spacing w:after="0"/>
              <w:rPr>
                <w:sz w:val="20"/>
                <w:szCs w:val="20"/>
                <w:color w:val="auto"/>
              </w:rPr>
            </w:pPr>
            <w:r>
              <w:rPr>
                <w:rFonts w:ascii="Arial" w:cs="Arial" w:eastAsia="Arial" w:hAnsi="Arial"/>
                <w:sz w:val="18"/>
                <w:szCs w:val="18"/>
                <w:color w:val="0000EE"/>
              </w:rPr>
              <w:t>Income Statements for the Three and Six Months Ended December 31, 2022 and 2021</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b)</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2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Comprehensive Income Statements for the Three and Six Months Ended December 31, 2022 and 2021</w:t>
            </w: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48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Balance Sheets as of December 31, 2022 and June 30, 2022</w:t>
            </w:r>
          </w:p>
        </w:tc>
        <w:tc>
          <w:tcPr>
            <w:tcW w:w="35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d)</w:t>
            </w:r>
          </w:p>
        </w:tc>
        <w:tc>
          <w:tcPr>
            <w:tcW w:w="72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Cash Flows Statements for the Three and Six Months Ended December 31, 2022 and 2021</w:t>
            </w:r>
          </w:p>
        </w:tc>
        <w:tc>
          <w:tcPr>
            <w:tcW w:w="11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8460" w:type="dxa"/>
            <w:vAlign w:val="bottom"/>
            <w:gridSpan w:val="18"/>
          </w:tcPr>
          <w:p>
            <w:pPr>
              <w:spacing w:after="0"/>
              <w:rPr>
                <w:sz w:val="20"/>
                <w:szCs w:val="20"/>
                <w:color w:val="auto"/>
              </w:rPr>
            </w:pPr>
            <w:r>
              <w:rPr>
                <w:rFonts w:ascii="Arial" w:cs="Arial" w:eastAsia="Arial" w:hAnsi="Arial"/>
                <w:sz w:val="18"/>
                <w:szCs w:val="18"/>
                <w:color w:val="0000EE"/>
              </w:rPr>
              <w:t>Stockholders’ Equity Statements for the Three and Six Months Ended December 31, 2022 and 2021</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79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Notes to Financial Statements</w:t>
            </w:r>
          </w:p>
        </w:tc>
        <w:tc>
          <w:tcPr>
            <w:tcW w:w="5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g)</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460" w:type="dxa"/>
            <w:vAlign w:val="bottom"/>
            <w:gridSpan w:val="1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7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8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Controls and Procedures</w:t>
            </w:r>
          </w:p>
        </w:tc>
        <w:tc>
          <w:tcPr>
            <w:tcW w:w="4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8"/>
              </w:rPr>
              <w:t>OTHER INFORMATION</w:t>
            </w:r>
          </w:p>
        </w:tc>
        <w:tc>
          <w:tcPr>
            <w:tcW w:w="784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8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gridSpan w:val="2"/>
          </w:tcPr>
          <w:p>
            <w:pPr>
              <w:spacing w:after="0"/>
              <w:rPr>
                <w:sz w:val="24"/>
                <w:szCs w:val="24"/>
                <w:color w:val="auto"/>
              </w:rPr>
            </w:pPr>
          </w:p>
        </w:tc>
        <w:tc>
          <w:tcPr>
            <w:tcW w:w="730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Exhibits</w:t>
            </w:r>
          </w:p>
        </w:tc>
        <w:tc>
          <w:tcPr>
            <w:tcW w:w="394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25"/>
        </w:trPr>
        <w:tc>
          <w:tcPr>
            <w:tcW w:w="10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SIGNATURE</w:t>
            </w:r>
          </w:p>
        </w:tc>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INCOME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4"/>
        </w:trPr>
        <w:tc>
          <w:tcPr>
            <w:tcW w:w="4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Product</w:t>
            </w:r>
          </w:p>
        </w:tc>
        <w:tc>
          <w:tcPr>
            <w:tcW w:w="16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16,517</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20,779</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32,258</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37,410</w:t>
            </w: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Service and other</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36,230</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30,949</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70,611</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59,635</w:t>
            </w:r>
          </w:p>
        </w:tc>
        <w:tc>
          <w:tcPr>
            <w:tcW w:w="0" w:type="dxa"/>
            <w:vAlign w:val="bottom"/>
          </w:tcPr>
          <w:p>
            <w:pPr>
              <w:spacing w:after="0"/>
              <w:rPr>
                <w:sz w:val="1"/>
                <w:szCs w:val="1"/>
                <w:color w:val="auto"/>
              </w:rPr>
            </w:pPr>
          </w:p>
        </w:tc>
      </w:tr>
      <w:tr>
        <w:trPr>
          <w:trHeight w:val="68"/>
        </w:trPr>
        <w:tc>
          <w:tcPr>
            <w:tcW w:w="45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50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52,747</w:t>
            </w:r>
          </w:p>
        </w:tc>
        <w:tc>
          <w:tcPr>
            <w:tcW w:w="28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51,728</w:t>
            </w:r>
          </w:p>
        </w:tc>
        <w:tc>
          <w:tcPr>
            <w:tcW w:w="3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102,869</w:t>
            </w:r>
          </w:p>
        </w:tc>
        <w:tc>
          <w:tcPr>
            <w:tcW w:w="2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97,045</w:t>
            </w:r>
          </w:p>
        </w:tc>
        <w:tc>
          <w:tcPr>
            <w:tcW w:w="0" w:type="dxa"/>
            <w:vAlign w:val="bottom"/>
          </w:tcPr>
          <w:p>
            <w:pPr>
              <w:spacing w:after="0"/>
              <w:rPr>
                <w:sz w:val="1"/>
                <w:szCs w:val="1"/>
                <w:color w:val="auto"/>
              </w:rPr>
            </w:pPr>
          </w:p>
        </w:tc>
      </w:tr>
      <w:tr>
        <w:trPr>
          <w:trHeight w:val="56"/>
        </w:trPr>
        <w:tc>
          <w:tcPr>
            <w:tcW w:w="45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Cost of revenue:</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Product</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5,690</w:t>
            </w:r>
          </w:p>
        </w:tc>
        <w:tc>
          <w:tcPr>
            <w:tcW w:w="28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6,331</w:t>
            </w: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9,992</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Service and other</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11,798</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10,629</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22,948</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20,483</w:t>
            </w:r>
          </w:p>
        </w:tc>
        <w:tc>
          <w:tcPr>
            <w:tcW w:w="0" w:type="dxa"/>
            <w:vAlign w:val="bottom"/>
          </w:tcPr>
          <w:p>
            <w:pPr>
              <w:spacing w:after="0"/>
              <w:rPr>
                <w:sz w:val="1"/>
                <w:szCs w:val="1"/>
                <w:color w:val="auto"/>
              </w:rPr>
            </w:pPr>
          </w:p>
        </w:tc>
      </w:tr>
      <w:tr>
        <w:trPr>
          <w:trHeight w:val="68"/>
        </w:trPr>
        <w:tc>
          <w:tcPr>
            <w:tcW w:w="45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50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17,488</w:t>
            </w:r>
          </w:p>
        </w:tc>
        <w:tc>
          <w:tcPr>
            <w:tcW w:w="28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16,960</w:t>
            </w:r>
          </w:p>
        </w:tc>
        <w:tc>
          <w:tcPr>
            <w:tcW w:w="3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32,940</w:t>
            </w:r>
          </w:p>
        </w:tc>
        <w:tc>
          <w:tcPr>
            <w:tcW w:w="2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30,606</w:t>
            </w:r>
          </w:p>
        </w:tc>
        <w:tc>
          <w:tcPr>
            <w:tcW w:w="0" w:type="dxa"/>
            <w:vAlign w:val="bottom"/>
          </w:tcPr>
          <w:p>
            <w:pPr>
              <w:spacing w:after="0"/>
              <w:rPr>
                <w:sz w:val="1"/>
                <w:szCs w:val="1"/>
                <w:color w:val="auto"/>
              </w:rPr>
            </w:pPr>
          </w:p>
        </w:tc>
      </w:tr>
      <w:tr>
        <w:trPr>
          <w:trHeight w:val="56"/>
        </w:trPr>
        <w:tc>
          <w:tcPr>
            <w:tcW w:w="45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Gross margin</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35,259</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34,768</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69,929</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66,439</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6,844</w:t>
            </w:r>
          </w:p>
        </w:tc>
        <w:tc>
          <w:tcPr>
            <w:tcW w:w="28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5,758</w:t>
            </w: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13,472</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5,679</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5,379</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10,805</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2,337</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1,384</w:t>
            </w: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3,735</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20,399</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22,247</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41,917</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42,485</w:t>
            </w:r>
          </w:p>
        </w:tc>
        <w:tc>
          <w:tcPr>
            <w:tcW w:w="0" w:type="dxa"/>
            <w:vAlign w:val="bottom"/>
          </w:tcPr>
          <w:p>
            <w:pPr>
              <w:spacing w:after="0"/>
              <w:rPr>
                <w:sz w:val="1"/>
                <w:szCs w:val="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c>
          <w:tcPr>
            <w:tcW w:w="3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Income before income taxes</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20,339</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22,515</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41,911</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43,039</w:t>
            </w:r>
          </w:p>
        </w:tc>
        <w:tc>
          <w:tcPr>
            <w:tcW w:w="0" w:type="dxa"/>
            <w:vAlign w:val="bottom"/>
          </w:tcPr>
          <w:p>
            <w:pPr>
              <w:spacing w:after="0"/>
              <w:rPr>
                <w:sz w:val="1"/>
                <w:szCs w:val="1"/>
                <w:color w:val="auto"/>
              </w:rPr>
            </w:pPr>
          </w:p>
        </w:tc>
      </w:tr>
      <w:tr>
        <w:trPr>
          <w:trHeight w:val="247"/>
        </w:trPr>
        <w:tc>
          <w:tcPr>
            <w:tcW w:w="4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3,914</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3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7,930</w:t>
            </w:r>
          </w:p>
        </w:tc>
        <w:tc>
          <w:tcPr>
            <w:tcW w:w="2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5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16,425</w:t>
            </w:r>
          </w:p>
        </w:tc>
        <w:tc>
          <w:tcPr>
            <w:tcW w:w="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18,765</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33,981</w:t>
            </w:r>
          </w:p>
        </w:tc>
        <w:tc>
          <w:tcPr>
            <w:tcW w:w="22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75"/>
        </w:trPr>
        <w:tc>
          <w:tcPr>
            <w:tcW w:w="450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500" w:type="dxa"/>
            <w:vAlign w:val="bottom"/>
            <w:vMerge w:val="continue"/>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Basic</w:t>
            </w:r>
          </w:p>
        </w:tc>
        <w:tc>
          <w:tcPr>
            <w:tcW w:w="160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2.20</w:t>
            </w:r>
          </w:p>
        </w:tc>
        <w:tc>
          <w:tcPr>
            <w:tcW w:w="2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2.50</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4.56</w:t>
            </w:r>
          </w:p>
        </w:tc>
        <w:tc>
          <w:tcPr>
            <w:tcW w:w="22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7"/>
        </w:trPr>
        <w:tc>
          <w:tcPr>
            <w:tcW w:w="45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4.54</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6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7,451</w:t>
            </w:r>
          </w:p>
        </w:tc>
        <w:tc>
          <w:tcPr>
            <w:tcW w:w="280" w:type="dxa"/>
            <w:vAlign w:val="bottom"/>
          </w:tcPr>
          <w:p>
            <w:pPr>
              <w:spacing w:after="0"/>
              <w:rPr>
                <w:sz w:val="17"/>
                <w:szCs w:val="17"/>
                <w:color w:val="auto"/>
              </w:rPr>
            </w:pPr>
          </w:p>
        </w:tc>
        <w:tc>
          <w:tcPr>
            <w:tcW w:w="11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7,505</w:t>
            </w:r>
          </w:p>
        </w:tc>
        <w:tc>
          <w:tcPr>
            <w:tcW w:w="3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7,454</w:t>
            </w: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03"/>
        </w:trPr>
        <w:tc>
          <w:tcPr>
            <w:tcW w:w="45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Diluted</w:t>
            </w:r>
          </w:p>
        </w:tc>
        <w:tc>
          <w:tcPr>
            <w:tcW w:w="1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7,473</w:t>
            </w:r>
          </w:p>
        </w:tc>
        <w:tc>
          <w:tcPr>
            <w:tcW w:w="28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7,555</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7,479</w:t>
            </w: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68"/>
        </w:trPr>
        <w:tc>
          <w:tcPr>
            <w:tcW w:w="45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COMPREHENSIVE INCOME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5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16,425</w:t>
            </w: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18,765</w:t>
            </w:r>
          </w:p>
        </w:tc>
        <w:tc>
          <w:tcPr>
            <w:tcW w:w="4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33,981</w:t>
            </w:r>
          </w:p>
        </w:tc>
        <w:tc>
          <w:tcPr>
            <w:tcW w:w="300" w:type="dxa"/>
            <w:vAlign w:val="bottom"/>
            <w:gridSpan w:val="2"/>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75"/>
        </w:trPr>
        <w:tc>
          <w:tcPr>
            <w:tcW w:w="556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5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Net change related to derivatives</w:t>
            </w:r>
          </w:p>
        </w:tc>
        <w:tc>
          <w:tcPr>
            <w:tcW w:w="3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0</w:t>
            </w:r>
          </w:p>
        </w:tc>
        <w:tc>
          <w:tcPr>
            <w:tcW w:w="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560" w:type="dxa"/>
            <w:vAlign w:val="bottom"/>
          </w:tcPr>
          <w:p>
            <w:pPr>
              <w:ind w:left="220"/>
              <w:spacing w:after="0" w:line="202" w:lineRule="exact"/>
              <w:rPr>
                <w:sz w:val="20"/>
                <w:szCs w:val="20"/>
                <w:color w:val="auto"/>
              </w:rPr>
            </w:pPr>
            <w:r>
              <w:rPr>
                <w:rFonts w:ascii="Arial" w:cs="Arial" w:eastAsia="Arial" w:hAnsi="Arial"/>
                <w:sz w:val="18"/>
                <w:szCs w:val="18"/>
                <w:color w:val="auto"/>
              </w:rPr>
              <w:t>Net change related to investments</w:t>
            </w:r>
          </w:p>
        </w:tc>
        <w:tc>
          <w:tcPr>
            <w:tcW w:w="38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348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Translation adjustments and other</w:t>
            </w:r>
          </w:p>
        </w:tc>
        <w:tc>
          <w:tcPr>
            <w:tcW w:w="3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570</w:t>
            </w: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(205)</w:t>
            </w:r>
          </w:p>
        </w:tc>
        <w:tc>
          <w:tcPr>
            <w:tcW w:w="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68"/>
        </w:trPr>
        <w:tc>
          <w:tcPr>
            <w:tcW w:w="55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560" w:type="dxa"/>
            <w:vAlign w:val="bottom"/>
          </w:tcPr>
          <w:p>
            <w:pPr>
              <w:ind w:left="4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3"/>
                <w:szCs w:val="2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886</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56"/>
        </w:trPr>
        <w:tc>
          <w:tcPr>
            <w:tcW w:w="55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17,311</w:t>
            </w:r>
          </w:p>
        </w:tc>
        <w:tc>
          <w:tcPr>
            <w:tcW w:w="3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17,919</w:t>
            </w:r>
          </w:p>
        </w:tc>
        <w:tc>
          <w:tcPr>
            <w:tcW w:w="44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32,202</w:t>
            </w:r>
          </w:p>
        </w:tc>
        <w:tc>
          <w:tcPr>
            <w:tcW w:w="300" w:type="dxa"/>
            <w:vAlign w:val="bottom"/>
            <w:gridSpan w:val="2"/>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37,885</w:t>
            </w:r>
          </w:p>
        </w:tc>
        <w:tc>
          <w:tcPr>
            <w:tcW w:w="0" w:type="dxa"/>
            <w:vAlign w:val="bottom"/>
          </w:tcPr>
          <w:p>
            <w:pPr>
              <w:spacing w:after="0"/>
              <w:rPr>
                <w:sz w:val="1"/>
                <w:szCs w:val="1"/>
                <w:color w:val="auto"/>
              </w:rPr>
            </w:pPr>
          </w:p>
        </w:tc>
      </w:tr>
      <w:tr>
        <w:trPr>
          <w:trHeight w:val="74"/>
        </w:trPr>
        <w:tc>
          <w:tcPr>
            <w:tcW w:w="55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54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r>
      <w:tr>
        <w:trPr>
          <w:trHeight w:val="44"/>
        </w:trPr>
        <w:tc>
          <w:tcPr>
            <w:tcW w:w="7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15,646</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13,931</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83,862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90,826</w:t>
            </w:r>
          </w:p>
        </w:tc>
      </w:tr>
      <w:tr>
        <w:trPr>
          <w:trHeight w:val="23"/>
        </w:trPr>
        <w:tc>
          <w:tcPr>
            <w:tcW w:w="7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cash, cash equivalents, and short-term investments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99,508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104,757</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$485</w:t>
            </w:r>
            <w:r>
              <w:rPr>
                <w:rFonts w:ascii="Arial" w:cs="Arial" w:eastAsia="Arial" w:hAnsi="Arial"/>
                <w:sz w:val="18"/>
                <w:szCs w:val="18"/>
                <w:color w:val="auto"/>
              </w:rPr>
              <w:t xml:space="preserve"> and $633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35,833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44,261</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2,980</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3,742</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19,502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16,924</w:t>
            </w:r>
          </w:p>
        </w:tc>
      </w:tr>
      <w:tr>
        <w:trPr>
          <w:trHeight w:val="23"/>
        </w:trPr>
        <w:tc>
          <w:tcPr>
            <w:tcW w:w="7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157,823</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169,684</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$63,459</w:t>
            </w:r>
            <w:r>
              <w:rPr>
                <w:rFonts w:ascii="Arial" w:cs="Arial" w:eastAsia="Arial" w:hAnsi="Arial"/>
                <w:sz w:val="18"/>
                <w:szCs w:val="18"/>
                <w:color w:val="auto"/>
              </w:rPr>
              <w:t xml:space="preserve"> and $59,660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82,755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74,398</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13,624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13,148</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7,097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6,891</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67,905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67,524</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10,354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11,298</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24,994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21,897</w:t>
            </w:r>
          </w:p>
        </w:tc>
      </w:tr>
      <w:tr>
        <w:trPr>
          <w:trHeight w:val="68"/>
        </w:trPr>
        <w:tc>
          <w:tcPr>
            <w:tcW w:w="77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77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364,552</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364,840</w:t>
            </w:r>
          </w:p>
        </w:tc>
      </w:tr>
      <w:tr>
        <w:trPr>
          <w:trHeight w:val="63"/>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15,354</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19,000</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3,997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2,749</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9,030</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10,661</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Short-term income taxes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3,553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4,067</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Short-term unearned revenue</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36,982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45,538</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12,802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13,067</w:t>
            </w:r>
          </w:p>
        </w:tc>
      </w:tr>
      <w:tr>
        <w:trPr>
          <w:trHeight w:val="23"/>
        </w:trPr>
        <w:tc>
          <w:tcPr>
            <w:tcW w:w="7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81,718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95,082</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44,119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47,032</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income taxes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24,169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26,069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Long-term unearned revenue</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2,644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2,870</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289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230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11,998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11,489</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16,479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15,526</w:t>
            </w:r>
          </w:p>
        </w:tc>
      </w:tr>
      <w:tr>
        <w:trPr>
          <w:trHeight w:val="68"/>
        </w:trPr>
        <w:tc>
          <w:tcPr>
            <w:tcW w:w="7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778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181,416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198,298</w:t>
            </w:r>
          </w:p>
        </w:tc>
      </w:tr>
      <w:tr>
        <w:trPr>
          <w:trHeight w:val="55"/>
        </w:trPr>
        <w:tc>
          <w:tcPr>
            <w:tcW w:w="7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7,447</w:t>
            </w:r>
            <w:r>
              <w:rPr>
                <w:rFonts w:ascii="Arial" w:cs="Arial" w:eastAsia="Arial" w:hAnsi="Arial"/>
                <w:sz w:val="18"/>
                <w:szCs w:val="18"/>
                <w:color w:val="auto"/>
              </w:rPr>
              <w:t xml:space="preserve"> and 7,464</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90,225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86,939</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99,368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84,281</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(6,457)</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(4,678)</w:t>
            </w:r>
          </w:p>
        </w:tc>
      </w:tr>
      <w:tr>
        <w:trPr>
          <w:trHeight w:val="68"/>
        </w:trPr>
        <w:tc>
          <w:tcPr>
            <w:tcW w:w="7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77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183,136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166,542</w:t>
            </w:r>
          </w:p>
        </w:tc>
      </w:tr>
      <w:tr>
        <w:trPr>
          <w:trHeight w:val="56"/>
        </w:trPr>
        <w:tc>
          <w:tcPr>
            <w:tcW w:w="7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8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5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364,552</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364,840</w:t>
            </w:r>
          </w:p>
        </w:tc>
      </w:tr>
      <w:tr>
        <w:trPr>
          <w:trHeight w:val="75"/>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(Unaudited)</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6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5"/>
        </w:trPr>
        <w:tc>
          <w:tcPr>
            <w:tcW w:w="5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Operations</w:t>
            </w:r>
          </w:p>
        </w:tc>
        <w:tc>
          <w:tcPr>
            <w:tcW w:w="4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8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6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6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16,425</w:t>
            </w:r>
          </w:p>
        </w:tc>
        <w:tc>
          <w:tcPr>
            <w:tcW w:w="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18,765</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33,981</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Depreciation, amortization, and other</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3,648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3,496</w:t>
            </w:r>
          </w:p>
        </w:tc>
        <w:tc>
          <w:tcPr>
            <w:tcW w:w="3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6,438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2,538</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1,897</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4,730</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Net recognized losses (gains) on investments and derivatives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(307)</w:t>
            </w:r>
          </w:p>
        </w:tc>
        <w:tc>
          <w:tcPr>
            <w:tcW w:w="3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(1,305)</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183</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(2,496)</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(3,164)</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(5,543)</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8,565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03"/>
        </w:trPr>
        <w:tc>
          <w:tcPr>
            <w:tcW w:w="5600" w:type="dxa"/>
            <w:vAlign w:val="bottom"/>
          </w:tcPr>
          <w:p>
            <w:pPr>
              <w:ind w:left="440"/>
              <w:spacing w:after="0" w:line="202" w:lineRule="exact"/>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1,305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394</w:t>
            </w:r>
          </w:p>
        </w:tc>
        <w:tc>
          <w:tcPr>
            <w:tcW w:w="3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762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(392)</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830</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(724)</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3"/>
        </w:trPr>
        <w:tc>
          <w:tcPr>
            <w:tcW w:w="5600" w:type="dxa"/>
            <w:vAlign w:val="bottom"/>
          </w:tcPr>
          <w:p>
            <w:pPr>
              <w:ind w:left="440"/>
              <w:spacing w:after="0" w:line="202" w:lineRule="exact"/>
              <w:rPr>
                <w:sz w:val="20"/>
                <w:szCs w:val="20"/>
                <w:color w:val="auto"/>
              </w:rPr>
            </w:pPr>
            <w:r>
              <w:rPr>
                <w:rFonts w:ascii="Arial" w:cs="Arial" w:eastAsia="Arial" w:hAnsi="Arial"/>
                <w:sz w:val="18"/>
                <w:szCs w:val="18"/>
                <w:color w:val="auto"/>
              </w:rPr>
              <w:t>Other long-term assets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(908)</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(731)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(2,058)</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235</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(3,625)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3"/>
        </w:trPr>
        <w:tc>
          <w:tcPr>
            <w:tcW w:w="5600" w:type="dxa"/>
            <w:vAlign w:val="bottom"/>
          </w:tcPr>
          <w:p>
            <w:pPr>
              <w:ind w:left="440"/>
              <w:spacing w:after="0" w:line="202" w:lineRule="exact"/>
              <w:rPr>
                <w:sz w:val="20"/>
                <w:szCs w:val="20"/>
                <w:color w:val="auto"/>
              </w:rPr>
            </w:pPr>
            <w:r>
              <w:rPr>
                <w:rFonts w:ascii="Arial" w:cs="Arial" w:eastAsia="Arial" w:hAnsi="Arial"/>
                <w:sz w:val="18"/>
                <w:szCs w:val="18"/>
                <w:color w:val="auto"/>
              </w:rPr>
              <w:t>Unearned revenue</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(5,186)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(4,343)</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(8,508)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Income taxes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(2,863)</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(2,057)</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(2,453)</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3"/>
        </w:trPr>
        <w:tc>
          <w:tcPr>
            <w:tcW w:w="560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1,819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1,745</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(2,205)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long-term liabilities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257</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93</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68"/>
        </w:trPr>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60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11,173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14,480</w:t>
            </w:r>
          </w:p>
        </w:tc>
        <w:tc>
          <w:tcPr>
            <w:tcW w:w="30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39,020</w:t>
            </w:r>
          </w:p>
        </w:tc>
        <w:tc>
          <w:tcPr>
            <w:tcW w:w="0" w:type="dxa"/>
            <w:vAlign w:val="bottom"/>
          </w:tcPr>
          <w:p>
            <w:pPr>
              <w:spacing w:after="0"/>
              <w:rPr>
                <w:sz w:val="1"/>
                <w:szCs w:val="1"/>
                <w:color w:val="auto"/>
              </w:rPr>
            </w:pPr>
          </w:p>
        </w:tc>
      </w:tr>
      <w:tr>
        <w:trPr>
          <w:trHeight w:val="56"/>
        </w:trPr>
        <w:tc>
          <w:tcPr>
            <w:tcW w:w="56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Financing</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Repayments of debt</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243</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291</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818</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(5,459)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(7,433)</w:t>
            </w:r>
          </w:p>
        </w:tc>
        <w:tc>
          <w:tcPr>
            <w:tcW w:w="3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(11,032)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 paid</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(5,066)</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(4,652)</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(9,687)</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47"/>
        </w:trPr>
        <w:tc>
          <w:tcPr>
            <w:tcW w:w="560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E5E5E5"/>
          </w:tcPr>
          <w:p>
            <w:pPr>
              <w:ind w:left="660"/>
              <w:spacing w:after="0"/>
              <w:rPr>
                <w:sz w:val="20"/>
                <w:szCs w:val="20"/>
                <w:color w:val="auto"/>
              </w:rPr>
            </w:pPr>
            <w:r>
              <w:rPr>
                <w:rFonts w:ascii="Arial" w:cs="Arial" w:eastAsia="Arial" w:hAnsi="Arial"/>
                <w:sz w:val="18"/>
                <w:szCs w:val="18"/>
                <w:color w:val="auto"/>
              </w:rPr>
              <w:t>Net cash used in financing</w:t>
            </w:r>
          </w:p>
        </w:tc>
        <w:tc>
          <w:tcPr>
            <w:tcW w:w="4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(11,349)</w:t>
            </w:r>
          </w:p>
        </w:tc>
        <w:tc>
          <w:tcPr>
            <w:tcW w:w="8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(11,986)</w:t>
            </w:r>
          </w:p>
        </w:tc>
        <w:tc>
          <w:tcPr>
            <w:tcW w:w="300" w:type="dxa"/>
            <w:vAlign w:val="bottom"/>
            <w:shd w:val="clear" w:color="auto" w:fill="E5E5E5"/>
          </w:tcPr>
          <w:p>
            <w:pPr>
              <w:spacing w:after="0"/>
              <w:rPr>
                <w:sz w:val="21"/>
                <w:szCs w:val="21"/>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(22,232)</w:t>
            </w: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0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(28,262)</w:t>
            </w:r>
          </w:p>
        </w:tc>
        <w:tc>
          <w:tcPr>
            <w:tcW w:w="0" w:type="dxa"/>
            <w:vAlign w:val="bottom"/>
          </w:tcPr>
          <w:p>
            <w:pPr>
              <w:spacing w:after="0"/>
              <w:rPr>
                <w:sz w:val="1"/>
                <w:szCs w:val="1"/>
                <w:color w:val="auto"/>
              </w:rPr>
            </w:pPr>
          </w:p>
        </w:tc>
      </w:tr>
      <w:tr>
        <w:trPr>
          <w:trHeight w:val="68"/>
        </w:trPr>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94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(6,274)</w:t>
            </w:r>
          </w:p>
        </w:tc>
        <w:tc>
          <w:tcPr>
            <w:tcW w:w="8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180" w:type="dxa"/>
            <w:vAlign w:val="bottom"/>
            <w:gridSpan w:val="2"/>
            <w:shd w:val="clear" w:color="auto" w:fill="E5E5E5"/>
          </w:tcPr>
          <w:p>
            <w:pPr>
              <w:jc w:val="right"/>
              <w:ind w:right="160"/>
              <w:spacing w:after="0"/>
              <w:rPr>
                <w:sz w:val="20"/>
                <w:szCs w:val="20"/>
                <w:color w:val="auto"/>
              </w:rPr>
            </w:pPr>
            <w:r>
              <w:rPr>
                <w:rFonts w:ascii="Arial" w:cs="Arial" w:eastAsia="Arial" w:hAnsi="Arial"/>
                <w:sz w:val="18"/>
                <w:szCs w:val="18"/>
                <w:color w:val="auto"/>
              </w:rPr>
              <w:t>(5,865)</w:t>
            </w:r>
          </w:p>
        </w:tc>
        <w:tc>
          <w:tcPr>
            <w:tcW w:w="300" w:type="dxa"/>
            <w:vAlign w:val="bottom"/>
            <w:shd w:val="clear" w:color="auto" w:fill="E5E5E5"/>
          </w:tcPr>
          <w:p>
            <w:pPr>
              <w:spacing w:after="0"/>
              <w:rPr>
                <w:sz w:val="18"/>
                <w:szCs w:val="18"/>
                <w:color w:val="auto"/>
              </w:rPr>
            </w:pPr>
          </w:p>
        </w:tc>
        <w:tc>
          <w:tcPr>
            <w:tcW w:w="9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(12,557)</w:t>
            </w:r>
          </w:p>
        </w:tc>
        <w:tc>
          <w:tcPr>
            <w:tcW w:w="10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(11,675)</w:t>
            </w:r>
          </w:p>
        </w:tc>
        <w:tc>
          <w:tcPr>
            <w:tcW w:w="0" w:type="dxa"/>
            <w:vAlign w:val="bottom"/>
          </w:tcPr>
          <w:p>
            <w:pPr>
              <w:spacing w:after="0"/>
              <w:rPr>
                <w:sz w:val="1"/>
                <w:szCs w:val="1"/>
                <w:color w:val="auto"/>
              </w:rPr>
            </w:pPr>
          </w:p>
        </w:tc>
      </w:tr>
      <w:tr>
        <w:trPr>
          <w:trHeight w:val="170"/>
        </w:trPr>
        <w:tc>
          <w:tcPr>
            <w:tcW w:w="5600" w:type="dxa"/>
            <w:vAlign w:val="bottom"/>
          </w:tcPr>
          <w:p>
            <w:pPr>
              <w:spacing w:after="0" w:line="170" w:lineRule="exact"/>
              <w:rPr>
                <w:sz w:val="20"/>
                <w:szCs w:val="20"/>
                <w:color w:val="auto"/>
              </w:rPr>
            </w:pPr>
            <w:r>
              <w:rPr>
                <w:rFonts w:ascii="Arial" w:cs="Arial" w:eastAsia="Arial" w:hAnsi="Arial"/>
                <w:sz w:val="18"/>
                <w:szCs w:val="18"/>
                <w:color w:val="auto"/>
              </w:rPr>
              <w:t>Acquisition of companies, net of cash acquired, and purchases of</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(679)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(1,028)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21"/>
        </w:trPr>
        <w:tc>
          <w:tcPr>
            <w:tcW w:w="5600" w:type="dxa"/>
            <w:vAlign w:val="bottom"/>
          </w:tcPr>
          <w:p>
            <w:pPr>
              <w:ind w:left="220"/>
              <w:spacing w:after="0"/>
              <w:rPr>
                <w:sz w:val="20"/>
                <w:szCs w:val="20"/>
                <w:color w:val="auto"/>
              </w:rPr>
            </w:pPr>
            <w:r>
              <w:rPr>
                <w:rFonts w:ascii="Arial" w:cs="Arial" w:eastAsia="Arial" w:hAnsi="Arial"/>
                <w:sz w:val="18"/>
                <w:szCs w:val="18"/>
                <w:color w:val="auto"/>
              </w:rPr>
              <w:t>intangible and other assets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Purchases of investments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(11,599)</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(2,505)</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(16,612)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(12,814)</w:t>
            </w:r>
          </w:p>
        </w:tc>
        <w:tc>
          <w:tcPr>
            <w:tcW w:w="0" w:type="dxa"/>
            <w:vAlign w:val="bottom"/>
          </w:tcPr>
          <w:p>
            <w:pPr>
              <w:spacing w:after="0"/>
              <w:rPr>
                <w:sz w:val="1"/>
                <w:szCs w:val="1"/>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Maturities of investments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6,928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5,253</w:t>
            </w:r>
          </w:p>
        </w:tc>
        <w:tc>
          <w:tcPr>
            <w:tcW w:w="3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13,590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of investments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4,775</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2,895</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7,486</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47"/>
        </w:trPr>
        <w:tc>
          <w:tcPr>
            <w:tcW w:w="560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Net cash used in investing</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(7,150)</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(1,161)</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(10,282)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68"/>
        </w:trPr>
        <w:tc>
          <w:tcPr>
            <w:tcW w:w="5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60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5"/>
        </w:trPr>
        <w:tc>
          <w:tcPr>
            <w:tcW w:w="56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42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(7,238)</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1,439</w:t>
            </w:r>
          </w:p>
        </w:tc>
        <w:tc>
          <w:tcPr>
            <w:tcW w:w="3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1,715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47"/>
        </w:trPr>
        <w:tc>
          <w:tcPr>
            <w:tcW w:w="5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19,165</w:t>
            </w:r>
          </w:p>
        </w:tc>
        <w:tc>
          <w:tcPr>
            <w:tcW w:w="3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72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15,646</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20,604</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15,646</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20,604</w:t>
            </w:r>
          </w:p>
        </w:tc>
        <w:tc>
          <w:tcPr>
            <w:tcW w:w="0" w:type="dxa"/>
            <w:vAlign w:val="bottom"/>
          </w:tcPr>
          <w:p>
            <w:pPr>
              <w:spacing w:after="0"/>
              <w:rPr>
                <w:sz w:val="1"/>
                <w:szCs w:val="1"/>
                <w:color w:val="auto"/>
              </w:rPr>
            </w:pPr>
          </w:p>
        </w:tc>
      </w:tr>
      <w:tr>
        <w:trPr>
          <w:trHeight w:val="88"/>
        </w:trPr>
        <w:tc>
          <w:tcPr>
            <w:tcW w:w="5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amounts) (Unaudited)</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90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9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2021</w:t>
            </w:r>
          </w:p>
        </w:tc>
        <w:tc>
          <w:tcPr>
            <w:tcW w:w="3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Common stock and paid-in capital</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4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88,535</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83,751</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86,939</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83,111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243</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291</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818</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903</w:t>
            </w: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(1,090)</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(1,411)</w:t>
            </w:r>
          </w:p>
        </w:tc>
        <w:tc>
          <w:tcPr>
            <w:tcW w:w="3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(2,261)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2,538</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1,897</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4,730</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47"/>
        </w:trPr>
        <w:tc>
          <w:tcPr>
            <w:tcW w:w="4900" w:type="dxa"/>
            <w:vAlign w:val="bottom"/>
          </w:tcPr>
          <w:p>
            <w:pPr>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90,225</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84,528</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90,225</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84,528</w:t>
            </w: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490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92,374</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66,944</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84,281</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57,055</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16,425</w:t>
            </w:r>
          </w:p>
        </w:tc>
        <w:tc>
          <w:tcPr>
            <w:tcW w:w="16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18,765</w:t>
            </w:r>
          </w:p>
        </w:tc>
        <w:tc>
          <w:tcPr>
            <w:tcW w:w="30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33,981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(5,059)</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(4,646)</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(10,123)</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(9,297)</w:t>
            </w:r>
          </w:p>
        </w:tc>
        <w:tc>
          <w:tcPr>
            <w:tcW w:w="0" w:type="dxa"/>
            <w:vAlign w:val="bottom"/>
          </w:tcPr>
          <w:p>
            <w:pPr>
              <w:spacing w:after="0"/>
              <w:rPr>
                <w:sz w:val="1"/>
                <w:szCs w:val="1"/>
                <w:color w:val="auto"/>
              </w:rPr>
            </w:pPr>
          </w:p>
        </w:tc>
      </w:tr>
      <w:tr>
        <w:trPr>
          <w:trHeight w:val="247"/>
        </w:trPr>
        <w:tc>
          <w:tcPr>
            <w:tcW w:w="490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(4,372)</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(6,018)</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(11,983)</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99,368</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75,045</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99,368</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75,045</w:t>
            </w: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9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(7,343)</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1,283</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(4,678)</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47"/>
        </w:trPr>
        <w:tc>
          <w:tcPr>
            <w:tcW w:w="49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886</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3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3"/>
        </w:trPr>
        <w:tc>
          <w:tcPr>
            <w:tcW w:w="4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10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(6,457)</w:t>
            </w:r>
          </w:p>
        </w:tc>
        <w:tc>
          <w:tcPr>
            <w:tcW w:w="1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437</w:t>
            </w:r>
          </w:p>
        </w:tc>
        <w:tc>
          <w:tcPr>
            <w:tcW w:w="30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(6,457)</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437</w:t>
            </w: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183,136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160,010</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183,136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160,010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4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dividends declared per common share</w:t>
            </w:r>
          </w:p>
        </w:tc>
        <w:tc>
          <w:tcPr>
            <w:tcW w:w="12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0.68</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color w:val="auto"/>
              </w:rPr>
              <w:t>0.62</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1.36</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1.24</w:t>
            </w:r>
          </w:p>
        </w:tc>
        <w:tc>
          <w:tcPr>
            <w:tcW w:w="1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9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6"/>
        </w:trPr>
        <w:tc>
          <w:tcPr>
            <w:tcW w:w="490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900" w:type="dxa"/>
            <w:vAlign w:val="bottom"/>
          </w:tcPr>
          <w:p>
            <w:pPr>
              <w:spacing w:after="0"/>
              <w:rPr>
                <w:sz w:val="24"/>
                <w:szCs w:val="24"/>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9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2022 Form 10-K filed with the U.S. Securities and Exchange Commission on July 28,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the three months ended December 31, 2022 was an increase in operating income of $945 million and net income of $768 million, or $0.10 per both basic and diluted share. The effect of this change for the six months ended December 31, 2022 was an increase in operating income of $2.0 billion and net income of $1.6 billion, or $0.22 per both basic and diluted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20" w:lineRule="exact"/>
        <w:rPr>
          <w:sz w:val="20"/>
          <w:szCs w:val="20"/>
          <w:color w:val="auto"/>
        </w:rPr>
      </w:pPr>
    </w:p>
    <w:p>
      <w:pPr>
        <w:jc w:val="both"/>
        <w:ind w:left="1060" w:hanging="391"/>
        <w:spacing w:after="0" w:line="25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20" w:lineRule="exact"/>
        <w:rPr>
          <w:rFonts w:ascii="Arial" w:cs="Arial" w:eastAsia="Arial" w:hAnsi="Arial"/>
          <w:sz w:val="18"/>
          <w:szCs w:val="18"/>
          <w:color w:val="auto"/>
        </w:rPr>
      </w:pPr>
    </w:p>
    <w:p>
      <w:pPr>
        <w:jc w:val="both"/>
        <w:ind w:left="1060" w:hanging="39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over-the-counter forward, option, and swap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both"/>
        <w:ind w:left="1060" w:hanging="391"/>
        <w:spacing w:after="0" w:line="24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2022 and June 30, 2022, other receivables due from suppliers were $545 million and $1.0 billion, respectively, and are included in accounts receivable, net in our consolidated balance sheets.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both December 31, 2022 and June 30, 2022, long-term accounts receivable, net of allowance for doubtful accounts, was $4.2 billion and $3.8 billion, respectively, and is included in other long-term assets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December 31, 2022 and June 30, 2022, our financing receivables, net were $3.1 billion and $4.1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Severance</w:t>
      </w:r>
    </w:p>
    <w:p>
      <w:pPr>
        <w:spacing w:after="0" w:line="158"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On January 18, 2023, we announced a decision to reduce our overall workforce by approximately 10,000 jobs through the third quarter of fiscal year 2023. During the three months ended December 31, 2022, we recorded $800 million of employee severance expenses related to these job eliminations as part of an ongoing employee benefit plan. These employee severance expenses were included in general and administrative expenses in our consolidated income statements and allocated to our segments based on relative gross margin. Refer to Note 17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Segment Information and Geographic Data for further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earnings per share)</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tcPr>
          <w:p>
            <w:pPr>
              <w:ind w:left="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1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2021</w:t>
            </w:r>
          </w:p>
        </w:tc>
        <w:tc>
          <w:tcPr>
            <w:tcW w:w="3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 available for common shareholders (A)</w:t>
            </w:r>
          </w:p>
        </w:tc>
        <w:tc>
          <w:tcPr>
            <w:tcW w:w="7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16,425</w:t>
            </w:r>
          </w:p>
        </w:tc>
        <w:tc>
          <w:tcPr>
            <w:tcW w:w="4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18,765</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33,981</w:t>
            </w:r>
          </w:p>
        </w:tc>
        <w:tc>
          <w:tcPr>
            <w:tcW w:w="2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39,270</w:t>
            </w:r>
          </w:p>
        </w:tc>
        <w:tc>
          <w:tcPr>
            <w:tcW w:w="0" w:type="dxa"/>
            <w:vAlign w:val="bottom"/>
          </w:tcPr>
          <w:p>
            <w:pPr>
              <w:spacing w:after="0"/>
              <w:rPr>
                <w:sz w:val="1"/>
                <w:szCs w:val="1"/>
                <w:color w:val="auto"/>
              </w:rPr>
            </w:pPr>
          </w:p>
        </w:tc>
      </w:tr>
      <w:tr>
        <w:trPr>
          <w:trHeight w:val="74"/>
        </w:trPr>
        <w:tc>
          <w:tcPr>
            <w:tcW w:w="5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7,451</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7,505</w:t>
            </w:r>
          </w:p>
        </w:tc>
        <w:tc>
          <w:tcPr>
            <w:tcW w:w="3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7,454</w:t>
            </w:r>
          </w:p>
        </w:tc>
        <w:tc>
          <w:tcPr>
            <w:tcW w:w="200" w:type="dxa"/>
            <w:vAlign w:val="bottom"/>
          </w:tcPr>
          <w:p>
            <w:pPr>
              <w:spacing w:after="0"/>
              <w:rPr>
                <w:sz w:val="23"/>
                <w:szCs w:val="23"/>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03"/>
        </w:trPr>
        <w:tc>
          <w:tcPr>
            <w:tcW w:w="5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4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50</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25</w:t>
            </w:r>
          </w:p>
        </w:tc>
        <w:tc>
          <w:tcPr>
            <w:tcW w:w="200" w:type="dxa"/>
            <w:vAlign w:val="bottom"/>
            <w:shd w:val="clear" w:color="auto" w:fill="E5E5E5"/>
          </w:tcPr>
          <w:p>
            <w:pPr>
              <w:spacing w:after="0"/>
              <w:rPr>
                <w:sz w:val="17"/>
                <w:szCs w:val="17"/>
                <w:color w:val="auto"/>
              </w:rPr>
            </w:pPr>
          </w:p>
        </w:tc>
        <w:tc>
          <w:tcPr>
            <w:tcW w:w="110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8"/>
        </w:trPr>
        <w:tc>
          <w:tcPr>
            <w:tcW w:w="51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18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7,473</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7,555</w:t>
            </w:r>
          </w:p>
        </w:tc>
        <w:tc>
          <w:tcPr>
            <w:tcW w:w="36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7,479</w:t>
            </w:r>
          </w:p>
        </w:tc>
        <w:tc>
          <w:tcPr>
            <w:tcW w:w="200" w:type="dxa"/>
            <w:vAlign w:val="bottom"/>
          </w:tcPr>
          <w:p>
            <w:pPr>
              <w:spacing w:after="0"/>
              <w:rPr>
                <w:sz w:val="23"/>
                <w:szCs w:val="23"/>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63"/>
        </w:trPr>
        <w:tc>
          <w:tcPr>
            <w:tcW w:w="518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4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1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1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Basic (A/B)</w:t>
            </w:r>
          </w:p>
        </w:tc>
        <w:tc>
          <w:tcPr>
            <w:tcW w:w="7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2.20</w:t>
            </w:r>
          </w:p>
        </w:tc>
        <w:tc>
          <w:tcPr>
            <w:tcW w:w="4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color w:val="auto"/>
              </w:rPr>
              <w:t>2.50</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4.56</w:t>
            </w:r>
          </w:p>
        </w:tc>
        <w:tc>
          <w:tcPr>
            <w:tcW w:w="2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5.23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8"/>
                <w:szCs w:val="18"/>
                <w:color w:val="auto"/>
              </w:rPr>
              <w:t>Diluted (A/C)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5" w:lineRule="exact"/>
        <w:rPr>
          <w:sz w:val="20"/>
          <w:szCs w:val="20"/>
          <w:color w:val="auto"/>
        </w:rPr>
      </w:pPr>
    </w:p>
    <w:p>
      <w:pPr>
        <w:ind w:right="3720" w:firstLine="3711"/>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tbl>
      <w:tblPr>
        <w:tblLayout w:type="fixed"/>
        <w:tblInd w:w="0" w:type="dxa"/>
        <w:tblCellMar>
          <w:top w:w="0" w:type="dxa"/>
          <w:left w:w="0" w:type="dxa"/>
          <w:bottom w:w="0" w:type="dxa"/>
          <w:right w:w="0" w:type="dxa"/>
        </w:tblCellMar>
      </w:tblPr>
      <w:tr>
        <w:trPr>
          <w:trHeight w:val="149"/>
        </w:trPr>
        <w:tc>
          <w:tcPr>
            <w:tcW w:w="54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7"/>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4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and dividends income</w:t>
            </w:r>
          </w:p>
        </w:tc>
        <w:tc>
          <w:tcPr>
            <w:tcW w:w="980" w:type="dxa"/>
            <w:vAlign w:val="bottom"/>
            <w:gridSpan w:val="3"/>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700</w:t>
            </w:r>
          </w:p>
        </w:tc>
        <w:tc>
          <w:tcPr>
            <w:tcW w:w="200" w:type="dxa"/>
            <w:vAlign w:val="bottom"/>
            <w:shd w:val="clear" w:color="auto" w:fill="E5E5E5"/>
          </w:tcPr>
          <w:p>
            <w:pPr>
              <w:spacing w:after="0"/>
              <w:rPr>
                <w:sz w:val="17"/>
                <w:szCs w:val="17"/>
                <w:color w:val="auto"/>
              </w:rPr>
            </w:pPr>
          </w:p>
        </w:tc>
        <w:tc>
          <w:tcPr>
            <w:tcW w:w="1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503</w:t>
            </w:r>
          </w:p>
        </w:tc>
        <w:tc>
          <w:tcPr>
            <w:tcW w:w="200" w:type="dxa"/>
            <w:vAlign w:val="bottom"/>
            <w:shd w:val="clear" w:color="auto" w:fill="E5E5E5"/>
          </w:tcPr>
          <w:p>
            <w:pPr>
              <w:spacing w:after="0"/>
              <w:rPr>
                <w:sz w:val="17"/>
                <w:szCs w:val="17"/>
                <w:color w:val="auto"/>
              </w:rPr>
            </w:pPr>
          </w:p>
        </w:tc>
        <w:tc>
          <w:tcPr>
            <w:tcW w:w="3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1,341</w:t>
            </w:r>
          </w:p>
        </w:tc>
        <w:tc>
          <w:tcPr>
            <w:tcW w:w="80" w:type="dxa"/>
            <w:vAlign w:val="bottom"/>
            <w:shd w:val="clear" w:color="auto" w:fill="E5E5E5"/>
          </w:tcPr>
          <w:p>
            <w:pPr>
              <w:spacing w:after="0"/>
              <w:rPr>
                <w:sz w:val="17"/>
                <w:szCs w:val="17"/>
                <w:color w:val="auto"/>
              </w:rPr>
            </w:pPr>
          </w:p>
        </w:tc>
        <w:tc>
          <w:tcPr>
            <w:tcW w:w="26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3"/>
          </w:tcPr>
          <w:p>
            <w:pPr>
              <w:jc w:val="right"/>
              <w:ind w:right="133"/>
              <w:spacing w:after="0" w:line="202" w:lineRule="exact"/>
              <w:rPr>
                <w:sz w:val="20"/>
                <w:szCs w:val="20"/>
                <w:color w:val="auto"/>
              </w:rPr>
            </w:pPr>
            <w:r>
              <w:rPr>
                <w:rFonts w:ascii="Arial" w:cs="Arial" w:eastAsia="Arial" w:hAnsi="Arial"/>
                <w:sz w:val="18"/>
                <w:szCs w:val="18"/>
                <w:b w:val="1"/>
                <w:bCs w:val="1"/>
                <w:color w:val="auto"/>
              </w:rPr>
              <w:t>(490)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(525)</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(990)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5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300</w:t>
            </w:r>
          </w:p>
        </w:tc>
        <w:tc>
          <w:tcPr>
            <w:tcW w:w="2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4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671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3"/>
          </w:tcPr>
          <w:p>
            <w:pPr>
              <w:jc w:val="right"/>
              <w:ind w:right="133"/>
              <w:spacing w:after="0" w:line="202" w:lineRule="exact"/>
              <w:rPr>
                <w:sz w:val="20"/>
                <w:szCs w:val="20"/>
                <w:color w:val="auto"/>
              </w:rPr>
            </w:pPr>
            <w:r>
              <w:rPr>
                <w:rFonts w:ascii="Arial" w:cs="Arial" w:eastAsia="Arial" w:hAnsi="Arial"/>
                <w:sz w:val="18"/>
                <w:szCs w:val="18"/>
                <w:b w:val="1"/>
                <w:bCs w:val="1"/>
                <w:color w:val="auto"/>
              </w:rPr>
              <w:t>(199)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(190)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5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6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4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(96)</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7"/>
        </w:trPr>
        <w:tc>
          <w:tcPr>
            <w:tcW w:w="5460" w:type="dxa"/>
            <w:vAlign w:val="bottom"/>
          </w:tcPr>
          <w:p>
            <w:pPr>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ind w:right="133"/>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980" w:type="dxa"/>
            <w:vAlign w:val="bottom"/>
            <w:gridSpan w:val="3"/>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(60)</w:t>
            </w:r>
          </w:p>
        </w:tc>
        <w:tc>
          <w:tcPr>
            <w:tcW w:w="18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268</w:t>
            </w:r>
          </w:p>
        </w:tc>
        <w:tc>
          <w:tcPr>
            <w:tcW w:w="200" w:type="dxa"/>
            <w:vAlign w:val="bottom"/>
            <w:shd w:val="clear" w:color="auto" w:fill="E5E5E5"/>
          </w:tcPr>
          <w:p>
            <w:pPr>
              <w:spacing w:after="0"/>
              <w:rPr>
                <w:sz w:val="17"/>
                <w:szCs w:val="17"/>
                <w:color w:val="auto"/>
              </w:rPr>
            </w:pPr>
          </w:p>
        </w:tc>
        <w:tc>
          <w:tcPr>
            <w:tcW w:w="38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w:t>
            </w:r>
          </w:p>
        </w:tc>
        <w:tc>
          <w:tcPr>
            <w:tcW w:w="26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554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5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1"/>
        </w:trPr>
        <w:tc>
          <w:tcPr>
            <w:tcW w:w="5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46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4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4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58"/>
        </w:trPr>
        <w:tc>
          <w:tcPr>
            <w:tcW w:w="5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gridSpan w:val="3"/>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5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gridSpan w:val="3"/>
          </w:tcPr>
          <w:p>
            <w:pPr>
              <w:jc w:val="right"/>
              <w:ind w:right="133"/>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546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06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E5E5E5"/>
          </w:tcPr>
          <w:p>
            <w:pPr>
              <w:spacing w:after="0"/>
              <w:rPr>
                <w:sz w:val="20"/>
                <w:szCs w:val="20"/>
                <w:color w:val="auto"/>
              </w:rPr>
            </w:pPr>
            <w:r>
              <w:rPr>
                <w:rFonts w:ascii="Arial" w:cs="Arial" w:eastAsia="Arial" w:hAnsi="Arial"/>
                <w:sz w:val="18"/>
                <w:szCs w:val="18"/>
                <w:color w:val="auto"/>
              </w:rPr>
              <w:t>Realized gains from sales of available-for-sale securities</w:t>
            </w:r>
          </w:p>
        </w:tc>
        <w:tc>
          <w:tcPr>
            <w:tcW w:w="980" w:type="dxa"/>
            <w:vAlign w:val="bottom"/>
            <w:gridSpan w:val="3"/>
            <w:shd w:val="clear" w:color="auto" w:fill="E5E5E5"/>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27</w:t>
            </w:r>
          </w:p>
        </w:tc>
        <w:tc>
          <w:tcPr>
            <w:tcW w:w="180" w:type="dxa"/>
            <w:vAlign w:val="bottom"/>
            <w:gridSpan w:val="2"/>
            <w:shd w:val="clear" w:color="auto" w:fill="E5E5E5"/>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30</w:t>
            </w:r>
          </w:p>
        </w:tc>
        <w:tc>
          <w:tcPr>
            <w:tcW w:w="260" w:type="dxa"/>
            <w:vAlign w:val="bottom"/>
            <w:gridSpan w:val="3"/>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Realized losses from sales of available-for-sale securities</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gridSpan w:val="3"/>
          </w:tcPr>
          <w:p>
            <w:pPr>
              <w:jc w:val="right"/>
              <w:ind w:right="73"/>
              <w:spacing w:after="0" w:line="202" w:lineRule="exact"/>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4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and allowance for credit losses</w:t>
            </w:r>
          </w:p>
        </w:tc>
        <w:tc>
          <w:tcPr>
            <w:tcW w:w="52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20" w:type="dxa"/>
            <w:vAlign w:val="bottom"/>
            <w:gridSpan w:val="3"/>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60" w:type="dxa"/>
            <w:vAlign w:val="bottom"/>
            <w:gridSpan w:val="3"/>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4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81"/>
        </w:trPr>
        <w:tc>
          <w:tcPr>
            <w:tcW w:w="54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5460" w:type="dxa"/>
            <w:vAlign w:val="bottom"/>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133"/>
              <w:spacing w:after="0"/>
              <w:rPr>
                <w:sz w:val="20"/>
                <w:szCs w:val="20"/>
                <w:color w:val="auto"/>
              </w:rPr>
            </w:pPr>
            <w:r>
              <w:rPr>
                <w:rFonts w:ascii="Arial" w:cs="Arial" w:eastAsia="Arial" w:hAnsi="Arial"/>
                <w:sz w:val="18"/>
                <w:szCs w:val="18"/>
                <w:b w:val="1"/>
                <w:bCs w:val="1"/>
                <w:color w:val="auto"/>
              </w:rPr>
              <w:t>9</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3"/>
        </w:trPr>
        <w:tc>
          <w:tcPr>
            <w:tcW w:w="5460" w:type="dxa"/>
            <w:vAlign w:val="bottom"/>
          </w:tcPr>
          <w:p>
            <w:pPr>
              <w:spacing w:after="0"/>
              <w:rPr>
                <w:sz w:val="5"/>
                <w:szCs w:val="5"/>
                <w:color w:val="auto"/>
              </w:rPr>
            </w:pPr>
          </w:p>
        </w:tc>
        <w:tc>
          <w:tcPr>
            <w:tcW w:w="520" w:type="dxa"/>
            <w:vAlign w:val="bottom"/>
            <w:vMerge w:val="restart"/>
          </w:tcPr>
          <w:p>
            <w:pPr>
              <w:jc w:val="right"/>
              <w:ind w:right="194"/>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2"/>
        </w:trPr>
        <w:tc>
          <w:tcPr>
            <w:tcW w:w="546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4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Net recognized gains (losses) on equity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9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realized gains (losses) on investments sold</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31</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75</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Net unrealized gains (losses) on investments still held</w:t>
            </w:r>
          </w:p>
        </w:tc>
        <w:tc>
          <w:tcPr>
            <w:tcW w:w="460" w:type="dxa"/>
            <w:vAlign w:val="bottom"/>
          </w:tcPr>
          <w:p>
            <w:pPr>
              <w:spacing w:after="0"/>
              <w:rPr>
                <w:sz w:val="17"/>
                <w:szCs w:val="17"/>
                <w:color w:val="auto"/>
              </w:rPr>
            </w:pPr>
          </w:p>
        </w:tc>
        <w:tc>
          <w:tcPr>
            <w:tcW w:w="920" w:type="dxa"/>
            <w:vAlign w:val="bottom"/>
            <w:gridSpan w:val="2"/>
          </w:tcPr>
          <w:p>
            <w:pPr>
              <w:jc w:val="right"/>
              <w:ind w:right="133"/>
              <w:spacing w:after="0" w:line="202" w:lineRule="exact"/>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268</w:t>
            </w:r>
          </w:p>
        </w:tc>
        <w:tc>
          <w:tcPr>
            <w:tcW w:w="4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of investments</w:t>
            </w:r>
          </w:p>
        </w:tc>
        <w:tc>
          <w:tcPr>
            <w:tcW w:w="4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4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8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33"/>
              <w:spacing w:after="0"/>
              <w:rPr>
                <w:sz w:val="20"/>
                <w:szCs w:val="20"/>
                <w:color w:val="auto"/>
              </w:rPr>
            </w:pPr>
            <w:r>
              <w:rPr>
                <w:rFonts w:ascii="Arial" w:cs="Arial" w:eastAsia="Arial" w:hAnsi="Arial"/>
                <w:sz w:val="18"/>
                <w:szCs w:val="18"/>
                <w:b w:val="1"/>
                <w:bCs w:val="1"/>
                <w:color w:val="auto"/>
              </w:rPr>
              <w:t>(24)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59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Short-term</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78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45"/>
        </w:trPr>
        <w:tc>
          <w:tcPr>
            <w:tcW w:w="2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Commercial paper</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6,423</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6,423</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3,307</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3,116</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2,694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2,694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2,250</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444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securities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67,941</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(3,963)</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63,978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1,029</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62,949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5,525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5,519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674</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4,845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491</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465</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465</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0"/>
        </w:trPr>
        <w:tc>
          <w:tcPr>
            <w:tcW w:w="2780" w:type="dxa"/>
            <w:vAlign w:val="bottom"/>
          </w:tcPr>
          <w:p>
            <w:pPr>
              <w:spacing w:after="0" w:line="170" w:lineRule="exact"/>
              <w:rPr>
                <w:sz w:val="20"/>
                <w:szCs w:val="20"/>
                <w:color w:val="auto"/>
              </w:rPr>
            </w:pPr>
            <w:r>
              <w:rPr>
                <w:rFonts w:ascii="Arial" w:cs="Arial" w:eastAsia="Arial" w:hAnsi="Arial"/>
                <w:sz w:val="18"/>
                <w:szCs w:val="18"/>
                <w:color w:val="auto"/>
              </w:rPr>
              <w:t>Mortgage- and asset-backed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883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841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1"/>
        </w:trPr>
        <w:tc>
          <w:tcPr>
            <w:tcW w:w="278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11,310</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(676)</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10,642</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10,642</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89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370</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361</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361</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8"/>
                <w:szCs w:val="18"/>
                <w:color w:val="auto"/>
              </w:rPr>
              <w:t>Municipal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debt investments</w:t>
            </w:r>
          </w:p>
        </w:tc>
        <w:tc>
          <w:tcPr>
            <w:tcW w:w="92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95,829</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(4,739)</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91,109</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7,260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83,849</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4"/>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7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investments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1,521</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1,082</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439</w:t>
            </w:r>
          </w:p>
        </w:tc>
        <w:tc>
          <w:tcPr>
            <w:tcW w:w="0" w:type="dxa"/>
            <w:vAlign w:val="bottom"/>
          </w:tcPr>
          <w:p>
            <w:pPr>
              <w:spacing w:after="0"/>
              <w:rPr>
                <w:sz w:val="1"/>
                <w:szCs w:val="1"/>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8"/>
                <w:szCs w:val="18"/>
                <w:color w:val="auto"/>
              </w:rPr>
              <w:t>Equity investments</w:t>
            </w:r>
          </w:p>
        </w:tc>
        <w:tc>
          <w:tcPr>
            <w:tcW w:w="920" w:type="dxa"/>
            <w:vAlign w:val="bottom"/>
          </w:tcPr>
          <w:p>
            <w:pPr>
              <w:jc w:val="cente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6,658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6,658</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equity investments</w:t>
            </w: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8,179</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1,082</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7,097</w:t>
            </w:r>
          </w:p>
        </w:tc>
        <w:tc>
          <w:tcPr>
            <w:tcW w:w="0" w:type="dxa"/>
            <w:vAlign w:val="bottom"/>
          </w:tcPr>
          <w:p>
            <w:pPr>
              <w:spacing w:after="0"/>
              <w:rPr>
                <w:sz w:val="1"/>
                <w:szCs w:val="1"/>
                <w:color w:val="auto"/>
              </w:rPr>
            </w:pPr>
          </w:p>
        </w:tc>
      </w:tr>
      <w:tr>
        <w:trPr>
          <w:trHeight w:val="75"/>
        </w:trPr>
        <w:tc>
          <w:tcPr>
            <w:tcW w:w="2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Cash</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7,304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7,304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13</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2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78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106,605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15,646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83,862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7,097</w:t>
            </w:r>
          </w:p>
        </w:tc>
        <w:tc>
          <w:tcPr>
            <w:tcW w:w="0" w:type="dxa"/>
            <w:vAlign w:val="bottom"/>
          </w:tcPr>
          <w:p>
            <w:pPr>
              <w:spacing w:after="0"/>
              <w:rPr>
                <w:sz w:val="1"/>
                <w:szCs w:val="1"/>
                <w:color w:val="auto"/>
              </w:rPr>
            </w:pPr>
          </w:p>
        </w:tc>
      </w:tr>
      <w:tr>
        <w:trPr>
          <w:trHeight w:val="63"/>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Recorded</w:t>
            </w:r>
          </w:p>
        </w:tc>
        <w:tc>
          <w:tcPr>
            <w:tcW w:w="1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Cash</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and Cash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80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Gains</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Basis</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Equivalents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44"/>
        </w:trPr>
        <w:tc>
          <w:tcPr>
            <w:tcW w:w="2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Commercial paper</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2,500</w:t>
            </w:r>
          </w:p>
        </w:tc>
        <w:tc>
          <w:tcPr>
            <w:tcW w:w="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2,500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2,498</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2,071</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79,696</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(2,178)</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77,547</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77,538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410</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506</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482</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482</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0"/>
        </w:trPr>
        <w:tc>
          <w:tcPr>
            <w:tcW w:w="2800" w:type="dxa"/>
            <w:vAlign w:val="bottom"/>
          </w:tcPr>
          <w:p>
            <w:pPr>
              <w:spacing w:after="0" w:line="170" w:lineRule="exact"/>
              <w:rPr>
                <w:sz w:val="20"/>
                <w:szCs w:val="20"/>
                <w:color w:val="auto"/>
              </w:rPr>
            </w:pPr>
            <w:r>
              <w:rPr>
                <w:rFonts w:ascii="Arial" w:cs="Arial" w:eastAsia="Arial" w:hAnsi="Arial"/>
                <w:sz w:val="18"/>
                <w:szCs w:val="18"/>
                <w:color w:val="auto"/>
              </w:rPr>
              <w:t>Mortgage- and asset-backed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4"/>
                <w:szCs w:val="14"/>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28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11,661</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(554)</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11,111</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11,111</w:t>
            </w: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368</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374</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374</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9"/>
        </w:trPr>
        <w:tc>
          <w:tcPr>
            <w:tcW w:w="2800" w:type="dxa"/>
            <w:vAlign w:val="bottom"/>
          </w:tcPr>
          <w:p>
            <w:pPr>
              <w:spacing w:after="0"/>
              <w:rPr>
                <w:sz w:val="20"/>
                <w:szCs w:val="20"/>
                <w:color w:val="auto"/>
              </w:rPr>
            </w:pPr>
            <w:r>
              <w:rPr>
                <w:rFonts w:ascii="Arial" w:cs="Arial" w:eastAsia="Arial" w:hAnsi="Arial"/>
                <w:sz w:val="18"/>
                <w:szCs w:val="18"/>
                <w:color w:val="auto"/>
              </w:rPr>
              <w:t>Municipal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
        </w:trPr>
        <w:tc>
          <w:tcPr>
            <w:tcW w:w="2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debt investments</w:t>
            </w:r>
          </w:p>
        </w:tc>
        <w:tc>
          <w:tcPr>
            <w:tcW w:w="90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98,118</w:t>
            </w:r>
          </w:p>
        </w:tc>
        <w:tc>
          <w:tcPr>
            <w:tcW w:w="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(2,814)</w:t>
            </w: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95,357</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4,539</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90,818</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8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investments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1,590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1,134</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9"/>
        </w:trPr>
        <w:tc>
          <w:tcPr>
            <w:tcW w:w="2800" w:type="dxa"/>
            <w:vAlign w:val="bottom"/>
          </w:tcPr>
          <w:p>
            <w:pPr>
              <w:spacing w:after="0"/>
              <w:rPr>
                <w:sz w:val="20"/>
                <w:szCs w:val="20"/>
                <w:color w:val="auto"/>
              </w:rPr>
            </w:pPr>
            <w:r>
              <w:rPr>
                <w:rFonts w:ascii="Arial" w:cs="Arial" w:eastAsia="Arial" w:hAnsi="Arial"/>
                <w:sz w:val="18"/>
                <w:szCs w:val="18"/>
                <w:color w:val="auto"/>
              </w:rPr>
              <w:t>Equity investments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6,435</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31"/>
        </w:trPr>
        <w:tc>
          <w:tcPr>
            <w:tcW w:w="2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equity investments</w:t>
            </w: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8,025</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1,134</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Cash</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8,258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80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111,648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13,931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90,826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40640</wp:posOffset>
            </wp:positionV>
            <wp:extent cx="26231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35"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both December 31, 2022 and June 30, 2022, equity investments without readily determinable fair values measured at cost with adjustments for observable changes in price or impairments were $3.8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45"/>
        </w:trPr>
        <w:tc>
          <w:tcPr>
            <w:tcW w:w="3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40,516</w:t>
            </w:r>
          </w:p>
        </w:tc>
        <w:tc>
          <w:tcPr>
            <w:tcW w:w="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(2,586)</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8,890</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(1,383)</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49,406</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(3,969)</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459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396</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148</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544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6,908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(337)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3,204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(339)</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10,112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(676)</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149</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274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67"/>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48,310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(2,964)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12,485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60,795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(4,739)</w:t>
            </w:r>
          </w:p>
        </w:tc>
        <w:tc>
          <w:tcPr>
            <w:tcW w:w="0" w:type="dxa"/>
            <w:vAlign w:val="bottom"/>
          </w:tcPr>
          <w:p>
            <w:pPr>
              <w:spacing w:after="0"/>
              <w:rPr>
                <w:sz w:val="1"/>
                <w:szCs w:val="1"/>
                <w:color w:val="auto"/>
              </w:rPr>
            </w:pPr>
          </w:p>
        </w:tc>
      </w:tr>
      <w:tr>
        <w:trPr>
          <w:trHeight w:val="62"/>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45"/>
        </w:trPr>
        <w:tc>
          <w:tcPr>
            <w:tcW w:w="3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59,092</w:t>
            </w:r>
          </w:p>
        </w:tc>
        <w:tc>
          <w:tcPr>
            <w:tcW w:w="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(1,835)</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2,210</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(352)</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61,302</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445</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510</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551</w:t>
            </w: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10,229</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252</w:t>
            </w: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69,641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3,138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72,779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70"/>
        </w:trPr>
        <w:tc>
          <w:tcPr>
            <w:tcW w:w="3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2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45"/>
        </w:trPr>
        <w:tc>
          <w:tcPr>
            <w:tcW w:w="55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0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in one year or less</w:t>
            </w:r>
          </w:p>
        </w:tc>
        <w:tc>
          <w:tcPr>
            <w:tcW w:w="2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28,885</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28,758</w:t>
            </w: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50,751</w:t>
            </w:r>
          </w:p>
        </w:tc>
        <w:tc>
          <w:tcPr>
            <w:tcW w:w="4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48,134</w:t>
            </w: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after five years through 10 years</w:t>
            </w:r>
          </w:p>
        </w:tc>
        <w:tc>
          <w:tcPr>
            <w:tcW w:w="25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14,845</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13,012</w:t>
            </w:r>
          </w:p>
        </w:tc>
        <w:tc>
          <w:tcPr>
            <w:tcW w:w="0" w:type="dxa"/>
            <w:vAlign w:val="bottom"/>
          </w:tcPr>
          <w:p>
            <w:pPr>
              <w:spacing w:after="0"/>
              <w:rPr>
                <w:sz w:val="1"/>
                <w:szCs w:val="1"/>
                <w:color w:val="auto"/>
              </w:rPr>
            </w:pPr>
          </w:p>
        </w:tc>
      </w:tr>
      <w:tr>
        <w:trPr>
          <w:trHeight w:val="247"/>
        </w:trPr>
        <w:tc>
          <w:tcPr>
            <w:tcW w:w="5500" w:type="dxa"/>
            <w:vAlign w:val="bottom"/>
          </w:tcPr>
          <w:p>
            <w:pPr>
              <w:spacing w:after="0"/>
              <w:rPr>
                <w:sz w:val="20"/>
                <w:szCs w:val="20"/>
                <w:color w:val="auto"/>
              </w:rPr>
            </w:pPr>
            <w:r>
              <w:rPr>
                <w:rFonts w:ascii="Arial" w:cs="Arial" w:eastAsia="Arial" w:hAnsi="Arial"/>
                <w:sz w:val="18"/>
                <w:szCs w:val="18"/>
                <w:color w:val="auto"/>
              </w:rPr>
              <w:t>Due after 10 years</w:t>
            </w:r>
          </w:p>
        </w:tc>
        <w:tc>
          <w:tcPr>
            <w:tcW w:w="2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1,348</w:t>
            </w:r>
          </w:p>
        </w:tc>
        <w:tc>
          <w:tcPr>
            <w:tcW w:w="4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1,205</w:t>
            </w:r>
          </w:p>
        </w:tc>
        <w:tc>
          <w:tcPr>
            <w:tcW w:w="0" w:type="dxa"/>
            <w:vAlign w:val="bottom"/>
          </w:tcPr>
          <w:p>
            <w:pPr>
              <w:spacing w:after="0"/>
              <w:rPr>
                <w:sz w:val="1"/>
                <w:szCs w:val="1"/>
                <w:color w:val="auto"/>
              </w:rPr>
            </w:pPr>
          </w:p>
        </w:tc>
      </w:tr>
      <w:tr>
        <w:trPr>
          <w:trHeight w:val="23"/>
        </w:trPr>
        <w:tc>
          <w:tcPr>
            <w:tcW w:w="5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5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95,829</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91,109</w:t>
            </w:r>
          </w:p>
        </w:tc>
        <w:tc>
          <w:tcPr>
            <w:tcW w:w="0" w:type="dxa"/>
            <w:vAlign w:val="bottom"/>
          </w:tcPr>
          <w:p>
            <w:pPr>
              <w:spacing w:after="0"/>
              <w:rPr>
                <w:sz w:val="1"/>
                <w:szCs w:val="1"/>
                <w:color w:val="auto"/>
              </w:rPr>
            </w:pPr>
          </w:p>
        </w:tc>
      </w:tr>
      <w:tr>
        <w:trPr>
          <w:trHeight w:val="75"/>
        </w:trPr>
        <w:tc>
          <w:tcPr>
            <w:tcW w:w="5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December 31, 2022, our long-term unsecured debt rating was AAA, and cash investments were in excess of $1.0 billion. As a result, no collateral was required to be posted.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340" w:type="dxa"/>
            <w:vAlign w:val="bottom"/>
            <w:vMerge w:val="continue"/>
          </w:tcPr>
          <w:p>
            <w:pPr>
              <w:spacing w:after="0"/>
              <w:rPr>
                <w:sz w:val="16"/>
                <w:szCs w:val="16"/>
                <w:color w:val="auto"/>
              </w:rPr>
            </w:pPr>
          </w:p>
        </w:tc>
        <w:tc>
          <w:tcPr>
            <w:tcW w:w="40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44"/>
        </w:trPr>
        <w:tc>
          <w:tcPr>
            <w:tcW w:w="4340" w:type="dxa"/>
            <w:vAlign w:val="bottom"/>
            <w:tcBorders>
              <w:bottom w:val="single" w:sz="8" w:color="auto"/>
            </w:tcBorders>
          </w:tcPr>
          <w:p>
            <w:pPr>
              <w:spacing w:after="0"/>
              <w:rPr>
                <w:sz w:val="3"/>
                <w:szCs w:val="3"/>
                <w:color w:val="auto"/>
              </w:rPr>
            </w:pPr>
          </w:p>
        </w:tc>
        <w:tc>
          <w:tcPr>
            <w:tcW w:w="40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 purchased</w:t>
            </w:r>
          </w:p>
        </w:tc>
        <w:tc>
          <w:tcPr>
            <w:tcW w:w="4040" w:type="dxa"/>
            <w:vAlign w:val="bottom"/>
            <w:shd w:val="clear" w:color="auto" w:fill="E5E5E5"/>
          </w:tcPr>
          <w:p>
            <w:pPr>
              <w:jc w:val="right"/>
              <w:ind w:right="159"/>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1,492</w:t>
            </w:r>
          </w:p>
        </w:tc>
        <w:tc>
          <w:tcPr>
            <w:tcW w:w="6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0"/>
                <w:szCs w:val="20"/>
                <w:color w:val="auto"/>
              </w:rPr>
            </w:pPr>
            <w:r>
              <w:rPr>
                <w:rFonts w:ascii="Arial" w:cs="Arial" w:eastAsia="Arial" w:hAnsi="Arial"/>
                <w:sz w:val="18"/>
                <w:szCs w:val="18"/>
                <w:color w:val="auto"/>
              </w:rPr>
              <w:t>Interest rate contracts purchased</w:t>
            </w:r>
          </w:p>
        </w:tc>
        <w:tc>
          <w:tcPr>
            <w:tcW w:w="40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1,089</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 purchased</w:t>
            </w:r>
          </w:p>
        </w:tc>
        <w:tc>
          <w:tcPr>
            <w:tcW w:w="404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7,042</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Foreign exchange contracts sold</w:t>
            </w:r>
          </w:p>
        </w:tc>
        <w:tc>
          <w:tcPr>
            <w:tcW w:w="40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17,653</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21,606</w:t>
            </w: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 purchased</w:t>
            </w:r>
          </w:p>
        </w:tc>
        <w:tc>
          <w:tcPr>
            <w:tcW w:w="4040" w:type="dxa"/>
            <w:vAlign w:val="bottom"/>
            <w:shd w:val="clear" w:color="auto" w:fill="E5E5E5"/>
          </w:tcPr>
          <w:p>
            <w:pPr>
              <w:spacing w:after="0"/>
              <w:rPr>
                <w:sz w:val="17"/>
                <w:szCs w:val="17"/>
                <w:color w:val="auto"/>
              </w:rPr>
            </w:pP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4,803</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0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1,023</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3"/>
        </w:trPr>
        <w:tc>
          <w:tcPr>
            <w:tcW w:w="4340" w:type="dxa"/>
            <w:vAlign w:val="bottom"/>
          </w:tcPr>
          <w:p>
            <w:pPr>
              <w:spacing w:after="0"/>
              <w:rPr>
                <w:sz w:val="24"/>
                <w:szCs w:val="24"/>
                <w:color w:val="auto"/>
              </w:rPr>
            </w:pPr>
          </w:p>
        </w:tc>
        <w:tc>
          <w:tcPr>
            <w:tcW w:w="4040" w:type="dxa"/>
            <w:vAlign w:val="bottom"/>
          </w:tcPr>
          <w:p>
            <w:pPr>
              <w:jc w:val="right"/>
              <w:ind w:right="2599"/>
              <w:spacing w:after="0"/>
              <w:rPr>
                <w:sz w:val="20"/>
                <w:szCs w:val="20"/>
                <w:color w:val="auto"/>
              </w:rPr>
            </w:pPr>
            <w:r>
              <w:rPr>
                <w:rFonts w:ascii="Arial" w:cs="Arial" w:eastAsia="Arial" w:hAnsi="Arial"/>
                <w:sz w:val="14"/>
                <w:szCs w:val="14"/>
                <w:color w:val="auto"/>
              </w:rPr>
              <w:t>15</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3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1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45"/>
        </w:trPr>
        <w:tc>
          <w:tcPr>
            <w:tcW w:w="5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(79)</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195</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(599)</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333</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w:t>
            </w:r>
          </w:p>
        </w:tc>
        <w:tc>
          <w:tcPr>
            <w:tcW w:w="1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(305)</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249</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(986)</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356</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(203)</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206</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(12)</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3"/>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218</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(607)</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(185)</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3"/>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$239 million and $793 million, respectively, as of December 31, 2022, and $343 million and $550 million, respectively, as of June 30,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45"/>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13"/>
                <w:szCs w:val="13"/>
                <w:b w:val="1"/>
                <w:bCs w:val="1"/>
                <w:color w:val="auto"/>
              </w:rPr>
              <w:t>December 31, 2022</w:t>
            </w: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3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3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241</w:t>
            </w:r>
          </w:p>
        </w:tc>
        <w:tc>
          <w:tcPr>
            <w:tcW w:w="46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8</w:t>
            </w:r>
          </w:p>
        </w:tc>
        <w:tc>
          <w:tcPr>
            <w:tcW w:w="5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249</w:t>
            </w:r>
          </w:p>
        </w:tc>
      </w:tr>
      <w:tr>
        <w:trPr>
          <w:trHeight w:val="24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(986)</w:t>
            </w:r>
          </w:p>
        </w:tc>
        <w:tc>
          <w:tcPr>
            <w:tcW w:w="4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(986)</w:t>
            </w:r>
          </w:p>
        </w:tc>
      </w:tr>
      <w:tr>
        <w:trPr>
          <w:trHeight w:val="195"/>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
        </w:trPr>
        <w:tc>
          <w:tcPr>
            <w:tcW w:w="3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3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349</w:t>
            </w:r>
          </w:p>
        </w:tc>
        <w:tc>
          <w:tcPr>
            <w:tcW w:w="4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6</w:t>
            </w:r>
          </w:p>
        </w:tc>
        <w:tc>
          <w:tcPr>
            <w:tcW w:w="5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356</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r>
      <w:tr>
        <w:trPr>
          <w:trHeight w:val="31"/>
        </w:trPr>
        <w:tc>
          <w:tcPr>
            <w:tcW w:w="35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593"/>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16</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6"/>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7"/>
              </w:rPr>
              <w:t>Three Months Ended</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5"/>
          </w:tcPr>
          <w:p>
            <w:pPr>
              <w:jc w:val="right"/>
              <w:ind w:right="1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20"/>
              <w:spacing w:after="0" w:line="202" w:lineRule="exact"/>
              <w:rPr>
                <w:sz w:val="20"/>
                <w:szCs w:val="20"/>
                <w:color w:val="auto"/>
              </w:rPr>
            </w:pPr>
            <w:r>
              <w:rPr>
                <w:rFonts w:ascii="Arial" w:cs="Arial" w:eastAsia="Arial" w:hAnsi="Arial"/>
                <w:sz w:val="18"/>
                <w:szCs w:val="18"/>
                <w:color w:val="auto"/>
              </w:rPr>
              <w:t>Derivatives</w:t>
            </w:r>
          </w:p>
        </w:tc>
        <w:tc>
          <w:tcPr>
            <w:tcW w:w="21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360" w:type="dxa"/>
            <w:vAlign w:val="bottom"/>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900" w:type="dxa"/>
            <w:vAlign w:val="bottom"/>
          </w:tcPr>
          <w:p>
            <w:pPr>
              <w:jc w:val="right"/>
              <w:ind w:right="595"/>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44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300" w:type="dxa"/>
            <w:vAlign w:val="bottom"/>
          </w:tcPr>
          <w:p>
            <w:pPr>
              <w:jc w:val="right"/>
              <w:ind w:right="61"/>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Hedged items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4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E5E5E5"/>
          </w:tcPr>
          <w:p>
            <w:pPr>
              <w:spacing w:after="0"/>
              <w:rPr>
                <w:sz w:val="17"/>
                <w:szCs w:val="17"/>
                <w:color w:val="auto"/>
              </w:rPr>
            </w:pPr>
          </w:p>
        </w:tc>
        <w:tc>
          <w:tcPr>
            <w:tcW w:w="1000" w:type="dxa"/>
            <w:vAlign w:val="bottom"/>
            <w:gridSpan w:val="4"/>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7"/>
        </w:trPr>
        <w:tc>
          <w:tcPr>
            <w:tcW w:w="4560" w:type="dxa"/>
            <w:vAlign w:val="bottom"/>
          </w:tcPr>
          <w:p>
            <w:pPr>
              <w:ind w:left="220"/>
              <w:spacing w:after="0"/>
              <w:rPr>
                <w:sz w:val="20"/>
                <w:szCs w:val="20"/>
                <w:color w:val="auto"/>
              </w:rPr>
            </w:pPr>
            <w:r>
              <w:rPr>
                <w:rFonts w:ascii="Arial" w:cs="Arial" w:eastAsia="Arial" w:hAnsi="Arial"/>
                <w:sz w:val="18"/>
                <w:szCs w:val="18"/>
                <w:color w:val="auto"/>
              </w:rPr>
              <w:t>Excluded from effectiveness assessment</w:t>
            </w:r>
          </w:p>
        </w:tc>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3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 contracts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220"/>
              <w:spacing w:after="0" w:line="202" w:lineRule="exact"/>
              <w:rPr>
                <w:sz w:val="20"/>
                <w:szCs w:val="20"/>
                <w:color w:val="auto"/>
              </w:rPr>
            </w:pPr>
            <w:r>
              <w:rPr>
                <w:rFonts w:ascii="Arial" w:cs="Arial" w:eastAsia="Arial" w:hAnsi="Arial"/>
                <w:sz w:val="18"/>
                <w:szCs w:val="18"/>
                <w:color w:val="auto"/>
              </w:rPr>
              <w:t>Derivatives</w:t>
            </w: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7"/>
                <w:szCs w:val="17"/>
                <w:color w:val="auto"/>
              </w:rPr>
            </w:pPr>
          </w:p>
        </w:tc>
        <w:tc>
          <w:tcPr>
            <w:tcW w:w="100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Hedged items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4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35</w:t>
            </w:r>
          </w:p>
        </w:tc>
        <w:tc>
          <w:tcPr>
            <w:tcW w:w="30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22</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740" w:type="dxa"/>
            <w:vAlign w:val="bottom"/>
            <w:gridSpan w:val="3"/>
          </w:tcPr>
          <w:p>
            <w:pPr>
              <w:ind w:left="220"/>
              <w:spacing w:after="0" w:line="170" w:lineRule="exact"/>
              <w:rPr>
                <w:sz w:val="20"/>
                <w:szCs w:val="20"/>
                <w:color w:val="auto"/>
              </w:rPr>
            </w:pPr>
            <w:r>
              <w:rPr>
                <w:rFonts w:ascii="Arial" w:cs="Arial" w:eastAsia="Arial" w:hAnsi="Arial"/>
                <w:sz w:val="18"/>
                <w:szCs w:val="18"/>
                <w:color w:val="auto"/>
              </w:rPr>
              <w:t>Amount reclassified from accumulated other comprehensive income</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w:t>
            </w:r>
          </w:p>
        </w:tc>
        <w:tc>
          <w:tcPr>
            <w:tcW w:w="360" w:type="dxa"/>
            <w:vAlign w:val="bottom"/>
          </w:tcPr>
          <w:p>
            <w:pPr>
              <w:spacing w:after="0"/>
              <w:rPr>
                <w:sz w:val="14"/>
                <w:szCs w:val="14"/>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14"/>
                <w:szCs w:val="14"/>
                <w:color w:val="auto"/>
              </w:rPr>
            </w:pPr>
          </w:p>
        </w:tc>
        <w:tc>
          <w:tcPr>
            <w:tcW w:w="10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9"/>
        </w:trPr>
        <w:tc>
          <w:tcPr>
            <w:tcW w:w="4560" w:type="dxa"/>
            <w:vAlign w:val="bottom"/>
          </w:tcPr>
          <w:p>
            <w:pPr>
              <w:ind w:left="440"/>
              <w:spacing w:after="0"/>
              <w:rPr>
                <w:sz w:val="20"/>
                <w:szCs w:val="20"/>
                <w:color w:val="auto"/>
              </w:rPr>
            </w:pPr>
            <w:r>
              <w:rPr>
                <w:rFonts w:ascii="Arial" w:cs="Arial" w:eastAsia="Arial" w:hAnsi="Arial"/>
                <w:sz w:val="18"/>
                <w:szCs w:val="18"/>
                <w:color w:val="auto"/>
              </w:rPr>
              <w:t>(loss)</w:t>
            </w: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96</w:t>
            </w: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40" w:type="dxa"/>
            <w:vAlign w:val="bottom"/>
            <w:gridSpan w:val="3"/>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(10)</w:t>
            </w:r>
          </w:p>
        </w:tc>
        <w:tc>
          <w:tcPr>
            <w:tcW w:w="30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560" w:type="dxa"/>
            <w:vAlign w:val="bottom"/>
          </w:tcPr>
          <w:p>
            <w:pPr>
              <w:spacing w:after="0"/>
              <w:rPr>
                <w:sz w:val="20"/>
                <w:szCs w:val="20"/>
                <w:color w:val="auto"/>
              </w:rPr>
            </w:pPr>
            <w:r>
              <w:rPr>
                <w:rFonts w:ascii="Arial" w:cs="Arial" w:eastAsia="Arial" w:hAnsi="Arial"/>
                <w:sz w:val="18"/>
                <w:szCs w:val="18"/>
                <w:color w:val="auto"/>
              </w:rPr>
              <w:t>Other contracts</w:t>
            </w:r>
          </w:p>
        </w:tc>
        <w:tc>
          <w:tcPr>
            <w:tcW w:w="2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3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3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(204)</w:t>
            </w:r>
          </w:p>
        </w:tc>
        <w:tc>
          <w:tcPr>
            <w:tcW w:w="300" w:type="dxa"/>
            <w:vAlign w:val="bottom"/>
          </w:tcPr>
          <w:p>
            <w:pPr>
              <w:spacing w:after="0"/>
              <w:rPr>
                <w:sz w:val="21"/>
                <w:szCs w:val="21"/>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
        </w:trPr>
        <w:tc>
          <w:tcPr>
            <w:tcW w:w="67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10240" w:type="dxa"/>
            <w:vAlign w:val="bottom"/>
            <w:gridSpan w:val="13"/>
          </w:tcPr>
          <w:p>
            <w:pPr>
              <w:spacing w:after="0"/>
              <w:rPr>
                <w:sz w:val="20"/>
                <w:szCs w:val="20"/>
                <w:color w:val="auto"/>
              </w:rPr>
            </w:pPr>
            <w:r>
              <w:rPr>
                <w:rFonts w:ascii="Arial" w:cs="Arial" w:eastAsia="Arial" w:hAnsi="Arial"/>
                <w:sz w:val="18"/>
                <w:szCs w:val="18"/>
                <w:color w:val="auto"/>
              </w:rPr>
              <w:t>Losses, net of tax, on derivative instruments recognized in our consolidated comprehensive income statements were as follows: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7"/>
              </w:rPr>
              <w:t>Three Months Ended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214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6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615"/>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9</w:t>
            </w:r>
          </w:p>
        </w:tc>
        <w:tc>
          <w:tcPr>
            <w:tcW w:w="30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
        </w:trPr>
        <w:tc>
          <w:tcPr>
            <w:tcW w:w="4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456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NOTE 6 — INVENTORIES</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5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Raw materials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1,060</w:t>
            </w:r>
          </w:p>
        </w:tc>
        <w:tc>
          <w:tcPr>
            <w:tcW w:w="440" w:type="dxa"/>
            <w:vAlign w:val="bottom"/>
            <w:gridSpan w:val="3"/>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1,144</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1,882</w:t>
            </w:r>
          </w:p>
        </w:tc>
        <w:tc>
          <w:tcPr>
            <w:tcW w:w="1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spacing w:after="0" w:line="202" w:lineRule="exact"/>
              <w:rPr>
                <w:sz w:val="20"/>
                <w:szCs w:val="20"/>
                <w:color w:val="auto"/>
              </w:rPr>
            </w:pPr>
            <w:r>
              <w:rPr>
                <w:rFonts w:ascii="Arial" w:cs="Arial" w:eastAsia="Arial" w:hAnsi="Arial"/>
                <w:sz w:val="18"/>
                <w:szCs w:val="18"/>
                <w:color w:val="auto"/>
              </w:rPr>
              <w:t>2,516</w:t>
            </w: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1"/>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2,980</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3,742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allocation of the purchase price to goodwill was completed as of December 31, 2022. The major classes of assets and liabilities to which we have allocated the purchase price were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465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4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520" w:type="dxa"/>
            <w:vAlign w:val="bottom"/>
            <w:shd w:val="clear" w:color="auto" w:fill="E5E5E5"/>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rPr>
                <w:sz w:val="20"/>
                <w:szCs w:val="20"/>
                <w:color w:val="auto"/>
              </w:rPr>
            </w:pPr>
            <w:r>
              <w:rPr>
                <w:rFonts w:ascii="Arial" w:cs="Arial" w:eastAsia="Arial" w:hAnsi="Arial"/>
                <w:sz w:val="18"/>
                <w:szCs w:val="18"/>
                <w:color w:val="auto"/>
              </w:rPr>
              <w:t>16,326</w:t>
            </w:r>
          </w:p>
        </w:tc>
      </w:tr>
      <w:tr>
        <w:trPr>
          <w:trHeight w:val="203"/>
        </w:trPr>
        <w:tc>
          <w:tcPr>
            <w:tcW w:w="96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4,365</w:t>
            </w:r>
          </w:p>
        </w:tc>
      </w:tr>
      <w:tr>
        <w:trPr>
          <w:trHeight w:val="203"/>
        </w:trPr>
        <w:tc>
          <w:tcPr>
            <w:tcW w:w="9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assets</w:t>
            </w:r>
          </w:p>
        </w:tc>
        <w:tc>
          <w:tcPr>
            <w:tcW w:w="52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42</w:t>
            </w:r>
          </w:p>
        </w:tc>
      </w:tr>
      <w:tr>
        <w:trPr>
          <w:trHeight w:val="239"/>
        </w:trPr>
        <w:tc>
          <w:tcPr>
            <w:tcW w:w="9640" w:type="dxa"/>
            <w:vAlign w:val="bottom"/>
          </w:tcPr>
          <w:p>
            <w:pPr>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15"/>
                <w:szCs w:val="15"/>
                <w:color w:val="auto"/>
              </w:rPr>
              <w:t>(b)</w:t>
            </w:r>
          </w:p>
        </w:tc>
        <w:tc>
          <w:tcPr>
            <w:tcW w:w="5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(1,972)</w:t>
            </w:r>
          </w:p>
        </w:tc>
      </w:tr>
      <w:tr>
        <w:trPr>
          <w:trHeight w:val="31"/>
        </w:trPr>
        <w:tc>
          <w:tcPr>
            <w:tcW w:w="9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61"/>
        </w:trPr>
        <w:tc>
          <w:tcPr>
            <w:tcW w:w="9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3"/>
        </w:trPr>
        <w:tc>
          <w:tcPr>
            <w:tcW w:w="96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18,761</w:t>
            </w:r>
          </w:p>
        </w:tc>
      </w:tr>
      <w:tr>
        <w:trPr>
          <w:trHeight w:val="74"/>
        </w:trPr>
        <w:tc>
          <w:tcPr>
            <w:tcW w:w="96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64" w:lineRule="exact"/>
        <w:rPr>
          <w:sz w:val="20"/>
          <w:szCs w:val="20"/>
          <w:color w:val="auto"/>
        </w:rPr>
      </w:pPr>
    </w:p>
    <w:p>
      <w:pPr>
        <w:ind w:left="540" w:right="20" w:hanging="532"/>
        <w:spacing w:after="0" w:line="24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Goodwill was assigned to our Intelligent Cloud segment and was primarily attributed to increased synergies that are expected to be achieved from the integration of Nuance. None of the goodwill is expected to be deductible for income tax purposes</w:t>
      </w:r>
      <w:r>
        <w:rPr>
          <w:rFonts w:ascii="Arial" w:cs="Arial" w:eastAsia="Arial" w:hAnsi="Arial"/>
          <w:sz w:val="18"/>
          <w:szCs w:val="18"/>
          <w:color w:val="auto"/>
        </w:rPr>
        <w:t>.</w:t>
      </w: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Includes $986 million of convertible senior notes issued by Nuance in 2015 and 2017, substantially all of which have been redeemed.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average life)</w:t>
            </w:r>
          </w:p>
        </w:tc>
        <w:tc>
          <w:tcPr>
            <w:tcW w:w="5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0" w:type="dxa"/>
            <w:vAlign w:val="bottom"/>
            <w:gridSpan w:val="2"/>
          </w:tcPr>
          <w:p>
            <w:pPr>
              <w:jc w:val="center"/>
              <w:ind w:left="878"/>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0" w:type="dxa"/>
            <w:vAlign w:val="bottom"/>
            <w:gridSpan w:val="2"/>
          </w:tcPr>
          <w:p>
            <w:pPr>
              <w:ind w:left="88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45"/>
        </w:trPr>
        <w:tc>
          <w:tcPr>
            <w:tcW w:w="7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7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5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2,610</w:t>
            </w:r>
          </w:p>
        </w:tc>
        <w:tc>
          <w:tcPr>
            <w:tcW w:w="1800" w:type="dxa"/>
            <w:vAlign w:val="bottom"/>
            <w:gridSpan w:val="2"/>
            <w:shd w:val="clear" w:color="auto" w:fill="E5E5E5"/>
          </w:tcPr>
          <w:p>
            <w:pPr>
              <w:jc w:val="center"/>
              <w:ind w:left="918"/>
              <w:spacing w:after="0" w:line="202" w:lineRule="exact"/>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1,540</w:t>
            </w:r>
          </w:p>
        </w:tc>
        <w:tc>
          <w:tcPr>
            <w:tcW w:w="1800" w:type="dxa"/>
            <w:vAlign w:val="bottom"/>
            <w:gridSpan w:val="2"/>
          </w:tcPr>
          <w:p>
            <w:pPr>
              <w:jc w:val="center"/>
              <w:ind w:left="918"/>
              <w:spacing w:after="0" w:line="202"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3"/>
        </w:trPr>
        <w:tc>
          <w:tcPr>
            <w:tcW w:w="7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Marketing-related</w:t>
            </w:r>
          </w:p>
        </w:tc>
        <w:tc>
          <w:tcPr>
            <w:tcW w:w="56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215</w:t>
            </w:r>
          </w:p>
        </w:tc>
        <w:tc>
          <w:tcPr>
            <w:tcW w:w="1800" w:type="dxa"/>
            <w:vAlign w:val="bottom"/>
            <w:gridSpan w:val="2"/>
            <w:shd w:val="clear" w:color="auto" w:fill="E5E5E5"/>
          </w:tcPr>
          <w:p>
            <w:pPr>
              <w:jc w:val="center"/>
              <w:ind w:left="918"/>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68"/>
        </w:trPr>
        <w:tc>
          <w:tcPr>
            <w:tcW w:w="79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4,365</w:t>
            </w:r>
          </w:p>
        </w:tc>
        <w:tc>
          <w:tcPr>
            <w:tcW w:w="1800" w:type="dxa"/>
            <w:vAlign w:val="bottom"/>
            <w:gridSpan w:val="2"/>
          </w:tcPr>
          <w:p>
            <w:pPr>
              <w:jc w:val="center"/>
              <w:ind w:left="918"/>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70"/>
        </w:trPr>
        <w:tc>
          <w:tcPr>
            <w:tcW w:w="79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Activision Blizzard is a leader in game development and an interactive entertainment content publisher. The acquisition will accelerate the growth in our gaming business across mobile, PC, console, and cloud gaming. The acquisition has been approved by Activision Blizzard’s shareholders. We are continuing to engage with regulators reviewing the transaction and are working toward closing it in fiscal year 2023, subject to obtaining required regulatory approvals and satisfaction of other customary closing conditions.</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4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2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17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24,811</w:t>
            </w:r>
          </w:p>
        </w:tc>
        <w:tc>
          <w:tcPr>
            <w:tcW w:w="3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24,807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30,182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183</w:t>
            </w:r>
          </w:p>
        </w:tc>
        <w:tc>
          <w:tcPr>
            <w:tcW w:w="4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87</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12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12,531</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4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12,646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67,524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187</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67,905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Net</w:t>
            </w:r>
          </w:p>
        </w:tc>
        <w:tc>
          <w:tcPr>
            <w:tcW w:w="38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3"/>
                <w:szCs w:val="13"/>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Accumulated</w:t>
            </w:r>
          </w:p>
        </w:tc>
        <w:tc>
          <w:tcPr>
            <w:tcW w:w="42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3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86"/>
        </w:trPr>
        <w:tc>
          <w:tcPr>
            <w:tcW w:w="20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Amortization</w:t>
            </w: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44"/>
        </w:trPr>
        <w:tc>
          <w:tcPr>
            <w:tcW w:w="2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Technology-based</w:t>
            </w:r>
          </w:p>
        </w:tc>
        <w:tc>
          <w:tcPr>
            <w:tcW w:w="9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11,093</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(7,073)</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4,020</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11,277</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(6,958)</w:t>
            </w:r>
          </w:p>
        </w:tc>
        <w:tc>
          <w:tcPr>
            <w:tcW w:w="42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4,319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line="202" w:lineRule="exact"/>
              <w:rPr>
                <w:sz w:val="20"/>
                <w:szCs w:val="20"/>
                <w:color w:val="auto"/>
              </w:rPr>
            </w:pPr>
            <w:r>
              <w:rPr>
                <w:rFonts w:ascii="Arial" w:cs="Arial" w:eastAsia="Arial" w:hAnsi="Arial"/>
                <w:sz w:val="18"/>
                <w:szCs w:val="18"/>
                <w:color w:val="auto"/>
              </w:rPr>
              <w:t>Customer-related</w:t>
            </w: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7,352</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(3,646)</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3,706</w:t>
            </w:r>
          </w:p>
        </w:tc>
        <w:tc>
          <w:tcPr>
            <w:tcW w:w="38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7,342</w:t>
            </w:r>
          </w:p>
        </w:tc>
        <w:tc>
          <w:tcPr>
            <w:tcW w:w="240" w:type="dxa"/>
            <w:vAlign w:val="bottom"/>
          </w:tcPr>
          <w:p>
            <w:pPr>
              <w:spacing w:after="0"/>
              <w:rPr>
                <w:sz w:val="17"/>
                <w:szCs w:val="17"/>
                <w:color w:val="auto"/>
              </w:rPr>
            </w:pP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(3,171)</w:t>
            </w: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Marketing-related</w:t>
            </w:r>
          </w:p>
        </w:tc>
        <w:tc>
          <w:tcPr>
            <w:tcW w:w="5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4,942</w:t>
            </w:r>
          </w:p>
        </w:tc>
        <w:tc>
          <w:tcPr>
            <w:tcW w:w="26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(2,324)</w:t>
            </w:r>
          </w:p>
        </w:tc>
        <w:tc>
          <w:tcPr>
            <w:tcW w:w="22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2,618</w:t>
            </w:r>
          </w:p>
        </w:tc>
        <w:tc>
          <w:tcPr>
            <w:tcW w:w="3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4,942</w:t>
            </w:r>
          </w:p>
        </w:tc>
        <w:tc>
          <w:tcPr>
            <w:tcW w:w="2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(2,143)</w:t>
            </w:r>
          </w:p>
        </w:tc>
        <w:tc>
          <w:tcPr>
            <w:tcW w:w="4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2,799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40" w:type="dxa"/>
            <w:vAlign w:val="bottom"/>
          </w:tcPr>
          <w:p>
            <w:pPr>
              <w:spacing w:after="0"/>
              <w:rPr>
                <w:sz w:val="20"/>
                <w:szCs w:val="20"/>
                <w:color w:val="auto"/>
              </w:rPr>
            </w:pPr>
            <w:r>
              <w:rPr>
                <w:rFonts w:ascii="Arial" w:cs="Arial" w:eastAsia="Arial" w:hAnsi="Arial"/>
                <w:sz w:val="18"/>
                <w:szCs w:val="18"/>
                <w:color w:val="auto"/>
              </w:rPr>
              <w:t>Contract-based</w:t>
            </w: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E5E5E5"/>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23,408</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(13,054)</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10,354</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23,577</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(12,279)</w:t>
            </w:r>
          </w:p>
        </w:tc>
        <w:tc>
          <w:tcPr>
            <w:tcW w:w="42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11,298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Intangible assets amortization expense was $632 million and $ 1.3 billion for the three and six months ended December 31, 2022, respectively, and $446 million and $885 million for the three and six months ended December 31,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5140" w:type="dxa"/>
            <w:vAlign w:val="bottom"/>
          </w:tcPr>
          <w:p>
            <w:pPr>
              <w:spacing w:after="0"/>
              <w:rPr>
                <w:sz w:val="3"/>
                <w:szCs w:val="3"/>
                <w:color w:val="auto"/>
              </w:rPr>
            </w:pPr>
          </w:p>
        </w:tc>
        <w:tc>
          <w:tcPr>
            <w:tcW w:w="4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2023 (excluding the six months ended December 31, 2022)</w:t>
            </w:r>
          </w:p>
        </w:tc>
        <w:tc>
          <w:tcPr>
            <w:tcW w:w="51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2,377</w:t>
            </w: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2025</w:t>
            </w:r>
          </w:p>
        </w:tc>
        <w:tc>
          <w:tcPr>
            <w:tcW w:w="47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1,826</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1,309</w:t>
            </w: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2027</w:t>
            </w:r>
          </w:p>
        </w:tc>
        <w:tc>
          <w:tcPr>
            <w:tcW w:w="47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874</w:t>
            </w:r>
          </w:p>
        </w:tc>
        <w:tc>
          <w:tcPr>
            <w:tcW w:w="0" w:type="dxa"/>
            <w:vAlign w:val="bottom"/>
          </w:tcPr>
          <w:p>
            <w:pPr>
              <w:spacing w:after="0"/>
              <w:rPr>
                <w:sz w:val="1"/>
                <w:szCs w:val="1"/>
                <w:color w:val="auto"/>
              </w:rPr>
            </w:pPr>
          </w:p>
        </w:tc>
      </w:tr>
      <w:tr>
        <w:trPr>
          <w:trHeight w:val="247"/>
        </w:trPr>
        <w:tc>
          <w:tcPr>
            <w:tcW w:w="5140" w:type="dxa"/>
            <w:vAlign w:val="bottom"/>
          </w:tcPr>
          <w:p>
            <w:pPr>
              <w:spacing w:after="0"/>
              <w:rPr>
                <w:sz w:val="20"/>
                <w:szCs w:val="20"/>
                <w:color w:val="auto"/>
              </w:rPr>
            </w:pPr>
            <w:r>
              <w:rPr>
                <w:rFonts w:ascii="Arial" w:cs="Arial" w:eastAsia="Arial" w:hAnsi="Arial"/>
                <w:sz w:val="18"/>
                <w:szCs w:val="18"/>
                <w:color w:val="auto"/>
              </w:rPr>
              <w:t>Thereafter</w:t>
            </w:r>
          </w:p>
        </w:tc>
        <w:tc>
          <w:tcPr>
            <w:tcW w:w="4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2,712</w:t>
            </w:r>
          </w:p>
        </w:tc>
        <w:tc>
          <w:tcPr>
            <w:tcW w:w="0" w:type="dxa"/>
            <w:vAlign w:val="bottom"/>
          </w:tcPr>
          <w:p>
            <w:pPr>
              <w:spacing w:after="0"/>
              <w:rPr>
                <w:sz w:val="1"/>
                <w:szCs w:val="1"/>
                <w:color w:val="auto"/>
              </w:rPr>
            </w:pPr>
          </w:p>
        </w:tc>
      </w:tr>
      <w:tr>
        <w:trPr>
          <w:trHeight w:val="37"/>
        </w:trPr>
        <w:tc>
          <w:tcPr>
            <w:tcW w:w="514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140" w:type="dxa"/>
            <w:vAlign w:val="bottom"/>
          </w:tcPr>
          <w:p>
            <w:pPr>
              <w:spacing w:after="0"/>
              <w:rPr>
                <w:sz w:val="6"/>
                <w:szCs w:val="6"/>
                <w:color w:val="auto"/>
              </w:rPr>
            </w:pPr>
          </w:p>
        </w:tc>
        <w:tc>
          <w:tcPr>
            <w:tcW w:w="4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1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10,354</w:t>
            </w:r>
          </w:p>
        </w:tc>
        <w:tc>
          <w:tcPr>
            <w:tcW w:w="0" w:type="dxa"/>
            <w:vAlign w:val="bottom"/>
          </w:tcPr>
          <w:p>
            <w:pPr>
              <w:spacing w:after="0"/>
              <w:rPr>
                <w:sz w:val="1"/>
                <w:szCs w:val="1"/>
                <w:color w:val="auto"/>
              </w:rPr>
            </w:pPr>
          </w:p>
        </w:tc>
      </w:tr>
      <w:tr>
        <w:trPr>
          <w:trHeight w:val="75"/>
        </w:trPr>
        <w:tc>
          <w:tcPr>
            <w:tcW w:w="5140" w:type="dxa"/>
            <w:vAlign w:val="bottom"/>
          </w:tcPr>
          <w:p>
            <w:pPr>
              <w:spacing w:after="0"/>
              <w:rPr>
                <w:sz w:val="6"/>
                <w:szCs w:val="6"/>
                <w:color w:val="auto"/>
              </w:rPr>
            </w:pPr>
          </w:p>
        </w:tc>
        <w:tc>
          <w:tcPr>
            <w:tcW w:w="4760" w:type="dxa"/>
            <w:vAlign w:val="bottom"/>
            <w:vMerge w:val="restart"/>
          </w:tcPr>
          <w:p>
            <w:pPr>
              <w:jc w:val="right"/>
              <w:ind w:right="4116"/>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0"/>
        </w:trPr>
        <w:tc>
          <w:tcPr>
            <w:tcW w:w="514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14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760" w:type="dxa"/>
            <w:vAlign w:val="bottom"/>
          </w:tcPr>
          <w:p>
            <w:pPr>
              <w:jc w:val="right"/>
              <w:ind w:right="493"/>
              <w:spacing w:after="0"/>
              <w:rPr>
                <w:sz w:val="20"/>
                <w:szCs w:val="20"/>
                <w:color w:val="auto"/>
              </w:rPr>
            </w:pPr>
            <w:r>
              <w:rPr>
                <w:rFonts w:ascii="Arial" w:cs="Arial" w:eastAsia="Arial" w:hAnsi="Arial"/>
                <w:sz w:val="13"/>
                <w:szCs w:val="13"/>
                <w:b w:val="1"/>
                <w:bCs w:val="1"/>
                <w:color w:val="auto"/>
              </w:rPr>
              <w:t>Maturities</w:t>
            </w:r>
          </w:p>
        </w:tc>
        <w:tc>
          <w:tcPr>
            <w:tcW w:w="1880" w:type="dxa"/>
            <w:vAlign w:val="bottom"/>
          </w:tcPr>
          <w:p>
            <w:pPr>
              <w:jc w:val="right"/>
              <w:ind w:right="413"/>
              <w:spacing w:after="0"/>
              <w:rPr>
                <w:sz w:val="20"/>
                <w:szCs w:val="20"/>
                <w:color w:val="auto"/>
              </w:rPr>
            </w:pPr>
            <w:r>
              <w:rPr>
                <w:rFonts w:ascii="Arial" w:cs="Arial" w:eastAsia="Arial" w:hAnsi="Arial"/>
                <w:sz w:val="13"/>
                <w:szCs w:val="13"/>
                <w:b w:val="1"/>
                <w:bCs w:val="1"/>
                <w:color w:val="auto"/>
              </w:rPr>
              <w:t>Stated Interest</w:t>
            </w:r>
          </w:p>
        </w:tc>
        <w:tc>
          <w:tcPr>
            <w:tcW w:w="1700" w:type="dxa"/>
            <w:vAlign w:val="bottom"/>
          </w:tcPr>
          <w:p>
            <w:pPr>
              <w:jc w:val="right"/>
              <w:ind w:right="173"/>
              <w:spacing w:after="0"/>
              <w:rPr>
                <w:sz w:val="20"/>
                <w:szCs w:val="20"/>
                <w:color w:val="auto"/>
              </w:rPr>
            </w:pPr>
            <w:r>
              <w:rPr>
                <w:rFonts w:ascii="Arial" w:cs="Arial" w:eastAsia="Arial" w:hAnsi="Arial"/>
                <w:sz w:val="13"/>
                <w:szCs w:val="13"/>
                <w:b w:val="1"/>
                <w:bCs w:val="1"/>
                <w:color w:val="auto"/>
              </w:rPr>
              <w:t>Effective Interest</w:t>
            </w:r>
          </w:p>
        </w:tc>
        <w:tc>
          <w:tcPr>
            <w:tcW w:w="420" w:type="dxa"/>
            <w:vAlign w:val="bottom"/>
          </w:tcPr>
          <w:p>
            <w:pPr>
              <w:spacing w:after="0"/>
              <w:rPr>
                <w:sz w:val="13"/>
                <w:szCs w:val="1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3260" w:type="dxa"/>
            <w:vAlign w:val="bottom"/>
            <w:vMerge w:val="continue"/>
          </w:tcPr>
          <w:p>
            <w:pPr>
              <w:spacing w:after="0"/>
              <w:rPr>
                <w:sz w:val="16"/>
                <w:szCs w:val="16"/>
                <w:color w:val="auto"/>
              </w:rPr>
            </w:pPr>
          </w:p>
        </w:tc>
        <w:tc>
          <w:tcPr>
            <w:tcW w:w="1760" w:type="dxa"/>
            <w:vAlign w:val="bottom"/>
          </w:tcPr>
          <w:p>
            <w:pPr>
              <w:jc w:val="right"/>
              <w:ind w:right="333"/>
              <w:spacing w:after="0"/>
              <w:rPr>
                <w:sz w:val="20"/>
                <w:szCs w:val="20"/>
                <w:color w:val="auto"/>
              </w:rPr>
            </w:pPr>
            <w:r>
              <w:rPr>
                <w:rFonts w:ascii="Arial" w:cs="Arial" w:eastAsia="Arial" w:hAnsi="Arial"/>
                <w:sz w:val="13"/>
                <w:szCs w:val="13"/>
                <w:b w:val="1"/>
                <w:bCs w:val="1"/>
                <w:color w:val="auto"/>
              </w:rPr>
              <w:t>(calendar year)</w:t>
            </w:r>
          </w:p>
        </w:tc>
        <w:tc>
          <w:tcPr>
            <w:tcW w:w="1880" w:type="dxa"/>
            <w:vAlign w:val="bottom"/>
          </w:tcPr>
          <w:p>
            <w:pPr>
              <w:jc w:val="right"/>
              <w:ind w:right="733"/>
              <w:spacing w:after="0"/>
              <w:rPr>
                <w:sz w:val="20"/>
                <w:szCs w:val="20"/>
                <w:color w:val="auto"/>
              </w:rPr>
            </w:pPr>
            <w:r>
              <w:rPr>
                <w:rFonts w:ascii="Arial" w:cs="Arial" w:eastAsia="Arial" w:hAnsi="Arial"/>
                <w:sz w:val="13"/>
                <w:szCs w:val="13"/>
                <w:b w:val="1"/>
                <w:bCs w:val="1"/>
                <w:color w:val="auto"/>
              </w:rPr>
              <w:t>Rate</w:t>
            </w:r>
          </w:p>
        </w:tc>
        <w:tc>
          <w:tcPr>
            <w:tcW w:w="1700" w:type="dxa"/>
            <w:vAlign w:val="bottom"/>
          </w:tcPr>
          <w:p>
            <w:pPr>
              <w:jc w:val="right"/>
              <w:ind w:right="553"/>
              <w:spacing w:after="0"/>
              <w:rPr>
                <w:sz w:val="20"/>
                <w:szCs w:val="20"/>
                <w:color w:val="auto"/>
              </w:rPr>
            </w:pPr>
            <w:r>
              <w:rPr>
                <w:rFonts w:ascii="Arial" w:cs="Arial" w:eastAsia="Arial" w:hAnsi="Arial"/>
                <w:sz w:val="13"/>
                <w:szCs w:val="13"/>
                <w:b w:val="1"/>
                <w:bCs w:val="1"/>
                <w:color w:val="auto"/>
              </w:rPr>
              <w:t>Rate</w:t>
            </w:r>
          </w:p>
        </w:tc>
        <w:tc>
          <w:tcPr>
            <w:tcW w:w="4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45"/>
        </w:trPr>
        <w:tc>
          <w:tcPr>
            <w:tcW w:w="32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 issuance of $3.8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2039</w:t>
            </w:r>
          </w:p>
        </w:tc>
        <w:tc>
          <w:tcPr>
            <w:tcW w:w="188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5.20%</w:t>
            </w:r>
          </w:p>
        </w:tc>
        <w:tc>
          <w:tcPr>
            <w:tcW w:w="170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5.24%</w:t>
            </w:r>
          </w:p>
        </w:tc>
        <w:tc>
          <w:tcPr>
            <w:tcW w:w="4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520</w:t>
            </w:r>
          </w:p>
        </w:tc>
        <w:tc>
          <w:tcPr>
            <w:tcW w:w="3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2010 issuance of $4.8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2040</w:t>
            </w:r>
          </w:p>
        </w:tc>
        <w:tc>
          <w:tcPr>
            <w:tcW w:w="188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4.50%</w:t>
            </w:r>
          </w:p>
        </w:tc>
        <w:tc>
          <w:tcPr>
            <w:tcW w:w="17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4.57%</w:t>
            </w:r>
          </w:p>
        </w:tc>
        <w:tc>
          <w:tcPr>
            <w:tcW w:w="4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486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 issuance of $2.3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2041</w:t>
            </w:r>
          </w:p>
        </w:tc>
        <w:tc>
          <w:tcPr>
            <w:tcW w:w="188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5.30%</w:t>
            </w:r>
          </w:p>
        </w:tc>
        <w:tc>
          <w:tcPr>
            <w:tcW w:w="170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5.36%</w:t>
            </w: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718</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2012 issuance of $2.3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2022–2042</w:t>
            </w:r>
          </w:p>
        </w:tc>
        <w:tc>
          <w:tcPr>
            <w:tcW w:w="188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2.13%–3.50%</w:t>
            </w:r>
          </w:p>
        </w:tc>
        <w:tc>
          <w:tcPr>
            <w:tcW w:w="17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2.24%–3.57%</w:t>
            </w:r>
          </w:p>
        </w:tc>
        <w:tc>
          <w:tcPr>
            <w:tcW w:w="4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 issuance of $5.2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2023–2043</w:t>
            </w:r>
          </w:p>
        </w:tc>
        <w:tc>
          <w:tcPr>
            <w:tcW w:w="188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2.38%–4.88%</w:t>
            </w:r>
          </w:p>
        </w:tc>
        <w:tc>
          <w:tcPr>
            <w:tcW w:w="170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2.47%–4.92%</w:t>
            </w: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2,814</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2013 issuance of €4.1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2028–2033</w:t>
            </w:r>
          </w:p>
        </w:tc>
        <w:tc>
          <w:tcPr>
            <w:tcW w:w="188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2.63%–3.13%</w:t>
            </w:r>
          </w:p>
        </w:tc>
        <w:tc>
          <w:tcPr>
            <w:tcW w:w="17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2.69%–3.22%</w:t>
            </w:r>
          </w:p>
        </w:tc>
        <w:tc>
          <w:tcPr>
            <w:tcW w:w="4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2,455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 issuance of $23.8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2025–2055</w:t>
            </w:r>
          </w:p>
        </w:tc>
        <w:tc>
          <w:tcPr>
            <w:tcW w:w="188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2.70%–4.75%</w:t>
            </w:r>
          </w:p>
        </w:tc>
        <w:tc>
          <w:tcPr>
            <w:tcW w:w="170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2.77%–4.78%</w:t>
            </w: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9,805</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2016 issuance of $19.8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2023–2056</w:t>
            </w:r>
          </w:p>
        </w:tc>
        <w:tc>
          <w:tcPr>
            <w:tcW w:w="188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2.00%–3.95%</w:t>
            </w:r>
          </w:p>
        </w:tc>
        <w:tc>
          <w:tcPr>
            <w:tcW w:w="17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2.10%–4.03%</w:t>
            </w:r>
          </w:p>
        </w:tc>
        <w:tc>
          <w:tcPr>
            <w:tcW w:w="4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9,430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2017 issuance of $17.0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2024–2057</w:t>
            </w:r>
          </w:p>
        </w:tc>
        <w:tc>
          <w:tcPr>
            <w:tcW w:w="188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2.88%–4.50%</w:t>
            </w:r>
          </w:p>
        </w:tc>
        <w:tc>
          <w:tcPr>
            <w:tcW w:w="170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3.04%–4.53%</w:t>
            </w: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8,945</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2020 issuance of $10.0 billion</w:t>
            </w:r>
          </w:p>
        </w:tc>
        <w:tc>
          <w:tcPr>
            <w:tcW w:w="1760" w:type="dxa"/>
            <w:vAlign w:val="bottom"/>
          </w:tcPr>
          <w:p>
            <w:pPr>
              <w:jc w:val="right"/>
              <w:ind w:right="293"/>
              <w:spacing w:after="0" w:line="202" w:lineRule="exact"/>
              <w:rPr>
                <w:sz w:val="20"/>
                <w:szCs w:val="20"/>
                <w:color w:val="auto"/>
              </w:rPr>
            </w:pPr>
            <w:r>
              <w:rPr>
                <w:rFonts w:ascii="Arial" w:cs="Arial" w:eastAsia="Arial" w:hAnsi="Arial"/>
                <w:sz w:val="18"/>
                <w:szCs w:val="18"/>
                <w:b w:val="1"/>
                <w:bCs w:val="1"/>
                <w:color w:val="auto"/>
              </w:rPr>
              <w:t>2050–2060</w:t>
            </w:r>
          </w:p>
        </w:tc>
        <w:tc>
          <w:tcPr>
            <w:tcW w:w="1880" w:type="dxa"/>
            <w:vAlign w:val="bottom"/>
          </w:tcPr>
          <w:p>
            <w:pPr>
              <w:jc w:val="right"/>
              <w:ind w:right="253"/>
              <w:spacing w:after="0" w:line="202" w:lineRule="exact"/>
              <w:rPr>
                <w:sz w:val="20"/>
                <w:szCs w:val="20"/>
                <w:color w:val="auto"/>
              </w:rPr>
            </w:pPr>
            <w:r>
              <w:rPr>
                <w:rFonts w:ascii="Arial" w:cs="Arial" w:eastAsia="Arial" w:hAnsi="Arial"/>
                <w:sz w:val="18"/>
                <w:szCs w:val="18"/>
                <w:b w:val="1"/>
                <w:bCs w:val="1"/>
                <w:color w:val="auto"/>
              </w:rPr>
              <w:t>2.53%–2.68%</w:t>
            </w:r>
          </w:p>
        </w:tc>
        <w:tc>
          <w:tcPr>
            <w:tcW w:w="170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2.53%–2.68%</w:t>
            </w:r>
          </w:p>
        </w:tc>
        <w:tc>
          <w:tcPr>
            <w:tcW w:w="42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2021 issuance of $8.2 billion</w:t>
            </w:r>
          </w:p>
        </w:tc>
        <w:tc>
          <w:tcPr>
            <w:tcW w:w="1760" w:type="dxa"/>
            <w:vAlign w:val="bottom"/>
            <w:shd w:val="clear" w:color="auto" w:fill="E5E5E5"/>
          </w:tcPr>
          <w:p>
            <w:pPr>
              <w:jc w:val="right"/>
              <w:ind w:right="293"/>
              <w:spacing w:after="0" w:line="202" w:lineRule="exact"/>
              <w:rPr>
                <w:sz w:val="20"/>
                <w:szCs w:val="20"/>
                <w:color w:val="auto"/>
              </w:rPr>
            </w:pPr>
            <w:r>
              <w:rPr>
                <w:rFonts w:ascii="Arial" w:cs="Arial" w:eastAsia="Arial" w:hAnsi="Arial"/>
                <w:sz w:val="18"/>
                <w:szCs w:val="18"/>
                <w:b w:val="1"/>
                <w:bCs w:val="1"/>
                <w:color w:val="auto"/>
              </w:rPr>
              <w:t>2052–2062</w:t>
            </w:r>
          </w:p>
        </w:tc>
        <w:tc>
          <w:tcPr>
            <w:tcW w:w="1880" w:type="dxa"/>
            <w:vAlign w:val="bottom"/>
            <w:shd w:val="clear" w:color="auto" w:fill="E5E5E5"/>
          </w:tcPr>
          <w:p>
            <w:pPr>
              <w:jc w:val="right"/>
              <w:ind w:right="253"/>
              <w:spacing w:after="0" w:line="202" w:lineRule="exact"/>
              <w:rPr>
                <w:sz w:val="20"/>
                <w:szCs w:val="20"/>
                <w:color w:val="auto"/>
              </w:rPr>
            </w:pPr>
            <w:r>
              <w:rPr>
                <w:rFonts w:ascii="Arial" w:cs="Arial" w:eastAsia="Arial" w:hAnsi="Arial"/>
                <w:sz w:val="18"/>
                <w:szCs w:val="18"/>
                <w:b w:val="1"/>
                <w:bCs w:val="1"/>
                <w:color w:val="auto"/>
              </w:rPr>
              <w:t>2.92%–3.04%</w:t>
            </w:r>
          </w:p>
        </w:tc>
        <w:tc>
          <w:tcPr>
            <w:tcW w:w="170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2.92%–3.04%</w:t>
            </w: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8,185</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68"/>
        </w:trPr>
        <w:tc>
          <w:tcPr>
            <w:tcW w:w="32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26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7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53,812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55,511</w:t>
            </w:r>
          </w:p>
        </w:tc>
        <w:tc>
          <w:tcPr>
            <w:tcW w:w="0" w:type="dxa"/>
            <w:vAlign w:val="bottom"/>
          </w:tcPr>
          <w:p>
            <w:pPr>
              <w:spacing w:after="0"/>
              <w:rPr>
                <w:sz w:val="1"/>
                <w:szCs w:val="1"/>
                <w:color w:val="auto"/>
              </w:rPr>
            </w:pPr>
          </w:p>
        </w:tc>
      </w:tr>
      <w:tr>
        <w:trPr>
          <w:trHeight w:val="170"/>
        </w:trPr>
        <w:tc>
          <w:tcPr>
            <w:tcW w:w="326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Unamortized discount and issuance</w:t>
            </w:r>
          </w:p>
        </w:tc>
        <w:tc>
          <w:tcPr>
            <w:tcW w:w="1760" w:type="dxa"/>
            <w:vAlign w:val="bottom"/>
            <w:shd w:val="clear" w:color="auto" w:fill="E5E5E5"/>
          </w:tcPr>
          <w:p>
            <w:pPr>
              <w:spacing w:after="0"/>
              <w:rPr>
                <w:sz w:val="14"/>
                <w:szCs w:val="14"/>
                <w:color w:val="auto"/>
              </w:rPr>
            </w:pPr>
          </w:p>
        </w:tc>
        <w:tc>
          <w:tcPr>
            <w:tcW w:w="1880" w:type="dxa"/>
            <w:vAlign w:val="bottom"/>
            <w:shd w:val="clear" w:color="auto" w:fill="E5E5E5"/>
          </w:tcPr>
          <w:p>
            <w:pPr>
              <w:spacing w:after="0"/>
              <w:rPr>
                <w:sz w:val="14"/>
                <w:szCs w:val="14"/>
                <w:color w:val="auto"/>
              </w:rPr>
            </w:pPr>
          </w:p>
        </w:tc>
        <w:tc>
          <w:tcPr>
            <w:tcW w:w="1700" w:type="dxa"/>
            <w:vAlign w:val="bottom"/>
            <w:shd w:val="clear" w:color="auto" w:fill="E5E5E5"/>
          </w:tcPr>
          <w:p>
            <w:pPr>
              <w:spacing w:after="0"/>
              <w:rPr>
                <w:sz w:val="14"/>
                <w:szCs w:val="14"/>
                <w:color w:val="auto"/>
              </w:rPr>
            </w:pPr>
          </w:p>
        </w:tc>
        <w:tc>
          <w:tcPr>
            <w:tcW w:w="42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80"/>
              <w:spacing w:after="0"/>
              <w:rPr>
                <w:sz w:val="20"/>
                <w:szCs w:val="20"/>
                <w:color w:val="auto"/>
              </w:rPr>
            </w:pPr>
            <w:r>
              <w:rPr>
                <w:rFonts w:ascii="Arial" w:cs="Arial" w:eastAsia="Arial" w:hAnsi="Arial"/>
                <w:sz w:val="18"/>
                <w:szCs w:val="18"/>
                <w:b w:val="1"/>
                <w:bCs w:val="1"/>
                <w:color w:val="auto"/>
              </w:rPr>
              <w:t>(455)</w:t>
            </w:r>
          </w:p>
        </w:tc>
        <w:tc>
          <w:tcPr>
            <w:tcW w:w="80" w:type="dxa"/>
            <w:vAlign w:val="bottom"/>
            <w:shd w:val="clear" w:color="auto" w:fill="E5E5E5"/>
          </w:tcPr>
          <w:p>
            <w:pPr>
              <w:spacing w:after="0"/>
              <w:rPr>
                <w:sz w:val="14"/>
                <w:szCs w:val="14"/>
                <w:color w:val="auto"/>
              </w:rPr>
            </w:pPr>
          </w:p>
        </w:tc>
        <w:tc>
          <w:tcPr>
            <w:tcW w:w="240" w:type="dxa"/>
            <w:vAlign w:val="bottom"/>
            <w:shd w:val="clear" w:color="auto" w:fill="E5E5E5"/>
          </w:tcPr>
          <w:p>
            <w:pPr>
              <w:spacing w:after="0"/>
              <w:rPr>
                <w:sz w:val="14"/>
                <w:szCs w:val="14"/>
                <w:color w:val="auto"/>
              </w:rPr>
            </w:pPr>
          </w:p>
        </w:tc>
        <w:tc>
          <w:tcPr>
            <w:tcW w:w="800" w:type="dxa"/>
            <w:vAlign w:val="bottom"/>
            <w:gridSpan w:val="2"/>
            <w:vMerge w:val="restart"/>
            <w:shd w:val="clear" w:color="auto" w:fill="E5E5E5"/>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1"/>
        </w:trPr>
        <w:tc>
          <w:tcPr>
            <w:tcW w:w="32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costs</w:t>
            </w:r>
          </w:p>
        </w:tc>
        <w:tc>
          <w:tcPr>
            <w:tcW w:w="1760" w:type="dxa"/>
            <w:vAlign w:val="bottom"/>
            <w:shd w:val="clear" w:color="auto" w:fill="E5E5E5"/>
          </w:tcPr>
          <w:p>
            <w:pPr>
              <w:spacing w:after="0"/>
              <w:rPr>
                <w:sz w:val="19"/>
                <w:szCs w:val="19"/>
                <w:color w:val="auto"/>
              </w:rPr>
            </w:pPr>
          </w:p>
        </w:tc>
        <w:tc>
          <w:tcPr>
            <w:tcW w:w="1880" w:type="dxa"/>
            <w:vAlign w:val="bottom"/>
            <w:shd w:val="clear" w:color="auto" w:fill="E5E5E5"/>
          </w:tcPr>
          <w:p>
            <w:pPr>
              <w:spacing w:after="0"/>
              <w:rPr>
                <w:sz w:val="19"/>
                <w:szCs w:val="19"/>
                <w:color w:val="auto"/>
              </w:rPr>
            </w:pPr>
          </w:p>
        </w:tc>
        <w:tc>
          <w:tcPr>
            <w:tcW w:w="170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80" w:type="dxa"/>
            <w:vAlign w:val="bottom"/>
            <w:shd w:val="clear" w:color="auto" w:fill="E5E5E5"/>
          </w:tcPr>
          <w:p>
            <w:pPr>
              <w:spacing w:after="0"/>
              <w:rPr>
                <w:sz w:val="19"/>
                <w:szCs w:val="19"/>
                <w:color w:val="auto"/>
              </w:rPr>
            </w:pPr>
          </w:p>
        </w:tc>
        <w:tc>
          <w:tcPr>
            <w:tcW w:w="240" w:type="dxa"/>
            <w:vAlign w:val="bottom"/>
            <w:shd w:val="clear" w:color="auto" w:fill="E5E5E5"/>
          </w:tcPr>
          <w:p>
            <w:pPr>
              <w:spacing w:after="0"/>
              <w:rPr>
                <w:sz w:val="19"/>
                <w:szCs w:val="19"/>
                <w:color w:val="auto"/>
              </w:rPr>
            </w:pPr>
          </w:p>
        </w:tc>
        <w:tc>
          <w:tcPr>
            <w:tcW w:w="8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(a)</w:t>
            </w:r>
          </w:p>
        </w:tc>
        <w:tc>
          <w:tcPr>
            <w:tcW w:w="17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Premium on debt exchange</w:t>
            </w:r>
          </w:p>
        </w:tc>
        <w:tc>
          <w:tcPr>
            <w:tcW w:w="1760" w:type="dxa"/>
            <w:vAlign w:val="bottom"/>
            <w:shd w:val="clear" w:color="auto" w:fill="E5E5E5"/>
          </w:tcPr>
          <w:p>
            <w:pPr>
              <w:spacing w:after="0"/>
              <w:rPr>
                <w:sz w:val="17"/>
                <w:szCs w:val="17"/>
                <w:color w:val="auto"/>
              </w:rPr>
            </w:pPr>
          </w:p>
        </w:tc>
        <w:tc>
          <w:tcPr>
            <w:tcW w:w="1880" w:type="dxa"/>
            <w:vAlign w:val="bottom"/>
            <w:shd w:val="clear" w:color="auto" w:fill="E5E5E5"/>
          </w:tcPr>
          <w:p>
            <w:pPr>
              <w:spacing w:after="0"/>
              <w:rPr>
                <w:sz w:val="17"/>
                <w:szCs w:val="17"/>
                <w:color w:val="auto"/>
              </w:rPr>
            </w:pPr>
          </w:p>
        </w:tc>
        <w:tc>
          <w:tcPr>
            <w:tcW w:w="17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(5,138)</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68"/>
        </w:trPr>
        <w:tc>
          <w:tcPr>
            <w:tcW w:w="32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26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7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48,116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49,781</w:t>
            </w: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760" w:type="dxa"/>
            <w:vAlign w:val="bottom"/>
            <w:shd w:val="clear" w:color="auto" w:fill="E5E5E5"/>
          </w:tcPr>
          <w:p>
            <w:pPr>
              <w:spacing w:after="0"/>
              <w:rPr>
                <w:sz w:val="17"/>
                <w:szCs w:val="17"/>
                <w:color w:val="auto"/>
              </w:rPr>
            </w:pPr>
          </w:p>
        </w:tc>
        <w:tc>
          <w:tcPr>
            <w:tcW w:w="1880" w:type="dxa"/>
            <w:vAlign w:val="bottom"/>
            <w:shd w:val="clear" w:color="auto" w:fill="E5E5E5"/>
          </w:tcPr>
          <w:p>
            <w:pPr>
              <w:spacing w:after="0"/>
              <w:rPr>
                <w:sz w:val="17"/>
                <w:szCs w:val="17"/>
                <w:color w:val="auto"/>
              </w:rPr>
            </w:pPr>
          </w:p>
        </w:tc>
        <w:tc>
          <w:tcPr>
            <w:tcW w:w="17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(3,997)</w:t>
            </w:r>
          </w:p>
        </w:tc>
        <w:tc>
          <w:tcPr>
            <w:tcW w:w="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68"/>
        </w:trPr>
        <w:tc>
          <w:tcPr>
            <w:tcW w:w="32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26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44,119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35560</wp:posOffset>
            </wp:positionV>
            <wp:extent cx="14655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17145"/>
                    </a:xfrm>
                    <a:prstGeom prst="rect">
                      <a:avLst/>
                    </a:prstGeom>
                    <a:noFill/>
                  </pic:spPr>
                </pic:pic>
              </a:graphicData>
            </a:graphic>
          </wp:anchor>
        </w:drawing>
      </w:r>
    </w:p>
    <w:p>
      <w:pPr>
        <w:spacing w:after="0" w:line="127" w:lineRule="exact"/>
        <w:rPr>
          <w:sz w:val="20"/>
          <w:szCs w:val="20"/>
          <w:color w:val="auto"/>
        </w:rPr>
      </w:pPr>
    </w:p>
    <w:p>
      <w:pPr>
        <w:ind w:left="540" w:hanging="487"/>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December 31, 2022 and June 30, 2022, the estimated fair value of long-term debt, including the current portion, was $46.4 billion and $50.9 billion, respectively. The estimated fair values are based on Level 2 inputs.</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140" w:type="dxa"/>
            <w:vAlign w:val="bottom"/>
          </w:tcPr>
          <w:p>
            <w:pPr>
              <w:spacing w:after="0"/>
              <w:rPr>
                <w:sz w:val="3"/>
                <w:szCs w:val="3"/>
                <w:color w:val="auto"/>
              </w:rPr>
            </w:pPr>
          </w:p>
        </w:tc>
        <w:tc>
          <w:tcPr>
            <w:tcW w:w="4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2023 (excluding the six months ended December 31, 2022)</w:t>
            </w:r>
          </w:p>
        </w:tc>
        <w:tc>
          <w:tcPr>
            <w:tcW w:w="50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5,250</w:t>
            </w: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2025</w:t>
            </w:r>
          </w:p>
        </w:tc>
        <w:tc>
          <w:tcPr>
            <w:tcW w:w="4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2,250</w:t>
            </w:r>
          </w:p>
        </w:tc>
        <w:tc>
          <w:tcPr>
            <w:tcW w:w="0" w:type="dxa"/>
            <w:vAlign w:val="bottom"/>
          </w:tcPr>
          <w:p>
            <w:pPr>
              <w:spacing w:after="0"/>
              <w:rPr>
                <w:sz w:val="1"/>
                <w:szCs w:val="1"/>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3,000</w:t>
            </w: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2027</w:t>
            </w:r>
          </w:p>
        </w:tc>
        <w:tc>
          <w:tcPr>
            <w:tcW w:w="4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8,000</w:t>
            </w:r>
          </w:p>
        </w:tc>
        <w:tc>
          <w:tcPr>
            <w:tcW w:w="0" w:type="dxa"/>
            <w:vAlign w:val="bottom"/>
          </w:tcPr>
          <w:p>
            <w:pPr>
              <w:spacing w:after="0"/>
              <w:rPr>
                <w:sz w:val="1"/>
                <w:szCs w:val="1"/>
                <w:color w:val="auto"/>
              </w:rPr>
            </w:pPr>
          </w:p>
        </w:tc>
      </w:tr>
      <w:tr>
        <w:trPr>
          <w:trHeight w:val="247"/>
        </w:trPr>
        <w:tc>
          <w:tcPr>
            <w:tcW w:w="514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34,312</w:t>
            </w:r>
          </w:p>
        </w:tc>
        <w:tc>
          <w:tcPr>
            <w:tcW w:w="0" w:type="dxa"/>
            <w:vAlign w:val="bottom"/>
          </w:tcPr>
          <w:p>
            <w:pPr>
              <w:spacing w:after="0"/>
              <w:rPr>
                <w:sz w:val="1"/>
                <w:szCs w:val="1"/>
                <w:color w:val="auto"/>
              </w:rPr>
            </w:pPr>
          </w:p>
        </w:tc>
      </w:tr>
      <w:tr>
        <w:trPr>
          <w:trHeight w:val="23"/>
        </w:trPr>
        <w:tc>
          <w:tcPr>
            <w:tcW w:w="51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140" w:type="dxa"/>
            <w:vAlign w:val="bottom"/>
          </w:tcPr>
          <w:p>
            <w:pPr>
              <w:spacing w:after="0"/>
              <w:rPr>
                <w:sz w:val="5"/>
                <w:szCs w:val="5"/>
                <w:color w:val="auto"/>
              </w:rPr>
            </w:pPr>
          </w:p>
        </w:tc>
        <w:tc>
          <w:tcPr>
            <w:tcW w:w="4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53,812</w:t>
            </w:r>
          </w:p>
        </w:tc>
        <w:tc>
          <w:tcPr>
            <w:tcW w:w="0" w:type="dxa"/>
            <w:vAlign w:val="bottom"/>
          </w:tcPr>
          <w:p>
            <w:pPr>
              <w:spacing w:after="0"/>
              <w:rPr>
                <w:sz w:val="1"/>
                <w:szCs w:val="1"/>
                <w:color w:val="auto"/>
              </w:rPr>
            </w:pPr>
          </w:p>
        </w:tc>
      </w:tr>
      <w:tr>
        <w:trPr>
          <w:trHeight w:val="75"/>
        </w:trPr>
        <w:tc>
          <w:tcPr>
            <w:tcW w:w="5140" w:type="dxa"/>
            <w:vAlign w:val="bottom"/>
          </w:tcPr>
          <w:p>
            <w:pPr>
              <w:spacing w:after="0"/>
              <w:rPr>
                <w:sz w:val="6"/>
                <w:szCs w:val="6"/>
                <w:color w:val="auto"/>
              </w:rPr>
            </w:pPr>
          </w:p>
        </w:tc>
        <w:tc>
          <w:tcPr>
            <w:tcW w:w="4640" w:type="dxa"/>
            <w:vAlign w:val="bottom"/>
            <w:vMerge w:val="restart"/>
          </w:tcPr>
          <w:p>
            <w:pPr>
              <w:jc w:val="right"/>
              <w:ind w:right="3996"/>
              <w:spacing w:after="0"/>
              <w:rPr>
                <w:sz w:val="20"/>
                <w:szCs w:val="20"/>
                <w:color w:val="auto"/>
              </w:rPr>
            </w:pPr>
            <w:r>
              <w:rPr>
                <w:rFonts w:ascii="Arial" w:cs="Arial" w:eastAsia="Arial" w:hAnsi="Arial"/>
                <w:sz w:val="14"/>
                <w:szCs w:val="14"/>
                <w:color w:val="auto"/>
              </w:rPr>
              <w:t>20</w:t>
            </w: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9"/>
        </w:trPr>
        <w:tc>
          <w:tcPr>
            <w:tcW w:w="51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14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effective tax rate was 19% and 17% for the three months ended December 31, 2022 and 2021, respectively, and 19% and 9% for the six months ended December 31, 2022 and 2021, respectively. The increase in our effective tax rate for the three months ended December 31, 2022 compared to the prior year was primarily due to a decrease in tax benefits relating to stock-based compensation. The increase in our effective tax rate for the six months ended December 31, 2022 compared to the prior year was primarily due to a $3.3 billion net income tax benefit in the first quarter of fiscal year 2022 related to the transfer of intangible properties and a decrease in tax benefits relating to stock-based compensation.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tax.</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2022,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2022 and June 30, 2022, unrecognized tax benefits and other income tax liabilities were $17.1 billion and $16.3 billion, respectively, and are included in long-term income taxes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December 31,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ind w:left="26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gridSpan w:val="2"/>
          </w:tcPr>
          <w:p>
            <w:pPr>
              <w:ind w:left="38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45"/>
        </w:trPr>
        <w:tc>
          <w:tcPr>
            <w:tcW w:w="42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4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20,120</w:t>
            </w:r>
          </w:p>
        </w:tc>
        <w:tc>
          <w:tcPr>
            <w:tcW w:w="60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24,558</w:t>
            </w:r>
          </w:p>
        </w:tc>
        <w:tc>
          <w:tcPr>
            <w:tcW w:w="0" w:type="dxa"/>
            <w:vAlign w:val="bottom"/>
          </w:tcPr>
          <w:p>
            <w:pPr>
              <w:spacing w:after="0"/>
              <w:rPr>
                <w:sz w:val="1"/>
                <w:szCs w:val="1"/>
                <w:color w:val="auto"/>
              </w:rPr>
            </w:pPr>
          </w:p>
        </w:tc>
      </w:tr>
      <w:tr>
        <w:trPr>
          <w:trHeight w:val="202"/>
        </w:trPr>
        <w:tc>
          <w:tcPr>
            <w:tcW w:w="426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15,822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19,371</w:t>
            </w:r>
          </w:p>
        </w:tc>
        <w:tc>
          <w:tcPr>
            <w:tcW w:w="0" w:type="dxa"/>
            <w:vAlign w:val="bottom"/>
          </w:tcPr>
          <w:p>
            <w:pPr>
              <w:spacing w:after="0"/>
              <w:rPr>
                <w:sz w:val="1"/>
                <w:szCs w:val="1"/>
                <w:color w:val="auto"/>
              </w:rPr>
            </w:pPr>
          </w:p>
        </w:tc>
      </w:tr>
      <w:tr>
        <w:trPr>
          <w:trHeight w:val="203"/>
        </w:trPr>
        <w:tc>
          <w:tcPr>
            <w:tcW w:w="4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7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3,684</w:t>
            </w:r>
          </w:p>
        </w:tc>
        <w:tc>
          <w:tcPr>
            <w:tcW w:w="1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68"/>
        </w:trPr>
        <w:tc>
          <w:tcPr>
            <w:tcW w:w="4260" w:type="dxa"/>
            <w:vAlign w:val="bottom"/>
            <w:tcBorders>
              <w:bottom w:val="single" w:sz="8" w:color="auto"/>
            </w:tcBorders>
          </w:tcPr>
          <w:p>
            <w:pPr>
              <w:spacing w:after="0"/>
              <w:rPr>
                <w:sz w:val="5"/>
                <w:szCs w:val="5"/>
                <w:color w:val="auto"/>
              </w:rPr>
            </w:pPr>
          </w:p>
        </w:tc>
        <w:tc>
          <w:tcPr>
            <w:tcW w:w="410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260" w:type="dxa"/>
            <w:vAlign w:val="bottom"/>
          </w:tcPr>
          <w:p>
            <w:pPr>
              <w:ind w:left="220"/>
              <w:spacing w:after="0"/>
              <w:rPr>
                <w:sz w:val="20"/>
                <w:szCs w:val="20"/>
                <w:color w:val="auto"/>
              </w:rPr>
            </w:pPr>
            <w:r>
              <w:rPr>
                <w:rFonts w:ascii="Arial" w:cs="Arial" w:eastAsia="Arial" w:hAnsi="Arial"/>
                <w:sz w:val="18"/>
                <w:szCs w:val="18"/>
                <w:color w:val="auto"/>
              </w:rPr>
              <w:t>Total</w:t>
            </w:r>
          </w:p>
        </w:tc>
        <w:tc>
          <w:tcPr>
            <w:tcW w:w="4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39,626</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48,408</w:t>
            </w:r>
          </w:p>
        </w:tc>
        <w:tc>
          <w:tcPr>
            <w:tcW w:w="0" w:type="dxa"/>
            <w:vAlign w:val="bottom"/>
          </w:tcPr>
          <w:p>
            <w:pPr>
              <w:spacing w:after="0"/>
              <w:rPr>
                <w:sz w:val="1"/>
                <w:szCs w:val="1"/>
                <w:color w:val="auto"/>
              </w:rPr>
            </w:pPr>
          </w:p>
        </w:tc>
      </w:tr>
      <w:tr>
        <w:trPr>
          <w:trHeight w:val="63"/>
        </w:trPr>
        <w:tc>
          <w:tcPr>
            <w:tcW w:w="4260" w:type="dxa"/>
            <w:vAlign w:val="bottom"/>
          </w:tcPr>
          <w:p>
            <w:pPr>
              <w:spacing w:after="0"/>
              <w:rPr>
                <w:sz w:val="5"/>
                <w:szCs w:val="5"/>
                <w:color w:val="auto"/>
              </w:rPr>
            </w:pPr>
          </w:p>
        </w:tc>
        <w:tc>
          <w:tcPr>
            <w:tcW w:w="3740" w:type="dxa"/>
            <w:vAlign w:val="bottom"/>
            <w:vMerge w:val="restart"/>
          </w:tcPr>
          <w:p>
            <w:pPr>
              <w:jc w:val="right"/>
              <w:ind w:right="2216"/>
              <w:spacing w:after="0"/>
              <w:rPr>
                <w:sz w:val="20"/>
                <w:szCs w:val="20"/>
                <w:color w:val="auto"/>
              </w:rPr>
            </w:pPr>
            <w:r>
              <w:rPr>
                <w:rFonts w:ascii="Arial" w:cs="Arial" w:eastAsia="Arial" w:hAnsi="Arial"/>
                <w:sz w:val="14"/>
                <w:szCs w:val="14"/>
                <w:color w:val="auto"/>
              </w:rPr>
              <w:t>21</w:t>
            </w: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9"/>
        </w:trPr>
        <w:tc>
          <w:tcPr>
            <w:tcW w:w="42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26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5580" w:type="dxa"/>
            <w:vAlign w:val="bottom"/>
            <w:gridSpan w:val="4"/>
          </w:tcPr>
          <w:p>
            <w:pPr>
              <w:jc w:val="center"/>
              <w:ind w:right="3480"/>
              <w:spacing w:after="0"/>
              <w:rPr>
                <w:sz w:val="20"/>
                <w:szCs w:val="20"/>
                <w:color w:val="auto"/>
              </w:rPr>
            </w:pPr>
            <w:r>
              <w:rPr>
                <w:rFonts w:ascii="Arial" w:cs="Arial" w:eastAsia="Arial" w:hAnsi="Arial"/>
                <w:sz w:val="13"/>
                <w:szCs w:val="13"/>
                <w:color w:val="auto"/>
              </w:rPr>
              <w:t>PART I</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1</w:t>
            </w:r>
          </w:p>
        </w:tc>
        <w:tc>
          <w:tcPr>
            <w:tcW w:w="432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11"/>
        </w:trPr>
        <w:tc>
          <w:tcPr>
            <w:tcW w:w="4580" w:type="dxa"/>
            <w:vAlign w:val="bottom"/>
          </w:tcPr>
          <w:p>
            <w:pPr>
              <w:spacing w:after="0"/>
              <w:rPr>
                <w:sz w:val="20"/>
                <w:szCs w:val="20"/>
                <w:color w:val="auto"/>
              </w:rPr>
            </w:pPr>
            <w:r>
              <w:rPr>
                <w:rFonts w:ascii="Arial" w:cs="Arial" w:eastAsia="Arial" w:hAnsi="Arial"/>
                <w:sz w:val="18"/>
                <w:szCs w:val="18"/>
                <w:color w:val="auto"/>
              </w:rPr>
              <w:t>Changes in unearned revenue were as follows: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3"/>
        </w:trPr>
        <w:tc>
          <w:tcPr>
            <w:tcW w:w="45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4580" w:type="dxa"/>
            <w:vAlign w:val="bottom"/>
          </w:tcPr>
          <w:p>
            <w:pPr>
              <w:spacing w:after="0"/>
              <w:rPr>
                <w:sz w:val="20"/>
                <w:szCs w:val="20"/>
                <w:color w:val="auto"/>
              </w:rPr>
            </w:pPr>
            <w:r>
              <w:rPr>
                <w:rFonts w:ascii="Arial" w:cs="Arial" w:eastAsia="Arial" w:hAnsi="Arial"/>
                <w:sz w:val="13"/>
                <w:szCs w:val="13"/>
                <w:b w:val="1"/>
                <w:bCs w:val="1"/>
                <w:color w:val="auto"/>
              </w:rPr>
              <w:t>Six Months Ended December 31, 2022</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4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5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5580" w:type="dxa"/>
            <w:vAlign w:val="bottom"/>
            <w:gridSpan w:val="4"/>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48,408</w:t>
            </w:r>
          </w:p>
        </w:tc>
        <w:tc>
          <w:tcPr>
            <w:tcW w:w="100" w:type="dxa"/>
            <w:vAlign w:val="bottom"/>
            <w:shd w:val="clear" w:color="auto" w:fill="E5E5E5"/>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Deferral of revenue</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48,188</w:t>
            </w:r>
          </w:p>
        </w:tc>
        <w:tc>
          <w:tcPr>
            <w:tcW w:w="100" w:type="dxa"/>
            <w:vAlign w:val="bottom"/>
          </w:tcPr>
          <w:p>
            <w:pPr>
              <w:spacing w:after="0"/>
              <w:rPr>
                <w:sz w:val="17"/>
                <w:szCs w:val="17"/>
                <w:color w:val="auto"/>
              </w:rPr>
            </w:pPr>
          </w:p>
        </w:tc>
      </w:tr>
      <w:tr>
        <w:trPr>
          <w:trHeight w:val="203"/>
        </w:trPr>
        <w:tc>
          <w:tcPr>
            <w:tcW w:w="45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Recognition of unearned revenue</w:t>
            </w:r>
          </w:p>
        </w:tc>
        <w:tc>
          <w:tcPr>
            <w:tcW w:w="8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38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(56,970)</w:t>
            </w:r>
          </w:p>
        </w:tc>
      </w:tr>
      <w:tr>
        <w:trPr>
          <w:trHeight w:val="68"/>
        </w:trPr>
        <w:tc>
          <w:tcPr>
            <w:tcW w:w="4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75"/>
        </w:trPr>
        <w:tc>
          <w:tcPr>
            <w:tcW w:w="4580" w:type="dxa"/>
            <w:vAlign w:val="bottom"/>
          </w:tcPr>
          <w:p>
            <w:pPr>
              <w:spacing w:after="0"/>
              <w:rPr>
                <w:sz w:val="20"/>
                <w:szCs w:val="20"/>
                <w:color w:val="auto"/>
              </w:rPr>
            </w:pPr>
            <w:r>
              <w:rPr>
                <w:rFonts w:ascii="Arial" w:cs="Arial" w:eastAsia="Arial" w:hAnsi="Arial"/>
                <w:sz w:val="18"/>
                <w:szCs w:val="18"/>
                <w:color w:val="auto"/>
              </w:rPr>
              <w:t>Balance, end of period</w:t>
            </w:r>
          </w:p>
        </w:tc>
        <w:tc>
          <w:tcPr>
            <w:tcW w:w="55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39,626</w:t>
            </w:r>
          </w:p>
        </w:tc>
        <w:tc>
          <w:tcPr>
            <w:tcW w:w="100" w:type="dxa"/>
            <w:vAlign w:val="bottom"/>
          </w:tcPr>
          <w:p>
            <w:pPr>
              <w:spacing w:after="0"/>
              <w:rPr>
                <w:sz w:val="23"/>
                <w:szCs w:val="23"/>
                <w:color w:val="auto"/>
              </w:rPr>
            </w:pPr>
          </w:p>
        </w:tc>
      </w:tr>
      <w:tr>
        <w:trPr>
          <w:trHeight w:val="63"/>
        </w:trPr>
        <w:tc>
          <w:tcPr>
            <w:tcW w:w="4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$193 billion as of December 31, 2022, of which $189 billion is related to the commercial portion of revenue. We expect to recognize approximately 45% of this revenue over the next 12 months and the remainder thereafter.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less than 1 year to 19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5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5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5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cost</w:t>
            </w:r>
          </w:p>
        </w:tc>
        <w:tc>
          <w:tcPr>
            <w:tcW w:w="50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684</w:t>
            </w:r>
          </w:p>
        </w:tc>
        <w:tc>
          <w:tcPr>
            <w:tcW w:w="3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469</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1,346</w:t>
            </w:r>
          </w:p>
        </w:tc>
        <w:tc>
          <w:tcPr>
            <w:tcW w:w="24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74"/>
        </w:trPr>
        <w:tc>
          <w:tcPr>
            <w:tcW w:w="556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5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56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Amortization of right-of-use assets</w:t>
            </w:r>
          </w:p>
        </w:tc>
        <w:tc>
          <w:tcPr>
            <w:tcW w:w="50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457</w:t>
            </w:r>
          </w:p>
        </w:tc>
        <w:tc>
          <w:tcPr>
            <w:tcW w:w="3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264</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646</w:t>
            </w:r>
          </w:p>
        </w:tc>
        <w:tc>
          <w:tcPr>
            <w:tcW w:w="24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490</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56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5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232</w:t>
            </w:r>
          </w:p>
        </w:tc>
        <w:tc>
          <w:tcPr>
            <w:tcW w:w="2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
        </w:trPr>
        <w:tc>
          <w:tcPr>
            <w:tcW w:w="5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finance lease cost</w:t>
            </w:r>
          </w:p>
        </w:tc>
        <w:tc>
          <w:tcPr>
            <w:tcW w:w="50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576</w:t>
            </w:r>
          </w:p>
        </w:tc>
        <w:tc>
          <w:tcPr>
            <w:tcW w:w="3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371</w:t>
            </w:r>
          </w:p>
        </w:tc>
        <w:tc>
          <w:tcPr>
            <w:tcW w:w="5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878</w:t>
            </w:r>
          </w:p>
        </w:tc>
        <w:tc>
          <w:tcPr>
            <w:tcW w:w="240" w:type="dxa"/>
            <w:vAlign w:val="bottom"/>
            <w:shd w:val="clear" w:color="auto" w:fill="E5E5E5"/>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701</w:t>
            </w:r>
          </w:p>
        </w:tc>
        <w:tc>
          <w:tcPr>
            <w:tcW w:w="14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55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2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5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540" w:type="dxa"/>
            <w:vAlign w:val="bottom"/>
          </w:tcPr>
          <w:p>
            <w:pPr>
              <w:spacing w:after="0"/>
              <w:rPr>
                <w:sz w:val="20"/>
                <w:szCs w:val="20"/>
                <w:color w:val="auto"/>
              </w:rPr>
            </w:pPr>
          </w:p>
        </w:tc>
        <w:tc>
          <w:tcPr>
            <w:tcW w:w="900" w:type="dxa"/>
            <w:vAlign w:val="bottom"/>
          </w:tcPr>
          <w:p>
            <w:pPr>
              <w:jc w:val="right"/>
              <w:ind w:right="34"/>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5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Cash paid for amounts included in the measurement of lease</w:t>
            </w:r>
          </w:p>
        </w:tc>
        <w:tc>
          <w:tcPr>
            <w:tcW w:w="82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400" w:type="dxa"/>
            <w:vAlign w:val="bottom"/>
            <w:shd w:val="clear" w:color="auto" w:fill="E5E5E5"/>
          </w:tcPr>
          <w:p>
            <w:pPr>
              <w:spacing w:after="0"/>
              <w:rPr>
                <w:sz w:val="14"/>
                <w:szCs w:val="14"/>
                <w:color w:val="auto"/>
              </w:rPr>
            </w:pPr>
          </w:p>
        </w:tc>
        <w:tc>
          <w:tcPr>
            <w:tcW w:w="1120" w:type="dxa"/>
            <w:vAlign w:val="bottom"/>
            <w:shd w:val="clear" w:color="auto" w:fill="E5E5E5"/>
          </w:tcPr>
          <w:p>
            <w:pPr>
              <w:spacing w:after="0"/>
              <w:rPr>
                <w:sz w:val="14"/>
                <w:szCs w:val="14"/>
                <w:color w:val="auto"/>
              </w:rPr>
            </w:pPr>
          </w:p>
        </w:tc>
        <w:tc>
          <w:tcPr>
            <w:tcW w:w="5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0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400" w:type="dxa"/>
            <w:vAlign w:val="bottom"/>
            <w:shd w:val="clear" w:color="auto" w:fill="E5E5E5"/>
          </w:tcPr>
          <w:p>
            <w:pPr>
              <w:spacing w:after="0"/>
              <w:rPr>
                <w:sz w:val="19"/>
                <w:szCs w:val="19"/>
                <w:color w:val="auto"/>
              </w:rPr>
            </w:pPr>
          </w:p>
        </w:tc>
        <w:tc>
          <w:tcPr>
            <w:tcW w:w="1120" w:type="dxa"/>
            <w:vAlign w:val="bottom"/>
            <w:shd w:val="clear" w:color="auto" w:fill="E5E5E5"/>
          </w:tcPr>
          <w:p>
            <w:pPr>
              <w:spacing w:after="0"/>
              <w:rPr>
                <w:sz w:val="19"/>
                <w:szCs w:val="19"/>
                <w:color w:val="auto"/>
              </w:rPr>
            </w:pPr>
          </w:p>
        </w:tc>
        <w:tc>
          <w:tcPr>
            <w:tcW w:w="540" w:type="dxa"/>
            <w:vAlign w:val="bottom"/>
            <w:shd w:val="clear" w:color="auto" w:fill="E5E5E5"/>
          </w:tcPr>
          <w:p>
            <w:pPr>
              <w:spacing w:after="0"/>
              <w:rPr>
                <w:sz w:val="19"/>
                <w:szCs w:val="19"/>
                <w:color w:val="auto"/>
              </w:rPr>
            </w:pPr>
          </w:p>
        </w:tc>
        <w:tc>
          <w:tcPr>
            <w:tcW w:w="9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10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820" w:type="dxa"/>
            <w:vAlign w:val="bottom"/>
          </w:tcPr>
          <w:p>
            <w:pPr>
              <w:jc w:val="right"/>
              <w:ind w:right="379"/>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645</w:t>
            </w:r>
          </w:p>
        </w:tc>
        <w:tc>
          <w:tcPr>
            <w:tcW w:w="400" w:type="dxa"/>
            <w:vAlign w:val="bottom"/>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441</w:t>
            </w:r>
          </w:p>
        </w:tc>
        <w:tc>
          <w:tcPr>
            <w:tcW w:w="5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1,299</w:t>
            </w:r>
          </w:p>
        </w:tc>
        <w:tc>
          <w:tcPr>
            <w:tcW w:w="3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02"/>
        </w:trPr>
        <w:tc>
          <w:tcPr>
            <w:tcW w:w="52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cash flows from finance leases</w:t>
            </w:r>
          </w:p>
        </w:tc>
        <w:tc>
          <w:tcPr>
            <w:tcW w:w="8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119</w:t>
            </w:r>
          </w:p>
        </w:tc>
        <w:tc>
          <w:tcPr>
            <w:tcW w:w="40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107</w:t>
            </w: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232</w:t>
            </w:r>
          </w:p>
        </w:tc>
        <w:tc>
          <w:tcPr>
            <w:tcW w:w="3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7"/>
        </w:trPr>
        <w:tc>
          <w:tcPr>
            <w:tcW w:w="526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4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222</w:t>
            </w:r>
          </w:p>
        </w:tc>
        <w:tc>
          <w:tcPr>
            <w:tcW w:w="5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b w:val="1"/>
                <w:bCs w:val="1"/>
                <w:color w:val="auto"/>
              </w:rPr>
              <w:t>518</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8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leases</w:t>
            </w:r>
          </w:p>
        </w:tc>
        <w:tc>
          <w:tcPr>
            <w:tcW w:w="8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525</w:t>
            </w:r>
          </w:p>
        </w:tc>
        <w:tc>
          <w:tcPr>
            <w:tcW w:w="400" w:type="dxa"/>
            <w:vAlign w:val="bottom"/>
          </w:tcPr>
          <w:p>
            <w:pPr>
              <w:spacing w:after="0"/>
              <w:rPr>
                <w:sz w:val="17"/>
                <w:szCs w:val="17"/>
                <w:color w:val="auto"/>
              </w:rPr>
            </w:pPr>
          </w:p>
        </w:tc>
        <w:tc>
          <w:tcPr>
            <w:tcW w:w="11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1,559</w:t>
            </w:r>
          </w:p>
        </w:tc>
        <w:tc>
          <w:tcPr>
            <w:tcW w:w="540" w:type="dxa"/>
            <w:vAlign w:val="bottom"/>
          </w:tcPr>
          <w:p>
            <w:pPr>
              <w:spacing w:after="0"/>
              <w:rPr>
                <w:sz w:val="17"/>
                <w:szCs w:val="17"/>
                <w:color w:val="auto"/>
              </w:rPr>
            </w:pPr>
          </w:p>
        </w:tc>
        <w:tc>
          <w:tcPr>
            <w:tcW w:w="90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1,714</w:t>
            </w:r>
          </w:p>
        </w:tc>
        <w:tc>
          <w:tcPr>
            <w:tcW w:w="34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Finance leases</w:t>
            </w:r>
          </w:p>
        </w:tc>
        <w:tc>
          <w:tcPr>
            <w:tcW w:w="82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598</w:t>
            </w:r>
          </w:p>
        </w:tc>
        <w:tc>
          <w:tcPr>
            <w:tcW w:w="400" w:type="dxa"/>
            <w:vAlign w:val="bottom"/>
            <w:shd w:val="clear" w:color="auto" w:fill="E5E5E5"/>
          </w:tcPr>
          <w:p>
            <w:pPr>
              <w:spacing w:after="0"/>
              <w:rPr>
                <w:sz w:val="17"/>
                <w:szCs w:val="17"/>
                <w:color w:val="auto"/>
              </w:rPr>
            </w:pPr>
          </w:p>
        </w:tc>
        <w:tc>
          <w:tcPr>
            <w:tcW w:w="1120" w:type="dxa"/>
            <w:vAlign w:val="bottom"/>
            <w:shd w:val="clear" w:color="auto" w:fill="E5E5E5"/>
          </w:tcPr>
          <w:p>
            <w:pPr>
              <w:jc w:val="right"/>
              <w:ind w:right="16"/>
              <w:spacing w:after="0" w:line="202" w:lineRule="exact"/>
              <w:rPr>
                <w:sz w:val="20"/>
                <w:szCs w:val="20"/>
                <w:color w:val="auto"/>
              </w:rPr>
            </w:pPr>
            <w:r>
              <w:rPr>
                <w:rFonts w:ascii="Arial" w:cs="Arial" w:eastAsia="Arial" w:hAnsi="Arial"/>
                <w:sz w:val="18"/>
                <w:szCs w:val="18"/>
                <w:color w:val="auto"/>
              </w:rPr>
              <w:t>985</w:t>
            </w: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jc w:val="right"/>
              <w:ind w:right="34"/>
              <w:spacing w:after="0" w:line="202" w:lineRule="exact"/>
              <w:rPr>
                <w:sz w:val="20"/>
                <w:szCs w:val="20"/>
                <w:color w:val="auto"/>
              </w:rPr>
            </w:pPr>
            <w:r>
              <w:rPr>
                <w:rFonts w:ascii="Arial" w:cs="Arial" w:eastAsia="Arial" w:hAnsi="Arial"/>
                <w:sz w:val="18"/>
                <w:szCs w:val="18"/>
                <w:b w:val="1"/>
                <w:bCs w:val="1"/>
                <w:color w:val="auto"/>
              </w:rPr>
              <w:t>1,209</w:t>
            </w:r>
          </w:p>
        </w:tc>
        <w:tc>
          <w:tcPr>
            <w:tcW w:w="34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68"/>
        </w:trPr>
        <w:tc>
          <w:tcPr>
            <w:tcW w:w="52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3"/>
        </w:trPr>
        <w:tc>
          <w:tcPr>
            <w:tcW w:w="5260" w:type="dxa"/>
            <w:vAlign w:val="bottom"/>
          </w:tcPr>
          <w:p>
            <w:pPr>
              <w:spacing w:after="0"/>
              <w:rPr>
                <w:sz w:val="24"/>
                <w:szCs w:val="24"/>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color w:val="auto"/>
              </w:rPr>
              <w:t>22</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2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13,624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2,287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11,998</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14,285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63"/>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18,514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47"/>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(3,920)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3"/>
        </w:trPr>
        <w:tc>
          <w:tcPr>
            <w:tcW w:w="8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14,594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14,479</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15,584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63"/>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47"/>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 years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2.5%</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7"/>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
        </w:trPr>
        <w:tc>
          <w:tcPr>
            <w:tcW w:w="8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8000" w:type="dxa"/>
            <w:vAlign w:val="bottom"/>
          </w:tcPr>
          <w:p>
            <w:pPr>
              <w:spacing w:after="0"/>
              <w:rPr>
                <w:sz w:val="20"/>
                <w:szCs w:val="20"/>
                <w:color w:val="auto"/>
              </w:rPr>
            </w:pPr>
            <w:r>
              <w:rPr>
                <w:rFonts w:ascii="Arial" w:cs="Arial" w:eastAsia="Arial" w:hAnsi="Arial"/>
                <w:sz w:val="18"/>
                <w:szCs w:val="18"/>
                <w:color w:val="auto"/>
              </w:rPr>
              <w:t>The following table outlines maturities of our lease liabilities as of December 31, 2022: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360" w:type="dxa"/>
            <w:vAlign w:val="bottom"/>
            <w:gridSpan w:val="2"/>
          </w:tcPr>
          <w:p>
            <w:pPr>
              <w:spacing w:after="0"/>
              <w:rPr>
                <w:sz w:val="3"/>
                <w:szCs w:val="3"/>
                <w:color w:val="auto"/>
              </w:rPr>
            </w:pPr>
          </w:p>
        </w:tc>
        <w:tc>
          <w:tcPr>
            <w:tcW w:w="12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2023 (excluding the six months ended December 31, 2022)</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1,320</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790</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2,498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1,598</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2,217</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1,912</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1,847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1,595</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2027</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1,533</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1,603</w:t>
            </w:r>
          </w:p>
        </w:tc>
        <w:tc>
          <w:tcPr>
            <w:tcW w:w="0" w:type="dxa"/>
            <w:vAlign w:val="bottom"/>
          </w:tcPr>
          <w:p>
            <w:pPr>
              <w:spacing w:after="0"/>
              <w:rPr>
                <w:sz w:val="1"/>
                <w:szCs w:val="1"/>
                <w:color w:val="auto"/>
              </w:rPr>
            </w:pPr>
          </w:p>
        </w:tc>
      </w:tr>
      <w:tr>
        <w:trPr>
          <w:trHeight w:val="247"/>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11,196</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15,943</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18,694</w:t>
            </w:r>
          </w:p>
        </w:tc>
        <w:tc>
          <w:tcPr>
            <w:tcW w:w="0" w:type="dxa"/>
            <w:vAlign w:val="bottom"/>
          </w:tcPr>
          <w:p>
            <w:pPr>
              <w:spacing w:after="0"/>
              <w:rPr>
                <w:sz w:val="1"/>
                <w:szCs w:val="1"/>
                <w:color w:val="auto"/>
              </w:rPr>
            </w:pPr>
          </w:p>
        </w:tc>
      </w:tr>
      <w:tr>
        <w:trPr>
          <w:trHeight w:val="247"/>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(3,110)</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14,285</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15,584</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2022, we have additional operating and finance leases, primarily for datacenters, that have not yet commenced of $6.3 billion and $ 19.7 billion, respectively. These operating and finance leases will commence between fiscal year 2023 and fiscal year 2028 with lease terms of less than 1 year to 18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Cell Phone Litigation</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2022, we accrued aggregate legal liabilities of $ 181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commenced in February 2020 and was completed in November 2021.</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December 31, 2022, $31.5 billion remained of this $60.0 billion share repurchase program.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8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3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spacing w:after="0"/>
              <w:rPr>
                <w:sz w:val="16"/>
                <w:szCs w:val="16"/>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Amount</w:t>
            </w:r>
          </w:p>
        </w:tc>
      </w:tr>
      <w:tr>
        <w:trPr>
          <w:trHeight w:val="45"/>
        </w:trPr>
        <w:tc>
          <w:tcPr>
            <w:tcW w:w="6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638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2023</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r>
      <w:tr>
        <w:trPr>
          <w:trHeight w:val="44"/>
        </w:trPr>
        <w:tc>
          <w:tcPr>
            <w:tcW w:w="6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6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First Quarter</w:t>
            </w: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w:t>
            </w:r>
          </w:p>
        </w:tc>
        <w:tc>
          <w:tcPr>
            <w:tcW w:w="34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4,600</w:t>
            </w: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21</w:t>
            </w:r>
          </w:p>
        </w:tc>
        <w:tc>
          <w:tcPr>
            <w:tcW w:w="32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6,200</w:t>
            </w:r>
          </w:p>
        </w:tc>
      </w:tr>
      <w:tr>
        <w:trPr>
          <w:trHeight w:val="247"/>
        </w:trPr>
        <w:tc>
          <w:tcPr>
            <w:tcW w:w="6380" w:type="dxa"/>
            <w:vAlign w:val="bottom"/>
          </w:tcPr>
          <w:p>
            <w:pPr>
              <w:spacing w:after="0"/>
              <w:rPr>
                <w:sz w:val="20"/>
                <w:szCs w:val="20"/>
                <w:color w:val="auto"/>
              </w:rPr>
            </w:pPr>
            <w:r>
              <w:rPr>
                <w:rFonts w:ascii="Arial" w:cs="Arial" w:eastAsia="Arial" w:hAnsi="Arial"/>
                <w:sz w:val="18"/>
                <w:szCs w:val="18"/>
                <w:color w:val="auto"/>
              </w:rPr>
              <w:t>Second Quarter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6,233</w:t>
            </w:r>
          </w:p>
        </w:tc>
      </w:tr>
      <w:tr>
        <w:trPr>
          <w:trHeight w:val="23"/>
        </w:trPr>
        <w:tc>
          <w:tcPr>
            <w:tcW w:w="6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61"/>
        </w:trPr>
        <w:tc>
          <w:tcPr>
            <w:tcW w:w="6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63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37</w:t>
            </w:r>
          </w:p>
        </w:tc>
        <w:tc>
          <w:tcPr>
            <w:tcW w:w="34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9,200</w:t>
            </w: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41</w:t>
            </w:r>
          </w:p>
        </w:tc>
        <w:tc>
          <w:tcPr>
            <w:tcW w:w="32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12,433</w:t>
            </w:r>
          </w:p>
        </w:tc>
      </w:tr>
      <w:tr>
        <w:trPr>
          <w:trHeight w:val="75"/>
        </w:trPr>
        <w:tc>
          <w:tcPr>
            <w:tcW w:w="638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repurchases were made using cash resources. Shares repurchased during fiscal year 2023 were under the share repurchase program approved on September 14, 2021. Shares repurchased during the second quarter of fiscal year 2022 were under the share repurchase programs approved on both September 14, 2021 and September 18, 2019. Shares repurchased during the first quarter of fiscal year 2022 were under the share repurchase program approved on September 18, 2019. The above table excludes shares repurchased to settle employee tax withholding related to the vesting of stock awards of $859 million and $1.8 billion for the three and six months ended December 31, 2022, respectively, and $1.2 billion and $2.7 billion for the three and six months ended December 31,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82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Record Date</w:t>
            </w:r>
          </w:p>
        </w:tc>
        <w:tc>
          <w:tcPr>
            <w:tcW w:w="292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Payment Date</w:t>
            </w:r>
          </w:p>
        </w:tc>
        <w:tc>
          <w:tcPr>
            <w:tcW w:w="360" w:type="dxa"/>
            <w:vAlign w:val="bottom"/>
          </w:tcPr>
          <w:p>
            <w:pPr>
              <w:spacing w:after="0"/>
              <w:rPr>
                <w:sz w:val="13"/>
                <w:szCs w:val="13"/>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Dividend</w:t>
            </w:r>
          </w:p>
        </w:tc>
        <w:tc>
          <w:tcPr>
            <w:tcW w:w="300" w:type="dxa"/>
            <w:vAlign w:val="bottom"/>
          </w:tcPr>
          <w:p>
            <w:pPr>
              <w:spacing w:after="0"/>
              <w:rPr>
                <w:sz w:val="13"/>
                <w:szCs w:val="1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9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Per Share</w:t>
            </w:r>
          </w:p>
        </w:tc>
        <w:tc>
          <w:tcPr>
            <w:tcW w:w="3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360" w:type="dxa"/>
            <w:vAlign w:val="bottom"/>
          </w:tcPr>
          <w:p>
            <w:pPr>
              <w:spacing w:after="0"/>
              <w:rPr>
                <w:sz w:val="20"/>
                <w:szCs w:val="20"/>
                <w:color w:val="auto"/>
              </w:rPr>
            </w:pPr>
            <w:r>
              <w:rPr>
                <w:rFonts w:ascii="Arial" w:cs="Arial" w:eastAsia="Arial" w:hAnsi="Arial"/>
                <w:sz w:val="13"/>
                <w:szCs w:val="13"/>
                <w:b w:val="1"/>
                <w:bCs w:val="1"/>
                <w:color w:val="auto"/>
              </w:rPr>
              <w:t>Fiscal Year 2023</w:t>
            </w:r>
          </w:p>
        </w:tc>
        <w:tc>
          <w:tcPr>
            <w:tcW w:w="2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4"/>
        </w:trPr>
        <w:tc>
          <w:tcPr>
            <w:tcW w:w="23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September 20, 2022</w:t>
            </w:r>
          </w:p>
        </w:tc>
        <w:tc>
          <w:tcPr>
            <w:tcW w:w="2820" w:type="dxa"/>
            <w:vAlign w:val="bottom"/>
            <w:shd w:val="clear" w:color="auto" w:fill="E5E5E5"/>
          </w:tcPr>
          <w:p>
            <w:pPr>
              <w:ind w:left="680"/>
              <w:spacing w:after="0" w:line="202" w:lineRule="exact"/>
              <w:rPr>
                <w:sz w:val="20"/>
                <w:szCs w:val="20"/>
                <w:color w:val="auto"/>
              </w:rPr>
            </w:pPr>
            <w:r>
              <w:rPr>
                <w:rFonts w:ascii="Arial" w:cs="Arial" w:eastAsia="Arial" w:hAnsi="Arial"/>
                <w:sz w:val="18"/>
                <w:szCs w:val="18"/>
                <w:b w:val="1"/>
                <w:bCs w:val="1"/>
                <w:color w:val="auto"/>
              </w:rPr>
              <w:t>November 17, 2022</w:t>
            </w:r>
          </w:p>
        </w:tc>
        <w:tc>
          <w:tcPr>
            <w:tcW w:w="292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b w:val="1"/>
                <w:bCs w:val="1"/>
                <w:color w:val="auto"/>
              </w:rPr>
              <w:t>December 8, 2022</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0.68</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5,066</w:t>
            </w:r>
          </w:p>
        </w:tc>
        <w:tc>
          <w:tcPr>
            <w:tcW w:w="0" w:type="dxa"/>
            <w:vAlign w:val="bottom"/>
          </w:tcPr>
          <w:p>
            <w:pPr>
              <w:spacing w:after="0"/>
              <w:rPr>
                <w:sz w:val="1"/>
                <w:szCs w:val="1"/>
                <w:color w:val="auto"/>
              </w:rPr>
            </w:pPr>
          </w:p>
        </w:tc>
      </w:tr>
      <w:tr>
        <w:trPr>
          <w:trHeight w:val="247"/>
        </w:trPr>
        <w:tc>
          <w:tcPr>
            <w:tcW w:w="2360" w:type="dxa"/>
            <w:vAlign w:val="bottom"/>
          </w:tcPr>
          <w:p>
            <w:pPr>
              <w:spacing w:after="0"/>
              <w:rPr>
                <w:sz w:val="20"/>
                <w:szCs w:val="20"/>
                <w:color w:val="auto"/>
              </w:rPr>
            </w:pPr>
            <w:r>
              <w:rPr>
                <w:rFonts w:ascii="Arial" w:cs="Arial" w:eastAsia="Arial" w:hAnsi="Arial"/>
                <w:sz w:val="18"/>
                <w:szCs w:val="18"/>
                <w:b w:val="1"/>
                <w:bCs w:val="1"/>
                <w:color w:val="auto"/>
              </w:rPr>
              <w:t>November 29, 2022</w:t>
            </w:r>
          </w:p>
        </w:tc>
        <w:tc>
          <w:tcPr>
            <w:tcW w:w="2820" w:type="dxa"/>
            <w:vAlign w:val="bottom"/>
          </w:tcPr>
          <w:p>
            <w:pPr>
              <w:ind w:left="680"/>
              <w:spacing w:after="0"/>
              <w:rPr>
                <w:sz w:val="20"/>
                <w:szCs w:val="20"/>
                <w:color w:val="auto"/>
              </w:rPr>
            </w:pPr>
            <w:r>
              <w:rPr>
                <w:rFonts w:ascii="Arial" w:cs="Arial" w:eastAsia="Arial" w:hAnsi="Arial"/>
                <w:sz w:val="18"/>
                <w:szCs w:val="18"/>
                <w:b w:val="1"/>
                <w:bCs w:val="1"/>
                <w:color w:val="auto"/>
              </w:rPr>
              <w:t>February 16, 2023</w:t>
            </w:r>
          </w:p>
        </w:tc>
        <w:tc>
          <w:tcPr>
            <w:tcW w:w="2920" w:type="dxa"/>
            <w:vAlign w:val="bottom"/>
          </w:tcPr>
          <w:p>
            <w:pPr>
              <w:ind w:left="480"/>
              <w:spacing w:after="0"/>
              <w:rPr>
                <w:sz w:val="20"/>
                <w:szCs w:val="20"/>
                <w:color w:val="auto"/>
              </w:rPr>
            </w:pPr>
            <w:r>
              <w:rPr>
                <w:rFonts w:ascii="Arial" w:cs="Arial" w:eastAsia="Arial" w:hAnsi="Arial"/>
                <w:sz w:val="18"/>
                <w:szCs w:val="18"/>
                <w:b w:val="1"/>
                <w:bCs w:val="1"/>
                <w:color w:val="auto"/>
              </w:rPr>
              <w:t>March 9, 2023</w:t>
            </w:r>
          </w:p>
        </w:tc>
        <w:tc>
          <w:tcPr>
            <w:tcW w:w="360" w:type="dxa"/>
            <w:vAlign w:val="bottom"/>
          </w:tcPr>
          <w:p>
            <w:pPr>
              <w:spacing w:after="0"/>
              <w:rPr>
                <w:sz w:val="21"/>
                <w:szCs w:val="21"/>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0.68</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5,064</w:t>
            </w:r>
          </w:p>
        </w:tc>
        <w:tc>
          <w:tcPr>
            <w:tcW w:w="0" w:type="dxa"/>
            <w:vAlign w:val="bottom"/>
          </w:tcPr>
          <w:p>
            <w:pPr>
              <w:spacing w:after="0"/>
              <w:rPr>
                <w:sz w:val="1"/>
                <w:szCs w:val="1"/>
                <w:color w:val="auto"/>
              </w:rPr>
            </w:pPr>
          </w:p>
        </w:tc>
      </w:tr>
      <w:tr>
        <w:trPr>
          <w:trHeight w:val="23"/>
        </w:trPr>
        <w:tc>
          <w:tcPr>
            <w:tcW w:w="23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b w:val="1"/>
                <w:bCs w:val="1"/>
                <w:color w:val="auto"/>
              </w:rPr>
              <w:t>Total</w:t>
            </w:r>
          </w:p>
        </w:tc>
        <w:tc>
          <w:tcPr>
            <w:tcW w:w="2820" w:type="dxa"/>
            <w:vAlign w:val="bottom"/>
            <w:shd w:val="clear" w:color="auto" w:fill="E5E5E5"/>
          </w:tcPr>
          <w:p>
            <w:pPr>
              <w:spacing w:after="0"/>
              <w:rPr>
                <w:sz w:val="17"/>
                <w:szCs w:val="17"/>
                <w:color w:val="auto"/>
              </w:rPr>
            </w:pPr>
          </w:p>
        </w:tc>
        <w:tc>
          <w:tcPr>
            <w:tcW w:w="292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1.36</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10,130</w:t>
            </w:r>
          </w:p>
        </w:tc>
        <w:tc>
          <w:tcPr>
            <w:tcW w:w="0" w:type="dxa"/>
            <w:vAlign w:val="bottom"/>
          </w:tcPr>
          <w:p>
            <w:pPr>
              <w:spacing w:after="0"/>
              <w:rPr>
                <w:sz w:val="1"/>
                <w:szCs w:val="1"/>
                <w:color w:val="auto"/>
              </w:rPr>
            </w:pPr>
          </w:p>
        </w:tc>
      </w:tr>
      <w:tr>
        <w:trPr>
          <w:trHeight w:val="74"/>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Fiscal Year 2022</w:t>
            </w:r>
          </w:p>
        </w:tc>
        <w:tc>
          <w:tcPr>
            <w:tcW w:w="28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360" w:type="dxa"/>
            <w:vAlign w:val="bottom"/>
            <w:vMerge w:val="continue"/>
          </w:tcPr>
          <w:p>
            <w:pPr>
              <w:spacing w:after="0"/>
              <w:rPr>
                <w:sz w:val="20"/>
                <w:szCs w:val="20"/>
                <w:color w:val="auto"/>
              </w:rPr>
            </w:pPr>
          </w:p>
        </w:tc>
        <w:tc>
          <w:tcPr>
            <w:tcW w:w="28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September 14, 2021</w:t>
            </w:r>
          </w:p>
        </w:tc>
        <w:tc>
          <w:tcPr>
            <w:tcW w:w="2820" w:type="dxa"/>
            <w:vAlign w:val="bottom"/>
            <w:shd w:val="clear" w:color="auto" w:fill="E5E5E5"/>
          </w:tcPr>
          <w:p>
            <w:pPr>
              <w:ind w:left="680"/>
              <w:spacing w:after="0" w:line="202" w:lineRule="exact"/>
              <w:rPr>
                <w:sz w:val="20"/>
                <w:szCs w:val="20"/>
                <w:color w:val="auto"/>
              </w:rPr>
            </w:pPr>
            <w:r>
              <w:rPr>
                <w:rFonts w:ascii="Arial" w:cs="Arial" w:eastAsia="Arial" w:hAnsi="Arial"/>
                <w:sz w:val="18"/>
                <w:szCs w:val="18"/>
                <w:color w:val="auto"/>
              </w:rPr>
              <w:t>November 18, 2021</w:t>
            </w:r>
          </w:p>
        </w:tc>
        <w:tc>
          <w:tcPr>
            <w:tcW w:w="292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December 9, 2021</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0.62</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r>
              <w:rPr>
                <w:rFonts w:ascii="Arial" w:cs="Arial" w:eastAsia="Arial" w:hAnsi="Arial"/>
                <w:sz w:val="18"/>
                <w:szCs w:val="18"/>
                <w:color w:val="auto"/>
              </w:rPr>
              <w:t>December 7, 2021</w:t>
            </w:r>
          </w:p>
        </w:tc>
        <w:tc>
          <w:tcPr>
            <w:tcW w:w="2820" w:type="dxa"/>
            <w:vAlign w:val="bottom"/>
          </w:tcPr>
          <w:p>
            <w:pPr>
              <w:ind w:left="680"/>
              <w:spacing w:after="0"/>
              <w:rPr>
                <w:sz w:val="20"/>
                <w:szCs w:val="20"/>
                <w:color w:val="auto"/>
              </w:rPr>
            </w:pPr>
            <w:r>
              <w:rPr>
                <w:rFonts w:ascii="Arial" w:cs="Arial" w:eastAsia="Arial" w:hAnsi="Arial"/>
                <w:sz w:val="18"/>
                <w:szCs w:val="18"/>
                <w:color w:val="auto"/>
              </w:rPr>
              <w:t>February 17, 2022</w:t>
            </w:r>
          </w:p>
        </w:tc>
        <w:tc>
          <w:tcPr>
            <w:tcW w:w="2920" w:type="dxa"/>
            <w:vAlign w:val="bottom"/>
          </w:tcPr>
          <w:p>
            <w:pPr>
              <w:ind w:left="480"/>
              <w:spacing w:after="0"/>
              <w:rPr>
                <w:sz w:val="20"/>
                <w:szCs w:val="20"/>
                <w:color w:val="auto"/>
              </w:rPr>
            </w:pPr>
            <w:r>
              <w:rPr>
                <w:rFonts w:ascii="Arial" w:cs="Arial" w:eastAsia="Arial" w:hAnsi="Arial"/>
                <w:sz w:val="18"/>
                <w:szCs w:val="18"/>
                <w:color w:val="auto"/>
              </w:rPr>
              <w:t>March 10, 2022</w:t>
            </w:r>
          </w:p>
        </w:tc>
        <w:tc>
          <w:tcPr>
            <w:tcW w:w="3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0.62</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31"/>
        </w:trPr>
        <w:tc>
          <w:tcPr>
            <w:tcW w:w="23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820" w:type="dxa"/>
            <w:vAlign w:val="bottom"/>
            <w:shd w:val="clear" w:color="auto" w:fill="E5E5E5"/>
          </w:tcPr>
          <w:p>
            <w:pPr>
              <w:spacing w:after="0"/>
              <w:rPr>
                <w:sz w:val="17"/>
                <w:szCs w:val="17"/>
                <w:color w:val="auto"/>
              </w:rPr>
            </w:pPr>
          </w:p>
        </w:tc>
        <w:tc>
          <w:tcPr>
            <w:tcW w:w="292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1.24</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9,297</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November 29, 2022 was included in other current liabilities as of December 31, 2022.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Three Months Ended</w:t>
            </w: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4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(6)</w:t>
            </w:r>
          </w:p>
        </w:tc>
        <w:tc>
          <w:tcPr>
            <w:tcW w:w="4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(17)</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(13)</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0"/>
        </w:trPr>
        <w:tc>
          <w:tcPr>
            <w:tcW w:w="4480" w:type="dxa"/>
            <w:vAlign w:val="bottom"/>
          </w:tcPr>
          <w:p>
            <w:pPr>
              <w:spacing w:after="0" w:line="170"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$13</w:t>
            </w:r>
            <w:r>
              <w:rPr>
                <w:rFonts w:ascii="Arial" w:cs="Arial" w:eastAsia="Arial" w:hAnsi="Arial"/>
                <w:sz w:val="18"/>
                <w:szCs w:val="18"/>
                <w:color w:val="auto"/>
              </w:rPr>
              <w:t xml:space="preserve">, $(3), </w:t>
            </w:r>
            <w:r>
              <w:rPr>
                <w:rFonts w:ascii="Arial" w:cs="Arial" w:eastAsia="Arial" w:hAnsi="Arial"/>
                <w:sz w:val="18"/>
                <w:szCs w:val="18"/>
                <w:b w:val="1"/>
                <w:bCs w:val="1"/>
                <w:color w:val="auto"/>
              </w:rPr>
              <w:t>$2</w:t>
            </w:r>
            <w:r>
              <w:rPr>
                <w:rFonts w:ascii="Arial" w:cs="Arial" w:eastAsia="Arial" w:hAnsi="Arial"/>
                <w:sz w:val="18"/>
                <w:szCs w:val="18"/>
                <w:color w:val="auto"/>
              </w:rPr>
              <w:t>,</w:t>
            </w:r>
          </w:p>
        </w:tc>
        <w:tc>
          <w:tcPr>
            <w:tcW w:w="46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9"/>
        </w:trPr>
        <w:tc>
          <w:tcPr>
            <w:tcW w:w="4480" w:type="dxa"/>
            <w:vAlign w:val="bottom"/>
          </w:tcPr>
          <w:p>
            <w:pPr>
              <w:ind w:left="220"/>
              <w:spacing w:after="0"/>
              <w:rPr>
                <w:sz w:val="20"/>
                <w:szCs w:val="20"/>
                <w:color w:val="auto"/>
              </w:rPr>
            </w:pPr>
            <w:r>
              <w:rPr>
                <w:rFonts w:ascii="Arial" w:cs="Arial" w:eastAsia="Arial" w:hAnsi="Arial"/>
                <w:sz w:val="18"/>
                <w:szCs w:val="18"/>
                <w:color w:val="auto"/>
              </w:rPr>
              <w:t>and $(6)</w:t>
            </w:r>
          </w:p>
        </w:tc>
        <w:tc>
          <w:tcPr>
            <w:tcW w:w="4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Reclassification adjustments for (gains) losses</w:t>
            </w:r>
          </w:p>
        </w:tc>
        <w:tc>
          <w:tcPr>
            <w:tcW w:w="46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(103)</w:t>
            </w:r>
          </w:p>
        </w:tc>
        <w:tc>
          <w:tcPr>
            <w:tcW w:w="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48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8"/>
                <w:szCs w:val="18"/>
                <w:color w:val="auto"/>
              </w:rPr>
              <w:t>14</w:t>
            </w:r>
          </w:p>
        </w:tc>
        <w:tc>
          <w:tcPr>
            <w:tcW w:w="44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(44)</w:t>
            </w:r>
          </w:p>
        </w:tc>
        <w:tc>
          <w:tcPr>
            <w:tcW w:w="2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1"/>
        </w:trPr>
        <w:tc>
          <w:tcPr>
            <w:tcW w:w="44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included in other income (expense), net</w:t>
            </w:r>
          </w:p>
        </w:tc>
        <w:tc>
          <w:tcPr>
            <w:tcW w:w="46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480" w:type="dxa"/>
            <w:vAlign w:val="bottom"/>
            <w:gridSpan w:val="2"/>
            <w:vMerge w:val="continue"/>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line="170" w:lineRule="exact"/>
              <w:rPr>
                <w:sz w:val="20"/>
                <w:szCs w:val="20"/>
                <w:color w:val="auto"/>
              </w:rPr>
            </w:pPr>
            <w:r>
              <w:rPr>
                <w:rFonts w:ascii="Arial" w:cs="Arial" w:eastAsia="Arial" w:hAnsi="Arial"/>
                <w:sz w:val="18"/>
                <w:szCs w:val="18"/>
                <w:color w:val="auto"/>
              </w:rPr>
              <w:t>Tax expense (benefit) included in provision for</w:t>
            </w:r>
          </w:p>
        </w:tc>
        <w:tc>
          <w:tcPr>
            <w:tcW w:w="46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9"/>
        </w:trPr>
        <w:tc>
          <w:tcPr>
            <w:tcW w:w="44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4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E5E5E5"/>
          </w:tcPr>
          <w:p>
            <w:pPr>
              <w:ind w:left="220"/>
              <w:spacing w:after="0" w:line="170" w:lineRule="exact"/>
              <w:rPr>
                <w:sz w:val="20"/>
                <w:szCs w:val="20"/>
                <w:color w:val="auto"/>
              </w:rPr>
            </w:pPr>
            <w:r>
              <w:rPr>
                <w:rFonts w:ascii="Arial" w:cs="Arial" w:eastAsia="Arial" w:hAnsi="Arial"/>
                <w:sz w:val="18"/>
                <w:szCs w:val="18"/>
                <w:color w:val="auto"/>
              </w:rPr>
              <w:t>Amounts reclassified from accumulated other</w:t>
            </w:r>
          </w:p>
        </w:tc>
        <w:tc>
          <w:tcPr>
            <w:tcW w:w="46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(81)</w:t>
            </w:r>
          </w:p>
        </w:tc>
        <w:tc>
          <w:tcPr>
            <w:tcW w:w="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480" w:type="dxa"/>
            <w:vAlign w:val="bottom"/>
            <w:gridSpan w:val="2"/>
            <w:vMerge w:val="restart"/>
            <w:shd w:val="clear" w:color="auto" w:fill="E5E5E5"/>
          </w:tcPr>
          <w:p>
            <w:pPr>
              <w:jc w:val="right"/>
              <w:ind w:right="44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180"/>
              <w:spacing w:after="0"/>
              <w:rPr>
                <w:sz w:val="20"/>
                <w:szCs w:val="20"/>
                <w:color w:val="auto"/>
              </w:rPr>
            </w:pPr>
            <w:r>
              <w:rPr>
                <w:rFonts w:ascii="Arial" w:cs="Arial" w:eastAsia="Arial" w:hAnsi="Arial"/>
                <w:sz w:val="18"/>
                <w:szCs w:val="18"/>
                <w:b w:val="1"/>
                <w:bCs w:val="1"/>
                <w:color w:val="auto"/>
              </w:rPr>
              <w:t>(34)</w:t>
            </w:r>
          </w:p>
        </w:tc>
        <w:tc>
          <w:tcPr>
            <w:tcW w:w="2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0" w:type="dxa"/>
            <w:vAlign w:val="bottom"/>
            <w:gridSpan w:val="2"/>
            <w:vMerge w:val="restart"/>
            <w:shd w:val="clear" w:color="auto" w:fill="E5E5E5"/>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1"/>
        </w:trPr>
        <w:tc>
          <w:tcPr>
            <w:tcW w:w="4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480" w:type="dxa"/>
            <w:vAlign w:val="bottom"/>
            <w:gridSpan w:val="2"/>
            <w:vMerge w:val="continue"/>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$(9)</w:t>
            </w: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tcPr>
          <w:p>
            <w:pPr>
              <w:ind w:left="2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b w:val="1"/>
                <w:bCs w:val="1"/>
                <w:color w:val="auto"/>
              </w:rPr>
              <w:t>, $(8)</w:t>
            </w:r>
            <w:r>
              <w:rPr>
                <w:rFonts w:ascii="Arial" w:cs="Arial" w:eastAsia="Arial" w:hAnsi="Arial"/>
                <w:sz w:val="18"/>
                <w:szCs w:val="18"/>
                <w:color w:val="auto"/>
              </w:rPr>
              <w:t>, and $0</w:t>
            </w:r>
          </w:p>
        </w:tc>
        <w:tc>
          <w:tcPr>
            <w:tcW w:w="4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4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(38)</w:t>
            </w:r>
          </w:p>
        </w:tc>
        <w:tc>
          <w:tcPr>
            <w:tcW w:w="4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(17)</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(38)</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8"/>
        </w:trPr>
        <w:tc>
          <w:tcPr>
            <w:tcW w:w="4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(4,035)</w:t>
            </w:r>
          </w:p>
        </w:tc>
        <w:tc>
          <w:tcPr>
            <w:tcW w:w="4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2,800</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(2,138)</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170"/>
        </w:trPr>
        <w:tc>
          <w:tcPr>
            <w:tcW w:w="4480" w:type="dxa"/>
            <w:vAlign w:val="bottom"/>
          </w:tcPr>
          <w:p>
            <w:pPr>
              <w:spacing w:after="0" w:line="170" w:lineRule="exact"/>
              <w:rPr>
                <w:sz w:val="20"/>
                <w:szCs w:val="20"/>
                <w:color w:val="auto"/>
              </w:rPr>
            </w:pPr>
            <w:r>
              <w:rPr>
                <w:rFonts w:ascii="Arial" w:cs="Arial" w:eastAsia="Arial" w:hAnsi="Arial"/>
                <w:sz w:val="18"/>
                <w:szCs w:val="18"/>
                <w:color w:val="auto"/>
              </w:rPr>
              <w:t xml:space="preserve">Unrealized gains (losses), net of tax of </w:t>
            </w:r>
            <w:r>
              <w:rPr>
                <w:rFonts w:ascii="Arial" w:cs="Arial" w:eastAsia="Arial" w:hAnsi="Arial"/>
                <w:sz w:val="18"/>
                <w:szCs w:val="18"/>
                <w:b w:val="1"/>
                <w:bCs w:val="1"/>
                <w:color w:val="auto"/>
              </w:rPr>
              <w:t>$89</w:t>
            </w:r>
            <w:r>
              <w:rPr>
                <w:rFonts w:ascii="Arial" w:cs="Arial" w:eastAsia="Arial" w:hAnsi="Arial"/>
                <w:sz w:val="18"/>
                <w:szCs w:val="18"/>
                <w:color w:val="auto"/>
              </w:rPr>
              <w:t>, $(197),</w:t>
            </w:r>
          </w:p>
        </w:tc>
        <w:tc>
          <w:tcPr>
            <w:tcW w:w="46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340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(742)</w:t>
            </w:r>
          </w:p>
        </w:tc>
        <w:tc>
          <w:tcPr>
            <w:tcW w:w="4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(1,585)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7"/>
        </w:trPr>
        <w:tc>
          <w:tcPr>
            <w:tcW w:w="4480" w:type="dxa"/>
            <w:vAlign w:val="bottom"/>
          </w:tcPr>
          <w:p>
            <w:pPr>
              <w:ind w:left="220"/>
              <w:spacing w:after="0"/>
              <w:rPr>
                <w:sz w:val="20"/>
                <w:szCs w:val="20"/>
                <w:color w:val="auto"/>
              </w:rPr>
            </w:pPr>
            <w:r>
              <w:rPr>
                <w:rFonts w:ascii="Arial" w:cs="Arial" w:eastAsia="Arial" w:hAnsi="Arial"/>
                <w:sz w:val="18"/>
                <w:szCs w:val="18"/>
                <w:b w:val="1"/>
                <w:bCs w:val="1"/>
                <w:color w:val="auto"/>
              </w:rPr>
              <w:t>$(421)</w:t>
            </w:r>
            <w:r>
              <w:rPr>
                <w:rFonts w:ascii="Arial" w:cs="Arial" w:eastAsia="Arial" w:hAnsi="Arial"/>
                <w:sz w:val="18"/>
                <w:szCs w:val="18"/>
                <w:color w:val="auto"/>
              </w:rPr>
              <w:t>, and $(307)</w:t>
            </w:r>
          </w:p>
        </w:tc>
        <w:tc>
          <w:tcPr>
            <w:tcW w:w="4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4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Reclassification adjustments for (gains) losses</w:t>
            </w:r>
          </w:p>
        </w:tc>
        <w:tc>
          <w:tcPr>
            <w:tcW w:w="46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480" w:type="dxa"/>
            <w:vAlign w:val="bottom"/>
            <w:gridSpan w:val="2"/>
            <w:vMerge w:val="restart"/>
            <w:shd w:val="clear" w:color="auto" w:fill="E5E5E5"/>
          </w:tcPr>
          <w:p>
            <w:pPr>
              <w:jc w:val="right"/>
              <w:ind w:right="3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45</w:t>
            </w:r>
          </w:p>
        </w:tc>
        <w:tc>
          <w:tcPr>
            <w:tcW w:w="2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1"/>
        </w:trPr>
        <w:tc>
          <w:tcPr>
            <w:tcW w:w="44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included in other income (expense), net</w:t>
            </w:r>
          </w:p>
        </w:tc>
        <w:tc>
          <w:tcPr>
            <w:tcW w:w="46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480" w:type="dxa"/>
            <w:vAlign w:val="bottom"/>
            <w:gridSpan w:val="2"/>
            <w:vMerge w:val="continue"/>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480" w:type="dxa"/>
            <w:vAlign w:val="bottom"/>
          </w:tcPr>
          <w:p>
            <w:pPr>
              <w:spacing w:after="0" w:line="170" w:lineRule="exact"/>
              <w:rPr>
                <w:sz w:val="20"/>
                <w:szCs w:val="20"/>
                <w:color w:val="auto"/>
              </w:rPr>
            </w:pPr>
            <w:r>
              <w:rPr>
                <w:rFonts w:ascii="Arial" w:cs="Arial" w:eastAsia="Arial" w:hAnsi="Arial"/>
                <w:sz w:val="18"/>
                <w:szCs w:val="18"/>
                <w:color w:val="auto"/>
              </w:rPr>
              <w:t>Tax expense (benefit) included in provision for</w:t>
            </w:r>
          </w:p>
        </w:tc>
        <w:tc>
          <w:tcPr>
            <w:tcW w:w="4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4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480" w:type="dxa"/>
            <w:vAlign w:val="bottom"/>
            <w:shd w:val="clear" w:color="auto" w:fill="E5E5E5"/>
          </w:tcPr>
          <w:p>
            <w:pPr>
              <w:ind w:left="220"/>
              <w:spacing w:after="0" w:line="170" w:lineRule="exact"/>
              <w:rPr>
                <w:sz w:val="20"/>
                <w:szCs w:val="20"/>
                <w:color w:val="auto"/>
              </w:rPr>
            </w:pPr>
            <w:r>
              <w:rPr>
                <w:rFonts w:ascii="Arial" w:cs="Arial" w:eastAsia="Arial" w:hAnsi="Arial"/>
                <w:sz w:val="18"/>
                <w:szCs w:val="18"/>
                <w:color w:val="auto"/>
              </w:rPr>
              <w:t>Amounts reclassified from accumulated other</w:t>
            </w:r>
          </w:p>
        </w:tc>
        <w:tc>
          <w:tcPr>
            <w:tcW w:w="46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1480" w:type="dxa"/>
            <w:vAlign w:val="bottom"/>
            <w:gridSpan w:val="2"/>
            <w:vMerge w:val="restart"/>
            <w:shd w:val="clear" w:color="auto" w:fill="E5E5E5"/>
          </w:tcPr>
          <w:p>
            <w:pPr>
              <w:jc w:val="right"/>
              <w:ind w:right="380"/>
              <w:spacing w:after="0"/>
              <w:rPr>
                <w:sz w:val="20"/>
                <w:szCs w:val="20"/>
                <w:color w:val="auto"/>
              </w:rPr>
            </w:pPr>
            <w:r>
              <w:rPr>
                <w:rFonts w:ascii="Arial" w:cs="Arial" w:eastAsia="Arial" w:hAnsi="Arial"/>
                <w:sz w:val="18"/>
                <w:szCs w:val="18"/>
                <w:color w:val="auto"/>
              </w:rPr>
              <w:t>(1)</w:t>
            </w:r>
          </w:p>
        </w:tc>
        <w:tc>
          <w:tcPr>
            <w:tcW w:w="440" w:type="dxa"/>
            <w:vAlign w:val="bottom"/>
            <w:shd w:val="clear" w:color="auto" w:fill="E5E5E5"/>
          </w:tcPr>
          <w:p>
            <w:pPr>
              <w:spacing w:after="0"/>
              <w:rPr>
                <w:sz w:val="14"/>
                <w:szCs w:val="14"/>
                <w:color w:val="auto"/>
              </w:rPr>
            </w:pPr>
          </w:p>
        </w:tc>
        <w:tc>
          <w:tcPr>
            <w:tcW w:w="110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b w:val="1"/>
                <w:bCs w:val="1"/>
                <w:color w:val="auto"/>
              </w:rPr>
              <w:t>36</w:t>
            </w:r>
          </w:p>
        </w:tc>
        <w:tc>
          <w:tcPr>
            <w:tcW w:w="200" w:type="dxa"/>
            <w:vAlign w:val="bottom"/>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400" w:type="dxa"/>
            <w:vAlign w:val="bottom"/>
            <w:gridSpan w:val="2"/>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1"/>
        </w:trPr>
        <w:tc>
          <w:tcPr>
            <w:tcW w:w="44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260" w:type="dxa"/>
            <w:vAlign w:val="bottom"/>
            <w:shd w:val="clear" w:color="auto" w:fill="E5E5E5"/>
          </w:tcPr>
          <w:p>
            <w:pPr>
              <w:spacing w:after="0"/>
              <w:rPr>
                <w:sz w:val="19"/>
                <w:szCs w:val="19"/>
                <w:color w:val="auto"/>
              </w:rPr>
            </w:pPr>
          </w:p>
        </w:tc>
        <w:tc>
          <w:tcPr>
            <w:tcW w:w="1480" w:type="dxa"/>
            <w:vAlign w:val="bottom"/>
            <w:gridSpan w:val="2"/>
            <w:vMerge w:val="continue"/>
            <w:shd w:val="clear" w:color="auto" w:fill="E5E5E5"/>
          </w:tcPr>
          <w:p>
            <w:pPr>
              <w:spacing w:after="0"/>
              <w:rPr>
                <w:sz w:val="19"/>
                <w:szCs w:val="19"/>
                <w:color w:val="auto"/>
              </w:rPr>
            </w:pPr>
          </w:p>
        </w:tc>
        <w:tc>
          <w:tcPr>
            <w:tcW w:w="440" w:type="dxa"/>
            <w:vAlign w:val="bottom"/>
            <w:shd w:val="clear" w:color="auto" w:fill="E5E5E5"/>
          </w:tcPr>
          <w:p>
            <w:pPr>
              <w:spacing w:after="0"/>
              <w:rPr>
                <w:sz w:val="19"/>
                <w:szCs w:val="19"/>
                <w:color w:val="auto"/>
              </w:rPr>
            </w:pPr>
          </w:p>
        </w:tc>
        <w:tc>
          <w:tcPr>
            <w:tcW w:w="110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140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$91</w:t>
            </w: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348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(743)</w:t>
            </w:r>
          </w:p>
        </w:tc>
        <w:tc>
          <w:tcPr>
            <w:tcW w:w="440" w:type="dxa"/>
            <w:vAlign w:val="bottom"/>
          </w:tcPr>
          <w:p>
            <w:pPr>
              <w:spacing w:after="0"/>
              <w:rPr>
                <w:sz w:val="20"/>
                <w:szCs w:val="20"/>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(1,549)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7"/>
        </w:trPr>
        <w:tc>
          <w:tcPr>
            <w:tcW w:w="4480" w:type="dxa"/>
            <w:vAlign w:val="bottom"/>
          </w:tcPr>
          <w:p>
            <w:pPr>
              <w:ind w:left="220"/>
              <w:spacing w:after="0"/>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b w:val="1"/>
                <w:bCs w:val="1"/>
                <w:color w:val="auto"/>
              </w:rPr>
              <w:t>$(412)</w:t>
            </w:r>
            <w:r>
              <w:rPr>
                <w:rFonts w:ascii="Arial" w:cs="Arial" w:eastAsia="Arial" w:hAnsi="Arial"/>
                <w:sz w:val="18"/>
                <w:szCs w:val="18"/>
                <w:color w:val="auto"/>
              </w:rPr>
              <w:t>, and $(309)</w:t>
            </w:r>
          </w:p>
        </w:tc>
        <w:tc>
          <w:tcPr>
            <w:tcW w:w="4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4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(3,687)</w:t>
            </w:r>
          </w:p>
        </w:tc>
        <w:tc>
          <w:tcPr>
            <w:tcW w:w="4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2,057</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(3,687)</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68"/>
        </w:trPr>
        <w:tc>
          <w:tcPr>
            <w:tcW w:w="4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(3,302)</w:t>
            </w:r>
          </w:p>
        </w:tc>
        <w:tc>
          <w:tcPr>
            <w:tcW w:w="4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(1,500)</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(2,527)</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170"/>
        </w:trPr>
        <w:tc>
          <w:tcPr>
            <w:tcW w:w="4480" w:type="dxa"/>
            <w:vAlign w:val="bottom"/>
          </w:tcPr>
          <w:p>
            <w:pPr>
              <w:spacing w:after="0" w:line="170" w:lineRule="exact"/>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w:t>
            </w:r>
          </w:p>
        </w:tc>
        <w:tc>
          <w:tcPr>
            <w:tcW w:w="460" w:type="dxa"/>
            <w:vAlign w:val="bottom"/>
          </w:tcPr>
          <w:p>
            <w:pPr>
              <w:spacing w:after="0"/>
              <w:rPr>
                <w:sz w:val="14"/>
                <w:szCs w:val="14"/>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570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(205)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7"/>
        </w:trPr>
        <w:tc>
          <w:tcPr>
            <w:tcW w:w="4480" w:type="dxa"/>
            <w:vAlign w:val="bottom"/>
          </w:tcPr>
          <w:p>
            <w:pPr>
              <w:ind w:left="220"/>
              <w:spacing w:after="0"/>
              <w:rPr>
                <w:sz w:val="20"/>
                <w:szCs w:val="20"/>
                <w:color w:val="auto"/>
              </w:rPr>
            </w:pPr>
            <w:r>
              <w:rPr>
                <w:rFonts w:ascii="Arial" w:cs="Arial" w:eastAsia="Arial" w:hAnsi="Arial"/>
                <w:sz w:val="18"/>
                <w:szCs w:val="18"/>
                <w:color w:val="auto"/>
              </w:rPr>
              <w:t xml:space="preserve">$0, </w:t>
            </w:r>
            <w:r>
              <w:rPr>
                <w:rFonts w:ascii="Arial" w:cs="Arial" w:eastAsia="Arial" w:hAnsi="Arial"/>
                <w:sz w:val="18"/>
                <w:szCs w:val="18"/>
                <w:b w:val="1"/>
                <w:bCs w:val="1"/>
                <w:color w:val="auto"/>
              </w:rPr>
              <w:t>$0</w:t>
            </w:r>
            <w:r>
              <w:rPr>
                <w:rFonts w:ascii="Arial" w:cs="Arial" w:eastAsia="Arial" w:hAnsi="Arial"/>
                <w:sz w:val="18"/>
                <w:szCs w:val="18"/>
                <w:color w:val="auto"/>
              </w:rPr>
              <w:t>, and $0</w:t>
            </w:r>
          </w:p>
        </w:tc>
        <w:tc>
          <w:tcPr>
            <w:tcW w:w="4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4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46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(2,732)</w:t>
            </w:r>
          </w:p>
        </w:tc>
        <w:tc>
          <w:tcPr>
            <w:tcW w:w="4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(1,603)</w:t>
            </w:r>
          </w:p>
        </w:tc>
        <w:tc>
          <w:tcPr>
            <w:tcW w:w="44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(2,732)</w:t>
            </w:r>
          </w:p>
        </w:tc>
        <w:tc>
          <w:tcPr>
            <w:tcW w:w="3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68"/>
        </w:trPr>
        <w:tc>
          <w:tcPr>
            <w:tcW w:w="44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(6,457)</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437</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(6,457)</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20"/>
              <w:spacing w:after="0"/>
              <w:rPr>
                <w:sz w:val="20"/>
                <w:szCs w:val="20"/>
                <w:color w:val="auto"/>
              </w:rPr>
            </w:pPr>
            <w:r>
              <w:rPr>
                <w:rFonts w:ascii="Arial" w:cs="Arial" w:eastAsia="Arial" w:hAnsi="Arial"/>
                <w:sz w:val="18"/>
                <w:szCs w:val="18"/>
                <w:color w:val="auto"/>
              </w:rPr>
              <w:t>end of period</w:t>
            </w:r>
          </w:p>
        </w:tc>
        <w:tc>
          <w:tcPr>
            <w:tcW w:w="46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44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9"/>
        </w:trPr>
        <w:tc>
          <w:tcPr>
            <w:tcW w:w="4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4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have recast certain prior period amounts to conform to the way we internally manage and monitor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5" w:lineRule="exact"/>
        <w:rPr>
          <w:sz w:val="20"/>
          <w:szCs w:val="20"/>
          <w:color w:val="auto"/>
        </w:rPr>
      </w:pPr>
    </w:p>
    <w:p>
      <w:pPr>
        <w:jc w:val="both"/>
        <w:ind w:left="1060" w:hanging="391"/>
        <w:spacing w:after="0" w:line="25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Microsoft Viva.</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6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5" w:lineRule="exact"/>
        <w:rPr>
          <w:sz w:val="20"/>
          <w:szCs w:val="20"/>
          <w:color w:val="auto"/>
        </w:rPr>
      </w:pPr>
    </w:p>
    <w:p>
      <w:pPr>
        <w:ind w:left="1060" w:hanging="391"/>
        <w:spacing w:after="0" w:line="271"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Microsoft Consulting Services, and Nuance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jc w:val="both"/>
        <w:ind w:left="1060" w:right="20" w:hanging="391"/>
        <w:spacing w:after="0" w:line="253"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Windows, including Windows original equipment manufacturer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Devices, including Surface, HoloLens, and PC accessories.</w:t>
      </w:r>
    </w:p>
    <w:p>
      <w:pPr>
        <w:spacing w:after="0" w:line="63" w:lineRule="exact"/>
        <w:rPr>
          <w:rFonts w:ascii="Arial" w:cs="Arial" w:eastAsia="Arial" w:hAnsi="Arial"/>
          <w:sz w:val="18"/>
          <w:szCs w:val="18"/>
          <w:color w:val="auto"/>
        </w:rPr>
      </w:pPr>
    </w:p>
    <w:p>
      <w:pPr>
        <w:jc w:val="both"/>
        <w:ind w:left="1060" w:hanging="391"/>
        <w:spacing w:after="0" w:line="253"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third-party disc royalties, advertising, and other cloud services.</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incurred at a corporate level that benefit our segments are allocated to them. These allocated costs include legal, including settlements and fines, information technology, human resources, finance, excise taxes, field selling, shared facilities services, customer service and support, and severance. Each allocation is measured differently based on the specific facts and circumstances of the costs being allocated and is generally based on relative gross margin or relative headcount.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3"/>
                <w:szCs w:val="13"/>
                <w:color w:val="auto"/>
              </w:rPr>
            </w:pPr>
          </w:p>
        </w:tc>
        <w:tc>
          <w:tcPr>
            <w:tcW w:w="228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5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59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17,002</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15,936</w:t>
            </w:r>
          </w:p>
        </w:tc>
        <w:tc>
          <w:tcPr>
            <w:tcW w:w="4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33,467</w:t>
            </w:r>
          </w:p>
        </w:tc>
        <w:tc>
          <w:tcPr>
            <w:tcW w:w="32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30,975</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21,508</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18,262</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41,833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14,237</w:t>
            </w: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17,530</w:t>
            </w: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27,569</w:t>
            </w:r>
          </w:p>
        </w:tc>
        <w:tc>
          <w:tcPr>
            <w:tcW w:w="1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30,896</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94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52,747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51,728</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102,869</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97,045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594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8,175</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7,688</w:t>
            </w:r>
          </w:p>
        </w:tc>
        <w:tc>
          <w:tcPr>
            <w:tcW w:w="44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16,498</w:t>
            </w:r>
          </w:p>
        </w:tc>
        <w:tc>
          <w:tcPr>
            <w:tcW w:w="32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15,269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8,904</w:t>
            </w:r>
          </w:p>
        </w:tc>
        <w:tc>
          <w:tcPr>
            <w:tcW w:w="1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8,323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17,882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3,320</w:t>
            </w:r>
          </w:p>
        </w:tc>
        <w:tc>
          <w:tcPr>
            <w:tcW w:w="1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6,236</w:t>
            </w:r>
          </w:p>
        </w:tc>
        <w:tc>
          <w:tcPr>
            <w:tcW w:w="16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7,537</w:t>
            </w:r>
          </w:p>
        </w:tc>
        <w:tc>
          <w:tcPr>
            <w:tcW w:w="1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11,212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9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40" w:type="dxa"/>
            <w:vAlign w:val="bottom"/>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20,399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22,247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41,917</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42,485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594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or six months ended December 31, 2022 or 2021. Revenue, classified by the major geographic areas in which our customers were located,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12"/>
                <w:szCs w:val="12"/>
                <w:color w:val="auto"/>
              </w:rPr>
            </w:pPr>
          </w:p>
        </w:tc>
        <w:tc>
          <w:tcPr>
            <w:tcW w:w="232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ind w:lef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6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60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6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26,976</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26,463</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52,843</w:t>
            </w:r>
          </w:p>
        </w:tc>
        <w:tc>
          <w:tcPr>
            <w:tcW w:w="300" w:type="dxa"/>
            <w:vAlign w:val="bottom"/>
            <w:gridSpan w:val="2"/>
            <w:shd w:val="clear" w:color="auto" w:fill="E5E5E5"/>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49,293</w:t>
            </w:r>
          </w:p>
        </w:tc>
        <w:tc>
          <w:tcPr>
            <w:tcW w:w="0" w:type="dxa"/>
            <w:vAlign w:val="bottom"/>
          </w:tcPr>
          <w:p>
            <w:pPr>
              <w:spacing w:after="0"/>
              <w:rPr>
                <w:sz w:val="1"/>
                <w:szCs w:val="1"/>
                <w:color w:val="auto"/>
              </w:rPr>
            </w:pPr>
          </w:p>
        </w:tc>
      </w:tr>
      <w:tr>
        <w:trPr>
          <w:trHeight w:val="247"/>
        </w:trPr>
        <w:tc>
          <w:tcPr>
            <w:tcW w:w="6000" w:type="dxa"/>
            <w:vAlign w:val="bottom"/>
          </w:tcPr>
          <w:p>
            <w:pPr>
              <w:spacing w:after="0"/>
              <w:rPr>
                <w:sz w:val="20"/>
                <w:szCs w:val="20"/>
                <w:color w:val="auto"/>
              </w:rPr>
            </w:pPr>
            <w:r>
              <w:rPr>
                <w:rFonts w:ascii="Arial" w:cs="Arial" w:eastAsia="Arial" w:hAnsi="Arial"/>
                <w:sz w:val="18"/>
                <w:szCs w:val="18"/>
                <w:color w:val="auto"/>
              </w:rPr>
              <w:t>Other countries</w:t>
            </w: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25,265</w:t>
            </w:r>
          </w:p>
        </w:tc>
        <w:tc>
          <w:tcPr>
            <w:tcW w:w="3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50,026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47,752</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6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36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52,747</w:t>
            </w:r>
          </w:p>
        </w:tc>
        <w:tc>
          <w:tcPr>
            <w:tcW w:w="2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color w:val="auto"/>
              </w:rPr>
              <w:t>51,728</w:t>
            </w:r>
          </w:p>
        </w:tc>
        <w:tc>
          <w:tcPr>
            <w:tcW w:w="3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102,869</w:t>
            </w:r>
          </w:p>
        </w:tc>
        <w:tc>
          <w:tcPr>
            <w:tcW w:w="300" w:type="dxa"/>
            <w:vAlign w:val="bottom"/>
            <w:gridSpan w:val="2"/>
            <w:shd w:val="clear" w:color="auto" w:fill="E5E5E5"/>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97,045</w:t>
            </w:r>
          </w:p>
        </w:tc>
        <w:tc>
          <w:tcPr>
            <w:tcW w:w="0" w:type="dxa"/>
            <w:vAlign w:val="bottom"/>
          </w:tcPr>
          <w:p>
            <w:pPr>
              <w:spacing w:after="0"/>
              <w:rPr>
                <w:sz w:val="1"/>
                <w:szCs w:val="1"/>
                <w:color w:val="auto"/>
              </w:rPr>
            </w:pPr>
          </w:p>
        </w:tc>
      </w:tr>
      <w:tr>
        <w:trPr>
          <w:trHeight w:val="75"/>
        </w:trPr>
        <w:tc>
          <w:tcPr>
            <w:tcW w:w="60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40" w:right="20" w:hanging="532"/>
        <w:spacing w:after="0" w:line="26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4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4"/>
        </w:trPr>
        <w:tc>
          <w:tcPr>
            <w:tcW w:w="44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4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Server products and cloud services</w:t>
            </w:r>
          </w:p>
        </w:tc>
        <w:tc>
          <w:tcPr>
            <w:tcW w:w="196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19,594</w:t>
            </w:r>
          </w:p>
        </w:tc>
        <w:tc>
          <w:tcPr>
            <w:tcW w:w="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16,382</w:t>
            </w:r>
          </w:p>
        </w:tc>
        <w:tc>
          <w:tcPr>
            <w:tcW w:w="3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37,982</w:t>
            </w:r>
          </w:p>
        </w:tc>
        <w:tc>
          <w:tcPr>
            <w:tcW w:w="3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31,452</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Office products and cloud services</w:t>
            </w: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11,837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23,385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22,059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Windows</w:t>
            </w:r>
          </w:p>
        </w:tc>
        <w:tc>
          <w:tcPr>
            <w:tcW w:w="16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4,808</w:t>
            </w:r>
          </w:p>
        </w:tc>
        <w:tc>
          <w:tcPr>
            <w:tcW w:w="1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6,594</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10,121</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12,268</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Gaming</w:t>
            </w: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4,758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9,035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LinkedIn</w:t>
            </w:r>
          </w:p>
        </w:tc>
        <w:tc>
          <w:tcPr>
            <w:tcW w:w="16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3,876</w:t>
            </w:r>
          </w:p>
        </w:tc>
        <w:tc>
          <w:tcPr>
            <w:tcW w:w="1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3,531</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7,539</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6,667</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Search and news advertising</w:t>
            </w: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3,223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6,151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Enterprise Services</w:t>
            </w:r>
          </w:p>
        </w:tc>
        <w:tc>
          <w:tcPr>
            <w:tcW w:w="16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1,862</w:t>
            </w:r>
          </w:p>
        </w:tc>
        <w:tc>
          <w:tcPr>
            <w:tcW w:w="1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1,823</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3,738</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3,614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Devices</w:t>
            </w: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1,430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2,878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16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1,359</w:t>
            </w:r>
          </w:p>
        </w:tc>
        <w:tc>
          <w:tcPr>
            <w:tcW w:w="1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1,284</w:t>
            </w: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2,707</w:t>
            </w:r>
          </w:p>
        </w:tc>
        <w:tc>
          <w:tcPr>
            <w:tcW w:w="1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2,459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42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4420" w:type="dxa"/>
            <w:vAlign w:val="bottom"/>
          </w:tcPr>
          <w:p>
            <w:pPr>
              <w:ind w:left="220"/>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52,747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51,728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102,869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97,045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44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Microsoft Cloud revenue, which includes Azure and other cloud services, Office 365 Commercial, the commercial portion of LinkedIn, Dynamics 365, and other commercial cloud properties, was $27.1 billion and $52.8 billion for the three and six months ended December 31, 2022, respectively, and $22.2 billion and $42.9 billion for the three and six months ended December 31, 2021, respectively. These amounts are primarily included in Server products and cloud services, Office products and cloud services, and LinkedIn in the table above.</w:t>
      </w:r>
    </w:p>
    <w:p>
      <w:pPr>
        <w:spacing w:after="0" w:line="12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520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ind w:right="4600"/>
        <w:spacing w:after="0" w:line="472"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Microsoft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December 31, 2022, the related consolidated statements of income, comprehensive income, cash flows, and stockholders’ equity for the three-month and six-month periods ended December 31, 2022 and 2021,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2022, and the related consolidated statements of income, comprehensive income, cash flows, and stockholders' equity for the year then ended (not presented herein); and in our report dated July 28, 2022, we expressed an unqualified opinion on those consolidated financial statements. In our opinion, the information set forth in the accompanying consolidated balance sheet as of June 30, 2022, is fairly stated, in all material respects, in relation to the consolidated balance sheet from which it has been derived.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25" w:right="67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90" w:lineRule="exact"/>
        <w:rPr>
          <w:sz w:val="20"/>
          <w:szCs w:val="20"/>
          <w:color w:val="auto"/>
        </w:rPr>
      </w:pPr>
    </w:p>
    <w:p>
      <w:pPr>
        <w:jc w:val="center"/>
        <w:ind w:left="340" w:right="380"/>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2022, and our financial statements and the accompanying Notes to Financial Statements (Part I, Item 1 of this Form 10-Q).</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We are creating the platforms and tools that deliver better, faster, and more effective solutions to support new startups, improve educational and health outcomes, and empower human ingenuity.</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second quarter of fiscal year 2023 compared with the second quarter of fiscal year 2022 included:</w:t>
      </w:r>
    </w:p>
    <w:p>
      <w:pPr>
        <w:spacing w:after="0" w:line="77" w:lineRule="exact"/>
        <w:rPr>
          <w:sz w:val="20"/>
          <w:szCs w:val="20"/>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revenue increased 22% to $27.1 billion.</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products and cloud services revenue increased 7% driven by Office 365 Commercial growth of 11%.</w:t>
      </w:r>
    </w:p>
    <w:p>
      <w:pPr>
        <w:spacing w:after="0" w:line="10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products and cloud services revenue decreased 2% and Microsoft 365 Consumer subscribers increased to 63.2 million.</w:t>
      </w:r>
    </w:p>
    <w:p>
      <w:pPr>
        <w:spacing w:after="0" w:line="5"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10%.</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13% driven by Dynamics 365 growth of 21%.</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20% driven by Azure and other cloud services growth of 31%.</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Windows original equipment manufacturer licensing (“Windows OEM”) revenue decreased 39%.</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Windows Commercial products and cloud services revenue decreased 3%.</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Xbox content and services revenue decreased 12%.</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excluding traffic acquisition costs increased 10%.</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Devices revenue decreased 39%.</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and/or manufacturers could lead to a similar disruption in our ability to manufacture devices on time to meet consumer demand.</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reduced reported revenue and expenses from our international operations for the three and six months ended December 31, 2022.</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18, 2023, we announced decisions we made to align our cost structure with our revenue and customer demand, prioritize our investments in strategic areas, and consolidate office space. As a result, we recorded a $1.2 billion charge in the second quarter of fiscal year 2023 (“Q2 charge”), which included employee severance expenses of $800 million, impairment charges resulting from changes to our hardware portfolio, and costs related to lease consolidation activities. First, we are reducing our overall workforce by approximately 10,000 jobs through the third quarter of fiscal year 2023, which represents less than 5% of our total employee base. While we are eliminating roles in some areas, we will continue to hire in key strategic areas. Second, we are allocating both our capital and talent to areas of secular growth and long-term competitiveness, while divesting in other areas. Third, we are consolidating our leases to create higher density across our workspaces, which will also impact our financial results through the remainder of fiscal year 2023, and we may make similar decisions in future periods as we continue to evaluate our real estate needs.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Refer to Risk Factors (Part II, Item 1A of this Form 10-Q) for a discussion of these factors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the three months ended December 31, 2022 was an increase in operating income of $945 million and net income of $768 million, or $0.10 per both basic and diluted share. The effect of this change for the six months ended December 31, 2022 was an increase in operating income of $2.0 billion and net income of $ 1.6 billion, or $0.22 per both basic and diluted share. It is estimated this change will increase our fiscal year 2023 annual operating income by $3.7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We have recast certain prior period amounts to conform to the way we internally manage and monitor our business.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2023, we made updates to the presentation and method of calculation for certain metrics, most notably expanding our Surface metric into a broader Devices metric to incorporate additional revenue streams, along with other minor changes to align with how we manage our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39"/>
        </w:trPr>
        <w:tc>
          <w:tcPr>
            <w:tcW w:w="4180" w:type="dxa"/>
            <w:vAlign w:val="bottom"/>
          </w:tcPr>
          <w:p>
            <w:pPr>
              <w:spacing w:after="0"/>
              <w:rPr>
                <w:sz w:val="20"/>
                <w:szCs w:val="20"/>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34"/>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rPr>
              <w:t>Revenue  from  Azure  and  other  cloud  services,  Office  365  Commercial,  the</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commercial  portion  of  LinkedIn,  Dynamics  365,  and  other  commercial  cloud</w:t>
            </w:r>
          </w:p>
        </w:tc>
      </w:tr>
      <w:tr>
        <w:trPr>
          <w:trHeight w:val="239"/>
        </w:trPr>
        <w:tc>
          <w:tcPr>
            <w:tcW w:w="4180" w:type="dxa"/>
            <w:vAlign w:val="bottom"/>
          </w:tcPr>
          <w:p>
            <w:pPr>
              <w:spacing w:after="0"/>
              <w:rPr>
                <w:sz w:val="20"/>
                <w:szCs w:val="20"/>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properties</w:t>
            </w: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Microsoft Cloud business</w:t>
            </w:r>
          </w:p>
        </w:tc>
      </w:tr>
      <w:tr>
        <w:trPr>
          <w:trHeight w:val="582"/>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33</w:t>
            </w:r>
          </w:p>
        </w:tc>
      </w:tr>
      <w:tr>
        <w:trPr>
          <w:trHeight w:val="96"/>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27" w:lineRule="exact"/>
        <w:rPr>
          <w:sz w:val="20"/>
          <w:szCs w:val="20"/>
          <w:color w:val="auto"/>
        </w:rPr>
      </w:pPr>
    </w:p>
    <w:p>
      <w:pPr>
        <w:jc w:val="both"/>
        <w:ind w:left="5320" w:hanging="5142"/>
        <w:spacing w:after="0" w:line="244"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Microsoft Viva</w:t>
      </w:r>
    </w:p>
    <w:p>
      <w:pPr>
        <w:sectPr>
          <w:pgSz w:w="11900" w:h="16838" w:orient="portrait"/>
          <w:cols w:equalWidth="0" w:num="1">
            <w:col w:w="11240"/>
          </w:cols>
          <w:pgMar w:left="320" w:top="125" w:right="339" w:bottom="1440" w:gutter="0" w:footer="0" w:header="0"/>
        </w:sectPr>
      </w:pPr>
    </w:p>
    <w:p>
      <w:pPr>
        <w:spacing w:after="0" w:line="2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Office Consumer products and cloud services, including Microsoft 365 Consumer subscriptions, Office licensed on-premises, and other Office services</w:t>
      </w:r>
    </w:p>
    <w:p>
      <w:pPr>
        <w:spacing w:after="0" w:line="20" w:lineRule="exact"/>
        <w:rPr>
          <w:sz w:val="20"/>
          <w:szCs w:val="20"/>
          <w:color w:val="auto"/>
        </w:rPr>
      </w:pPr>
    </w:p>
    <w:p>
      <w:pPr>
        <w:sectPr>
          <w:pgSz w:w="11900" w:h="16838" w:orient="portrait"/>
          <w:cols w:equalWidth="0" w:num="2">
            <w:col w:w="5080" w:space="24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5"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number of Microsoft 365 Consumer subscribers at end of period</w:t>
      </w:r>
    </w:p>
    <w:p>
      <w:pPr>
        <w:spacing w:after="0" w:line="75"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Customer Insights, Power Apps, and Power Automate; and on-premises ERP and CRM applications</w:t>
      </w:r>
    </w:p>
    <w:p>
      <w:pPr>
        <w:spacing w:after="0" w:line="25"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Revenue from LinkedIn, including Talent Solutions, Marketing Solutions, Premium Subscriptions, and Sales Solutions</w:t>
      </w:r>
    </w:p>
    <w:p>
      <w:pPr>
        <w:spacing w:after="0" w:line="5"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Revenue from Server products and cloud services, including Azure and other cloud services; SQL Server, Windows Server, Visual Studio, System Center, and related Client Access Licenses (“CALs”); and Nuance and GitHub</w:t>
      </w:r>
    </w:p>
    <w:p>
      <w:pPr>
        <w:spacing w:after="0" w:line="200"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25" w:right="339" w:bottom="1440" w:gutter="0" w:footer="0" w:header="0"/>
          <w:type w:val="continuous"/>
        </w:sectPr>
      </w:pPr>
    </w:p>
    <w:p>
      <w:pPr>
        <w:spacing w:after="0" w:line="1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revenue growth</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from sales of Windows Pro and non-Pro licenses sold through the OEM channel</w:t>
      </w:r>
    </w:p>
    <w:p>
      <w:pPr>
        <w:spacing w:after="0" w:line="5" w:lineRule="exact"/>
        <w:rPr>
          <w:sz w:val="20"/>
          <w:szCs w:val="20"/>
          <w:color w:val="auto"/>
        </w:rPr>
      </w:pPr>
    </w:p>
    <w:p>
      <w:pPr>
        <w:sectPr>
          <w:pgSz w:w="11900" w:h="16838" w:orient="portrait"/>
          <w:cols w:equalWidth="0" w:num="2">
            <w:col w:w="4860" w:space="720"/>
            <w:col w:w="5660"/>
          </w:cols>
          <w:pgMar w:left="320" w:top="125" w:right="339" w:bottom="1440" w:gutter="0" w:footer="0" w:header="0"/>
          <w:type w:val="continuous"/>
        </w:sectPr>
      </w:pPr>
    </w:p>
    <w:p>
      <w:pPr>
        <w:jc w:val="both"/>
        <w:ind w:left="5580" w:hanging="5412"/>
        <w:spacing w:after="0" w:line="253" w:lineRule="auto"/>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ind w:left="180"/>
              <w:spacing w:after="0"/>
              <w:rPr>
                <w:sz w:val="20"/>
                <w:szCs w:val="20"/>
                <w:color w:val="auto"/>
              </w:rPr>
            </w:pPr>
            <w:r>
              <w:rPr>
                <w:rFonts w:ascii="Arial" w:cs="Arial" w:eastAsia="Arial" w:hAnsi="Arial"/>
                <w:sz w:val="18"/>
                <w:szCs w:val="18"/>
                <w:color w:val="auto"/>
              </w:rPr>
              <w:t>Devices revenue growth</w:t>
            </w:r>
          </w:p>
        </w:tc>
        <w:tc>
          <w:tcPr>
            <w:tcW w:w="6200" w:type="dxa"/>
            <w:vAlign w:val="bottom"/>
          </w:tcPr>
          <w:p>
            <w:pPr>
              <w:ind w:left="540"/>
              <w:spacing w:after="0"/>
              <w:rPr>
                <w:sz w:val="20"/>
                <w:szCs w:val="20"/>
                <w:color w:val="auto"/>
              </w:rPr>
            </w:pPr>
            <w:r>
              <w:rPr>
                <w:rFonts w:ascii="Arial" w:cs="Arial" w:eastAsia="Arial" w:hAnsi="Arial"/>
                <w:sz w:val="18"/>
                <w:szCs w:val="18"/>
                <w:color w:val="auto"/>
              </w:rPr>
              <w:t>Revenue  from  Devices,  including  Surface,  HoloLens,  and  PC</w:t>
            </w:r>
          </w:p>
        </w:tc>
      </w:tr>
      <w:tr>
        <w:trPr>
          <w:trHeight w:val="239"/>
        </w:trPr>
        <w:tc>
          <w:tcPr>
            <w:tcW w:w="50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accessories</w:t>
            </w:r>
          </w:p>
        </w:tc>
      </w:tr>
      <w:tr>
        <w:trPr>
          <w:trHeight w:val="234"/>
        </w:trPr>
        <w:tc>
          <w:tcPr>
            <w:tcW w:w="504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6200" w:type="dxa"/>
            <w:vAlign w:val="bottom"/>
          </w:tcPr>
          <w:p>
            <w:pPr>
              <w:ind w:left="540"/>
              <w:spacing w:after="0"/>
              <w:rPr>
                <w:sz w:val="20"/>
                <w:szCs w:val="20"/>
                <w:color w:val="auto"/>
              </w:rPr>
            </w:pPr>
            <w:r>
              <w:rPr>
                <w:rFonts w:ascii="Arial" w:cs="Arial" w:eastAsia="Arial" w:hAnsi="Arial"/>
                <w:sz w:val="18"/>
                <w:szCs w:val="18"/>
                <w:color w:val="auto"/>
              </w:rPr>
              <w:t>Revenue from Xbox content and services, comprising first- and third-</w:t>
            </w:r>
          </w:p>
        </w:tc>
      </w:tr>
      <w:tr>
        <w:trPr>
          <w:trHeight w:val="203"/>
        </w:trPr>
        <w:tc>
          <w:tcPr>
            <w:tcW w:w="5040" w:type="dxa"/>
            <w:vAlign w:val="bottom"/>
          </w:tcPr>
          <w:p>
            <w:pPr>
              <w:spacing w:after="0"/>
              <w:rPr>
                <w:sz w:val="17"/>
                <w:szCs w:val="17"/>
                <w:color w:val="auto"/>
              </w:rPr>
            </w:pPr>
          </w:p>
        </w:tc>
        <w:tc>
          <w:tcPr>
            <w:tcW w:w="6200" w:type="dxa"/>
            <w:vAlign w:val="bottom"/>
          </w:tcPr>
          <w:p>
            <w:pPr>
              <w:ind w:left="540"/>
              <w:spacing w:after="0" w:line="202" w:lineRule="exact"/>
              <w:rPr>
                <w:sz w:val="20"/>
                <w:szCs w:val="20"/>
                <w:color w:val="auto"/>
              </w:rPr>
            </w:pPr>
            <w:r>
              <w:rPr>
                <w:rFonts w:ascii="Arial" w:cs="Arial" w:eastAsia="Arial" w:hAnsi="Arial"/>
                <w:sz w:val="18"/>
                <w:szCs w:val="18"/>
                <w:color w:val="auto"/>
              </w:rPr>
              <w:t>party content (including games and in-game content), Xbox Game</w:t>
            </w:r>
          </w:p>
        </w:tc>
      </w:tr>
      <w:tr>
        <w:trPr>
          <w:trHeight w:val="203"/>
        </w:trPr>
        <w:tc>
          <w:tcPr>
            <w:tcW w:w="5040" w:type="dxa"/>
            <w:vAlign w:val="bottom"/>
          </w:tcPr>
          <w:p>
            <w:pPr>
              <w:spacing w:after="0"/>
              <w:rPr>
                <w:sz w:val="17"/>
                <w:szCs w:val="17"/>
                <w:color w:val="auto"/>
              </w:rPr>
            </w:pPr>
          </w:p>
        </w:tc>
        <w:tc>
          <w:tcPr>
            <w:tcW w:w="6200" w:type="dxa"/>
            <w:vAlign w:val="bottom"/>
          </w:tcPr>
          <w:p>
            <w:pPr>
              <w:ind w:left="540"/>
              <w:spacing w:after="0" w:line="202" w:lineRule="exact"/>
              <w:rPr>
                <w:sz w:val="20"/>
                <w:szCs w:val="20"/>
                <w:color w:val="auto"/>
              </w:rPr>
            </w:pPr>
            <w:r>
              <w:rPr>
                <w:rFonts w:ascii="Arial" w:cs="Arial" w:eastAsia="Arial" w:hAnsi="Arial"/>
                <w:sz w:val="18"/>
                <w:szCs w:val="18"/>
                <w:color w:val="auto"/>
              </w:rPr>
              <w:t>Pass and other subscriptions, Xbox Cloud Gaming, third-party disc</w:t>
            </w:r>
          </w:p>
        </w:tc>
      </w:tr>
      <w:tr>
        <w:trPr>
          <w:trHeight w:val="239"/>
        </w:trPr>
        <w:tc>
          <w:tcPr>
            <w:tcW w:w="50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royalties, advertising, and other cloud services</w:t>
            </w:r>
          </w:p>
        </w:tc>
      </w:tr>
      <w:tr>
        <w:trPr>
          <w:trHeight w:val="234"/>
        </w:trPr>
        <w:tc>
          <w:tcPr>
            <w:tcW w:w="5040" w:type="dxa"/>
            <w:vAlign w:val="bottom"/>
          </w:tcPr>
          <w:p>
            <w:pPr>
              <w:ind w:left="180"/>
              <w:spacing w:after="0"/>
              <w:rPr>
                <w:sz w:val="20"/>
                <w:szCs w:val="20"/>
                <w:color w:val="auto"/>
              </w:rPr>
            </w:pPr>
            <w:r>
              <w:rPr>
                <w:rFonts w:ascii="Arial" w:cs="Arial" w:eastAsia="Arial" w:hAnsi="Arial"/>
                <w:sz w:val="18"/>
                <w:szCs w:val="18"/>
                <w:color w:val="auto"/>
              </w:rPr>
              <w:t>Search and news advertising revenue (ex TAC) growth</w:t>
            </w:r>
          </w:p>
        </w:tc>
        <w:tc>
          <w:tcPr>
            <w:tcW w:w="6200" w:type="dxa"/>
            <w:vAlign w:val="bottom"/>
          </w:tcPr>
          <w:p>
            <w:pPr>
              <w:ind w:left="540"/>
              <w:spacing w:after="0"/>
              <w:rPr>
                <w:sz w:val="20"/>
                <w:szCs w:val="20"/>
                <w:color w:val="auto"/>
              </w:rPr>
            </w:pPr>
            <w:r>
              <w:rPr>
                <w:rFonts w:ascii="Arial" w:cs="Arial" w:eastAsia="Arial" w:hAnsi="Arial"/>
                <w:sz w:val="18"/>
                <w:szCs w:val="18"/>
                <w:color w:val="auto"/>
              </w:rPr>
              <w:t>Revenue  from  search  and  news  advertising  excluding  traffic</w:t>
            </w:r>
          </w:p>
        </w:tc>
      </w:tr>
      <w:tr>
        <w:trPr>
          <w:trHeight w:val="203"/>
        </w:trPr>
        <w:tc>
          <w:tcPr>
            <w:tcW w:w="5040" w:type="dxa"/>
            <w:vAlign w:val="bottom"/>
          </w:tcPr>
          <w:p>
            <w:pPr>
              <w:spacing w:after="0"/>
              <w:rPr>
                <w:sz w:val="17"/>
                <w:szCs w:val="17"/>
                <w:color w:val="auto"/>
              </w:rPr>
            </w:pPr>
          </w:p>
        </w:tc>
        <w:tc>
          <w:tcPr>
            <w:tcW w:w="6200" w:type="dxa"/>
            <w:vAlign w:val="bottom"/>
          </w:tcPr>
          <w:p>
            <w:pPr>
              <w:ind w:left="540"/>
              <w:spacing w:after="0" w:line="202" w:lineRule="exact"/>
              <w:rPr>
                <w:sz w:val="20"/>
                <w:szCs w:val="20"/>
                <w:color w:val="auto"/>
              </w:rPr>
            </w:pPr>
            <w:r>
              <w:rPr>
                <w:rFonts w:ascii="Arial" w:cs="Arial" w:eastAsia="Arial" w:hAnsi="Arial"/>
                <w:sz w:val="18"/>
                <w:szCs w:val="18"/>
                <w:color w:val="auto"/>
              </w:rPr>
              <w:t>acquisition costs (“TAC”) paid to Bing Ads network publishers and</w:t>
            </w:r>
          </w:p>
        </w:tc>
      </w:tr>
      <w:tr>
        <w:trPr>
          <w:trHeight w:val="239"/>
        </w:trPr>
        <w:tc>
          <w:tcPr>
            <w:tcW w:w="50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news partners</w:t>
            </w:r>
          </w:p>
        </w:tc>
      </w:tr>
      <w:tr>
        <w:trPr>
          <w:trHeight w:val="582"/>
        </w:trPr>
        <w:tc>
          <w:tcPr>
            <w:tcW w:w="5040" w:type="dxa"/>
            <w:vAlign w:val="bottom"/>
          </w:tcPr>
          <w:p>
            <w:pPr>
              <w:spacing w:after="0"/>
              <w:rPr>
                <w:sz w:val="24"/>
                <w:szCs w:val="24"/>
                <w:color w:val="auto"/>
              </w:rPr>
            </w:pPr>
          </w:p>
        </w:tc>
        <w:tc>
          <w:tcPr>
            <w:tcW w:w="6200" w:type="dxa"/>
            <w:vAlign w:val="bottom"/>
          </w:tcPr>
          <w:p>
            <w:pPr>
              <w:ind w:left="500"/>
              <w:spacing w:after="0"/>
              <w:rPr>
                <w:sz w:val="20"/>
                <w:szCs w:val="20"/>
                <w:color w:val="auto"/>
              </w:rPr>
            </w:pPr>
            <w:r>
              <w:rPr>
                <w:rFonts w:ascii="Arial" w:cs="Arial" w:eastAsia="Arial" w:hAnsi="Arial"/>
                <w:sz w:val="14"/>
                <w:szCs w:val="14"/>
                <w:color w:val="auto"/>
              </w:rPr>
              <w:t>34</w:t>
            </w:r>
          </w:p>
        </w:tc>
      </w:tr>
      <w:tr>
        <w:trPr>
          <w:trHeight w:val="96"/>
        </w:trPr>
        <w:tc>
          <w:tcPr>
            <w:tcW w:w="504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SUMMARY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640" w:type="dxa"/>
            <w:vAlign w:val="bottom"/>
          </w:tcPr>
          <w:p>
            <w:pPr>
              <w:spacing w:after="0"/>
              <w:rPr>
                <w:sz w:val="13"/>
                <w:szCs w:val="13"/>
                <w:color w:val="auto"/>
              </w:rPr>
            </w:pPr>
          </w:p>
        </w:tc>
        <w:tc>
          <w:tcPr>
            <w:tcW w:w="2080" w:type="dxa"/>
            <w:vAlign w:val="bottom"/>
            <w:gridSpan w:val="3"/>
          </w:tcPr>
          <w:p>
            <w:pPr>
              <w:jc w:val="right"/>
              <w:ind w:right="94"/>
              <w:spacing w:after="0"/>
              <w:rPr>
                <w:sz w:val="20"/>
                <w:szCs w:val="20"/>
                <w:color w:val="auto"/>
              </w:rPr>
            </w:pPr>
            <w:r>
              <w:rPr>
                <w:rFonts w:ascii="Arial" w:cs="Arial" w:eastAsia="Arial" w:hAnsi="Arial"/>
                <w:sz w:val="13"/>
                <w:szCs w:val="13"/>
                <w:b w:val="1"/>
                <w:bCs w:val="1"/>
                <w:color w:val="auto"/>
              </w:rPr>
              <w:t>Three Months Ended</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Percentage</w:t>
            </w:r>
          </w:p>
        </w:tc>
        <w:tc>
          <w:tcPr>
            <w:tcW w:w="280" w:type="dxa"/>
            <w:vAlign w:val="bottom"/>
          </w:tcPr>
          <w:p>
            <w:pPr>
              <w:spacing w:after="0"/>
              <w:rPr>
                <w:sz w:val="13"/>
                <w:szCs w:val="13"/>
                <w:color w:val="auto"/>
              </w:rPr>
            </w:pPr>
          </w:p>
        </w:tc>
        <w:tc>
          <w:tcPr>
            <w:tcW w:w="2100" w:type="dxa"/>
            <w:vAlign w:val="bottom"/>
            <w:gridSpan w:val="3"/>
          </w:tcPr>
          <w:p>
            <w:pPr>
              <w:jc w:val="right"/>
              <w:ind w:right="94"/>
              <w:spacing w:after="0"/>
              <w:rPr>
                <w:sz w:val="20"/>
                <w:szCs w:val="20"/>
                <w:color w:val="auto"/>
              </w:rPr>
            </w:pPr>
            <w:r>
              <w:rPr>
                <w:rFonts w:ascii="Arial" w:cs="Arial" w:eastAsia="Arial" w:hAnsi="Arial"/>
                <w:sz w:val="13"/>
                <w:szCs w:val="13"/>
                <w:b w:val="1"/>
                <w:bCs w:val="1"/>
                <w:color w:val="auto"/>
              </w:rPr>
              <w:t>Six Months Ended</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Change</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3"/>
                <w:szCs w:val="13"/>
                <w:b w:val="1"/>
                <w:bCs w:val="1"/>
                <w:color w:val="auto"/>
              </w:rPr>
              <w:t>December 31,</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4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20"/>
                <w:szCs w:val="20"/>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b w:val="1"/>
                <w:bCs w:val="1"/>
                <w:color w:val="auto"/>
              </w:rPr>
              <w:t>2021</w:t>
            </w: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20"/>
                <w:szCs w:val="20"/>
                <w:color w:val="auto"/>
              </w:rPr>
            </w:pPr>
          </w:p>
        </w:tc>
        <w:tc>
          <w:tcPr>
            <w:tcW w:w="1080" w:type="dxa"/>
            <w:vAlign w:val="bottom"/>
          </w:tcPr>
          <w:p>
            <w:pPr>
              <w:jc w:val="right"/>
              <w:ind w:right="94"/>
              <w:spacing w:after="0"/>
              <w:rPr>
                <w:sz w:val="20"/>
                <w:szCs w:val="20"/>
                <w:color w:val="auto"/>
              </w:rPr>
            </w:pPr>
            <w:r>
              <w:rPr>
                <w:rFonts w:ascii="Arial" w:cs="Arial" w:eastAsia="Arial" w:hAnsi="Arial"/>
                <w:sz w:val="13"/>
                <w:szCs w:val="13"/>
                <w:b w:val="1"/>
                <w:bCs w:val="1"/>
                <w:color w:val="auto"/>
              </w:rPr>
              <w:t>2021</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E5E5E5"/>
          </w:tcPr>
          <w:p>
            <w:pPr>
              <w:jc w:val="right"/>
              <w:ind w:right="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52,747</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51,728</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E5E5E5"/>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102,869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97,045</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Gross margin</w:t>
            </w: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35,259</w:t>
            </w:r>
          </w:p>
        </w:tc>
        <w:tc>
          <w:tcPr>
            <w:tcW w:w="18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34,768</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69,929</w:t>
            </w:r>
          </w:p>
        </w:tc>
        <w:tc>
          <w:tcPr>
            <w:tcW w:w="18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66,439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20,399</w:t>
            </w:r>
          </w:p>
        </w:tc>
        <w:tc>
          <w:tcPr>
            <w:tcW w:w="180" w:type="dxa"/>
            <w:vAlign w:val="bottom"/>
            <w:shd w:val="clear" w:color="auto" w:fill="E5E5E5"/>
          </w:tcPr>
          <w:p>
            <w:pPr>
              <w:spacing w:after="0"/>
              <w:rPr>
                <w:sz w:val="21"/>
                <w:szCs w:val="21"/>
                <w:color w:val="auto"/>
              </w:rPr>
            </w:pPr>
          </w:p>
        </w:tc>
        <w:tc>
          <w:tcPr>
            <w:tcW w:w="11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22,247</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41,917</w:t>
            </w:r>
          </w:p>
        </w:tc>
        <w:tc>
          <w:tcPr>
            <w:tcW w:w="180" w:type="dxa"/>
            <w:vAlign w:val="bottom"/>
            <w:shd w:val="clear" w:color="auto" w:fill="E5E5E5"/>
          </w:tcPr>
          <w:p>
            <w:pPr>
              <w:spacing w:after="0"/>
              <w:rPr>
                <w:sz w:val="21"/>
                <w:szCs w:val="21"/>
                <w:color w:val="auto"/>
              </w:rPr>
            </w:pPr>
          </w:p>
        </w:tc>
        <w:tc>
          <w:tcPr>
            <w:tcW w:w="10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42,485</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16,425</w:t>
            </w:r>
          </w:p>
        </w:tc>
        <w:tc>
          <w:tcPr>
            <w:tcW w:w="18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18,765</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33,981</w:t>
            </w:r>
          </w:p>
        </w:tc>
        <w:tc>
          <w:tcPr>
            <w:tcW w:w="18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39,270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Diluted earnings per share</w:t>
            </w:r>
          </w:p>
        </w:tc>
        <w:tc>
          <w:tcPr>
            <w:tcW w:w="6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2.20</w:t>
            </w:r>
          </w:p>
        </w:tc>
        <w:tc>
          <w:tcPr>
            <w:tcW w:w="180" w:type="dxa"/>
            <w:vAlign w:val="bottom"/>
            <w:shd w:val="clear" w:color="auto" w:fill="E5E5E5"/>
          </w:tcPr>
          <w:p>
            <w:pPr>
              <w:spacing w:after="0"/>
              <w:rPr>
                <w:sz w:val="21"/>
                <w:szCs w:val="21"/>
                <w:color w:val="auto"/>
              </w:rPr>
            </w:pPr>
          </w:p>
        </w:tc>
        <w:tc>
          <w:tcPr>
            <w:tcW w:w="11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2.48</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4.54</w:t>
            </w:r>
          </w:p>
        </w:tc>
        <w:tc>
          <w:tcPr>
            <w:tcW w:w="180" w:type="dxa"/>
            <w:vAlign w:val="bottom"/>
            <w:shd w:val="clear" w:color="auto" w:fill="E5E5E5"/>
          </w:tcPr>
          <w:p>
            <w:pPr>
              <w:spacing w:after="0"/>
              <w:rPr>
                <w:sz w:val="21"/>
                <w:szCs w:val="21"/>
                <w:color w:val="auto"/>
              </w:rPr>
            </w:pPr>
          </w:p>
        </w:tc>
        <w:tc>
          <w:tcPr>
            <w:tcW w:w="10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5.19</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1"/>
        </w:trPr>
        <w:tc>
          <w:tcPr>
            <w:tcW w:w="4240" w:type="dxa"/>
            <w:vAlign w:val="bottom"/>
          </w:tcPr>
          <w:p>
            <w:pPr>
              <w:spacing w:after="0"/>
              <w:rPr>
                <w:sz w:val="20"/>
                <w:szCs w:val="20"/>
                <w:color w:val="auto"/>
              </w:rPr>
            </w:pPr>
            <w:r>
              <w:rPr>
                <w:rFonts w:ascii="Arial" w:cs="Arial" w:eastAsia="Arial" w:hAnsi="Arial"/>
                <w:sz w:val="18"/>
                <w:szCs w:val="18"/>
                <w:color w:val="auto"/>
              </w:rPr>
              <w:t>Adjusted gross margin (non-GAAP)</w:t>
            </w:r>
          </w:p>
        </w:tc>
        <w:tc>
          <w:tcPr>
            <w:tcW w:w="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35,411</w:t>
            </w:r>
          </w:p>
        </w:tc>
        <w:tc>
          <w:tcPr>
            <w:tcW w:w="180" w:type="dxa"/>
            <w:vAlign w:val="bottom"/>
          </w:tcPr>
          <w:p>
            <w:pPr>
              <w:spacing w:after="0"/>
              <w:rPr>
                <w:sz w:val="24"/>
                <w:szCs w:val="24"/>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34,768</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70,081</w:t>
            </w:r>
          </w:p>
        </w:tc>
        <w:tc>
          <w:tcPr>
            <w:tcW w:w="18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66,439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Adjusted operating income (non-GAAP)</w:t>
            </w:r>
          </w:p>
        </w:tc>
        <w:tc>
          <w:tcPr>
            <w:tcW w:w="6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21,570</w:t>
            </w:r>
          </w:p>
        </w:tc>
        <w:tc>
          <w:tcPr>
            <w:tcW w:w="180" w:type="dxa"/>
            <w:vAlign w:val="bottom"/>
            <w:shd w:val="clear" w:color="auto" w:fill="E5E5E5"/>
          </w:tcPr>
          <w:p>
            <w:pPr>
              <w:spacing w:after="0"/>
              <w:rPr>
                <w:sz w:val="21"/>
                <w:szCs w:val="21"/>
                <w:color w:val="auto"/>
              </w:rPr>
            </w:pPr>
          </w:p>
        </w:tc>
        <w:tc>
          <w:tcPr>
            <w:tcW w:w="11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22,247</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43,088</w:t>
            </w:r>
          </w:p>
        </w:tc>
        <w:tc>
          <w:tcPr>
            <w:tcW w:w="180" w:type="dxa"/>
            <w:vAlign w:val="bottom"/>
            <w:shd w:val="clear" w:color="auto" w:fill="E5E5E5"/>
          </w:tcPr>
          <w:p>
            <w:pPr>
              <w:spacing w:after="0"/>
              <w:rPr>
                <w:sz w:val="21"/>
                <w:szCs w:val="21"/>
                <w:color w:val="auto"/>
              </w:rPr>
            </w:pPr>
          </w:p>
        </w:tc>
        <w:tc>
          <w:tcPr>
            <w:tcW w:w="10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42,485</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Adjusted net income (non-GAAP)</w:t>
            </w: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17,371</w:t>
            </w:r>
          </w:p>
        </w:tc>
        <w:tc>
          <w:tcPr>
            <w:tcW w:w="18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18,765</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34,927</w:t>
            </w:r>
          </w:p>
        </w:tc>
        <w:tc>
          <w:tcPr>
            <w:tcW w:w="18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35,979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240" w:type="dxa"/>
            <w:vAlign w:val="bottom"/>
            <w:shd w:val="clear" w:color="auto" w:fill="E5E5E5"/>
          </w:tcPr>
          <w:p>
            <w:pPr>
              <w:spacing w:after="0"/>
              <w:rPr>
                <w:sz w:val="20"/>
                <w:szCs w:val="20"/>
                <w:color w:val="auto"/>
              </w:rPr>
            </w:pPr>
            <w:r>
              <w:rPr>
                <w:rFonts w:ascii="Arial" w:cs="Arial" w:eastAsia="Arial" w:hAnsi="Arial"/>
                <w:sz w:val="18"/>
                <w:szCs w:val="18"/>
                <w:color w:val="auto"/>
              </w:rPr>
              <w:t>Adjusted diluted earnings per share (non-GAAP)</w:t>
            </w:r>
          </w:p>
        </w:tc>
        <w:tc>
          <w:tcPr>
            <w:tcW w:w="6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2.32</w:t>
            </w:r>
          </w:p>
        </w:tc>
        <w:tc>
          <w:tcPr>
            <w:tcW w:w="180" w:type="dxa"/>
            <w:vAlign w:val="bottom"/>
            <w:shd w:val="clear" w:color="auto" w:fill="E5E5E5"/>
          </w:tcPr>
          <w:p>
            <w:pPr>
              <w:spacing w:after="0"/>
              <w:rPr>
                <w:sz w:val="21"/>
                <w:szCs w:val="21"/>
                <w:color w:val="auto"/>
              </w:rPr>
            </w:pPr>
          </w:p>
        </w:tc>
        <w:tc>
          <w:tcPr>
            <w:tcW w:w="110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2.48</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4.67</w:t>
            </w:r>
          </w:p>
        </w:tc>
        <w:tc>
          <w:tcPr>
            <w:tcW w:w="180" w:type="dxa"/>
            <w:vAlign w:val="bottom"/>
            <w:shd w:val="clear" w:color="auto" w:fill="E5E5E5"/>
          </w:tcPr>
          <w:p>
            <w:pPr>
              <w:spacing w:after="0"/>
              <w:rPr>
                <w:sz w:val="21"/>
                <w:szCs w:val="21"/>
                <w:color w:val="auto"/>
              </w:rPr>
            </w:pPr>
          </w:p>
        </w:tc>
        <w:tc>
          <w:tcPr>
            <w:tcW w:w="10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4.76</w:t>
            </w: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Adjusted gross margin, operating income, net income, and diluted earnings per share (“EPS”) are non-GAAP financial measures. Current year non-GAAP financial measures exclude the impact of the Q2 charge, which includes employee severance expenses, impairment charges resulting from changes to our hardware portfolio, and costs related to lease consolidation activities. Prior year non -GAAP financial measures exclude the net income tax benefit related to transfer of intangible properties in the first quarter of fiscal year 2022. Refer to Note 11 – Income Taxes of the Notes to Financial Statements (Part I, Item 1 of this Form 10-Q) for further discussion. Refer to the Non-GAAP Financial Measures section below for a reconciliation of our financial results reported in accordance with GAAP to non-GAAP financial results.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Compared with Three Months Ended December 31, 2021</w:t>
      </w:r>
    </w:p>
    <w:p>
      <w:pPr>
        <w:spacing w:after="0" w:line="15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Revenue increased $1.0 billion or 2% driven by growth in Intelligent Cloud and Productivity and Business Processes, offset in part by a decline in More Personal Computing. Intelligent Cloud revenue increased driven by Azure and other cloud services. Productivity and Business Processes revenue increased driven by Office 365 Commercial. More Personal Computing revenue decreased driven by declines in Windows, Devices, and Gaming.</w:t>
      </w:r>
    </w:p>
    <w:p>
      <w:pPr>
        <w:spacing w:after="0" w:line="120"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Cost of revenue increased $528 million or 3% driven by growth in Microsoft Cloud, offset in part by a reduction in depreciation expense due to the change in accounting estimate for the useful lives of our server and network equipment.</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margin increased $491 million or 1% driven by growth in Intelligent Cloud and Productivity and Business Processes and the change in accounting estimate, offset in part by a decline in More Personal Computing.</w:t>
      </w:r>
    </w:p>
    <w:p>
      <w:pPr>
        <w:spacing w:after="0" w:line="5" w:lineRule="exact"/>
        <w:rPr>
          <w:sz w:val="20"/>
          <w:szCs w:val="20"/>
          <w:color w:val="auto"/>
        </w:rPr>
      </w:pPr>
    </w:p>
    <w:p>
      <w:pPr>
        <w:jc w:val="both"/>
        <w:ind w:left="1060" w:right="20" w:hanging="391"/>
        <w:spacing w:after="0" w:line="252" w:lineRule="auto"/>
        <w:tabs>
          <w:tab w:leader="none" w:pos="10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slightly. Excluding the impact of the change in accounting estimate, gross margin percentage decreased 2 points driven by reductions in More Personal Computing and Intelligent Cloud, offset in part by sales mix shift.</w:t>
      </w:r>
    </w:p>
    <w:p>
      <w:pPr>
        <w:spacing w:after="0" w:line="22" w:lineRule="exact"/>
        <w:rPr>
          <w:rFonts w:ascii="Times New Roman" w:cs="Times New Roman" w:eastAsia="Times New Roman" w:hAnsi="Times New Roman"/>
          <w:sz w:val="18"/>
          <w:szCs w:val="18"/>
          <w:color w:val="auto"/>
        </w:rPr>
      </w:pPr>
    </w:p>
    <w:p>
      <w:pPr>
        <w:jc w:val="both"/>
        <w:ind w:left="1060" w:right="20" w:hanging="391"/>
        <w:spacing w:after="0" w:line="252" w:lineRule="auto"/>
        <w:tabs>
          <w:tab w:leader="none" w:pos="10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increased 2 points to 72%. Excluding the impact of the change in accounting estimate, Microsoft Cloud gross margin percentage decreased 1 point driven by sales mix shift to Azure and other cloud services and higher energy costs.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Operating expenses increased $2.3 billion or 19% driven by employee severance expenses, investments in cloud engineering, the Nuance acquisition, and LinkedIn.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jc w:val="both"/>
        <w:ind w:left="1060" w:right="20" w:hanging="391"/>
        <w:spacing w:after="0" w:line="252" w:lineRule="auto"/>
        <w:tabs>
          <w:tab w:leader="none" w:pos="10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expenses increased $1.1 billion or 19% driven by investments in cloud engineering, impairment charges resulting from changes to our hardware portfolio, and LinkedIn. Research and development included a favorable foreign currency impact of 2%.</w:t>
      </w:r>
    </w:p>
    <w:p>
      <w:pPr>
        <w:spacing w:after="0" w:line="22" w:lineRule="exact"/>
        <w:rPr>
          <w:rFonts w:ascii="Times New Roman" w:cs="Times New Roman" w:eastAsia="Times New Roman" w:hAnsi="Times New Roman"/>
          <w:sz w:val="18"/>
          <w:szCs w:val="18"/>
          <w:color w:val="auto"/>
        </w:rPr>
      </w:pPr>
    </w:p>
    <w:p>
      <w:pPr>
        <w:ind w:left="1060" w:right="40" w:hanging="391"/>
        <w:spacing w:after="0" w:line="270" w:lineRule="auto"/>
        <w:tabs>
          <w:tab w:leader="none" w:pos="10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Sales and marketing expenses increased $300 million or 6% driven by the Nuance acquisition and investments in commercial sales. Sales and marketing included a favorable foreign currency impact of 3%.</w:t>
      </w:r>
    </w:p>
    <w:p>
      <w:pPr>
        <w:spacing w:after="0" w:line="5" w:lineRule="exact"/>
        <w:rPr>
          <w:rFonts w:ascii="Times New Roman" w:cs="Times New Roman" w:eastAsia="Times New Roman" w:hAnsi="Times New Roman"/>
          <w:sz w:val="18"/>
          <w:szCs w:val="18"/>
          <w:color w:val="auto"/>
        </w:rPr>
      </w:pPr>
    </w:p>
    <w:p>
      <w:pPr>
        <w:ind w:left="1060" w:right="20" w:hanging="391"/>
        <w:spacing w:after="0" w:line="270" w:lineRule="auto"/>
        <w:tabs>
          <w:tab w:leader="none" w:pos="10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expenses increased $953 million or 69% driven by employee severance expenses. General and administrative included a favorable foreign currency impact of 2%.</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income decreased $1.8 billion or 8% driven by a decline in More Personal Computing, offset in part by the change in accounting estimate.</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5%, 7%, and 8%, respectively. Cost of revenue and operating expenses both included a favorable foreign currency impact of 2%.</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Current year gross margin, operating income, net income, and diluted EPS were negatively impacted by the Q2 charge, which resulted in decreases of $152 million, $1.2 billion, $946 million, and $0.12,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2022 Compared with Six Months Ended December 31, 2021</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increased $5.8 billion or 6% driven by growth in Intelligent Cloud and Productivity and Business Processes, offset in part by a decline in More Personal Computing. Intelligent Cloud revenue increased driven by Azure and other cloud services. Productivity and Business Processes revenue increased driven by Office 365 Commercial and LinkedIn. More Personal Computing revenue decreased driven by declines in Windows, Devices, and Gaming, offset in part by growth in Search and news advertising.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increased $2.3 billion or 8% driven by growth in Microsoft Cloud, offset in part by the change in accounting estimate.</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margin increased $3.5 billion or 5% driven by growth in Intelligent Cloud and Productivity and Business Processes and the change in accounting estimate, offset in part by a decline in More Personal Computing.</w:t>
      </w:r>
    </w:p>
    <w:p>
      <w:pPr>
        <w:spacing w:after="0" w:line="19" w:lineRule="exact"/>
        <w:rPr>
          <w:sz w:val="20"/>
          <w:szCs w:val="20"/>
          <w:color w:val="auto"/>
        </w:rPr>
      </w:pPr>
    </w:p>
    <w:p>
      <w:pPr>
        <w:jc w:val="both"/>
        <w:ind w:left="1060" w:hanging="391"/>
        <w:spacing w:after="0" w:line="252" w:lineRule="auto"/>
        <w:tabs>
          <w:tab w:leader="none" w:pos="10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percentage decreased slightly. Excluding the impact of the change in accounting estimate, gross margin percentage decreased 2 points driven by reductions in More Personal Computing and Intelligent Cloud, offset in part by sales mix shift.</w:t>
      </w:r>
    </w:p>
    <w:p>
      <w:pPr>
        <w:spacing w:after="0" w:line="22" w:lineRule="exact"/>
        <w:rPr>
          <w:rFonts w:ascii="Times New Roman" w:cs="Times New Roman" w:eastAsia="Times New Roman" w:hAnsi="Times New Roman"/>
          <w:sz w:val="18"/>
          <w:szCs w:val="18"/>
          <w:color w:val="auto"/>
        </w:rPr>
      </w:pPr>
    </w:p>
    <w:p>
      <w:pPr>
        <w:jc w:val="both"/>
        <w:ind w:left="1060" w:hanging="391"/>
        <w:spacing w:after="0" w:line="252" w:lineRule="auto"/>
        <w:tabs>
          <w:tab w:leader="none" w:pos="106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Microsoft Cloud gross margin percentage increased 2 points to 72%. Excluding the impact of the change in accounting estimate, Microsoft Cloud gross margin percentage decreased 1 point driven by sales mix shift to Azure and other cloud services and higher energy costs.</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expenses increased $4.1 billion or 17% driven by investment in cloud engineering, employee severance expenses, LinkedIn, the Nuance acquisition, and commercial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77" w:lineRule="exact"/>
        <w:rPr>
          <w:sz w:val="20"/>
          <w:szCs w:val="20"/>
          <w:color w:val="auto"/>
        </w:rPr>
      </w:pPr>
    </w:p>
    <w:p>
      <w:pPr>
        <w:ind w:left="1060" w:hanging="391"/>
        <w:spacing w:after="0"/>
        <w:tabs>
          <w:tab w:leader="none" w:pos="10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expenses increased $2.1 billion or 19% driven by investments in cloud engineering and LinkedIn.</w:t>
      </w:r>
    </w:p>
    <w:p>
      <w:pPr>
        <w:spacing w:after="0" w:line="102" w:lineRule="exact"/>
        <w:rPr>
          <w:rFonts w:ascii="Times New Roman" w:cs="Times New Roman" w:eastAsia="Times New Roman" w:hAnsi="Times New Roman"/>
          <w:sz w:val="18"/>
          <w:szCs w:val="18"/>
          <w:color w:val="auto"/>
        </w:rPr>
      </w:pPr>
    </w:p>
    <w:p>
      <w:pPr>
        <w:ind w:left="1060" w:right="20" w:hanging="391"/>
        <w:spacing w:after="0" w:line="270" w:lineRule="auto"/>
        <w:tabs>
          <w:tab w:leader="none" w:pos="10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Sales and marketing expenses increased $879 million or 9% driven by investments in commercial sales and the Nuance acquisition. Sales and marketing included a favorable foreign currency impact of 4%.</w:t>
      </w:r>
    </w:p>
    <w:p>
      <w:pPr>
        <w:spacing w:after="0" w:line="5"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expenses increased $1.1 billion or 40% driven by employee severance expenses. General and administrative included a favorable foreign currency impact of 3%.</w:t>
      </w:r>
    </w:p>
    <w:p>
      <w:pPr>
        <w:spacing w:after="0" w:line="8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Operating income decreased $568 million or 1% driven by a decline in More Personal Computing, offset in part by the change in accounting estimate and growth in Productivity and Business Processes and Intelligent Cloud.</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5%, 7%, and 8%, respectively. Cost of revenue and operating expenses included a favorable foreign currency impact of 2% and 3%, respectively.</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Current year gross margin, operating income, net income, and diluted EPS were negatively impacted by the Q2 charge, which resulted in decreases of $152 million, $1.2 billion, $946 million, and $ 0.13, respectively. Prior year net income and diluted EPS were positively impacted by the net tax benefit related to the transfer of intangible properties, which resulted in an increase to net income and diluted EPS of $3.3 billion and $0.43,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1180" w:type="dxa"/>
            <w:vAlign w:val="bottom"/>
          </w:tcPr>
          <w:p>
            <w:pPr>
              <w:jc w:val="right"/>
              <w:ind w:right="115"/>
              <w:spacing w:after="0"/>
              <w:rPr>
                <w:sz w:val="20"/>
                <w:szCs w:val="20"/>
                <w:color w:val="auto"/>
              </w:rPr>
            </w:pPr>
            <w:r>
              <w:rPr>
                <w:rFonts w:ascii="Arial" w:cs="Arial" w:eastAsia="Arial" w:hAnsi="Arial"/>
                <w:sz w:val="13"/>
                <w:szCs w:val="13"/>
                <w:b w:val="1"/>
                <w:bCs w:val="1"/>
                <w:color w:val="auto"/>
              </w:rPr>
              <w:t>Percentage</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2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Six Months Ended</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3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tcPr>
          <w:p>
            <w:pPr>
              <w:jc w:val="right"/>
              <w:ind w:right="115"/>
              <w:spacing w:after="0"/>
              <w:rPr>
                <w:sz w:val="20"/>
                <w:szCs w:val="20"/>
                <w:color w:val="auto"/>
              </w:rPr>
            </w:pPr>
            <w:r>
              <w:rPr>
                <w:rFonts w:ascii="Arial" w:cs="Arial" w:eastAsia="Arial" w:hAnsi="Arial"/>
                <w:sz w:val="13"/>
                <w:szCs w:val="13"/>
                <w:b w:val="1"/>
                <w:bCs w:val="1"/>
                <w:color w:val="auto"/>
              </w:rPr>
              <w:t>Change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3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3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17,002</w:t>
            </w:r>
          </w:p>
        </w:tc>
        <w:tc>
          <w:tcPr>
            <w:tcW w:w="2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15,936</w:t>
            </w:r>
          </w:p>
        </w:tc>
        <w:tc>
          <w:tcPr>
            <w:tcW w:w="11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33,467</w:t>
            </w:r>
          </w:p>
        </w:tc>
        <w:tc>
          <w:tcPr>
            <w:tcW w:w="28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30,975</w:t>
            </w:r>
          </w:p>
        </w:tc>
        <w:tc>
          <w:tcPr>
            <w:tcW w:w="1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18,262</w:t>
            </w:r>
          </w:p>
        </w:tc>
        <w:tc>
          <w:tcPr>
            <w:tcW w:w="11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41,833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35,174</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6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14,237</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17,530</w:t>
            </w:r>
          </w:p>
        </w:tc>
        <w:tc>
          <w:tcPr>
            <w:tcW w:w="11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(19)%</w:t>
            </w:r>
          </w:p>
        </w:tc>
        <w:tc>
          <w:tcPr>
            <w:tcW w:w="2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27,569</w:t>
            </w:r>
          </w:p>
        </w:tc>
        <w:tc>
          <w:tcPr>
            <w:tcW w:w="1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30,896</w:t>
            </w:r>
          </w:p>
        </w:tc>
        <w:tc>
          <w:tcPr>
            <w:tcW w:w="1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52,747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51,728</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102,869</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97,045</w:t>
            </w:r>
          </w:p>
        </w:tc>
        <w:tc>
          <w:tcPr>
            <w:tcW w:w="14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3"/>
        </w:trPr>
        <w:tc>
          <w:tcPr>
            <w:tcW w:w="362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6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6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9"/>
        </w:trPr>
        <w:tc>
          <w:tcPr>
            <w:tcW w:w="3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96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8,175</w:t>
            </w:r>
          </w:p>
        </w:tc>
        <w:tc>
          <w:tcPr>
            <w:tcW w:w="2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7,688</w:t>
            </w:r>
          </w:p>
        </w:tc>
        <w:tc>
          <w:tcPr>
            <w:tcW w:w="11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16,498</w:t>
            </w:r>
          </w:p>
        </w:tc>
        <w:tc>
          <w:tcPr>
            <w:tcW w:w="28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15,269</w:t>
            </w:r>
          </w:p>
        </w:tc>
        <w:tc>
          <w:tcPr>
            <w:tcW w:w="1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8,904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8,323</w:t>
            </w:r>
          </w:p>
        </w:tc>
        <w:tc>
          <w:tcPr>
            <w:tcW w:w="118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7%</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17,882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16,004</w:t>
            </w:r>
          </w:p>
        </w:tc>
        <w:tc>
          <w:tcPr>
            <w:tcW w:w="14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6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6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3,320</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6,236</w:t>
            </w:r>
          </w:p>
        </w:tc>
        <w:tc>
          <w:tcPr>
            <w:tcW w:w="1180" w:type="dxa"/>
            <w:vAlign w:val="bottom"/>
            <w:shd w:val="clear" w:color="auto" w:fill="E5E5E5"/>
          </w:tcPr>
          <w:p>
            <w:pPr>
              <w:jc w:val="right"/>
              <w:ind w:right="115"/>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7,537</w:t>
            </w:r>
          </w:p>
        </w:tc>
        <w:tc>
          <w:tcPr>
            <w:tcW w:w="14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9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11,212</w:t>
            </w:r>
          </w:p>
        </w:tc>
        <w:tc>
          <w:tcPr>
            <w:tcW w:w="1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8"/>
        </w:trPr>
        <w:tc>
          <w:tcPr>
            <w:tcW w:w="36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620" w:type="dxa"/>
            <w:vAlign w:val="bottom"/>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22,247</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(8)%</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41,917</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42,485</w:t>
            </w:r>
          </w:p>
        </w:tc>
        <w:tc>
          <w:tcPr>
            <w:tcW w:w="14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3"/>
        </w:trPr>
        <w:tc>
          <w:tcPr>
            <w:tcW w:w="3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Compared with Three Months Ended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$1.1 billion or 7%.</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products and cloud services revenue increased $627 million or 7%. Office 365 Commercial revenue grew 11% with seat growth of 12%, driven by small and medium business and frontline worker offerings, as well as growth in revenue per user. Office Commercial products revenue declined 30% driven by continued customer shift to cloud offerings.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products and cloud services revenue decreased $39 million or 2%. Microsoft 365 Consumer subscribers grew 12% to 63.2 million.</w:t>
      </w:r>
    </w:p>
    <w:p>
      <w:pPr>
        <w:spacing w:after="0" w:line="5"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$345 million or 10% driven by Talent Solutions.</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13% driven by Dynamics 365 growth of 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$487 million or 6%.</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$1.0 billion or 8% driven by growth in Office 365 Commercial. Gross margin percentage increased. Excluding the impact of the change in accounting estimate, gross margin percentage decreased slightly driven by sales mix shift to cloud offerings.</w:t>
      </w:r>
    </w:p>
    <w:p>
      <w:pPr>
        <w:spacing w:after="0" w:line="2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$554 million or 12% driven by investment in LinkedIn and employee severance expenses.</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6%, 8%, and 11%, respectively. Operating expenses included a favorable foreign currency impact of 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$3.2 billion or 18%.</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$3.2 billion or 20% driven by Azure and other cloud services. Azure and other cloud services revenue grew 31% driven by growth in our consumption-based services. Server products revenue decreased 2%.</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Services revenue increased $39 million or 2% driven by growth in Enterprise Support Services, offset by a decline in Microsoft Consulting Services.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$581 million or 7%.</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$2.2 billion or 17% driven by growth in Azure and other cloud services and the change in accounting estimate. Gross margin percentage decreased slightly. Excluding the impact of the change in accounting estimate, gross margin percentage decreased 3 points driven by sales mix shift to Azure and other cloud services and higher energy costs.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$1.6 billion or 34% driven by employee severance expenses, investments in Azure, and the Nuance acquisition.</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6%, 6%, and 8%, respectively. Operating expenses included a favorable foreign currency impact of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$3.3 billion or 19%.</w:t>
      </w:r>
    </w:p>
    <w:p>
      <w:pPr>
        <w:spacing w:after="0" w:line="77" w:lineRule="exact"/>
        <w:rPr>
          <w:sz w:val="20"/>
          <w:szCs w:val="20"/>
          <w:color w:val="auto"/>
        </w:rPr>
      </w:pPr>
    </w:p>
    <w:p>
      <w:pPr>
        <w:jc w:val="both"/>
        <w:ind w:left="1060" w:hanging="391"/>
        <w:spacing w:after="0" w:line="246" w:lineRule="auto"/>
        <w:tabs>
          <w:tab w:leader="none" w:pos="10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Windows revenue decreased $1.8 billion or 27% driven by a decrease in Windows OEM. Windows OEM revenue decreased 39% on a strong prior year comparable, driven by continued PC market weakness and 3 points of negative impact from the prior year Windows 11 revenue deferral. Windows Commercial products and cloud services revenue decreased 3% driven by a decline in standalone product sales.</w:t>
      </w:r>
    </w:p>
    <w:p>
      <w:pPr>
        <w:spacing w:after="0" w:line="28"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Devices revenue decreased $927 million or 39% driven by continued PC market weakness and execution challenges on new product launches.</w:t>
      </w:r>
    </w:p>
    <w:p>
      <w:pPr>
        <w:spacing w:after="0" w:line="5" w:lineRule="exact"/>
        <w:rPr>
          <w:rFonts w:ascii="Times New Roman" w:cs="Times New Roman" w:eastAsia="Times New Roman" w:hAnsi="Times New Roman"/>
          <w:sz w:val="18"/>
          <w:szCs w:val="18"/>
          <w:color w:val="auto"/>
        </w:rPr>
      </w:pPr>
    </w:p>
    <w:p>
      <w:pPr>
        <w:jc w:val="both"/>
        <w:ind w:left="1060" w:hanging="391"/>
        <w:spacing w:after="0" w:line="246" w:lineRule="auto"/>
        <w:tabs>
          <w:tab w:leader="none" w:pos="10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decreased $684 million or 13% driven by declines in Xbox content and services and Xbox hardware. Xbox content and services revenue decreased 12% on a strong prior year comparable impacted by first-party game launches, driven by declines in first-party content and a lower rate of monetization in third-party content, offset in part by growth in Xbox Game Pass subscriptions. Xbox hardware revenue decreased 13% driven by lower price and volume of consoles sold.</w:t>
      </w:r>
    </w:p>
    <w:p>
      <w:pPr>
        <w:spacing w:after="0" w:line="28" w:lineRule="exact"/>
        <w:rPr>
          <w:rFonts w:ascii="Times New Roman" w:cs="Times New Roman" w:eastAsia="Times New Roman" w:hAnsi="Times New Roman"/>
          <w:sz w:val="18"/>
          <w:szCs w:val="18"/>
          <w:color w:val="auto"/>
        </w:rPr>
      </w:pPr>
    </w:p>
    <w:p>
      <w:pPr>
        <w:jc w:val="both"/>
        <w:ind w:left="1060" w:hanging="391"/>
        <w:spacing w:after="0" w:line="252" w:lineRule="auto"/>
        <w:tabs>
          <w:tab w:leader="none" w:pos="10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$159 million or 5%. Search and news advertising revenue excluding traffic acquisition costs increased 10% driven by higher search volume and the Xandr acquisition, offset in part by lower revenue per search.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$2.9 billion or 47%.</w:t>
      </w:r>
    </w:p>
    <w:p>
      <w:pPr>
        <w:spacing w:after="0" w:line="77" w:lineRule="exact"/>
        <w:rPr>
          <w:sz w:val="20"/>
          <w:szCs w:val="20"/>
          <w:color w:val="auto"/>
        </w:rPr>
      </w:pPr>
    </w:p>
    <w:p>
      <w:pPr>
        <w:jc w:val="both"/>
        <w:ind w:left="1060" w:hanging="391"/>
        <w:spacing w:after="0" w:line="252" w:lineRule="auto"/>
        <w:tabs>
          <w:tab w:leader="none" w:pos="10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decreased $2.7 billion or 29% driven by declines in Windows and Devices. Gross margin percentage decreased driven by reductions in Devices, including the impact of impairment charges resulting from changes to our hardware portfolio, and sales mix shift to lower margin businesses.</w:t>
      </w:r>
    </w:p>
    <w:p>
      <w:pPr>
        <w:spacing w:after="0" w:line="22" w:lineRule="exact"/>
        <w:rPr>
          <w:rFonts w:ascii="Times New Roman" w:cs="Times New Roman" w:eastAsia="Times New Roman" w:hAnsi="Times New Roman"/>
          <w:sz w:val="18"/>
          <w:szCs w:val="18"/>
          <w:color w:val="auto"/>
        </w:rPr>
      </w:pPr>
    </w:p>
    <w:p>
      <w:pPr>
        <w:ind w:left="1060" w:right="20" w:hanging="391"/>
        <w:spacing w:after="0" w:line="270" w:lineRule="auto"/>
        <w:tabs>
          <w:tab w:leader="none" w:pos="10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$198 million or 6% driven by employee severance expenses and investments in Search and news advertising, offset in part by a decline in Devices.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3%, 5%, and 7%, respectively. Operating expenses included a favorable foreign currency impact of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2022 Compared with Six Months Ended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$2.5 billion or 8%.</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Office Commercial products and cloud services revenue increased $1.3 billion or 7%. Office 365 Commercial revenue grew 11% with seat growth of 12%, driven by small and medium business and frontline worker offerings, as well as growth in revenue per user. Office Commercial products revenue declined 29% driven by continued customer shift to cloud offerings.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Office Consumer products and cloud services revenue increased $66 million or 2% with continued growth in Microsoft 365 Consumer subscription revenue.</w:t>
      </w:r>
    </w:p>
    <w:p>
      <w:pPr>
        <w:spacing w:after="0" w:line="5"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LinkedIn revenue increased $872 million or 13% driven by Talent Solutions.</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Dynamics products and cloud services revenue increased 14% driven by Dynamics 365 growth of 23%.</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$1.2 billion or 8%.</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$2.4 billion or 10% driven by growth in Office 365 Commercial and LinkedIn. Gross margin percentage increased. Excluding the impact of the change in accounting estimate, gross margin percentage decreased slightly driven by sales mix shift to cloud offerings.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$1.1 billion or 12% driven by investments in LinkedIn and cloud engineering, as well as employee severance expenses.</w:t>
      </w:r>
    </w:p>
    <w:p>
      <w:pPr>
        <w:spacing w:after="0" w:line="10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6%, 7%, and 10%, respectively. Operating expenses included a favorable foreign currency impact of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$6.7 billion or 19%.</w:t>
      </w:r>
    </w:p>
    <w:p>
      <w:pPr>
        <w:spacing w:after="0" w:line="77" w:lineRule="exact"/>
        <w:rPr>
          <w:sz w:val="20"/>
          <w:szCs w:val="20"/>
          <w:color w:val="auto"/>
        </w:rPr>
      </w:pPr>
    </w:p>
    <w:p>
      <w:pPr>
        <w:jc w:val="both"/>
        <w:ind w:left="1060" w:hanging="391"/>
        <w:spacing w:after="0" w:line="252" w:lineRule="auto"/>
        <w:tabs>
          <w:tab w:leader="none" w:pos="10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Server products and cloud services revenue increased $6.5 billion or 21% driven by Azure and other cloud services. Azure and other cloud services revenue grew 33% driven by growth in our consumption-based services. Server products revenue decreased 1%.</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Enterprise Services revenue increased $124 million or 3% driven by growth in Enterprise Support Services, offset in part by a decline in Microsoft Consulting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 billion or 12%.</w:t>
      </w:r>
    </w:p>
    <w:p>
      <w:pPr>
        <w:spacing w:after="0" w:line="77" w:lineRule="exact"/>
        <w:rPr>
          <w:sz w:val="20"/>
          <w:szCs w:val="20"/>
          <w:color w:val="auto"/>
        </w:rPr>
      </w:pPr>
    </w:p>
    <w:p>
      <w:pPr>
        <w:jc w:val="both"/>
        <w:ind w:left="1060" w:hanging="391"/>
        <w:spacing w:after="0" w:line="252"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increased $4.5 billion or 18% driven by growth in Azure and other cloud services and the change in accounting estimate. Gross margin percentage decreased slightly. Excluding the impact of the change in accounting estimate, gross margin percentage decreased 3 points driven by sales mix shift to Azure and other cloud services and higher energy costs.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$2.7 billion or 30% driven by investments in Azure, the Nuance acquisition, and employee severance expenses.</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6%, 7%, and 8%, respectively. Operating expenses included a favorable foreign currency impact of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$3.3 billion 11%.</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Windows revenue decreased $2.1 billion or 18% driven by a decrease in Windows OEM. Windows OEM revenue decreased 28% driven by continued PC market weakness. Windows Commercial products and cloud services revenue increased 2% driven by demand for Microsoft 365, offset in part by a decline in standalone product sales.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Devices revenue decreased $893 million or 24% driven by continued PC market weakness and execution challenges on new product launches.</w:t>
      </w:r>
    </w:p>
    <w:p>
      <w:pPr>
        <w:spacing w:after="0" w:line="5" w:lineRule="exact"/>
        <w:rPr>
          <w:rFonts w:ascii="Times New Roman" w:cs="Times New Roman" w:eastAsia="Times New Roman" w:hAnsi="Times New Roman"/>
          <w:sz w:val="18"/>
          <w:szCs w:val="18"/>
          <w:color w:val="auto"/>
        </w:rPr>
      </w:pPr>
    </w:p>
    <w:p>
      <w:pPr>
        <w:jc w:val="both"/>
        <w:ind w:left="1060" w:hanging="391"/>
        <w:spacing w:after="0" w:line="246" w:lineRule="auto"/>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Gaming revenue decreased $667 million or 7% driven by declines in Xbox content and services and Xbox hardware. Xbox content and services revenue decreased 8% driven by declines in first-party content and in third-party content, with lower rate of monetization and engagement hours, offset in part by growth in Xbox Game Pass subscriptions. Xbox hardware revenue decreased 5% driven by lower price of consoles sold.</w:t>
      </w:r>
    </w:p>
    <w:p>
      <w:pPr>
        <w:spacing w:after="0" w:line="28" w:lineRule="exact"/>
        <w:rPr>
          <w:rFonts w:ascii="Times New Roman" w:cs="Times New Roman" w:eastAsia="Times New Roman" w:hAnsi="Times New Roman"/>
          <w:sz w:val="18"/>
          <w:szCs w:val="18"/>
          <w:color w:val="auto"/>
        </w:rPr>
      </w:pPr>
    </w:p>
    <w:p>
      <w:pPr>
        <w:jc w:val="both"/>
        <w:ind w:left="1060" w:hanging="391"/>
        <w:spacing w:after="0" w:line="252" w:lineRule="auto"/>
        <w:tabs>
          <w:tab w:leader="none" w:pos="106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Search and news advertising revenue increased $431 million or 8%. Search and news advertising revenue excluding traffic acquisition costs increased 13% driven by higher search volume and the Xandr acquisition, offset in part by lower revenue per search.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$3.7 billion or 33%.</w:t>
      </w:r>
    </w:p>
    <w:p>
      <w:pPr>
        <w:spacing w:after="0" w:line="63" w:lineRule="exact"/>
        <w:rPr>
          <w:sz w:val="20"/>
          <w:szCs w:val="20"/>
          <w:color w:val="auto"/>
        </w:rPr>
      </w:pPr>
    </w:p>
    <w:p>
      <w:pPr>
        <w:jc w:val="both"/>
        <w:ind w:left="1060" w:hanging="391"/>
        <w:spacing w:after="0" w:line="252" w:lineRule="auto"/>
        <w:tabs>
          <w:tab w:leader="none" w:pos="10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Gross margin decreased $3.4 billion or 20% driven by declines in Windows, Devices, and Gaming. Gross margin percentage decreased driven by reductions in Devices, including the impact of impairment charges resulting from changes to our hardware portfolio, and sales mix shift to lower margin businesses.</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Operating expenses increased $269 million or 4% driven by investment in Search and news advertising and employee severance expenses, offset in part by a decline in Devices.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3%, 5%, and 7%, respectively. Operating expenses included a favorable foreign currency impact of 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360" w:type="dxa"/>
            <w:vAlign w:val="bottom"/>
          </w:tcPr>
          <w:p>
            <w:pPr>
              <w:spacing w:after="0"/>
              <w:rPr>
                <w:sz w:val="13"/>
                <w:szCs w:val="13"/>
                <w:color w:val="auto"/>
              </w:rPr>
            </w:pPr>
          </w:p>
        </w:tc>
        <w:tc>
          <w:tcPr>
            <w:tcW w:w="212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360" w:type="dxa"/>
            <w:vAlign w:val="bottom"/>
          </w:tcPr>
          <w:p>
            <w:pPr>
              <w:spacing w:after="0"/>
              <w:rPr>
                <w:sz w:val="13"/>
                <w:szCs w:val="13"/>
                <w:color w:val="auto"/>
              </w:rPr>
            </w:pPr>
          </w:p>
        </w:tc>
        <w:tc>
          <w:tcPr>
            <w:tcW w:w="204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326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3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3"/>
                <w:szCs w:val="13"/>
                <w:b w:val="1"/>
                <w:bCs w:val="1"/>
                <w:color w:val="auto"/>
              </w:rPr>
              <w:t>2022</w:t>
            </w:r>
          </w:p>
        </w:tc>
        <w:tc>
          <w:tcPr>
            <w:tcW w:w="340" w:type="dxa"/>
            <w:vAlign w:val="bottom"/>
          </w:tcPr>
          <w:p>
            <w:pPr>
              <w:spacing w:after="0"/>
              <w:rPr>
                <w:sz w:val="20"/>
                <w:szCs w:val="20"/>
                <w:color w:val="auto"/>
              </w:rPr>
            </w:pPr>
          </w:p>
        </w:tc>
        <w:tc>
          <w:tcPr>
            <w:tcW w:w="900" w:type="dxa"/>
            <w:vAlign w:val="bottom"/>
          </w:tcPr>
          <w:p>
            <w:pPr>
              <w:jc w:val="right"/>
              <w:ind w:right="118"/>
              <w:spacing w:after="0"/>
              <w:rPr>
                <w:sz w:val="20"/>
                <w:szCs w:val="20"/>
                <w:color w:val="auto"/>
              </w:rPr>
            </w:pPr>
            <w:r>
              <w:rPr>
                <w:rFonts w:ascii="Arial" w:cs="Arial" w:eastAsia="Arial" w:hAnsi="Arial"/>
                <w:sz w:val="13"/>
                <w:szCs w:val="13"/>
                <w:b w:val="1"/>
                <w:bCs w:val="1"/>
                <w:color w:val="auto"/>
              </w:rPr>
              <w:t>2021</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41"/>
              <w:spacing w:after="0" w:line="202" w:lineRule="exact"/>
              <w:rPr>
                <w:sz w:val="20"/>
                <w:szCs w:val="20"/>
                <w:color w:val="auto"/>
              </w:rPr>
            </w:pPr>
            <w:r>
              <w:rPr>
                <w:rFonts w:ascii="Arial" w:cs="Arial" w:eastAsia="Arial" w:hAnsi="Arial"/>
                <w:sz w:val="18"/>
                <w:szCs w:val="18"/>
                <w:b w:val="1"/>
                <w:bCs w:val="1"/>
                <w:color w:val="auto"/>
              </w:rPr>
              <w:t>6,844</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61"/>
              <w:spacing w:after="0" w:line="202" w:lineRule="exact"/>
              <w:rPr>
                <w:sz w:val="20"/>
                <w:szCs w:val="20"/>
                <w:color w:val="auto"/>
              </w:rPr>
            </w:pPr>
            <w:r>
              <w:rPr>
                <w:rFonts w:ascii="Arial" w:cs="Arial" w:eastAsia="Arial" w:hAnsi="Arial"/>
                <w:sz w:val="18"/>
                <w:szCs w:val="18"/>
                <w:color w:val="auto"/>
              </w:rPr>
              <w:t>5,758</w:t>
            </w:r>
          </w:p>
        </w:tc>
        <w:tc>
          <w:tcPr>
            <w:tcW w:w="110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color w:val="auto"/>
              </w:rPr>
              <w:t>19%</w:t>
            </w:r>
          </w:p>
        </w:tc>
        <w:tc>
          <w:tcPr>
            <w:tcW w:w="3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1"/>
              <w:spacing w:after="0" w:line="202" w:lineRule="exact"/>
              <w:rPr>
                <w:sz w:val="20"/>
                <w:szCs w:val="20"/>
                <w:color w:val="auto"/>
              </w:rPr>
            </w:pPr>
            <w:r>
              <w:rPr>
                <w:rFonts w:ascii="Arial" w:cs="Arial" w:eastAsia="Arial" w:hAnsi="Arial"/>
                <w:sz w:val="18"/>
                <w:szCs w:val="18"/>
                <w:b w:val="1"/>
                <w:bCs w:val="1"/>
                <w:color w:val="auto"/>
              </w:rPr>
              <w:t>13,472</w:t>
            </w:r>
          </w:p>
        </w:tc>
        <w:tc>
          <w:tcPr>
            <w:tcW w:w="340" w:type="dxa"/>
            <w:vAlign w:val="bottom"/>
            <w:shd w:val="clear" w:color="auto" w:fill="E5E5E5"/>
          </w:tcPr>
          <w:p>
            <w:pPr>
              <w:jc w:val="right"/>
              <w:ind w:right="101"/>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18"/>
              <w:spacing w:after="0" w:line="202" w:lineRule="exact"/>
              <w:rPr>
                <w:sz w:val="20"/>
                <w:szCs w:val="20"/>
                <w:color w:val="auto"/>
              </w:rPr>
            </w:pPr>
            <w:r>
              <w:rPr>
                <w:rFonts w:ascii="Arial" w:cs="Arial" w:eastAsia="Arial" w:hAnsi="Arial"/>
                <w:sz w:val="18"/>
                <w:szCs w:val="18"/>
                <w:color w:val="auto"/>
              </w:rPr>
              <w:t>11,357</w:t>
            </w: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26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36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11%</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2ppt</w:t>
            </w:r>
          </w:p>
        </w:tc>
        <w:tc>
          <w:tcPr>
            <w:tcW w:w="3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b w:val="1"/>
                <w:bCs w:val="1"/>
                <w:color w:val="auto"/>
              </w:rPr>
              <w:t>13%</w:t>
            </w:r>
          </w:p>
        </w:tc>
        <w:tc>
          <w:tcPr>
            <w:tcW w:w="340" w:type="dxa"/>
            <w:vAlign w:val="bottom"/>
          </w:tcPr>
          <w:p>
            <w:pPr>
              <w:spacing w:after="0"/>
              <w:rPr>
                <w:sz w:val="21"/>
                <w:szCs w:val="21"/>
                <w:color w:val="auto"/>
              </w:rPr>
            </w:pPr>
          </w:p>
        </w:tc>
        <w:tc>
          <w:tcPr>
            <w:tcW w:w="900" w:type="dxa"/>
            <w:vAlign w:val="bottom"/>
          </w:tcPr>
          <w:p>
            <w:pPr>
              <w:jc w:val="right"/>
              <w:ind w:right="118"/>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23"/>
        </w:trPr>
        <w:tc>
          <w:tcPr>
            <w:tcW w:w="3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Compared with Three Months Ended December 31, 2021</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expenses increased $1.1 billion or 19% driven by investments in cloud engineering, impairment charges resulting from changes to our hardware portfolio, and LinkedIn. Research and development included a favorable foreign currency impact of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2022 Compared with Six Months Ended December 31,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$2.1 billion or 19% driven by investments in cloud engineering and LinkedIn.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420" w:type="dxa"/>
            <w:vAlign w:val="bottom"/>
          </w:tcPr>
          <w:p>
            <w:pPr>
              <w:spacing w:after="0"/>
              <w:rPr>
                <w:sz w:val="12"/>
                <w:szCs w:val="12"/>
                <w:color w:val="auto"/>
              </w:rPr>
            </w:pPr>
          </w:p>
        </w:tc>
        <w:tc>
          <w:tcPr>
            <w:tcW w:w="212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360" w:type="dxa"/>
            <w:vAlign w:val="bottom"/>
          </w:tcPr>
          <w:p>
            <w:pPr>
              <w:spacing w:after="0"/>
              <w:rPr>
                <w:sz w:val="12"/>
                <w:szCs w:val="12"/>
                <w:color w:val="auto"/>
              </w:rPr>
            </w:pPr>
          </w:p>
        </w:tc>
        <w:tc>
          <w:tcPr>
            <w:tcW w:w="204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320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5"/>
        </w:trPr>
        <w:tc>
          <w:tcPr>
            <w:tcW w:w="3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20"/>
                <w:szCs w:val="20"/>
                <w:color w:val="auto"/>
              </w:rPr>
            </w:pPr>
          </w:p>
        </w:tc>
        <w:tc>
          <w:tcPr>
            <w:tcW w:w="860" w:type="dxa"/>
            <w:vAlign w:val="bottom"/>
          </w:tcPr>
          <w:p>
            <w:pPr>
              <w:jc w:val="right"/>
              <w:ind w:right="118"/>
              <w:spacing w:after="0"/>
              <w:rPr>
                <w:sz w:val="20"/>
                <w:szCs w:val="20"/>
                <w:color w:val="auto"/>
              </w:rPr>
            </w:pPr>
            <w:r>
              <w:rPr>
                <w:rFonts w:ascii="Arial" w:cs="Arial" w:eastAsia="Arial" w:hAnsi="Arial"/>
                <w:sz w:val="13"/>
                <w:szCs w:val="13"/>
                <w:b w:val="1"/>
                <w:bCs w:val="1"/>
                <w:color w:val="auto"/>
              </w:rPr>
              <w:t>2021</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14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41"/>
              <w:spacing w:after="0" w:line="202" w:lineRule="exact"/>
              <w:rPr>
                <w:sz w:val="20"/>
                <w:szCs w:val="20"/>
                <w:color w:val="auto"/>
              </w:rPr>
            </w:pPr>
            <w:r>
              <w:rPr>
                <w:rFonts w:ascii="Arial" w:cs="Arial" w:eastAsia="Arial" w:hAnsi="Arial"/>
                <w:sz w:val="18"/>
                <w:szCs w:val="18"/>
                <w:b w:val="1"/>
                <w:bCs w:val="1"/>
                <w:color w:val="auto"/>
              </w:rPr>
              <w:t>5,679</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61"/>
              <w:spacing w:after="0" w:line="202" w:lineRule="exact"/>
              <w:rPr>
                <w:sz w:val="20"/>
                <w:szCs w:val="20"/>
                <w:color w:val="auto"/>
              </w:rPr>
            </w:pPr>
            <w:r>
              <w:rPr>
                <w:rFonts w:ascii="Arial" w:cs="Arial" w:eastAsia="Arial" w:hAnsi="Arial"/>
                <w:sz w:val="18"/>
                <w:szCs w:val="18"/>
                <w:color w:val="auto"/>
              </w:rPr>
              <w:t>5,379</w:t>
            </w:r>
          </w:p>
        </w:tc>
        <w:tc>
          <w:tcPr>
            <w:tcW w:w="110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5E5E5"/>
          </w:tcPr>
          <w:p>
            <w:pPr>
              <w:jc w:val="right"/>
              <w:ind w:right="1"/>
              <w:spacing w:after="0" w:line="202" w:lineRule="exact"/>
              <w:rPr>
                <w:sz w:val="20"/>
                <w:szCs w:val="20"/>
                <w:color w:val="auto"/>
              </w:rPr>
            </w:pPr>
            <w:r>
              <w:rPr>
                <w:rFonts w:ascii="Arial" w:cs="Arial" w:eastAsia="Arial" w:hAnsi="Arial"/>
                <w:sz w:val="18"/>
                <w:szCs w:val="18"/>
                <w:b w:val="1"/>
                <w:bCs w:val="1"/>
                <w:color w:val="auto"/>
              </w:rPr>
              <w:t>10,805</w:t>
            </w:r>
          </w:p>
        </w:tc>
        <w:tc>
          <w:tcPr>
            <w:tcW w:w="380" w:type="dxa"/>
            <w:vAlign w:val="bottom"/>
            <w:shd w:val="clear" w:color="auto" w:fill="E5E5E5"/>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8"/>
              <w:spacing w:after="0" w:line="202" w:lineRule="exact"/>
              <w:rPr>
                <w:sz w:val="20"/>
                <w:szCs w:val="20"/>
                <w:color w:val="auto"/>
              </w:rPr>
            </w:pPr>
            <w:r>
              <w:rPr>
                <w:rFonts w:ascii="Arial" w:cs="Arial" w:eastAsia="Arial" w:hAnsi="Arial"/>
                <w:sz w:val="18"/>
                <w:szCs w:val="18"/>
                <w:color w:val="auto"/>
              </w:rPr>
              <w:t>9,926</w:t>
            </w: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20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42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1ppt</w:t>
            </w:r>
          </w:p>
        </w:tc>
        <w:tc>
          <w:tcPr>
            <w:tcW w:w="360" w:type="dxa"/>
            <w:vAlign w:val="bottom"/>
          </w:tcPr>
          <w:p>
            <w:pPr>
              <w:spacing w:after="0"/>
              <w:rPr>
                <w:sz w:val="21"/>
                <w:szCs w:val="21"/>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b w:val="1"/>
                <w:bCs w:val="1"/>
                <w:color w:val="auto"/>
              </w:rPr>
              <w:t>11%</w:t>
            </w:r>
          </w:p>
        </w:tc>
        <w:tc>
          <w:tcPr>
            <w:tcW w:w="380" w:type="dxa"/>
            <w:vAlign w:val="bottom"/>
          </w:tcPr>
          <w:p>
            <w:pPr>
              <w:spacing w:after="0"/>
              <w:rPr>
                <w:sz w:val="21"/>
                <w:szCs w:val="21"/>
                <w:color w:val="auto"/>
              </w:rPr>
            </w:pPr>
          </w:p>
        </w:tc>
        <w:tc>
          <w:tcPr>
            <w:tcW w:w="860" w:type="dxa"/>
            <w:vAlign w:val="bottom"/>
          </w:tcPr>
          <w:p>
            <w:pPr>
              <w:jc w:val="right"/>
              <w:ind w:right="118"/>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Compared with Three Months Ended December 31, 2021</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$300 million or 6% driven by the Nuance acquisition and investments in commercial sales. Sales and marketing included a favorable foreign currency impact of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2022 Compared with Six Months Ended December 31, 2021</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$879 million or 9% driven by investments in commercial sales and the Nuance acquisition. Sales and marketing included a favorable foreign currency impact of 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400" w:type="dxa"/>
            <w:vAlign w:val="bottom"/>
          </w:tcPr>
          <w:p>
            <w:pPr>
              <w:spacing w:after="0"/>
              <w:rPr>
                <w:sz w:val="13"/>
                <w:szCs w:val="13"/>
                <w:color w:val="auto"/>
              </w:rPr>
            </w:pPr>
          </w:p>
        </w:tc>
        <w:tc>
          <w:tcPr>
            <w:tcW w:w="2120" w:type="dxa"/>
            <w:vAlign w:val="bottom"/>
            <w:gridSpan w:val="3"/>
          </w:tcPr>
          <w:p>
            <w:pPr>
              <w:jc w:val="right"/>
              <w:ind w:right="181"/>
              <w:spacing w:after="0"/>
              <w:rPr>
                <w:sz w:val="20"/>
                <w:szCs w:val="20"/>
                <w:color w:val="auto"/>
              </w:rPr>
            </w:pPr>
            <w:r>
              <w:rPr>
                <w:rFonts w:ascii="Arial" w:cs="Arial" w:eastAsia="Arial" w:hAnsi="Arial"/>
                <w:sz w:val="13"/>
                <w:szCs w:val="13"/>
                <w:b w:val="1"/>
                <w:bCs w:val="1"/>
                <w:color w:val="auto"/>
              </w:rPr>
              <w:t>Three Months Ended</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Percentage</w:t>
            </w:r>
          </w:p>
        </w:tc>
        <w:tc>
          <w:tcPr>
            <w:tcW w:w="420" w:type="dxa"/>
            <w:vAlign w:val="bottom"/>
          </w:tcPr>
          <w:p>
            <w:pPr>
              <w:spacing w:after="0"/>
              <w:rPr>
                <w:sz w:val="13"/>
                <w:szCs w:val="13"/>
                <w:color w:val="auto"/>
              </w:rPr>
            </w:pPr>
          </w:p>
        </w:tc>
        <w:tc>
          <w:tcPr>
            <w:tcW w:w="1980" w:type="dxa"/>
            <w:vAlign w:val="bottom"/>
            <w:gridSpan w:val="3"/>
          </w:tcPr>
          <w:p>
            <w:pPr>
              <w:jc w:val="right"/>
              <w:ind w:right="118"/>
              <w:spacing w:after="0"/>
              <w:rPr>
                <w:sz w:val="20"/>
                <w:szCs w:val="20"/>
                <w:color w:val="auto"/>
              </w:rPr>
            </w:pPr>
            <w:r>
              <w:rPr>
                <w:rFonts w:ascii="Arial" w:cs="Arial" w:eastAsia="Arial" w:hAnsi="Arial"/>
                <w:sz w:val="13"/>
                <w:szCs w:val="13"/>
                <w:b w:val="1"/>
                <w:bCs w:val="1"/>
                <w:color w:val="auto"/>
              </w:rPr>
              <w:t>Six Months Ended</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32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Pr>
          <w:p>
            <w:pPr>
              <w:jc w:val="right"/>
              <w:ind w:right="41"/>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gridSpan w:val="2"/>
          </w:tcPr>
          <w:p>
            <w:pPr>
              <w:jc w:val="right"/>
              <w:ind w:right="118"/>
              <w:spacing w:after="0"/>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3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20"/>
                <w:szCs w:val="20"/>
                <w:color w:val="auto"/>
              </w:rPr>
            </w:pPr>
          </w:p>
        </w:tc>
        <w:tc>
          <w:tcPr>
            <w:tcW w:w="1140" w:type="dxa"/>
            <w:vAlign w:val="bottom"/>
          </w:tcPr>
          <w:p>
            <w:pPr>
              <w:jc w:val="right"/>
              <w:ind w:right="181"/>
              <w:spacing w:after="0"/>
              <w:rPr>
                <w:sz w:val="20"/>
                <w:szCs w:val="20"/>
                <w:color w:val="auto"/>
              </w:rPr>
            </w:pPr>
            <w:r>
              <w:rPr>
                <w:rFonts w:ascii="Arial" w:cs="Arial" w:eastAsia="Arial" w:hAnsi="Arial"/>
                <w:sz w:val="13"/>
                <w:szCs w:val="13"/>
                <w:b w:val="1"/>
                <w:bCs w:val="1"/>
                <w:color w:val="auto"/>
              </w:rPr>
              <w:t>2021</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20"/>
                <w:szCs w:val="20"/>
                <w:color w:val="auto"/>
              </w:rPr>
            </w:pPr>
          </w:p>
        </w:tc>
        <w:tc>
          <w:tcPr>
            <w:tcW w:w="860" w:type="dxa"/>
            <w:vAlign w:val="bottom"/>
          </w:tcPr>
          <w:p>
            <w:pPr>
              <w:jc w:val="right"/>
              <w:ind w:right="118"/>
              <w:spacing w:after="0"/>
              <w:rPr>
                <w:sz w:val="20"/>
                <w:szCs w:val="20"/>
                <w:color w:val="auto"/>
              </w:rPr>
            </w:pPr>
            <w:r>
              <w:rPr>
                <w:rFonts w:ascii="Arial" w:cs="Arial" w:eastAsia="Arial" w:hAnsi="Arial"/>
                <w:sz w:val="13"/>
                <w:szCs w:val="13"/>
                <w:b w:val="1"/>
                <w:bCs w:val="1"/>
                <w:color w:val="auto"/>
              </w:rPr>
              <w:t>2021</w:t>
            </w: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5E5E5"/>
          </w:tcPr>
          <w:p>
            <w:pPr>
              <w:jc w:val="right"/>
              <w:ind w:right="41"/>
              <w:spacing w:after="0" w:line="202" w:lineRule="exact"/>
              <w:rPr>
                <w:sz w:val="20"/>
                <w:szCs w:val="20"/>
                <w:color w:val="auto"/>
              </w:rPr>
            </w:pPr>
            <w:r>
              <w:rPr>
                <w:rFonts w:ascii="Arial" w:cs="Arial" w:eastAsia="Arial" w:hAnsi="Arial"/>
                <w:sz w:val="18"/>
                <w:szCs w:val="18"/>
                <w:b w:val="1"/>
                <w:bCs w:val="1"/>
                <w:color w:val="auto"/>
              </w:rPr>
              <w:t>2,337</w:t>
            </w:r>
          </w:p>
        </w:tc>
        <w:tc>
          <w:tcPr>
            <w:tcW w:w="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61"/>
              <w:spacing w:after="0" w:line="202" w:lineRule="exact"/>
              <w:rPr>
                <w:sz w:val="20"/>
                <w:szCs w:val="20"/>
                <w:color w:val="auto"/>
              </w:rPr>
            </w:pPr>
            <w:r>
              <w:rPr>
                <w:rFonts w:ascii="Arial" w:cs="Arial" w:eastAsia="Arial" w:hAnsi="Arial"/>
                <w:sz w:val="18"/>
                <w:szCs w:val="18"/>
                <w:color w:val="auto"/>
              </w:rPr>
              <w:t>1,384</w:t>
            </w:r>
          </w:p>
        </w:tc>
        <w:tc>
          <w:tcPr>
            <w:tcW w:w="110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color w:val="auto"/>
              </w:rPr>
              <w:t>69%</w:t>
            </w:r>
          </w:p>
        </w:tc>
        <w:tc>
          <w:tcPr>
            <w:tcW w:w="4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
              <w:spacing w:after="0" w:line="202" w:lineRule="exact"/>
              <w:rPr>
                <w:sz w:val="20"/>
                <w:szCs w:val="20"/>
                <w:color w:val="auto"/>
              </w:rPr>
            </w:pPr>
            <w:r>
              <w:rPr>
                <w:rFonts w:ascii="Arial" w:cs="Arial" w:eastAsia="Arial" w:hAnsi="Arial"/>
                <w:sz w:val="18"/>
                <w:szCs w:val="18"/>
                <w:b w:val="1"/>
                <w:bCs w:val="1"/>
                <w:color w:val="auto"/>
              </w:rPr>
              <w:t>3,735</w:t>
            </w:r>
          </w:p>
        </w:tc>
        <w:tc>
          <w:tcPr>
            <w:tcW w:w="380" w:type="dxa"/>
            <w:vAlign w:val="bottom"/>
            <w:shd w:val="clear" w:color="auto" w:fill="E5E5E5"/>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118"/>
              <w:spacing w:after="0" w:line="202" w:lineRule="exact"/>
              <w:rPr>
                <w:sz w:val="20"/>
                <w:szCs w:val="20"/>
                <w:color w:val="auto"/>
              </w:rPr>
            </w:pPr>
            <w:r>
              <w:rPr>
                <w:rFonts w:ascii="Arial" w:cs="Arial" w:eastAsia="Arial" w:hAnsi="Arial"/>
                <w:sz w:val="18"/>
                <w:szCs w:val="18"/>
                <w:color w:val="auto"/>
              </w:rPr>
              <w:t>2,671</w:t>
            </w:r>
          </w:p>
        </w:tc>
        <w:tc>
          <w:tcPr>
            <w:tcW w:w="9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22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140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3%</w:t>
            </w: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1ppt</w:t>
            </w:r>
          </w:p>
        </w:tc>
        <w:tc>
          <w:tcPr>
            <w:tcW w:w="42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21"/>
                <w:szCs w:val="21"/>
                <w:color w:val="auto"/>
              </w:rPr>
            </w:pPr>
          </w:p>
        </w:tc>
        <w:tc>
          <w:tcPr>
            <w:tcW w:w="860" w:type="dxa"/>
            <w:vAlign w:val="bottom"/>
          </w:tcPr>
          <w:p>
            <w:pPr>
              <w:jc w:val="right"/>
              <w:ind w:right="118"/>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23"/>
        </w:trPr>
        <w:tc>
          <w:tcPr>
            <w:tcW w:w="3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employee severance expense, and other headcount-related expenses associated with finance, legal, facilities, certain human resources and other administrative personnel, certain taxes, and legal and other administrative fees.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Compared with Three Months Ended December 31, 2021</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General and administrative expenses increased $953 million or 69% driven by employee severance expenses. General and administrative included a favorable foreign currency impact of 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2022 Compared with Six Months Ended December 31, 2021</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increased $1.1 billion or 40% driven by employee severance expenses. General and administrative included a favorable foreign currency impact of 3%.</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86"/>
        </w:trPr>
        <w:tc>
          <w:tcPr>
            <w:tcW w:w="49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45"/>
        </w:trPr>
        <w:tc>
          <w:tcPr>
            <w:tcW w:w="4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5"/>
        </w:trPr>
        <w:tc>
          <w:tcPr>
            <w:tcW w:w="4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and dividends income</w:t>
            </w:r>
          </w:p>
        </w:tc>
        <w:tc>
          <w:tcPr>
            <w:tcW w:w="152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700</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503</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1,341</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(525)</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(990)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3"/>
        </w:trPr>
        <w:tc>
          <w:tcPr>
            <w:tcW w:w="4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(losses) on investments</w:t>
            </w:r>
          </w:p>
        </w:tc>
        <w:tc>
          <w:tcPr>
            <w:tcW w:w="1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300</w:t>
            </w:r>
          </w:p>
        </w:tc>
        <w:tc>
          <w:tcPr>
            <w:tcW w:w="3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49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11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3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7"/>
        </w:trPr>
        <w:tc>
          <w:tcPr>
            <w:tcW w:w="4920" w:type="dxa"/>
            <w:vAlign w:val="bottom"/>
          </w:tcPr>
          <w:p>
            <w:pPr>
              <w:spacing w:after="0"/>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
        </w:trPr>
        <w:tc>
          <w:tcPr>
            <w:tcW w:w="4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(60)</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268</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75"/>
        </w:trPr>
        <w:tc>
          <w:tcPr>
            <w:tcW w:w="4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2022 Compared with Three Months Ended December 31, 2021</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and dividends income increased due to higher yields, offset in part by lower portfolio balances. Interest expense decreased due to a decrease in outstanding long-term debt due to debt maturities. Net recognized losses on investments increased due to losses on equity securities in the current period compared to gains in the prior period. Net losses on derivatives increased due to losses on a forward purchase agreement for shares of the London Stock Exchange Group.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December 31, 2022 Compared with Six Months Ended December 31, 2021</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and dividends income increased due to higher yields, offset in part by lower portfolio balances. Interest expense decreased due to a decrease in outstanding long-term debt due to debt maturities. Net recognized losses on investments increased due to losses on fixed income securities in the current period compared to gains in the prior period, and lower gains on equity securities in the current period. Net losses on derivatives increased due to losses on a forward purchase agreement for shares of the London Stock Exchange Group.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effective tax rate was 19% and 17% for the three months ended December 31, 2022 and 2021, respectively, and 19% and 9% for the six months ended December 31, 2022 and 2021, respectively. The increase in our effective tax rate for the three months ended December 31, 2022 compared to the prior year was primarily due to a decrease in tax benefits relating to stock-based compensation. The increase in our effective tax rate for the six months ended December 31, 2022 compared to the prior year was primarily due to a $3.3 billion net income tax benefit in the first quarter of fiscal year 2022 related to the transfer of intangible properties and a decrease in tax benefits relating to stock-based compensation.</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tax.</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and six months ended December 31, 2022, primarily due to earnings taxed at lower rates in foreign jurisdictions resulting from producing and distributing our products and services through our foreign regional operations center in Ireland.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December 31,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Adjusted gross margin, operating income, net income, and diluted EPS are non-GAAP financial measures. Current year non-GAAP financial measures exclude the impact of the Q2 charge, which includes employee severance expenses, impairment charges resulting from changes to our hardware portfolio, and costs related to lease consolidation activities. Prior year non-GAAP financial measures exclude the net income tax benefit related to transfer of intangible properties in the first quarter of fiscal year 2022.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rPr>
              <w:t>Three Months Ended</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Six Months Ended</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Pr>
          <w:p>
            <w:pPr>
              <w:jc w:val="right"/>
              <w:ind w:right="33"/>
              <w:spacing w:after="0"/>
              <w:rPr>
                <w:sz w:val="20"/>
                <w:szCs w:val="20"/>
                <w:color w:val="auto"/>
              </w:rPr>
            </w:pPr>
            <w:r>
              <w:rPr>
                <w:rFonts w:ascii="Arial" w:cs="Arial" w:eastAsia="Arial" w:hAnsi="Arial"/>
                <w:sz w:val="13"/>
                <w:szCs w:val="13"/>
                <w:b w:val="1"/>
                <w:bCs w:val="1"/>
                <w:color w:val="auto"/>
              </w:rPr>
              <w:t>Change</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December 31,</w:t>
            </w: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5"/>
        </w:trPr>
        <w:tc>
          <w:tcPr>
            <w:tcW w:w="3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2021</w:t>
            </w: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Gross margin</w:t>
            </w:r>
          </w:p>
        </w:tc>
        <w:tc>
          <w:tcPr>
            <w:tcW w:w="4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35,259</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34,768</w:t>
            </w:r>
          </w:p>
        </w:tc>
        <w:tc>
          <w:tcPr>
            <w:tcW w:w="108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69,929</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66,439</w:t>
            </w: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0"/>
        </w:trPr>
        <w:tc>
          <w:tcPr>
            <w:tcW w:w="3980" w:type="dxa"/>
            <w:vAlign w:val="bottom"/>
          </w:tcPr>
          <w:p>
            <w:pPr>
              <w:spacing w:after="0" w:line="170" w:lineRule="exact"/>
              <w:rPr>
                <w:sz w:val="20"/>
                <w:szCs w:val="20"/>
                <w:color w:val="auto"/>
              </w:rPr>
            </w:pPr>
            <w:r>
              <w:rPr>
                <w:rFonts w:ascii="Arial" w:cs="Arial" w:eastAsia="Arial" w:hAnsi="Arial"/>
                <w:sz w:val="18"/>
                <w:szCs w:val="18"/>
                <w:color w:val="auto"/>
              </w:rPr>
              <w:t>Severance, hardware-related impairment, and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980" w:type="dxa"/>
            <w:vAlign w:val="bottom"/>
          </w:tcPr>
          <w:p>
            <w:pPr>
              <w:ind w:left="220"/>
              <w:spacing w:after="0"/>
              <w:rPr>
                <w:sz w:val="20"/>
                <w:szCs w:val="20"/>
                <w:color w:val="auto"/>
              </w:rPr>
            </w:pPr>
            <w:r>
              <w:rPr>
                <w:rFonts w:ascii="Arial" w:cs="Arial" w:eastAsia="Arial" w:hAnsi="Arial"/>
                <w:sz w:val="18"/>
                <w:szCs w:val="18"/>
                <w:color w:val="auto"/>
              </w:rPr>
              <w:t>lease consolidation costs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Adjusted gross margin (non-GAAP)</w:t>
            </w:r>
          </w:p>
        </w:tc>
        <w:tc>
          <w:tcPr>
            <w:tcW w:w="4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35,411</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34,768</w:t>
            </w:r>
          </w:p>
        </w:tc>
        <w:tc>
          <w:tcPr>
            <w:tcW w:w="108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70,081</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66,439</w:t>
            </w: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
        </w:trPr>
        <w:tc>
          <w:tcPr>
            <w:tcW w:w="3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gridSpan w:val="2"/>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20,399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22,247</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41,917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42,485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0"/>
        </w:trPr>
        <w:tc>
          <w:tcPr>
            <w:tcW w:w="398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Severance, hardware-related impairment, and</w:t>
            </w:r>
          </w:p>
        </w:tc>
        <w:tc>
          <w:tcPr>
            <w:tcW w:w="1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9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1,171</w:t>
            </w:r>
          </w:p>
        </w:tc>
        <w:tc>
          <w:tcPr>
            <w:tcW w:w="180" w:type="dxa"/>
            <w:vAlign w:val="bottom"/>
            <w:shd w:val="clear" w:color="auto" w:fill="E5E5E5"/>
          </w:tcPr>
          <w:p>
            <w:pPr>
              <w:spacing w:after="0"/>
              <w:rPr>
                <w:sz w:val="14"/>
                <w:szCs w:val="14"/>
                <w:color w:val="auto"/>
              </w:rPr>
            </w:pPr>
          </w:p>
        </w:tc>
        <w:tc>
          <w:tcPr>
            <w:tcW w:w="11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vMerge w:val="restart"/>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4"/>
                <w:szCs w:val="14"/>
                <w:color w:val="auto"/>
              </w:rPr>
            </w:pPr>
          </w:p>
        </w:tc>
        <w:tc>
          <w:tcPr>
            <w:tcW w:w="80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1,171</w:t>
            </w: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96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E5E5E5"/>
          </w:tcPr>
          <w:p>
            <w:pPr>
              <w:spacing w:after="0"/>
              <w:rPr>
                <w:sz w:val="14"/>
                <w:szCs w:val="14"/>
                <w:color w:val="auto"/>
              </w:rPr>
            </w:pPr>
          </w:p>
        </w:tc>
        <w:tc>
          <w:tcPr>
            <w:tcW w:w="9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9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lease consolidation costs</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80" w:type="dxa"/>
            <w:vAlign w:val="bottom"/>
            <w:gridSpan w:val="2"/>
            <w:vMerge w:val="continue"/>
            <w:shd w:val="clear" w:color="auto" w:fill="E5E5E5"/>
          </w:tcPr>
          <w:p>
            <w:pPr>
              <w:spacing w:after="0"/>
              <w:rPr>
                <w:sz w:val="19"/>
                <w:szCs w:val="19"/>
                <w:color w:val="auto"/>
              </w:rPr>
            </w:pPr>
          </w:p>
        </w:tc>
        <w:tc>
          <w:tcPr>
            <w:tcW w:w="1080" w:type="dxa"/>
            <w:vAlign w:val="bottom"/>
            <w:vMerge w:val="continue"/>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00" w:type="dxa"/>
            <w:vAlign w:val="bottom"/>
            <w:gridSpan w:val="2"/>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960" w:type="dxa"/>
            <w:vAlign w:val="bottom"/>
            <w:gridSpan w:val="2"/>
            <w:vMerge w:val="continue"/>
            <w:shd w:val="clear" w:color="auto" w:fill="E5E5E5"/>
          </w:tcPr>
          <w:p>
            <w:pPr>
              <w:spacing w:after="0"/>
              <w:rPr>
                <w:sz w:val="19"/>
                <w:szCs w:val="19"/>
                <w:color w:val="auto"/>
              </w:rPr>
            </w:pPr>
          </w:p>
        </w:tc>
        <w:tc>
          <w:tcPr>
            <w:tcW w:w="200" w:type="dxa"/>
            <w:vAlign w:val="bottom"/>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9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gridSpan w:val="2"/>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980" w:type="dxa"/>
            <w:vAlign w:val="bottom"/>
          </w:tcPr>
          <w:p>
            <w:pPr>
              <w:spacing w:after="0"/>
              <w:rPr>
                <w:sz w:val="20"/>
                <w:szCs w:val="20"/>
                <w:color w:val="auto"/>
              </w:rPr>
            </w:pPr>
            <w:r>
              <w:rPr>
                <w:rFonts w:ascii="Arial" w:cs="Arial" w:eastAsia="Arial" w:hAnsi="Arial"/>
                <w:sz w:val="18"/>
                <w:szCs w:val="18"/>
                <w:color w:val="auto"/>
              </w:rPr>
              <w:t>Adjusted operating income (non-GAAP)</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21,570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22,247</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43,088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42,485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3"/>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16,425</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18,765</w:t>
            </w:r>
          </w:p>
        </w:tc>
        <w:tc>
          <w:tcPr>
            <w:tcW w:w="108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33,981</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39,270</w:t>
            </w: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0"/>
        </w:trPr>
        <w:tc>
          <w:tcPr>
            <w:tcW w:w="3980" w:type="dxa"/>
            <w:vAlign w:val="bottom"/>
          </w:tcPr>
          <w:p>
            <w:pPr>
              <w:spacing w:after="0" w:line="170" w:lineRule="exact"/>
              <w:rPr>
                <w:sz w:val="20"/>
                <w:szCs w:val="20"/>
                <w:color w:val="auto"/>
              </w:rPr>
            </w:pPr>
            <w:r>
              <w:rPr>
                <w:rFonts w:ascii="Arial" w:cs="Arial" w:eastAsia="Arial" w:hAnsi="Arial"/>
                <w:sz w:val="18"/>
                <w:szCs w:val="18"/>
                <w:color w:val="auto"/>
              </w:rPr>
              <w:t>Severance, hardware-related impairment, and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946</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946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980" w:type="dxa"/>
            <w:vAlign w:val="bottom"/>
          </w:tcPr>
          <w:p>
            <w:pPr>
              <w:ind w:left="220"/>
              <w:spacing w:after="0"/>
              <w:rPr>
                <w:sz w:val="20"/>
                <w:szCs w:val="20"/>
                <w:color w:val="auto"/>
              </w:rPr>
            </w:pPr>
            <w:r>
              <w:rPr>
                <w:rFonts w:ascii="Arial" w:cs="Arial" w:eastAsia="Arial" w:hAnsi="Arial"/>
                <w:sz w:val="18"/>
                <w:szCs w:val="18"/>
                <w:color w:val="auto"/>
              </w:rPr>
              <w:t>lease consolidation costs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98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Net income tax benefit related to transfer of</w:t>
            </w:r>
          </w:p>
        </w:tc>
        <w:tc>
          <w:tcPr>
            <w:tcW w:w="1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9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4"/>
                <w:szCs w:val="14"/>
                <w:color w:val="auto"/>
              </w:rPr>
            </w:pPr>
          </w:p>
        </w:tc>
        <w:tc>
          <w:tcPr>
            <w:tcW w:w="11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vMerge w:val="restart"/>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4"/>
                <w:szCs w:val="14"/>
                <w:color w:val="auto"/>
              </w:rPr>
            </w:pPr>
          </w:p>
        </w:tc>
        <w:tc>
          <w:tcPr>
            <w:tcW w:w="80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160" w:type="dxa"/>
            <w:vAlign w:val="bottom"/>
            <w:gridSpan w:val="3"/>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(3,291)</w:t>
            </w:r>
          </w:p>
        </w:tc>
        <w:tc>
          <w:tcPr>
            <w:tcW w:w="9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9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intangible properties</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80" w:type="dxa"/>
            <w:vAlign w:val="bottom"/>
            <w:gridSpan w:val="2"/>
            <w:vMerge w:val="continue"/>
            <w:shd w:val="clear" w:color="auto" w:fill="E5E5E5"/>
          </w:tcPr>
          <w:p>
            <w:pPr>
              <w:spacing w:after="0"/>
              <w:rPr>
                <w:sz w:val="19"/>
                <w:szCs w:val="19"/>
                <w:color w:val="auto"/>
              </w:rPr>
            </w:pPr>
          </w:p>
        </w:tc>
        <w:tc>
          <w:tcPr>
            <w:tcW w:w="1080" w:type="dxa"/>
            <w:vAlign w:val="bottom"/>
            <w:vMerge w:val="continue"/>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00" w:type="dxa"/>
            <w:vAlign w:val="bottom"/>
            <w:gridSpan w:val="2"/>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60" w:type="dxa"/>
            <w:vAlign w:val="bottom"/>
            <w:gridSpan w:val="3"/>
            <w:vMerge w:val="continue"/>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9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gridSpan w:val="2"/>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980" w:type="dxa"/>
            <w:vAlign w:val="bottom"/>
          </w:tcPr>
          <w:p>
            <w:pPr>
              <w:spacing w:after="0"/>
              <w:rPr>
                <w:sz w:val="20"/>
                <w:szCs w:val="20"/>
                <w:color w:val="auto"/>
              </w:rPr>
            </w:pPr>
            <w:r>
              <w:rPr>
                <w:rFonts w:ascii="Arial" w:cs="Arial" w:eastAsia="Arial" w:hAnsi="Arial"/>
                <w:sz w:val="18"/>
                <w:szCs w:val="18"/>
                <w:color w:val="auto"/>
              </w:rPr>
              <w:t>Adjusted net income (non-GAAP)</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17,371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18,765</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34,927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35,979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3"/>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44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2.20</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color w:val="auto"/>
              </w:rPr>
              <w:t>2.48</w:t>
            </w:r>
          </w:p>
        </w:tc>
        <w:tc>
          <w:tcPr>
            <w:tcW w:w="108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color w:val="auto"/>
              </w:rPr>
              <w:t>(11)%</w:t>
            </w:r>
          </w:p>
        </w:tc>
        <w:tc>
          <w:tcPr>
            <w:tcW w:w="3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4.54</w:t>
            </w:r>
          </w:p>
        </w:tc>
        <w:tc>
          <w:tcPr>
            <w:tcW w:w="2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5.19</w:t>
            </w:r>
          </w:p>
        </w:tc>
        <w:tc>
          <w:tcPr>
            <w:tcW w:w="2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0"/>
        </w:trPr>
        <w:tc>
          <w:tcPr>
            <w:tcW w:w="3980" w:type="dxa"/>
            <w:vAlign w:val="bottom"/>
          </w:tcPr>
          <w:p>
            <w:pPr>
              <w:spacing w:after="0" w:line="170" w:lineRule="exact"/>
              <w:rPr>
                <w:sz w:val="20"/>
                <w:szCs w:val="20"/>
                <w:color w:val="auto"/>
              </w:rPr>
            </w:pPr>
            <w:r>
              <w:rPr>
                <w:rFonts w:ascii="Arial" w:cs="Arial" w:eastAsia="Arial" w:hAnsi="Arial"/>
                <w:sz w:val="18"/>
                <w:szCs w:val="18"/>
                <w:color w:val="auto"/>
              </w:rPr>
              <w:t>Severance, hardware-related impairment, and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0.12</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vMerge w:val="restart"/>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980" w:type="dxa"/>
            <w:vAlign w:val="bottom"/>
          </w:tcPr>
          <w:p>
            <w:pPr>
              <w:ind w:left="220"/>
              <w:spacing w:after="0"/>
              <w:rPr>
                <w:sz w:val="20"/>
                <w:szCs w:val="20"/>
                <w:color w:val="auto"/>
              </w:rPr>
            </w:pPr>
            <w:r>
              <w:rPr>
                <w:rFonts w:ascii="Arial" w:cs="Arial" w:eastAsia="Arial" w:hAnsi="Arial"/>
                <w:sz w:val="18"/>
                <w:szCs w:val="18"/>
                <w:color w:val="auto"/>
              </w:rPr>
              <w:t>lease consolidation costs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980" w:type="dxa"/>
            <w:vAlign w:val="bottom"/>
            <w:shd w:val="clear" w:color="auto" w:fill="E5E5E5"/>
          </w:tcPr>
          <w:p>
            <w:pPr>
              <w:spacing w:after="0" w:line="170" w:lineRule="exact"/>
              <w:rPr>
                <w:sz w:val="20"/>
                <w:szCs w:val="20"/>
                <w:color w:val="auto"/>
              </w:rPr>
            </w:pPr>
            <w:r>
              <w:rPr>
                <w:rFonts w:ascii="Arial" w:cs="Arial" w:eastAsia="Arial" w:hAnsi="Arial"/>
                <w:sz w:val="18"/>
                <w:szCs w:val="18"/>
                <w:color w:val="auto"/>
              </w:rPr>
              <w:t>Net income tax benefit related to transfer of</w:t>
            </w:r>
          </w:p>
        </w:tc>
        <w:tc>
          <w:tcPr>
            <w:tcW w:w="10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9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4"/>
                <w:szCs w:val="14"/>
                <w:color w:val="auto"/>
              </w:rPr>
            </w:pPr>
          </w:p>
        </w:tc>
        <w:tc>
          <w:tcPr>
            <w:tcW w:w="1180" w:type="dxa"/>
            <w:vAlign w:val="bottom"/>
            <w:gridSpan w:val="2"/>
            <w:vMerge w:val="restart"/>
            <w:shd w:val="clear" w:color="auto" w:fill="E5E5E5"/>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vMerge w:val="restart"/>
            <w:shd w:val="clear" w:color="auto" w:fill="E5E5E5"/>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4"/>
                <w:szCs w:val="14"/>
                <w:color w:val="auto"/>
              </w:rPr>
            </w:pPr>
          </w:p>
        </w:tc>
        <w:tc>
          <w:tcPr>
            <w:tcW w:w="80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1160" w:type="dxa"/>
            <w:vAlign w:val="bottom"/>
            <w:gridSpan w:val="3"/>
            <w:vMerge w:val="restart"/>
            <w:shd w:val="clear" w:color="auto" w:fill="E5E5E5"/>
          </w:tcPr>
          <w:p>
            <w:pPr>
              <w:jc w:val="right"/>
              <w:ind w:right="160"/>
              <w:spacing w:after="0"/>
              <w:rPr>
                <w:sz w:val="20"/>
                <w:szCs w:val="20"/>
                <w:color w:val="auto"/>
              </w:rPr>
            </w:pPr>
            <w:r>
              <w:rPr>
                <w:rFonts w:ascii="Arial" w:cs="Arial" w:eastAsia="Arial" w:hAnsi="Arial"/>
                <w:sz w:val="18"/>
                <w:szCs w:val="18"/>
                <w:color w:val="auto"/>
              </w:rPr>
              <w:t>(0.43)</w:t>
            </w:r>
          </w:p>
        </w:tc>
        <w:tc>
          <w:tcPr>
            <w:tcW w:w="940" w:type="dxa"/>
            <w:vAlign w:val="bottom"/>
            <w:gridSpan w:val="2"/>
            <w:vMerge w:val="restart"/>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98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intangible properties</w:t>
            </w: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900" w:type="dxa"/>
            <w:vAlign w:val="bottom"/>
            <w:gridSpan w:val="2"/>
            <w:vMerge w:val="continue"/>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1180" w:type="dxa"/>
            <w:vAlign w:val="bottom"/>
            <w:gridSpan w:val="2"/>
            <w:vMerge w:val="continue"/>
            <w:shd w:val="clear" w:color="auto" w:fill="E5E5E5"/>
          </w:tcPr>
          <w:p>
            <w:pPr>
              <w:spacing w:after="0"/>
              <w:rPr>
                <w:sz w:val="19"/>
                <w:szCs w:val="19"/>
                <w:color w:val="auto"/>
              </w:rPr>
            </w:pPr>
          </w:p>
        </w:tc>
        <w:tc>
          <w:tcPr>
            <w:tcW w:w="1080" w:type="dxa"/>
            <w:vAlign w:val="bottom"/>
            <w:vMerge w:val="continue"/>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800" w:type="dxa"/>
            <w:vAlign w:val="bottom"/>
            <w:gridSpan w:val="2"/>
            <w:vMerge w:val="continue"/>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160" w:type="dxa"/>
            <w:vAlign w:val="bottom"/>
            <w:shd w:val="clear" w:color="auto" w:fill="E5E5E5"/>
          </w:tcPr>
          <w:p>
            <w:pPr>
              <w:spacing w:after="0"/>
              <w:rPr>
                <w:sz w:val="19"/>
                <w:szCs w:val="19"/>
                <w:color w:val="auto"/>
              </w:rPr>
            </w:pPr>
          </w:p>
        </w:tc>
        <w:tc>
          <w:tcPr>
            <w:tcW w:w="1160" w:type="dxa"/>
            <w:vAlign w:val="bottom"/>
            <w:gridSpan w:val="3"/>
            <w:vMerge w:val="continue"/>
            <w:shd w:val="clear" w:color="auto" w:fill="E5E5E5"/>
          </w:tcPr>
          <w:p>
            <w:pPr>
              <w:spacing w:after="0"/>
              <w:rPr>
                <w:sz w:val="19"/>
                <w:szCs w:val="19"/>
                <w:color w:val="auto"/>
              </w:rPr>
            </w:pPr>
          </w:p>
        </w:tc>
        <w:tc>
          <w:tcPr>
            <w:tcW w:w="940" w:type="dxa"/>
            <w:vAlign w:val="bottom"/>
            <w:gridSpan w:val="2"/>
            <w:vMerge w:val="continue"/>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9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980" w:type="dxa"/>
            <w:vAlign w:val="bottom"/>
          </w:tcPr>
          <w:p>
            <w:pPr>
              <w:spacing w:after="0"/>
              <w:rPr>
                <w:sz w:val="20"/>
                <w:szCs w:val="20"/>
                <w:color w:val="auto"/>
              </w:rPr>
            </w:pPr>
            <w:r>
              <w:rPr>
                <w:rFonts w:ascii="Arial" w:cs="Arial" w:eastAsia="Arial" w:hAnsi="Arial"/>
                <w:sz w:val="18"/>
                <w:szCs w:val="18"/>
                <w:color w:val="auto"/>
              </w:rPr>
              <w:t>Adjusted diluted earnings per share (non-GAAP)</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3"/>
        </w:trPr>
        <w:tc>
          <w:tcPr>
            <w:tcW w:w="3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Not meaningful.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$99.5 billion and $104.8 billion as of December 31, 2022 and June 30, 2022, respectively. Equity investments were $7.1 billion and $6.9 billion as of December 31, 2022 and June 30, 2022,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from operations decreased $4.7 billion to $34.4 billion for the six months ended December 31, 2022, mainly due to an increase in cash paid to employees and suppliers and cash used to pay income taxes, offset in part by an increase in cash received from customers. Cash used in financing decreased $6.0 billion to $22.2 billion for the six months ended December 31, 2022, mainly due to a $ 4.1 billion decrease in common stock repurchases and a $ 3.1 billion decrease in repayments of debt. Cash used in investing increased $5.9 billion to $10.3 billion for the six months ended December 31, 2022, due to a $5.4 billion decrease in cash from net investment purchases, sales, and maturities, an $882 million increase in additions to property and equipment, and a $655 million increase in other investing to facilitate the purchase of components, offset in part by a $1.0 billion decrease in cash used for acquisitions of companies, net of cash acquired, and purchases of intangible and other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10000" w:type="dxa"/>
            <w:vAlign w:val="bottom"/>
            <w:gridSpan w:val="3"/>
          </w:tcPr>
          <w:p>
            <w:pPr>
              <w:ind w:left="5420"/>
              <w:spacing w:after="0"/>
              <w:rPr>
                <w:sz w:val="20"/>
                <w:szCs w:val="20"/>
                <w:color w:val="auto"/>
              </w:rPr>
            </w:pPr>
            <w:r>
              <w:rPr>
                <w:rFonts w:ascii="Arial" w:cs="Arial" w:eastAsia="Arial" w:hAnsi="Arial"/>
                <w:sz w:val="13"/>
                <w:szCs w:val="13"/>
                <w:color w:val="auto"/>
              </w:rPr>
              <w:t>PART I</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420" w:type="dxa"/>
            <w:vAlign w:val="bottom"/>
          </w:tcPr>
          <w:p>
            <w:pPr>
              <w:spacing w:after="0"/>
              <w:rPr>
                <w:sz w:val="14"/>
                <w:szCs w:val="14"/>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Item 2</w:t>
            </w:r>
          </w:p>
        </w:tc>
        <w:tc>
          <w:tcPr>
            <w:tcW w:w="4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57"/>
        </w:trPr>
        <w:tc>
          <w:tcPr>
            <w:tcW w:w="10000" w:type="dxa"/>
            <w:vAlign w:val="bottom"/>
            <w:gridSpan w:val="3"/>
          </w:tcPr>
          <w:p>
            <w:pPr>
              <w:spacing w:after="0"/>
              <w:rPr>
                <w:sz w:val="20"/>
                <w:szCs w:val="20"/>
                <w:color w:val="auto"/>
              </w:rPr>
            </w:pPr>
            <w:r>
              <w:rPr>
                <w:rFonts w:ascii="Arial" w:cs="Arial" w:eastAsia="Arial" w:hAnsi="Arial"/>
                <w:sz w:val="18"/>
                <w:szCs w:val="18"/>
                <w:color w:val="auto"/>
              </w:rPr>
              <w:t>The following table outlines the expected future recognition of unearned revenue as of December 31, 2022:</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1000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10000" w:type="dxa"/>
            <w:vAlign w:val="bottom"/>
            <w:gridSpan w:val="3"/>
          </w:tcPr>
          <w:p>
            <w:pPr>
              <w:spacing w:after="0"/>
              <w:rPr>
                <w:sz w:val="20"/>
                <w:szCs w:val="20"/>
                <w:color w:val="auto"/>
              </w:rPr>
            </w:pPr>
            <w:r>
              <w:rPr>
                <w:rFonts w:ascii="Arial" w:cs="Arial" w:eastAsia="Arial" w:hAnsi="Arial"/>
                <w:sz w:val="13"/>
                <w:szCs w:val="13"/>
                <w:b w:val="1"/>
                <w:bCs w:val="1"/>
                <w:color w:val="auto"/>
              </w:rPr>
              <w:t>Three Months Ending</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100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March 31, 2023</w:t>
            </w:r>
          </w:p>
        </w:tc>
        <w:tc>
          <w:tcPr>
            <w:tcW w:w="3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18,324</w:t>
            </w:r>
          </w:p>
        </w:tc>
        <w:tc>
          <w:tcPr>
            <w:tcW w:w="100" w:type="dxa"/>
            <w:vAlign w:val="bottom"/>
            <w:shd w:val="clear" w:color="auto" w:fill="E5E5E5"/>
          </w:tcPr>
          <w:p>
            <w:pPr>
              <w:spacing w:after="0"/>
              <w:rPr>
                <w:sz w:val="17"/>
                <w:szCs w:val="17"/>
                <w:color w:val="auto"/>
              </w:rPr>
            </w:pPr>
          </w:p>
        </w:tc>
      </w:tr>
      <w:tr>
        <w:trPr>
          <w:trHeight w:val="203"/>
        </w:trPr>
        <w:tc>
          <w:tcPr>
            <w:tcW w:w="10000" w:type="dxa"/>
            <w:vAlign w:val="bottom"/>
            <w:gridSpan w:val="3"/>
          </w:tcPr>
          <w:p>
            <w:pPr>
              <w:spacing w:after="0" w:line="202" w:lineRule="exact"/>
              <w:rPr>
                <w:sz w:val="20"/>
                <w:szCs w:val="20"/>
                <w:color w:val="auto"/>
              </w:rPr>
            </w:pPr>
            <w:r>
              <w:rPr>
                <w:rFonts w:ascii="Arial" w:cs="Arial" w:eastAsia="Arial" w:hAnsi="Arial"/>
                <w:sz w:val="18"/>
                <w:szCs w:val="18"/>
                <w:color w:val="auto"/>
              </w:rPr>
              <w:t>June 30, 2023</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11,215</w:t>
            </w:r>
          </w:p>
        </w:tc>
        <w:tc>
          <w:tcPr>
            <w:tcW w:w="100" w:type="dxa"/>
            <w:vAlign w:val="bottom"/>
          </w:tcPr>
          <w:p>
            <w:pPr>
              <w:spacing w:after="0"/>
              <w:rPr>
                <w:sz w:val="17"/>
                <w:szCs w:val="17"/>
                <w:color w:val="auto"/>
              </w:rPr>
            </w:pPr>
          </w:p>
        </w:tc>
      </w:tr>
      <w:tr>
        <w:trPr>
          <w:trHeight w:val="203"/>
        </w:trPr>
        <w:tc>
          <w:tcPr>
            <w:tcW w:w="100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September 30, 2023</w:t>
            </w: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4,888</w:t>
            </w:r>
          </w:p>
        </w:tc>
        <w:tc>
          <w:tcPr>
            <w:tcW w:w="100" w:type="dxa"/>
            <w:vAlign w:val="bottom"/>
            <w:shd w:val="clear" w:color="auto" w:fill="E5E5E5"/>
          </w:tcPr>
          <w:p>
            <w:pPr>
              <w:spacing w:after="0"/>
              <w:rPr>
                <w:sz w:val="17"/>
                <w:szCs w:val="17"/>
                <w:color w:val="auto"/>
              </w:rPr>
            </w:pPr>
          </w:p>
        </w:tc>
      </w:tr>
      <w:tr>
        <w:trPr>
          <w:trHeight w:val="203"/>
        </w:trPr>
        <w:tc>
          <w:tcPr>
            <w:tcW w:w="10000" w:type="dxa"/>
            <w:vAlign w:val="bottom"/>
            <w:gridSpan w:val="3"/>
          </w:tcPr>
          <w:p>
            <w:pPr>
              <w:spacing w:after="0" w:line="202" w:lineRule="exact"/>
              <w:rPr>
                <w:sz w:val="20"/>
                <w:szCs w:val="20"/>
                <w:color w:val="auto"/>
              </w:rPr>
            </w:pPr>
            <w:r>
              <w:rPr>
                <w:rFonts w:ascii="Arial" w:cs="Arial" w:eastAsia="Arial" w:hAnsi="Arial"/>
                <w:sz w:val="18"/>
                <w:szCs w:val="18"/>
                <w:color w:val="auto"/>
              </w:rPr>
              <w:t>December 31, 2023</w:t>
            </w:r>
          </w:p>
        </w:tc>
        <w:tc>
          <w:tcPr>
            <w:tcW w:w="3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2,555</w:t>
            </w:r>
          </w:p>
        </w:tc>
        <w:tc>
          <w:tcPr>
            <w:tcW w:w="100" w:type="dxa"/>
            <w:vAlign w:val="bottom"/>
          </w:tcPr>
          <w:p>
            <w:pPr>
              <w:spacing w:after="0"/>
              <w:rPr>
                <w:sz w:val="17"/>
                <w:szCs w:val="17"/>
                <w:color w:val="auto"/>
              </w:rPr>
            </w:pPr>
          </w:p>
        </w:tc>
      </w:tr>
      <w:tr>
        <w:trPr>
          <w:trHeight w:val="203"/>
        </w:trPr>
        <w:tc>
          <w:tcPr>
            <w:tcW w:w="1000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2,644</w:t>
            </w:r>
          </w:p>
        </w:tc>
        <w:tc>
          <w:tcPr>
            <w:tcW w:w="100" w:type="dxa"/>
            <w:vAlign w:val="bottom"/>
            <w:shd w:val="clear" w:color="auto" w:fill="E5E5E5"/>
          </w:tcPr>
          <w:p>
            <w:pPr>
              <w:spacing w:after="0"/>
              <w:rPr>
                <w:sz w:val="17"/>
                <w:szCs w:val="17"/>
                <w:color w:val="auto"/>
              </w:rPr>
            </w:pPr>
          </w:p>
        </w:tc>
      </w:tr>
      <w:tr>
        <w:trPr>
          <w:trHeight w:val="68"/>
        </w:trPr>
        <w:tc>
          <w:tcPr>
            <w:tcW w:w="54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89"/>
        </w:trPr>
        <w:tc>
          <w:tcPr>
            <w:tcW w:w="100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39,626</w:t>
            </w:r>
          </w:p>
        </w:tc>
        <w:tc>
          <w:tcPr>
            <w:tcW w:w="100" w:type="dxa"/>
            <w:vAlign w:val="bottom"/>
          </w:tcPr>
          <w:p>
            <w:pPr>
              <w:spacing w:after="0"/>
              <w:rPr>
                <w:sz w:val="24"/>
                <w:szCs w:val="24"/>
                <w:color w:val="auto"/>
              </w:rPr>
            </w:pPr>
          </w:p>
        </w:tc>
      </w:tr>
      <w:tr>
        <w:trPr>
          <w:trHeight w:val="49"/>
        </w:trPr>
        <w:tc>
          <w:tcPr>
            <w:tcW w:w="5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$7.7 billion, which included $1.5 billion during the six months ended December 31, 2022. The remaining transition tax of $10.5 billion is payable over the next three years, with $2.5 billion payable within 12 months.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Provisions enacted in the TCJA related to the capitalization for tax purposes of research and experimental expenditures became effective on July 1, 2022. These provisions require us to capitalize research and experimental expenditures and amortize them on the U.S. tax return over five or fifteen years, depending on where research is conducted. The final foreign tax credit regulations, also effective on July 1, 2022, introduced significant changes to foreign tax credit calculations in the U.S. tax return. While these provisions are not expected to have a material impact on our fiscal year 2023 effective tax rate on a net basis, our cash paid for taxes would increase unless these provisions are postponed or modified through legislative processes.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six months ended December 31, 2022 and 2021, we repurchased 37 million shares and 41 million shares of our common stock for $9.2 billion and $12.4 billion, respectively, through our share repurchase programs. All repurchases were made using cash resources. As of December 31, 2022, $31.5 billion remained of our $60 billion share repurchase program. Refer to Note 15 – Stockholders’ Equity of the Notes to Financial Statements (Part I, Item 1 of this Form 10-Q)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six months ended December 31, 2022 and 2021, our Board of Directors declared quarterly dividends of $0.68 per share and $0.62 per share,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The acquisition has been approved by Activision Blizzard’s shareholders. We are continuing to engage with regulators reviewing the transaction and are working toward closing it in fiscal year 2023, subject to obtaining required regulatory approvals and satisfaction of other customary closing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inventories.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3, 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80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vMerge w:val="restart"/>
          </w:tcPr>
          <w:p>
            <w:pPr>
              <w:spacing w:after="0"/>
              <w:rPr>
                <w:sz w:val="20"/>
                <w:szCs w:val="20"/>
                <w:color w:val="auto"/>
              </w:rPr>
            </w:pPr>
            <w:r>
              <w:rPr>
                <w:rFonts w:ascii="Arial" w:cs="Arial" w:eastAsia="Arial" w:hAnsi="Arial"/>
                <w:sz w:val="13"/>
                <w:szCs w:val="13"/>
                <w:b w:val="1"/>
                <w:bCs w:val="1"/>
                <w:color w:val="auto"/>
              </w:rPr>
              <w:t>Risk Categories</w:t>
            </w:r>
          </w:p>
        </w:tc>
        <w:tc>
          <w:tcPr>
            <w:tcW w:w="532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Hypothetical Change</w:t>
            </w:r>
          </w:p>
        </w:tc>
        <w:tc>
          <w:tcPr>
            <w:tcW w:w="660" w:type="dxa"/>
            <w:vAlign w:val="bottom"/>
          </w:tcPr>
          <w:p>
            <w:pPr>
              <w:spacing w:after="0"/>
              <w:rPr>
                <w:sz w:val="12"/>
                <w:szCs w:val="12"/>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86"/>
        </w:trPr>
        <w:tc>
          <w:tcPr>
            <w:tcW w:w="3020" w:type="dxa"/>
            <w:vAlign w:val="bottom"/>
            <w:vMerge w:val="continue"/>
          </w:tcPr>
          <w:p>
            <w:pPr>
              <w:spacing w:after="0"/>
              <w:rPr>
                <w:sz w:val="16"/>
                <w:szCs w:val="16"/>
                <w:color w:val="auto"/>
              </w:rPr>
            </w:pPr>
          </w:p>
        </w:tc>
        <w:tc>
          <w:tcPr>
            <w:tcW w:w="53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0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currency – Revenue</w:t>
            </w:r>
          </w:p>
        </w:tc>
        <w:tc>
          <w:tcPr>
            <w:tcW w:w="532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10% decrease in foreign exchange rates</w:t>
            </w:r>
          </w:p>
        </w:tc>
        <w:tc>
          <w:tcPr>
            <w:tcW w:w="6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(7,837)</w:t>
            </w:r>
          </w:p>
        </w:tc>
        <w:tc>
          <w:tcPr>
            <w:tcW w:w="1160" w:type="dxa"/>
            <w:vAlign w:val="bottom"/>
            <w:gridSpan w:val="2"/>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Foreign currency – Investments</w:t>
            </w:r>
          </w:p>
        </w:tc>
        <w:tc>
          <w:tcPr>
            <w:tcW w:w="5320" w:type="dxa"/>
            <w:vAlign w:val="bottom"/>
          </w:tcPr>
          <w:p>
            <w:pPr>
              <w:ind w:left="520"/>
              <w:spacing w:after="0" w:line="202" w:lineRule="exact"/>
              <w:rPr>
                <w:sz w:val="20"/>
                <w:szCs w:val="20"/>
                <w:color w:val="auto"/>
              </w:rPr>
            </w:pPr>
            <w:r>
              <w:rPr>
                <w:rFonts w:ascii="Arial" w:cs="Arial" w:eastAsia="Arial" w:hAnsi="Arial"/>
                <w:sz w:val="18"/>
                <w:szCs w:val="18"/>
                <w:color w:val="auto"/>
              </w:rPr>
              <w:t>10% decrease in foreign exchange rates</w:t>
            </w:r>
          </w:p>
        </w:tc>
        <w:tc>
          <w:tcPr>
            <w:tcW w:w="6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(153)</w:t>
            </w:r>
          </w:p>
        </w:tc>
        <w:tc>
          <w:tcPr>
            <w:tcW w:w="11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w:t>
            </w:r>
          </w:p>
        </w:tc>
        <w:tc>
          <w:tcPr>
            <w:tcW w:w="532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100 basis point increase in U.S. treasury interest rates</w:t>
            </w:r>
          </w:p>
        </w:tc>
        <w:tc>
          <w:tcPr>
            <w:tcW w:w="66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(2,109)</w:t>
            </w:r>
          </w:p>
        </w:tc>
        <w:tc>
          <w:tcPr>
            <w:tcW w:w="1160" w:type="dxa"/>
            <w:vAlign w:val="bottom"/>
            <w:gridSpan w:val="2"/>
            <w:shd w:val="clear" w:color="auto" w:fill="E5E5E5"/>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Credit</w:t>
            </w:r>
          </w:p>
        </w:tc>
        <w:tc>
          <w:tcPr>
            <w:tcW w:w="5320" w:type="dxa"/>
            <w:vAlign w:val="bottom"/>
          </w:tcPr>
          <w:p>
            <w:pPr>
              <w:ind w:left="520"/>
              <w:spacing w:after="0" w:line="202" w:lineRule="exact"/>
              <w:rPr>
                <w:sz w:val="20"/>
                <w:szCs w:val="20"/>
                <w:color w:val="auto"/>
              </w:rPr>
            </w:pPr>
            <w:r>
              <w:rPr>
                <w:rFonts w:ascii="Arial" w:cs="Arial" w:eastAsia="Arial" w:hAnsi="Arial"/>
                <w:sz w:val="18"/>
                <w:szCs w:val="18"/>
                <w:color w:val="auto"/>
              </w:rPr>
              <w:t>100 basis point increase in credit spreads</w:t>
            </w:r>
          </w:p>
        </w:tc>
        <w:tc>
          <w:tcPr>
            <w:tcW w:w="6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w:t>
            </w:r>
          </w:p>
        </w:tc>
        <w:tc>
          <w:tcPr>
            <w:tcW w:w="11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30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w:t>
            </w:r>
          </w:p>
        </w:tc>
        <w:tc>
          <w:tcPr>
            <w:tcW w:w="5320" w:type="dxa"/>
            <w:vAlign w:val="bottom"/>
            <w:shd w:val="clear" w:color="auto" w:fill="E5E5E5"/>
          </w:tcPr>
          <w:p>
            <w:pPr>
              <w:ind w:left="520"/>
              <w:spacing w:after="0" w:line="202" w:lineRule="exact"/>
              <w:rPr>
                <w:sz w:val="20"/>
                <w:szCs w:val="20"/>
                <w:color w:val="auto"/>
              </w:rPr>
            </w:pPr>
            <w:r>
              <w:rPr>
                <w:rFonts w:ascii="Arial" w:cs="Arial" w:eastAsia="Arial" w:hAnsi="Arial"/>
                <w:sz w:val="18"/>
                <w:szCs w:val="18"/>
                <w:color w:val="auto"/>
              </w:rPr>
              <w:t>10% decrease in equity market prices</w:t>
            </w:r>
          </w:p>
        </w:tc>
        <w:tc>
          <w:tcPr>
            <w:tcW w:w="660" w:type="dxa"/>
            <w:vAlign w:val="bottom"/>
            <w:shd w:val="clear" w:color="auto" w:fill="E5E5E5"/>
          </w:tcPr>
          <w:p>
            <w:pPr>
              <w:spacing w:after="0"/>
              <w:rPr>
                <w:sz w:val="17"/>
                <w:szCs w:val="17"/>
                <w:color w:val="auto"/>
              </w:rPr>
            </w:pPr>
          </w:p>
        </w:tc>
        <w:tc>
          <w:tcPr>
            <w:tcW w:w="10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(813)</w:t>
            </w:r>
          </w:p>
        </w:tc>
        <w:tc>
          <w:tcPr>
            <w:tcW w:w="1160" w:type="dxa"/>
            <w:vAlign w:val="bottom"/>
            <w:gridSpan w:val="2"/>
            <w:shd w:val="clear" w:color="auto" w:fill="E5E5E5"/>
          </w:tcPr>
          <w:p>
            <w:pPr>
              <w:ind w:left="8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8"/>
        </w:trPr>
        <w:tc>
          <w:tcPr>
            <w:tcW w:w="3020" w:type="dxa"/>
            <w:vAlign w:val="bottom"/>
            <w:tcBorders>
              <w:bottom w:val="single" w:sz="8" w:color="auto"/>
            </w:tcBorders>
          </w:tcPr>
          <w:p>
            <w:pPr>
              <w:spacing w:after="0"/>
              <w:rPr>
                <w:sz w:val="5"/>
                <w:szCs w:val="5"/>
                <w:color w:val="auto"/>
              </w:rPr>
            </w:pPr>
          </w:p>
        </w:tc>
        <w:tc>
          <w:tcPr>
            <w:tcW w:w="53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Item 1, 1A</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25" w:lineRule="exact"/>
        <w:rPr>
          <w:sz w:val="20"/>
          <w:szCs w:val="20"/>
          <w:color w:val="auto"/>
        </w:rPr>
      </w:pPr>
    </w:p>
    <w:p>
      <w:pPr>
        <w:jc w:val="both"/>
        <w:ind w:left="1060" w:hanging="391"/>
        <w:spacing w:after="0"/>
        <w:tabs>
          <w:tab w:leader="none" w:pos="10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35" w:lineRule="exact"/>
        <w:rPr>
          <w:rFonts w:ascii="Times New Roman" w:cs="Times New Roman" w:eastAsia="Times New Roman" w:hAnsi="Times New Roman"/>
          <w:sz w:val="18"/>
          <w:szCs w:val="18"/>
          <w:color w:val="auto"/>
        </w:rPr>
      </w:pPr>
    </w:p>
    <w:p>
      <w:pPr>
        <w:jc w:val="both"/>
        <w:ind w:left="1060" w:hanging="391"/>
        <w:spacing w:after="0" w:line="239" w:lineRule="auto"/>
        <w:tabs>
          <w:tab w:leader="none" w:pos="10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00" w:lineRule="exact"/>
        <w:rPr>
          <w:sz w:val="20"/>
          <w:szCs w:val="20"/>
          <w:color w:val="auto"/>
        </w:rPr>
      </w:pPr>
    </w:p>
    <w:p>
      <w:pPr>
        <w:spacing w:after="0" w:line="226" w:lineRule="exact"/>
        <w:rPr>
          <w:sz w:val="20"/>
          <w:szCs w:val="20"/>
          <w:color w:val="auto"/>
        </w:rPr>
      </w:pPr>
    </w:p>
    <w:p>
      <w:pPr>
        <w:jc w:val="both"/>
        <w:ind w:left="1060" w:hanging="391"/>
        <w:spacing w:after="0"/>
        <w:tabs>
          <w:tab w:leader="none" w:pos="106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43" w:lineRule="auto"/>
        <w:tabs>
          <w:tab w:leader="none" w:pos="10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31" w:lineRule="exact"/>
        <w:rPr>
          <w:rFonts w:ascii="Times New Roman" w:cs="Times New Roman" w:eastAsia="Times New Roman" w:hAnsi="Times New Roman"/>
          <w:sz w:val="18"/>
          <w:szCs w:val="18"/>
          <w:color w:val="auto"/>
        </w:rPr>
      </w:pPr>
    </w:p>
    <w:p>
      <w:pPr>
        <w:jc w:val="both"/>
        <w:ind w:left="1060" w:hanging="391"/>
        <w:spacing w:after="0" w:line="252" w:lineRule="auto"/>
        <w:tabs>
          <w:tab w:leader="none" w:pos="10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22" w:lineRule="exact"/>
        <w:rPr>
          <w:rFonts w:ascii="Times New Roman" w:cs="Times New Roman" w:eastAsia="Times New Roman" w:hAnsi="Times New Roman"/>
          <w:sz w:val="18"/>
          <w:szCs w:val="18"/>
          <w:color w:val="auto"/>
        </w:rPr>
      </w:pPr>
    </w:p>
    <w:p>
      <w:pPr>
        <w:jc w:val="both"/>
        <w:ind w:left="1060" w:hanging="391"/>
        <w:spacing w:after="0" w:line="252" w:lineRule="auto"/>
        <w:tabs>
          <w:tab w:leader="none" w:pos="106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a network of distributed and interconnected devices employing sensors, data, and computing capabilities, including AI. Our success in the IoT will depend on the level of adoption of our offerings such as Azure, Azure Stack, Azure IoT Edge, and Azure Sphere. We may not establish market share sufficient to achieve scale necessary to meet our business objectives.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34" w:lineRule="exact"/>
        <w:rPr>
          <w:sz w:val="20"/>
          <w:szCs w:val="20"/>
          <w:color w:val="auto"/>
        </w:rPr>
      </w:pPr>
    </w:p>
    <w:p>
      <w:pPr>
        <w:ind w:left="1060" w:hanging="391"/>
        <w:spacing w:after="0"/>
        <w:tabs>
          <w:tab w:leader="none" w:pos="10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75"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197" w:lineRule="exact"/>
        <w:rPr>
          <w:sz w:val="20"/>
          <w:szCs w:val="20"/>
          <w:color w:val="auto"/>
        </w:rPr>
      </w:pPr>
    </w:p>
    <w:p>
      <w:pPr>
        <w:ind w:left="1060" w:hanging="391"/>
        <w:spacing w:after="0"/>
        <w:tabs>
          <w:tab w:leader="none" w:pos="10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89"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5"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Some users may engage in fraudulent or abusive activities through our cloud-based services. These include unauthorized use of accounts through stolen credentials, use of stolen credit cards or other payment vehicles, failure to pay for services accessed, or other activities that violate our terms of service such as cryptocurrency mining or launching cyberattacks. If our efforts to detect such violations or our actions to control these types of fraud and abuse are not effective, we may experience adverse impacts to our revenue or incur reputational damage.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Perceptions of mismanagement, driven by regulatory activity or negative public reaction to our practices or product experiences, could negatively impact product and feature adoption, product design, and product quality.</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March 2021 we completed our acquisition of ZeniMax Media Inc. </w:t>
      </w:r>
      <w:r>
        <w:rPr>
          <w:rFonts w:ascii="Arial" w:cs="Arial" w:eastAsia="Arial" w:hAnsi="Arial"/>
          <w:sz w:val="18"/>
          <w:szCs w:val="18"/>
          <w:color w:val="212529"/>
        </w:rPr>
        <w:t>for $8.1 billion, and in March 2022 we completed our acquisition of Nuance</w:t>
      </w:r>
      <w:r>
        <w:rPr>
          <w:rFonts w:ascii="Arial" w:cs="Arial" w:eastAsia="Arial" w:hAnsi="Arial"/>
          <w:sz w:val="18"/>
          <w:szCs w:val="18"/>
          <w:color w:val="auto"/>
        </w:rPr>
        <w:t xml:space="preserve"> </w:t>
      </w:r>
      <w:r>
        <w:rPr>
          <w:rFonts w:ascii="Arial" w:cs="Arial" w:eastAsia="Arial" w:hAnsi="Arial"/>
          <w:sz w:val="18"/>
          <w:szCs w:val="18"/>
          <w:color w:val="212529"/>
        </w:rPr>
        <w:t xml:space="preserve">Communications, Inc. for $18.8 billion. In January 2022 we announced a definitive agreement to acquire Activision Blizzard, Inc. for $68.7 </w:t>
      </w:r>
      <w:r>
        <w:rPr>
          <w:rFonts w:ascii="Arial" w:cs="Arial" w:eastAsia="Arial" w:hAnsi="Arial"/>
          <w:sz w:val="18"/>
          <w:szCs w:val="18"/>
          <w:color w:val="000000"/>
        </w:rPr>
        <w:t>billion. These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or intentionally designed processes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Nation-state and state-sponsored actors can deploy significant resources to plan and carry out attacks. Nation-state attacks against us, our customers, or our partners may intensify during periods of intense diplomatic or armed conflict, such as the ongoing conflict in Ukraine. Inadequate account security or organizational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or new attack methods,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 With long-term attacks like these, customers may lack the log data necessary to investigate this type of activity, adding to the complexity of response and mitigating any impact.</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 or emerging cybersecurity regulations in jurisdictions worldwide.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such as Solorigate/Nobelium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hosted consumer services as well as our enterprise services may be used to disseminate harmful or illegal content in violation of our terms or applicable law. We may not proactively discover such content due to scale, the limitations of existing technologies, and conflicting legal frameworks. When discovered by users,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Issues in the development and use of AI may result in reputational harm or liability</w:t>
      </w:r>
      <w:r>
        <w:rPr>
          <w:rFonts w:ascii="Arial" w:cs="Arial" w:eastAsia="Arial" w:hAnsi="Arial"/>
          <w:sz w:val="18"/>
          <w:szCs w:val="18"/>
          <w:color w:val="auto"/>
        </w:rPr>
        <w:t>. We are building AI into many of our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productivity services, and we are also making AI available for our customers to use in solutions that they build. This AI may be developed by Microsoft or others.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may be flawed. Datasets may be insufficient or contain biased information. Content generated by AI systems may be offensive, illegal, or otherwise harmful. Ineffective or inadequate AI development or deployment practices by Microsoft or others could result in incidents that impair the acceptance of AI solutions or cause harm to individuals or society. These deficiencies and other failures of AI systems could subject us to competitive harm, regulatory action, legal liability, including under new proposed legislation regulating AI in jurisdictions such as the European Union (“EU”), and brand or reputational harm. Some AI scenarios present ethical issues or may have broad impacts on society. If we enable or offer AI solutions that have unintended consequences or are controversial because of their impact on human rights, privacy, employment, or other social, economic, or political issues, we may experience brand or reputational harm.</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and networking supplies, the cost or availability of which could be adversely affected by a variety of factors, including the transition to a clean energy economy, local and regional environmental regulations, and geopolitical disruptions.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insufficient or unavailable power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comes from them. New competition law actions could be initiated, potentially using previous actions as precedent. The outcome of such actions, or steps taken to avoid them, could adversely affect us in a variety of ways, including:</w:t>
      </w:r>
    </w:p>
    <w:p>
      <w:pPr>
        <w:spacing w:after="0" w:line="25" w:lineRule="exact"/>
        <w:rPr>
          <w:sz w:val="20"/>
          <w:szCs w:val="20"/>
          <w:color w:val="auto"/>
        </w:rPr>
      </w:pPr>
    </w:p>
    <w:p>
      <w:pPr>
        <w:jc w:val="both"/>
        <w:ind w:left="1060" w:hanging="391"/>
        <w:spacing w:after="0" w:line="252" w:lineRule="auto"/>
        <w:tabs>
          <w:tab w:leader="none" w:pos="10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2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5" w:lineRule="exact"/>
        <w:rPr>
          <w:rFonts w:ascii="Times New Roman" w:cs="Times New Roman" w:eastAsia="Times New Roman" w:hAnsi="Times New Roman"/>
          <w:sz w:val="18"/>
          <w:szCs w:val="18"/>
          <w:color w:val="auto"/>
        </w:rPr>
      </w:pPr>
    </w:p>
    <w:p>
      <w:pPr>
        <w:jc w:val="both"/>
        <w:ind w:left="1060" w:hanging="391"/>
        <w:spacing w:after="0" w:line="252" w:lineRule="auto"/>
        <w:tabs>
          <w:tab w:leader="none" w:pos="10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2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0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scrutiny may inhibit our ability to consummate acquisitions or impose conditions that reduce the ultimate value of such transactions.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consequences under anti-corruption, trade,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may present compliance challenges to the extent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data and other information is inconsistent with their laws and regulations, including laws that apply to the tracking of users via technology such as cookies.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and services is an important aspect of this goal. In addition to existing and upcoming laws requiring digital accessibility for people with disabilities,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187"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Laws and regulations relating to the handling of personal data may impede the adoption of our services or result in increased costs, legal claims, fines against us, or reputational damage.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Cross-border transfer of personal data</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growth of our Internet- and cloud-based services internationally relies 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and has resulted in some EU data protection authorities blocking the use of U.S.-based services that involve the transfer of data to the U.S. The U.S. and the EU in March 2022 agreed in principle on a replacement framework for the Privacy Shield, called the EU-U.S. Data Privacy Framework. In December 2022, the European Commission published a draft “adequacy” determination for this new framework. A failure to finalize implementation of the EU-U.S. Data Privacy Framework, or the framework’s invalidation in EU courts, could compound that uncertainty and result in additional blockages of data transfers. In the EU and other markets, potential new rules and restrictions on the flow of data across borders could increase the cost and complexity of delivering our products and services.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laws and regulations relating to the handling of personal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will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 GDPR and other data regulations, or if our implementation to comply with the GDPR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monetary penalties (of up to 4% of worldwide revenue in the case of GDPR), private lawsuits, reputational damage, blockage of international data transfers, and loss of customers. The highest fines assessed under GDPR have recently been increasing, especially against large technology companies. Jurisdictions around the world, such as China, India, and states in the U.S. have adopted, or are considering adopting or expanding, laws and regulations imposing obligations regarding the collection, handling, and transfer of personal data.</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employment practices, and regulation.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results of operations, financial condition, and reputation.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44" w:lineRule="exact"/>
        <w:rPr>
          <w:sz w:val="20"/>
          <w:szCs w:val="20"/>
          <w:color w:val="auto"/>
        </w:rPr>
      </w:pPr>
    </w:p>
    <w:p>
      <w:pPr>
        <w:ind w:left="1060" w:hanging="391"/>
        <w:spacing w:after="0"/>
        <w:tabs>
          <w:tab w:leader="none" w:pos="10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0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ongoing conflict in Ukraine, pose a risk of general economic disruption in affected countries, which may increase our operating costs and negatively impact our ability to sell to and collect from customers in affected markets.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occurrence of regional epidemics or a global pandemic, such as COVID-19, may adversely affect our operations, financial condition, and results of operations. The COVID-19 pandemic has had widespread, rapidly evolving, and unpredictable impacts on global society, economies, financial markets, and business practices.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Measures to contain a global pandemic may intensify other risks described in these Risk Factors. Any of these measures may adversely impact our ability to:</w:t>
      </w:r>
    </w:p>
    <w:p>
      <w:pPr>
        <w:spacing w:after="0" w:line="5" w:lineRule="exact"/>
        <w:rPr>
          <w:sz w:val="20"/>
          <w:szCs w:val="20"/>
          <w:color w:val="auto"/>
        </w:rPr>
      </w:pPr>
    </w:p>
    <w:p>
      <w:pPr>
        <w:ind w:left="1060" w:hanging="391"/>
        <w:spacing w:after="0"/>
        <w:tabs>
          <w:tab w:leader="none" w:pos="10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75"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5"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5"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2" w:lineRule="exact"/>
        <w:rPr>
          <w:rFonts w:ascii="Times New Roman" w:cs="Times New Roman" w:eastAsia="Times New Roman" w:hAnsi="Times New Roman"/>
          <w:sz w:val="18"/>
          <w:szCs w:val="18"/>
          <w:color w:val="auto"/>
        </w:rPr>
      </w:pPr>
    </w:p>
    <w:p>
      <w:pPr>
        <w:ind w:left="1060" w:hanging="391"/>
        <w:spacing w:after="0"/>
        <w:tabs>
          <w:tab w:leader="none" w:pos="10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Hire and deploy people where we most need them.</w:t>
      </w:r>
    </w:p>
    <w:p>
      <w:pPr>
        <w:spacing w:after="0" w:line="102" w:lineRule="exact"/>
        <w:rPr>
          <w:rFonts w:ascii="Times New Roman" w:cs="Times New Roman" w:eastAsia="Times New Roman" w:hAnsi="Times New Roman"/>
          <w:sz w:val="18"/>
          <w:szCs w:val="18"/>
          <w:color w:val="auto"/>
        </w:rPr>
      </w:pPr>
    </w:p>
    <w:p>
      <w:pPr>
        <w:ind w:left="1060" w:hanging="391"/>
        <w:spacing w:after="0" w:line="270" w:lineRule="auto"/>
        <w:tabs>
          <w:tab w:leader="none" w:pos="106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u w:val="single" w:color="auto"/>
          <w:color w:val="auto"/>
        </w:rPr>
        <w:t>Item 1A</w:t>
      </w:r>
    </w:p>
    <w:p>
      <w:pPr>
        <w:spacing w:after="0" w:line="2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second quarter of fiscal year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32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32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560" w:type="dxa"/>
            <w:vAlign w:val="bottom"/>
          </w:tcPr>
          <w:p>
            <w:pPr>
              <w:spacing w:after="0"/>
              <w:rPr>
                <w:sz w:val="12"/>
                <w:szCs w:val="12"/>
                <w:color w:val="auto"/>
              </w:rPr>
            </w:pPr>
          </w:p>
        </w:tc>
        <w:tc>
          <w:tcPr>
            <w:tcW w:w="132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Average</w:t>
            </w: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 as</w:t>
            </w:r>
          </w:p>
        </w:tc>
        <w:tc>
          <w:tcPr>
            <w:tcW w:w="32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Part of Publicly</w:t>
            </w:r>
          </w:p>
        </w:tc>
        <w:tc>
          <w:tcPr>
            <w:tcW w:w="32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9"/>
        </w:trPr>
        <w:tc>
          <w:tcPr>
            <w:tcW w:w="478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560" w:type="dxa"/>
            <w:vAlign w:val="bottom"/>
          </w:tcPr>
          <w:p>
            <w:pPr>
              <w:spacing w:after="0"/>
              <w:rPr>
                <w:sz w:val="12"/>
                <w:szCs w:val="12"/>
                <w:color w:val="auto"/>
              </w:rPr>
            </w:pPr>
          </w:p>
        </w:tc>
        <w:tc>
          <w:tcPr>
            <w:tcW w:w="1320" w:type="dxa"/>
            <w:vAlign w:val="bottom"/>
          </w:tcPr>
          <w:p>
            <w:pPr>
              <w:jc w:val="right"/>
              <w:ind w:right="241"/>
              <w:spacing w:after="0"/>
              <w:rPr>
                <w:sz w:val="20"/>
                <w:szCs w:val="20"/>
                <w:color w:val="auto"/>
              </w:rPr>
            </w:pPr>
            <w:r>
              <w:rPr>
                <w:rFonts w:ascii="Arial" w:cs="Arial" w:eastAsia="Arial" w:hAnsi="Arial"/>
                <w:sz w:val="13"/>
                <w:szCs w:val="13"/>
                <w:b w:val="1"/>
                <w:bCs w:val="1"/>
                <w:color w:val="auto"/>
              </w:rPr>
              <w:t>Price Paid</w:t>
            </w: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Announced Plans</w:t>
            </w:r>
          </w:p>
        </w:tc>
        <w:tc>
          <w:tcPr>
            <w:tcW w:w="32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560" w:type="dxa"/>
            <w:vAlign w:val="bottom"/>
          </w:tcPr>
          <w:p>
            <w:pPr>
              <w:spacing w:after="0"/>
              <w:rPr>
                <w:sz w:val="16"/>
                <w:szCs w:val="16"/>
                <w:color w:val="auto"/>
              </w:rPr>
            </w:pPr>
          </w:p>
        </w:tc>
        <w:tc>
          <w:tcPr>
            <w:tcW w:w="1320" w:type="dxa"/>
            <w:vAlign w:val="bottom"/>
          </w:tcPr>
          <w:p>
            <w:pPr>
              <w:jc w:val="right"/>
              <w:ind w:right="241"/>
              <w:spacing w:after="0"/>
              <w:rPr>
                <w:sz w:val="20"/>
                <w:szCs w:val="20"/>
                <w:color w:val="auto"/>
              </w:rPr>
            </w:pPr>
            <w:r>
              <w:rPr>
                <w:rFonts w:ascii="Arial" w:cs="Arial" w:eastAsia="Arial" w:hAnsi="Arial"/>
                <w:sz w:val="13"/>
                <w:szCs w:val="13"/>
                <w:b w:val="1"/>
                <w:bCs w:val="1"/>
                <w:color w:val="auto"/>
              </w:rPr>
              <w:t>Per Share</w:t>
            </w: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or Programs</w:t>
            </w:r>
          </w:p>
        </w:tc>
        <w:tc>
          <w:tcPr>
            <w:tcW w:w="3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45"/>
        </w:trPr>
        <w:tc>
          <w:tcPr>
            <w:tcW w:w="47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4"/>
        </w:trPr>
        <w:tc>
          <w:tcPr>
            <w:tcW w:w="47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October 1, 2022 – October 31, 2022</w:t>
            </w:r>
          </w:p>
        </w:tc>
        <w:tc>
          <w:tcPr>
            <w:tcW w:w="14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6,496,123</w:t>
            </w:r>
          </w:p>
        </w:tc>
        <w:tc>
          <w:tcPr>
            <w:tcW w:w="5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b w:val="1"/>
                <w:bCs w:val="1"/>
                <w:color w:val="auto"/>
              </w:rPr>
              <w:t>236.37</w:t>
            </w:r>
          </w:p>
        </w:tc>
        <w:tc>
          <w:tcPr>
            <w:tcW w:w="14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6,496,123</w:t>
            </w:r>
          </w:p>
        </w:tc>
        <w:tc>
          <w:tcPr>
            <w:tcW w:w="3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34,574</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November 1, 2022 – November 30, 2022</w:t>
            </w:r>
          </w:p>
        </w:tc>
        <w:tc>
          <w:tcPr>
            <w:tcW w:w="14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6,637,411</w:t>
            </w:r>
          </w:p>
        </w:tc>
        <w:tc>
          <w:tcPr>
            <w:tcW w:w="560" w:type="dxa"/>
            <w:vAlign w:val="bottom"/>
          </w:tcPr>
          <w:p>
            <w:pPr>
              <w:spacing w:after="0"/>
              <w:rPr>
                <w:sz w:val="17"/>
                <w:szCs w:val="17"/>
                <w:color w:val="auto"/>
              </w:rPr>
            </w:pPr>
          </w:p>
        </w:tc>
        <w:tc>
          <w:tcPr>
            <w:tcW w:w="1320" w:type="dxa"/>
            <w:vAlign w:val="bottom"/>
          </w:tcPr>
          <w:p>
            <w:pPr>
              <w:jc w:val="right"/>
              <w:ind w:right="241"/>
              <w:spacing w:after="0" w:line="202" w:lineRule="exact"/>
              <w:rPr>
                <w:sz w:val="20"/>
                <w:szCs w:val="20"/>
                <w:color w:val="auto"/>
              </w:rPr>
            </w:pPr>
            <w:r>
              <w:rPr>
                <w:rFonts w:ascii="Arial" w:cs="Arial" w:eastAsia="Arial" w:hAnsi="Arial"/>
                <w:sz w:val="18"/>
                <w:szCs w:val="18"/>
                <w:b w:val="1"/>
                <w:bCs w:val="1"/>
                <w:color w:val="auto"/>
              </w:rPr>
              <w:t>236.49</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6,637,411</w:t>
            </w:r>
          </w:p>
        </w:tc>
        <w:tc>
          <w:tcPr>
            <w:tcW w:w="3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33,004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December 1, 2022 – December 31, 2022</w:t>
            </w:r>
          </w:p>
        </w:tc>
        <w:tc>
          <w:tcPr>
            <w:tcW w:w="14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6,080,667</w:t>
            </w:r>
          </w:p>
        </w:tc>
        <w:tc>
          <w:tcPr>
            <w:tcW w:w="560" w:type="dxa"/>
            <w:vAlign w:val="bottom"/>
            <w:shd w:val="clear" w:color="auto" w:fill="E5E5E5"/>
          </w:tcPr>
          <w:p>
            <w:pPr>
              <w:spacing w:after="0"/>
              <w:rPr>
                <w:sz w:val="17"/>
                <w:szCs w:val="17"/>
                <w:color w:val="auto"/>
              </w:rPr>
            </w:pPr>
          </w:p>
        </w:tc>
        <w:tc>
          <w:tcPr>
            <w:tcW w:w="1320" w:type="dxa"/>
            <w:vAlign w:val="bottom"/>
            <w:shd w:val="clear" w:color="auto" w:fill="E5E5E5"/>
          </w:tcPr>
          <w:p>
            <w:pPr>
              <w:jc w:val="right"/>
              <w:ind w:right="241"/>
              <w:spacing w:after="0" w:line="202" w:lineRule="exact"/>
              <w:rPr>
                <w:sz w:val="20"/>
                <w:szCs w:val="20"/>
                <w:color w:val="auto"/>
              </w:rPr>
            </w:pPr>
            <w:r>
              <w:rPr>
                <w:rFonts w:ascii="Arial" w:cs="Arial" w:eastAsia="Arial" w:hAnsi="Arial"/>
                <w:sz w:val="18"/>
                <w:szCs w:val="18"/>
                <w:b w:val="1"/>
                <w:bCs w:val="1"/>
                <w:color w:val="auto"/>
              </w:rPr>
              <w:t>245.83</w:t>
            </w:r>
          </w:p>
        </w:tc>
        <w:tc>
          <w:tcPr>
            <w:tcW w:w="14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6,080,667</w:t>
            </w:r>
          </w:p>
        </w:tc>
        <w:tc>
          <w:tcPr>
            <w:tcW w:w="320" w:type="dxa"/>
            <w:vAlign w:val="bottom"/>
            <w:shd w:val="clear" w:color="auto" w:fill="E5E5E5"/>
          </w:tcPr>
          <w:p>
            <w:pPr>
              <w:spacing w:after="0"/>
              <w:rPr>
                <w:sz w:val="17"/>
                <w:szCs w:val="17"/>
                <w:color w:val="auto"/>
              </w:rPr>
            </w:pPr>
          </w:p>
        </w:tc>
        <w:tc>
          <w:tcPr>
            <w:tcW w:w="12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31,509</w:t>
            </w:r>
          </w:p>
        </w:tc>
        <w:tc>
          <w:tcPr>
            <w:tcW w:w="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7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4780" w:type="dxa"/>
            <w:vAlign w:val="bottom"/>
          </w:tcPr>
          <w:p>
            <w:pPr>
              <w:spacing w:after="0"/>
              <w:rPr>
                <w:sz w:val="24"/>
                <w:szCs w:val="2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19,214,201</w:t>
            </w: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19,214,201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478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second quarter of fiscal year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780" w:type="dxa"/>
            <w:vAlign w:val="bottom"/>
            <w:vMerge w:val="restart"/>
          </w:tcPr>
          <w:p>
            <w:pPr>
              <w:ind w:left="720"/>
              <w:spacing w:after="0"/>
              <w:rPr>
                <w:sz w:val="20"/>
                <w:szCs w:val="20"/>
                <w:color w:val="auto"/>
              </w:rPr>
            </w:pPr>
            <w:r>
              <w:rPr>
                <w:rFonts w:ascii="Arial" w:cs="Arial" w:eastAsia="Arial" w:hAnsi="Arial"/>
                <w:sz w:val="13"/>
                <w:szCs w:val="13"/>
                <w:b w:val="1"/>
                <w:bCs w:val="1"/>
                <w:color w:val="auto"/>
              </w:rPr>
              <w:t>Record Date</w:t>
            </w:r>
          </w:p>
        </w:tc>
        <w:tc>
          <w:tcPr>
            <w:tcW w:w="2380" w:type="dxa"/>
            <w:vAlign w:val="bottom"/>
            <w:vMerge w:val="restart"/>
          </w:tcPr>
          <w:p>
            <w:pPr>
              <w:ind w:left="560"/>
              <w:spacing w:after="0"/>
              <w:rPr>
                <w:sz w:val="20"/>
                <w:szCs w:val="20"/>
                <w:color w:val="auto"/>
              </w:rPr>
            </w:pPr>
            <w:r>
              <w:rPr>
                <w:rFonts w:ascii="Arial" w:cs="Arial" w:eastAsia="Arial" w:hAnsi="Arial"/>
                <w:sz w:val="13"/>
                <w:szCs w:val="13"/>
                <w:b w:val="1"/>
                <w:bCs w:val="1"/>
                <w:color w:val="auto"/>
              </w:rPr>
              <w:t>Payment Date</w:t>
            </w:r>
          </w:p>
        </w:tc>
        <w:tc>
          <w:tcPr>
            <w:tcW w:w="1100" w:type="dxa"/>
            <w:vAlign w:val="bottom"/>
          </w:tcPr>
          <w:p>
            <w:pPr>
              <w:spacing w:after="0"/>
              <w:rPr>
                <w:sz w:val="13"/>
                <w:szCs w:val="13"/>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Dividend</w:t>
            </w:r>
          </w:p>
        </w:tc>
        <w:tc>
          <w:tcPr>
            <w:tcW w:w="440" w:type="dxa"/>
            <w:vAlign w:val="bottom"/>
          </w:tcPr>
          <w:p>
            <w:pPr>
              <w:spacing w:after="0"/>
              <w:rPr>
                <w:sz w:val="13"/>
                <w:szCs w:val="13"/>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34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238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jc w:val="right"/>
              <w:ind w:right="25"/>
              <w:spacing w:after="0"/>
              <w:rPr>
                <w:sz w:val="20"/>
                <w:szCs w:val="20"/>
                <w:color w:val="auto"/>
              </w:rPr>
            </w:pPr>
            <w:r>
              <w:rPr>
                <w:rFonts w:ascii="Arial" w:cs="Arial" w:eastAsia="Arial" w:hAnsi="Arial"/>
                <w:sz w:val="13"/>
                <w:szCs w:val="13"/>
                <w:b w:val="1"/>
                <w:bCs w:val="1"/>
                <w:color w:val="auto"/>
              </w:rPr>
              <w:t>Per Share</w:t>
            </w:r>
          </w:p>
        </w:tc>
        <w:tc>
          <w:tcPr>
            <w:tcW w:w="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4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5"/>
        </w:trPr>
        <w:tc>
          <w:tcPr>
            <w:tcW w:w="23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November 29, 2022</w:t>
            </w:r>
          </w:p>
        </w:tc>
        <w:tc>
          <w:tcPr>
            <w:tcW w:w="2780" w:type="dxa"/>
            <w:vAlign w:val="bottom"/>
            <w:shd w:val="clear" w:color="auto" w:fill="E5E5E5"/>
          </w:tcPr>
          <w:p>
            <w:pPr>
              <w:ind w:left="720"/>
              <w:spacing w:after="0" w:line="202" w:lineRule="exact"/>
              <w:rPr>
                <w:sz w:val="20"/>
                <w:szCs w:val="20"/>
                <w:color w:val="auto"/>
              </w:rPr>
            </w:pPr>
            <w:r>
              <w:rPr>
                <w:rFonts w:ascii="Arial" w:cs="Arial" w:eastAsia="Arial" w:hAnsi="Arial"/>
                <w:sz w:val="18"/>
                <w:szCs w:val="18"/>
                <w:b w:val="1"/>
                <w:bCs w:val="1"/>
                <w:color w:val="auto"/>
              </w:rPr>
              <w:t>February 16, 2023</w:t>
            </w:r>
          </w:p>
        </w:tc>
        <w:tc>
          <w:tcPr>
            <w:tcW w:w="2380" w:type="dxa"/>
            <w:vAlign w:val="bottom"/>
            <w:shd w:val="clear" w:color="auto" w:fill="E5E5E5"/>
          </w:tcPr>
          <w:p>
            <w:pPr>
              <w:ind w:left="560"/>
              <w:spacing w:after="0" w:line="202" w:lineRule="exact"/>
              <w:rPr>
                <w:sz w:val="20"/>
                <w:szCs w:val="20"/>
                <w:color w:val="auto"/>
              </w:rPr>
            </w:pPr>
            <w:r>
              <w:rPr>
                <w:rFonts w:ascii="Arial" w:cs="Arial" w:eastAsia="Arial" w:hAnsi="Arial"/>
                <w:sz w:val="18"/>
                <w:szCs w:val="18"/>
                <w:b w:val="1"/>
                <w:bCs w:val="1"/>
                <w:color w:val="auto"/>
              </w:rPr>
              <w:t>March 9, 2023</w:t>
            </w:r>
          </w:p>
        </w:tc>
        <w:tc>
          <w:tcPr>
            <w:tcW w:w="110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25"/>
              <w:spacing w:after="0" w:line="202" w:lineRule="exact"/>
              <w:rPr>
                <w:sz w:val="20"/>
                <w:szCs w:val="20"/>
                <w:color w:val="auto"/>
              </w:rPr>
            </w:pPr>
            <w:r>
              <w:rPr>
                <w:rFonts w:ascii="Arial" w:cs="Arial" w:eastAsia="Arial" w:hAnsi="Arial"/>
                <w:sz w:val="18"/>
                <w:szCs w:val="18"/>
                <w:b w:val="1"/>
                <w:bCs w:val="1"/>
                <w:color w:val="auto"/>
              </w:rPr>
              <w:t>0.68</w:t>
            </w:r>
          </w:p>
        </w:tc>
        <w:tc>
          <w:tcPr>
            <w:tcW w:w="440" w:type="dxa"/>
            <w:vAlign w:val="bottom"/>
            <w:shd w:val="clear" w:color="auto" w:fill="E5E5E5"/>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5,064</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234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$9.7 billion to shareholders in the form of share repurchases and dividends in the second quarter of fiscal year 2023.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0080" w:type="dxa"/>
            <w:vAlign w:val="bottom"/>
            <w:gridSpan w:val="6"/>
          </w:tcPr>
          <w:p>
            <w:pPr>
              <w:jc w:val="center"/>
              <w:ind w:right="1100"/>
              <w:spacing w:after="0"/>
              <w:rPr>
                <w:sz w:val="20"/>
                <w:szCs w:val="20"/>
                <w:color w:val="auto"/>
              </w:rPr>
            </w:pPr>
            <w:r>
              <w:rPr>
                <w:rFonts w:ascii="Arial" w:cs="Arial" w:eastAsia="Arial" w:hAnsi="Arial"/>
                <w:sz w:val="13"/>
                <w:szCs w:val="13"/>
                <w:color w:val="auto"/>
              </w:rPr>
              <w:t>PART II</w:t>
            </w:r>
          </w:p>
        </w:tc>
      </w:tr>
      <w:tr>
        <w:trPr>
          <w:trHeight w:val="170"/>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Item 6</w:t>
            </w: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660"/>
        </w:trPr>
        <w:tc>
          <w:tcPr>
            <w:tcW w:w="1140" w:type="dxa"/>
            <w:vAlign w:val="bottom"/>
          </w:tcPr>
          <w:p>
            <w:pPr>
              <w:spacing w:after="0"/>
              <w:rPr>
                <w:sz w:val="24"/>
                <w:szCs w:val="24"/>
                <w:color w:val="auto"/>
              </w:rPr>
            </w:pPr>
          </w:p>
        </w:tc>
        <w:tc>
          <w:tcPr>
            <w:tcW w:w="10080" w:type="dxa"/>
            <w:vAlign w:val="bottom"/>
            <w:gridSpan w:val="6"/>
          </w:tcPr>
          <w:p>
            <w:pPr>
              <w:jc w:val="center"/>
              <w:ind w:right="1100"/>
              <w:spacing w:after="0"/>
              <w:rPr>
                <w:sz w:val="20"/>
                <w:szCs w:val="20"/>
                <w:color w:val="auto"/>
              </w:rPr>
            </w:pPr>
            <w:r>
              <w:rPr>
                <w:rFonts w:ascii="Arial" w:cs="Arial" w:eastAsia="Arial" w:hAnsi="Arial"/>
                <w:sz w:val="22"/>
                <w:szCs w:val="22"/>
                <w:b w:val="1"/>
                <w:bCs w:val="1"/>
                <w:color w:val="auto"/>
                <w:w w:val="98"/>
              </w:rPr>
              <w:t>ITEM 6. EXHIBITS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15.1</w:t>
            </w:r>
          </w:p>
        </w:tc>
        <w:tc>
          <w:tcPr>
            <w:tcW w:w="4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Letter regarding unaudited interim financial information</w:t>
            </w:r>
          </w:p>
        </w:tc>
        <w:tc>
          <w:tcPr>
            <w:tcW w:w="5720" w:type="dxa"/>
            <w:vAlign w:val="bottom"/>
            <w:gridSpan w:val="4"/>
          </w:tcPr>
          <w:p>
            <w:pPr>
              <w:spacing w:after="0"/>
              <w:rPr>
                <w:sz w:val="24"/>
                <w:szCs w:val="24"/>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8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2280" w:type="dxa"/>
            <w:vAlign w:val="bottom"/>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2340" w:type="dxa"/>
            <w:vAlign w:val="bottom"/>
            <w:gridSpan w:val="2"/>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8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Certification of Chief Executive Officer Pursuant to Section 906 of the Sarbanes-Oxley Act of 2002</w:t>
            </w:r>
          </w:p>
        </w:tc>
        <w:tc>
          <w:tcPr>
            <w:tcW w:w="2280" w:type="dxa"/>
            <w:vAlign w:val="bottom"/>
          </w:tcPr>
          <w:p>
            <w:pPr>
              <w:spacing w:after="0"/>
              <w:rPr>
                <w:sz w:val="21"/>
                <w:szCs w:val="2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Certification of Chief Financial Officer Pursuant to Section 906 of the Sarbanes-Oxley Act of 2002</w:t>
            </w:r>
          </w:p>
        </w:tc>
        <w:tc>
          <w:tcPr>
            <w:tcW w:w="2340" w:type="dxa"/>
            <w:vAlign w:val="bottom"/>
            <w:gridSpan w:val="2"/>
          </w:tcPr>
          <w:p>
            <w:pPr>
              <w:spacing w:after="0"/>
              <w:rPr>
                <w:sz w:val="21"/>
                <w:szCs w:val="21"/>
                <w:color w:val="auto"/>
              </w:rPr>
            </w:pPr>
          </w:p>
        </w:tc>
      </w:tr>
      <w:tr>
        <w:trPr>
          <w:trHeight w:val="25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39"/>
        </w:trPr>
        <w:tc>
          <w:tcPr>
            <w:tcW w:w="1140" w:type="dxa"/>
            <w:vAlign w:val="bottom"/>
          </w:tcPr>
          <w:p>
            <w:pPr>
              <w:spacing w:after="0"/>
              <w:rPr>
                <w:sz w:val="20"/>
                <w:szCs w:val="20"/>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57"/>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31" w:lineRule="exact"/>
        <w:rPr>
          <w:sz w:val="20"/>
          <w:szCs w:val="20"/>
          <w:color w:val="auto"/>
        </w:rPr>
      </w:pPr>
    </w:p>
    <w:p>
      <w:pPr>
        <w:ind w:left="1140" w:hanging="1132"/>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Furnished, not filed.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0462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rPr>
          <w:sz w:val="20"/>
          <w:szCs w:val="20"/>
          <w:color w:val="auto"/>
        </w:rPr>
      </w:pPr>
      <w:r>
        <w:rPr>
          <w:rFonts w:ascii="Arial" w:cs="Arial" w:eastAsia="Arial" w:hAnsi="Arial"/>
          <w:sz w:val="18"/>
          <w:szCs w:val="18"/>
          <w:color w:val="auto"/>
        </w:rPr>
        <w:t>Corporate Vice President and Chief Accounting Officer (Duly Authorized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20"/>
          </w:cols>
          <w:pgMar w:left="320" w:top="580"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40"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We are aware that our report dated January 24, 2023, on our review of the interim financial information of Microsoft Corporation and subsidiaries (“Microsoft”) appearing in Microsoft’s Quarterly Report on Form 10-Q for the quarter ended December 31, 2022, is incorporated by reference in Registration Statement Nos. 333-109185, 333-118764, 333-52852, 333-132100, 333-161516, 333-75243, 333-185757, and 333-221833 on Form S-8 and Registration Statement Nos. 333-240227 and 333-261590 on Form S-3.</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5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ectPr>
          <w:pgSz w:w="11900" w:h="16838" w:orient="portrait"/>
          <w:cols w:equalWidth="0" w:num="1">
            <w:col w:w="11240"/>
          </w:cols>
          <w:pgMar w:left="320" w:top="12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31.2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2022,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6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December 31, 2022,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425"/>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04"/>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2023-01-24T15:45:51Z</dcterms:created>
  <dcterms:modified xsi:type="dcterms:W3CDTF">2023-01-24T15:45:51Z</dcterms:modified>
</cp:coreProperties>
</file>