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76076ds8pos.htm"/>
      <w:bookmarkStart w:id="1" w:name="ksd76076ds8pos"/>
      <w:bookmarkEnd w:id="0"/>
      <w:bookmarkEnd w:id="1"/>
      <w:r>
        <w:rPr>
          <w:rFonts w:ascii="Times New Roman" w:hAnsi="Times New Roman"/>
          <w:b/>
          <w:sz w:val="20"/>
        </w:rPr>
        <w:t xml:space="preserve">As filed with the Securities and Exchange Commission on December 30, 2025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333-52852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333-221833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POST-EFFECTIVE AMENDMENT NO. 3 </w:t>
      </w:r>
    </w:p>
    <w:p>
      <w:pPr>
        <w:pStyle w:val="TextBody"/>
        <w:bidi w:val="0"/>
        <w:spacing w:before="0" w:after="0"/>
        <w:jc w:val="center"/>
        <w:rPr>
          <w:rFonts w:ascii="Times New Roman" w:hAnsi="Times New Roman"/>
          <w:b/>
          <w:sz w:val="24"/>
        </w:rPr>
      </w:pPr>
      <w:r>
        <w:rPr>
          <w:rFonts w:ascii="Times New Roman" w:hAnsi="Times New Roman"/>
          <w:b/>
          <w:sz w:val="24"/>
        </w:rPr>
        <w:t xml:space="preserve">FILE NO. No. 333-52852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w:t>
      </w:r>
    </w:p>
    <w:p>
      <w:pPr>
        <w:pStyle w:val="TextBody"/>
        <w:bidi w:val="0"/>
        <w:spacing w:before="0" w:after="0"/>
        <w:jc w:val="center"/>
        <w:rPr>
          <w:rFonts w:ascii="Times New Roman" w:hAnsi="Times New Roman"/>
          <w:b/>
          <w:sz w:val="24"/>
        </w:rPr>
      </w:pPr>
      <w:r>
        <w:rPr>
          <w:rFonts w:ascii="Times New Roman" w:hAnsi="Times New Roman"/>
          <w:b/>
          <w:sz w:val="24"/>
        </w:rPr>
        <w:t xml:space="preserve">FILE NO. No. 333-221833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TO 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MICROSOFT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Washington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91-1144442</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One Microsoft Way </w:t>
      </w:r>
    </w:p>
    <w:p>
      <w:pPr>
        <w:pStyle w:val="TextBody"/>
        <w:bidi w:val="0"/>
        <w:spacing w:before="0" w:after="0"/>
        <w:jc w:val="center"/>
        <w:rPr>
          <w:rFonts w:ascii="Times New Roman" w:hAnsi="Times New Roman"/>
          <w:b/>
          <w:sz w:val="20"/>
        </w:rPr>
      </w:pPr>
      <w:r>
        <w:rPr>
          <w:rFonts w:ascii="Times New Roman" w:hAnsi="Times New Roman"/>
          <w:b/>
          <w:sz w:val="20"/>
        </w:rPr>
        <w:t xml:space="preserve">Redmond, Washington 98052-6399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Microsoft Corporation 2026 Stock Plan </w:t>
      </w:r>
    </w:p>
    <w:p>
      <w:pPr>
        <w:pStyle w:val="TextBody"/>
        <w:bidi w:val="0"/>
        <w:spacing w:before="0" w:after="0"/>
        <w:jc w:val="center"/>
        <w:rPr>
          <w:rFonts w:ascii="Times New Roman" w:hAnsi="Times New Roman"/>
          <w:b/>
          <w:sz w:val="20"/>
        </w:rPr>
      </w:pPr>
      <w:r>
        <w:rPr>
          <w:rFonts w:ascii="Times New Roman" w:hAnsi="Times New Roman"/>
          <w:b/>
          <w:sz w:val="20"/>
        </w:rPr>
        <w:t xml:space="preserve">Microsoft Corporation 2017 Stock Plan </w:t>
      </w:r>
    </w:p>
    <w:p>
      <w:pPr>
        <w:pStyle w:val="TextBody"/>
        <w:bidi w:val="0"/>
        <w:spacing w:before="0" w:after="0"/>
        <w:jc w:val="center"/>
        <w:rPr>
          <w:rFonts w:ascii="Times New Roman" w:hAnsi="Times New Roman"/>
          <w:b/>
          <w:sz w:val="20"/>
        </w:rPr>
      </w:pPr>
      <w:r>
        <w:rPr>
          <w:rFonts w:ascii="Times New Roman" w:hAnsi="Times New Roman"/>
          <w:b/>
          <w:sz w:val="20"/>
        </w:rPr>
        <w:t xml:space="preserve">Microsoft Corporation 2001 Stock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Keith R. Dolliver, Esq. </w:t>
      </w:r>
    </w:p>
    <w:p>
      <w:pPr>
        <w:pStyle w:val="TextBody"/>
        <w:bidi w:val="0"/>
        <w:spacing w:before="0" w:after="0"/>
        <w:jc w:val="center"/>
        <w:rPr>
          <w:rFonts w:ascii="Times New Roman" w:hAnsi="Times New Roman"/>
          <w:b/>
          <w:sz w:val="20"/>
        </w:rPr>
      </w:pPr>
      <w:r>
        <w:rPr>
          <w:rFonts w:ascii="Times New Roman" w:hAnsi="Times New Roman"/>
          <w:b/>
          <w:sz w:val="20"/>
        </w:rPr>
        <w:t xml:space="preserve">Deputy General Counsel and Corporate Secretary </w:t>
      </w:r>
    </w:p>
    <w:p>
      <w:pPr>
        <w:pStyle w:val="TextBody"/>
        <w:bidi w:val="0"/>
        <w:spacing w:before="0" w:after="0"/>
        <w:jc w:val="center"/>
        <w:rPr>
          <w:rFonts w:ascii="Times New Roman" w:hAnsi="Times New Roman"/>
          <w:b/>
          <w:sz w:val="20"/>
        </w:rPr>
      </w:pPr>
      <w:r>
        <w:rPr>
          <w:rFonts w:ascii="Times New Roman" w:hAnsi="Times New Roman"/>
          <w:b/>
          <w:sz w:val="20"/>
        </w:rPr>
        <w:t xml:space="preserve">Microsoft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One Microsoft Way </w:t>
      </w:r>
    </w:p>
    <w:p>
      <w:pPr>
        <w:pStyle w:val="TextBody"/>
        <w:bidi w:val="0"/>
        <w:spacing w:before="0" w:after="0"/>
        <w:jc w:val="center"/>
        <w:rPr>
          <w:rFonts w:ascii="Times New Roman" w:hAnsi="Times New Roman"/>
          <w:b/>
          <w:sz w:val="20"/>
        </w:rPr>
      </w:pPr>
      <w:r>
        <w:rPr>
          <w:rFonts w:ascii="Times New Roman" w:hAnsi="Times New Roman"/>
          <w:b/>
          <w:sz w:val="20"/>
        </w:rPr>
        <w:t xml:space="preserve">Redmond, Washington 98052-6399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(425) 882-8080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December 5, 2025, the shareholders of Microsoft Corporation (“Microsoft”) approved the Microsoft Corporation 2026 Stock Plan (the “Plan”), which becomes effective on March 1, 2026 (the “Effective Date”). The total number of shares of Microsoft common stock that may be granted under the Plan includes, in addition to 226,000,000 new shares (registered concurrently on a new registration statement on Form S-8), (i) the number of shares available for future awards under the Microsoft Corporation 2017 Stock Plan (the “2017 Plan”) as of the Effective Date and (ii) the number of undelivered shares subject to outstanding awards under the 2017 Plan and the Microsoft Corporation 2001 Stock Plan that again become available for future awards under the Plan on or after the Effective Date, as provided for in the Plan (the shares described in (i) and (ii), the “Prior Plans’ Shares”).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Item 512(a)(1)(iii) of Regulation S-K and Compliance and Disclosure Interpretation 126.43, this Post-Effective Amendment No. 3 to Registration Statement No. 333-52852 and this Post-Effective Amendment No. 1 to Registration Statement No. 333-221833 (together, the “Post-Effective Amendments”) are hereby filed to cover the issuance of the Prior Plans’ Shares pursuant to the Plan.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filed by Microsoft with the Securities and Exchange Commission (the “Commission”) are hereby incorporated by reference in this registration statement: </w:t>
      </w:r>
    </w:p>
    <w:p>
      <w:pPr>
        <w:pStyle w:val="TextBody"/>
        <w:bidi w:val="0"/>
        <w:spacing w:before="120" w:after="0"/>
        <w:jc w:val="left"/>
        <w:rPr/>
      </w:pPr>
      <w:r>
        <w:rPr>
          <w:rFonts w:ascii="Times New Roman" w:hAnsi="Times New Roman"/>
          <w:sz w:val="20"/>
        </w:rPr>
        <w:t xml:space="preserve">(a) Microsoft’s Annual Report on Form 10-K for the fiscal year ended June 30, 2025, filed on </w:t>
      </w:r>
      <w:hyperlink r:id="rId2">
        <w:r>
          <w:rPr>
            <w:rStyle w:val="InternetLink"/>
            <w:rFonts w:ascii="Times New Roman" w:hAnsi="Times New Roman"/>
            <w:sz w:val="20"/>
          </w:rPr>
          <w:t>July 30, 2025</w:t>
        </w:r>
      </w:hyperlink>
      <w:r>
        <w:rPr>
          <w:rFonts w:ascii="Times New Roman" w:hAnsi="Times New Roman"/>
          <w:sz w:val="20"/>
        </w:rPr>
        <w:t xml:space="preserve">, which contains Microsoft’s audited financial statements for the latest fiscal year for which such statements have been filed; </w:t>
      </w:r>
    </w:p>
    <w:p>
      <w:pPr>
        <w:pStyle w:val="TextBody"/>
        <w:bidi w:val="0"/>
        <w:spacing w:before="240" w:after="0"/>
        <w:jc w:val="left"/>
        <w:rPr>
          <w:rFonts w:ascii="Times New Roman" w:hAnsi="Times New Roman"/>
          <w:sz w:val="20"/>
        </w:rPr>
      </w:pPr>
      <w:r>
        <w:rPr>
          <w:rFonts w:ascii="Times New Roman" w:hAnsi="Times New Roman"/>
          <w:sz w:val="20"/>
        </w:rPr>
        <w:t xml:space="preserve">(b) All other reports of Microsoft filed with the Commission, pursuant to Section 13(a) or 15(d) of the Securities Exchange Act of 1934, as amended (the “Exchange Act”) since the end of the fiscal year covered by Microsoft’s Annual Report referred to in (a) above; and </w:t>
      </w:r>
    </w:p>
    <w:p>
      <w:pPr>
        <w:pStyle w:val="TextBody"/>
        <w:bidi w:val="0"/>
        <w:spacing w:before="240" w:after="0"/>
        <w:jc w:val="left"/>
        <w:rPr/>
      </w:pPr>
      <w:r>
        <w:rPr>
          <w:rFonts w:ascii="Times New Roman" w:hAnsi="Times New Roman"/>
          <w:sz w:val="20"/>
        </w:rPr>
        <w:t xml:space="preserve">(c) The description of Microsoft’s common stock, included in Exhibit 4.26 to Microsoft’s Annual Report on Form 10-K for the fiscal year ended June 30, 2024, filed on </w:t>
      </w:r>
      <w:hyperlink r:id="rId3">
        <w:r>
          <w:rPr>
            <w:rStyle w:val="InternetLink"/>
            <w:rFonts w:ascii="Times New Roman" w:hAnsi="Times New Roman"/>
            <w:sz w:val="20"/>
          </w:rPr>
          <w:t>July 30, 2024</w:t>
        </w:r>
      </w:hyperlink>
      <w:r>
        <w:rPr>
          <w:rFonts w:ascii="Times New Roman" w:hAnsi="Times New Roman"/>
          <w:sz w:val="20"/>
        </w:rPr>
        <w:t xml:space="preserve">, and all amendments and reports filed for the purpose of updating such description. </w:t>
      </w:r>
    </w:p>
    <w:p>
      <w:pPr>
        <w:pStyle w:val="TextBody"/>
        <w:bidi w:val="0"/>
        <w:spacing w:before="240" w:after="0"/>
        <w:jc w:val="left"/>
        <w:rPr>
          <w:rFonts w:ascii="Times New Roman" w:hAnsi="Times New Roman"/>
          <w:sz w:val="20"/>
        </w:rPr>
      </w:pPr>
      <w:r>
        <w:rPr>
          <w:rFonts w:ascii="Times New Roman" w:hAnsi="Times New Roman"/>
          <w:sz w:val="20"/>
        </w:rPr>
        <w:t xml:space="preserve">All documents filed by Microsoft pursuant to Section 13(a), 13(c), 14 or 15(d) of the Exchange Act, after the date hereof (excluding any documents or portions of such documents that are furnished under Item 2.02 or Item 7.01 of a current report on Form 8-K and any exhibits included with such Items), and prior to the filing of a post-effective amendment that indicates that all the securities offered hereby have been sold or that deregisters the securities offered hereby then remaining unsold, shall also be deemed to be incorporated by reference into this registration statement and to be a part hereof from the date of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Sections 23B.08.510 and 23B.08.570 of the Washington Business Corporation Act (“WBCA”) authorize Washington corporations to indemnify their officers and directors under certain circumstances against expenses and liabilities incurred in legal proceedings involving them as a result of their service as an officer or director. Section 23B.08.560 of the WBCA authorizes a corporation by provision in its articles of incorporation to indemnify or agree to indemnify a director made a party to a proceeding, or obligate itself to advance or reimburse expenses incurred in a proceeding, without regard to the limitations imposed by Sections 23B.08.510 through .550 of the WBCA; provided, however, that no such indemnity shall be made for or on account of (a) acts or omissions of the director finally adjudged to be intentional misconduct or a knowing violation of law, (b) conduct of the director finally adjudged to be in violation of Section 23B.08.310 of the WBCA (relating to unlawful distributions) or (c) any transaction with respect to which it was finally adjudged that the director personally received a benefit in money, property, or services to which the director is not legally entitled. </w:t>
      </w:r>
    </w:p>
    <w:p>
      <w:pPr>
        <w:pStyle w:val="TextBody"/>
        <w:bidi w:val="0"/>
        <w:spacing w:before="240" w:after="0"/>
        <w:jc w:val="left"/>
        <w:rPr>
          <w:rFonts w:ascii="Times New Roman" w:hAnsi="Times New Roman"/>
          <w:sz w:val="20"/>
        </w:rPr>
      </w:pPr>
      <w:r>
        <w:rPr>
          <w:rFonts w:ascii="Times New Roman" w:hAnsi="Times New Roman"/>
          <w:sz w:val="20"/>
        </w:rPr>
        <w:t xml:space="preserve">Microsoft’s Amended and Restated Articles of Incorporation require indemnification of Microsoft’s officers and directors and advancement of expenses to the fullest extent not prohibited by applicable law. Microsoft’s Amended and Restated Articles of Incorporation provide for procedures for those seeking indemnification and/or advancement of expenses. In addition, as authorized by Section 23B.08.320 of the WBCA, Microsoft’s Amended and Restated Articles of Incorporation contain a provision eliminating the personal liability of directors to Microsoft or its shareholders for monetary damages for conduct as a director, except for (a) omissions involving intentional misconduct by the director or a knowing violation of law by the director, (b) conduct violating Section 23B.08.310 of the WBCA or (c) any transaction from which the director will personally receive a benefit in money, property or services to which the director is not legally entitled. </w:t>
      </w:r>
    </w:p>
    <w:p>
      <w:pPr>
        <w:pStyle w:val="TextBody"/>
        <w:bidi w:val="0"/>
        <w:spacing w:before="240" w:after="0"/>
        <w:jc w:val="left"/>
        <w:rPr>
          <w:rFonts w:ascii="Times New Roman" w:hAnsi="Times New Roman"/>
          <w:sz w:val="20"/>
        </w:rPr>
      </w:pPr>
      <w:r>
        <w:rPr>
          <w:rFonts w:ascii="Times New Roman" w:hAnsi="Times New Roman"/>
          <w:sz w:val="20"/>
        </w:rPr>
        <w:t xml:space="preserve">Microsoft has established an indemnification trust (“2025 Directors’ Trust”) to fund Microsoft’s obligations to indemnify and/or advance expenses to directors arising from their board service in the event Microsoft does not or is financially unable to provide the indemnification and/or advancement. As required by the 2025 Directors’ Trust agreement, Microsoft has funded a minimum balance of principal assets of no less than $50 million in the trust. Microsoft also has an indemnification trust (“2025 Officers’ Trust”) that funds Microsoft’s indemnification obligations to certain past and present officers arising from their activities as such. As required by the 2025 Officers’ Trust agreement, Microsoft has funded a minimum balance of principal assets of no less than $50 million in the trust. The 2025 Directors’ Trust and 2025 Officers’ Trust are successors to certain trusts originally established in 1993, and amended from time to time, to fund Microsoft’s indemnification obligations to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8"/>
        <w:gridCol w:w="428"/>
        <w:gridCol w:w="8869"/>
      </w:tblGrid>
      <w:tr>
        <w:trPr/>
        <w:tc>
          <w:tcPr>
            <w:tcW w:w="908"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8869" w:type="dxa"/>
            <w:tcBorders/>
            <w:vAlign w:val="center"/>
          </w:tcPr>
          <w:p>
            <w:pPr>
              <w:pStyle w:val="TableContents"/>
              <w:bidi w:val="0"/>
              <w:spacing w:before="0" w:after="283"/>
              <w:jc w:val="left"/>
              <w:rPr>
                <w:sz w:val="4"/>
                <w:szCs w:val="4"/>
              </w:rPr>
            </w:pPr>
            <w:r>
              <w:rPr>
                <w:sz w:val="4"/>
                <w:szCs w:val="4"/>
              </w:rPr>
            </w:r>
          </w:p>
        </w:tc>
      </w:tr>
      <w:tr>
        <w:trPr/>
        <w:tc>
          <w:tcPr>
            <w:tcW w:w="908"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428" w:type="dxa"/>
            <w:tcBorders/>
            <w:vAlign w:val="bottom"/>
          </w:tcPr>
          <w:p>
            <w:pPr>
              <w:pStyle w:val="TableContents"/>
              <w:bidi w:val="0"/>
              <w:spacing w:before="0" w:after="283"/>
              <w:jc w:val="left"/>
              <w:rPr/>
            </w:pPr>
            <w:r>
              <w:rPr/>
              <w:t>  </w:t>
            </w:r>
          </w:p>
        </w:tc>
        <w:tc>
          <w:tcPr>
            <w:tcW w:w="88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Document</w:t>
            </w:r>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9297"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5.1+</w:t>
            </w:r>
          </w:p>
        </w:tc>
        <w:tc>
          <w:tcPr>
            <w:tcW w:w="428" w:type="dxa"/>
            <w:tcBorders/>
            <w:vAlign w:val="bottom"/>
          </w:tcPr>
          <w:p>
            <w:pPr>
              <w:pStyle w:val="TableContents"/>
              <w:bidi w:val="0"/>
              <w:spacing w:before="0" w:after="283"/>
              <w:jc w:val="left"/>
              <w:rPr/>
            </w:pPr>
            <w:r>
              <w:rPr/>
              <w:t>  </w:t>
            </w:r>
          </w:p>
        </w:tc>
        <w:tc>
          <w:tcPr>
            <w:tcW w:w="8869" w:type="dxa"/>
            <w:tcBorders/>
          </w:tcPr>
          <w:p>
            <w:pPr>
              <w:pStyle w:val="TableContents"/>
              <w:bidi w:val="0"/>
              <w:spacing w:before="0" w:after="283"/>
              <w:jc w:val="left"/>
              <w:rPr/>
            </w:pPr>
            <w:hyperlink w:anchor="d76076dex51.htm">
              <w:r>
                <w:rPr>
                  <w:rStyle w:val="InternetLink"/>
                </w:rPr>
                <w:t xml:space="preserve">Opinion of Counsel regarding legality of the common stock being registered </w:t>
              </w:r>
            </w:hyperlink>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9297"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15+</w:t>
            </w:r>
          </w:p>
        </w:tc>
        <w:tc>
          <w:tcPr>
            <w:tcW w:w="428" w:type="dxa"/>
            <w:tcBorders/>
            <w:vAlign w:val="bottom"/>
          </w:tcPr>
          <w:p>
            <w:pPr>
              <w:pStyle w:val="TableContents"/>
              <w:bidi w:val="0"/>
              <w:spacing w:before="0" w:after="283"/>
              <w:jc w:val="left"/>
              <w:rPr/>
            </w:pPr>
            <w:r>
              <w:rPr/>
              <w:t>  </w:t>
            </w:r>
          </w:p>
        </w:tc>
        <w:tc>
          <w:tcPr>
            <w:tcW w:w="8869" w:type="dxa"/>
            <w:tcBorders/>
          </w:tcPr>
          <w:p>
            <w:pPr>
              <w:pStyle w:val="TableContents"/>
              <w:bidi w:val="0"/>
              <w:spacing w:before="0" w:after="283"/>
              <w:jc w:val="left"/>
              <w:rPr/>
            </w:pPr>
            <w:hyperlink w:anchor="d76076dex15.htm">
              <w:r>
                <w:rPr>
                  <w:rStyle w:val="InternetLink"/>
                </w:rPr>
                <w:t xml:space="preserve">Letter re unaudited interim financial information </w:t>
              </w:r>
            </w:hyperlink>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9297"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23.1+</w:t>
            </w:r>
          </w:p>
        </w:tc>
        <w:tc>
          <w:tcPr>
            <w:tcW w:w="428" w:type="dxa"/>
            <w:tcBorders/>
            <w:vAlign w:val="bottom"/>
          </w:tcPr>
          <w:p>
            <w:pPr>
              <w:pStyle w:val="TableContents"/>
              <w:bidi w:val="0"/>
              <w:spacing w:before="0" w:after="283"/>
              <w:jc w:val="left"/>
              <w:rPr/>
            </w:pPr>
            <w:r>
              <w:rPr/>
              <w:t>  </w:t>
            </w:r>
          </w:p>
        </w:tc>
        <w:tc>
          <w:tcPr>
            <w:tcW w:w="8869" w:type="dxa"/>
            <w:tcBorders/>
          </w:tcPr>
          <w:p>
            <w:pPr>
              <w:pStyle w:val="TableContents"/>
              <w:bidi w:val="0"/>
              <w:spacing w:before="0" w:after="283"/>
              <w:jc w:val="left"/>
              <w:rPr/>
            </w:pPr>
            <w:hyperlink w:anchor="d76076dex231.htm">
              <w:r>
                <w:rPr>
                  <w:rStyle w:val="InternetLink"/>
                </w:rPr>
                <w:t xml:space="preserve">Consent of Independent Registered Public Accounting Firm </w:t>
              </w:r>
            </w:hyperlink>
          </w:p>
        </w:tc>
      </w:tr>
      <w:tr>
        <w:trPr>
          <w:trHeight w:val="120" w:hRule="atLeast"/>
        </w:trPr>
        <w:tc>
          <w:tcPr>
            <w:tcW w:w="908" w:type="dxa"/>
            <w:tcBorders/>
            <w:vAlign w:val="center"/>
          </w:tcPr>
          <w:p>
            <w:pPr>
              <w:pStyle w:val="TableContents"/>
              <w:bidi w:val="0"/>
              <w:spacing w:before="0" w:after="283"/>
              <w:jc w:val="left"/>
              <w:rPr>
                <w:sz w:val="4"/>
                <w:szCs w:val="4"/>
              </w:rPr>
            </w:pPr>
            <w:r>
              <w:rPr>
                <w:sz w:val="4"/>
                <w:szCs w:val="4"/>
              </w:rPr>
            </w:r>
          </w:p>
        </w:tc>
        <w:tc>
          <w:tcPr>
            <w:tcW w:w="9297"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23.2+</w:t>
            </w:r>
          </w:p>
        </w:tc>
        <w:tc>
          <w:tcPr>
            <w:tcW w:w="428" w:type="dxa"/>
            <w:tcBorders/>
            <w:vAlign w:val="bottom"/>
          </w:tcPr>
          <w:p>
            <w:pPr>
              <w:pStyle w:val="TableContents"/>
              <w:bidi w:val="0"/>
              <w:spacing w:before="0" w:after="283"/>
              <w:jc w:val="left"/>
              <w:rPr/>
            </w:pPr>
            <w:r>
              <w:rPr/>
              <w:t>  </w:t>
            </w:r>
          </w:p>
        </w:tc>
        <w:tc>
          <w:tcPr>
            <w:tcW w:w="8869" w:type="dxa"/>
            <w:tcBorders/>
          </w:tcPr>
          <w:p>
            <w:pPr>
              <w:pStyle w:val="TableContents"/>
              <w:bidi w:val="0"/>
              <w:spacing w:before="0" w:after="283"/>
              <w:jc w:val="left"/>
              <w:rPr/>
            </w:pPr>
            <w:hyperlink w:anchor="d76076dex51.htm">
              <w:r>
                <w:rPr>
                  <w:rStyle w:val="InternetLink"/>
                </w:rPr>
                <w:t xml:space="preserve">Consent of Counsel (included in opinion filed as Exhibit 5.1)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75"/>
        <w:gridCol w:w="338"/>
        <w:gridCol w:w="9292"/>
      </w:tblGrid>
      <w:tr>
        <w:trPr/>
        <w:tc>
          <w:tcPr>
            <w:tcW w:w="575"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9292" w:type="dxa"/>
            <w:tcBorders/>
            <w:vAlign w:val="center"/>
          </w:tcPr>
          <w:p>
            <w:pPr>
              <w:pStyle w:val="TableContents"/>
              <w:bidi w:val="0"/>
              <w:spacing w:before="0" w:after="283"/>
              <w:jc w:val="left"/>
              <w:rPr>
                <w:sz w:val="4"/>
                <w:szCs w:val="4"/>
              </w:rPr>
            </w:pPr>
            <w:r>
              <w:rPr>
                <w:sz w:val="4"/>
                <w:szCs w:val="4"/>
              </w:rPr>
            </w:r>
          </w:p>
        </w:tc>
      </w:tr>
      <w:tr>
        <w:trPr/>
        <w:tc>
          <w:tcPr>
            <w:tcW w:w="575" w:type="dxa"/>
            <w:tcBorders/>
          </w:tcPr>
          <w:p>
            <w:pPr>
              <w:pStyle w:val="TableContents"/>
              <w:bidi w:val="0"/>
              <w:spacing w:before="0" w:after="283"/>
              <w:jc w:val="left"/>
              <w:rPr/>
            </w:pPr>
            <w:r>
              <w:rPr/>
              <w:t>99.1*</w:t>
            </w:r>
          </w:p>
        </w:tc>
        <w:tc>
          <w:tcPr>
            <w:tcW w:w="338" w:type="dxa"/>
            <w:tcBorders/>
            <w:vAlign w:val="bottom"/>
          </w:tcPr>
          <w:p>
            <w:pPr>
              <w:pStyle w:val="TableContents"/>
              <w:bidi w:val="0"/>
              <w:spacing w:before="0" w:after="283"/>
              <w:jc w:val="left"/>
              <w:rPr/>
            </w:pPr>
            <w:r>
              <w:rPr/>
              <w:t>  </w:t>
            </w:r>
          </w:p>
        </w:tc>
        <w:tc>
          <w:tcPr>
            <w:tcW w:w="9292" w:type="dxa"/>
            <w:tcBorders/>
          </w:tcPr>
          <w:p>
            <w:pPr>
              <w:pStyle w:val="TableContents"/>
              <w:bidi w:val="0"/>
              <w:spacing w:before="0" w:after="283"/>
              <w:jc w:val="left"/>
              <w:rPr/>
            </w:pPr>
            <w:hyperlink r:id="rId4">
              <w:r>
                <w:rPr>
                  <w:rStyle w:val="InternetLink"/>
                </w:rPr>
                <w:t xml:space="preserve">Microsoft Corporation 2017 Stock Plan (incorporated by reference to Annex C of Microsoft’s Proxy Statement for its 2017 Annual Meeting of Stockholders, filed with the Commission on October 16, 2017) </w:t>
              </w:r>
            </w:hyperlink>
          </w:p>
        </w:tc>
      </w:tr>
      <w:tr>
        <w:trPr>
          <w:trHeight w:val="120" w:hRule="atLeast"/>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tcPr>
          <w:p>
            <w:pPr>
              <w:pStyle w:val="TableContents"/>
              <w:bidi w:val="0"/>
              <w:spacing w:before="0" w:after="283"/>
              <w:jc w:val="left"/>
              <w:rPr/>
            </w:pPr>
            <w:r>
              <w:rPr/>
              <w:t>99.2*</w:t>
            </w:r>
          </w:p>
        </w:tc>
        <w:tc>
          <w:tcPr>
            <w:tcW w:w="338" w:type="dxa"/>
            <w:tcBorders/>
            <w:vAlign w:val="bottom"/>
          </w:tcPr>
          <w:p>
            <w:pPr>
              <w:pStyle w:val="TableContents"/>
              <w:bidi w:val="0"/>
              <w:spacing w:before="0" w:after="283"/>
              <w:jc w:val="left"/>
              <w:rPr/>
            </w:pPr>
            <w:r>
              <w:rPr/>
              <w:t>  </w:t>
            </w:r>
          </w:p>
        </w:tc>
        <w:tc>
          <w:tcPr>
            <w:tcW w:w="9292" w:type="dxa"/>
            <w:tcBorders/>
          </w:tcPr>
          <w:p>
            <w:pPr>
              <w:pStyle w:val="TableContents"/>
              <w:bidi w:val="0"/>
              <w:spacing w:before="0" w:after="283"/>
              <w:jc w:val="left"/>
              <w:rPr/>
            </w:pPr>
            <w:hyperlink r:id="rId5">
              <w:r>
                <w:rPr>
                  <w:rStyle w:val="InternetLink"/>
                </w:rPr>
                <w:t xml:space="preserve">Microsoft Corporation 2001 Stock Plan (incorporated by reference to Exhibit 10.1 to Microsoft’s Form 10-K Annual Report for the year ended June 30, 2016, filed with the Commission on July 28, 2016) </w:t>
              </w:r>
            </w:hyperlink>
          </w:p>
        </w:tc>
      </w:tr>
      <w:tr>
        <w:trPr>
          <w:trHeight w:val="120" w:hRule="atLeast"/>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tcPr>
          <w:p>
            <w:pPr>
              <w:pStyle w:val="TableContents"/>
              <w:bidi w:val="0"/>
              <w:spacing w:before="0" w:after="283"/>
              <w:jc w:val="left"/>
              <w:rPr/>
            </w:pPr>
            <w:r>
              <w:rPr/>
              <w:t>99.3*</w:t>
            </w:r>
          </w:p>
        </w:tc>
        <w:tc>
          <w:tcPr>
            <w:tcW w:w="338" w:type="dxa"/>
            <w:tcBorders/>
            <w:vAlign w:val="bottom"/>
          </w:tcPr>
          <w:p>
            <w:pPr>
              <w:pStyle w:val="TableContents"/>
              <w:bidi w:val="0"/>
              <w:spacing w:before="0" w:after="283"/>
              <w:jc w:val="left"/>
              <w:rPr/>
            </w:pPr>
            <w:r>
              <w:rPr/>
              <w:t>  </w:t>
            </w:r>
          </w:p>
        </w:tc>
        <w:tc>
          <w:tcPr>
            <w:tcW w:w="9292"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"http://www.sec.gov/Archives/edgar/data/../../../ix?doc=/Archives/edgar/data/789019/000119312525245150/d908201ddef14a.htm" \l "toc908201_63"</w:instrText>
            </w:r>
            <w:r>
              <w:rPr>
                <w:rStyle w:val="InternetLink"/>
              </w:rPr>
              <w:fldChar w:fldCharType="separate"/>
            </w:r>
            <w:r>
              <w:rPr>
                <w:rStyle w:val="InternetLink"/>
              </w:rPr>
              <w:t xml:space="preserve">Microsoft Corporation 2026 Stock Plan (incorporated by reference to Annex A of Microsoft’s Proxy Statement for its 2025 Annual Shareholders Meeting, filed with the Commission on October 21, 2025) </w:t>
            </w:r>
            <w:r>
              <w:rPr>
                <w:rStyle w:val="InternetLink"/>
              </w:rPr>
              <w:fldChar w:fldCharType="end"/>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23"/>
        <w:gridCol w:w="563"/>
        <w:gridCol w:w="4619"/>
      </w:tblGrid>
      <w:tr>
        <w:trPr/>
        <w:tc>
          <w:tcPr>
            <w:tcW w:w="5023" w:type="dxa"/>
            <w:tcBorders/>
            <w:vAlign w:val="center"/>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461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+   Filed herewith.</w:t>
            </w:r>
          </w:p>
        </w:tc>
      </w:tr>
      <w:tr>
        <w:trPr/>
        <w:tc>
          <w:tcPr>
            <w:tcW w:w="1020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*  Incorporated herein by reference.</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(a) To include any prospectus required by Section 10(a)(3) of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(c) To include any material information with respect to the plan of distribution not previously disclosed in this registration statement or any material change to such information in this registration statement;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(1)(a) and (1)(b)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S-8 and has duly caused these Post-Effective Amendments to be signed on its behalf by the undersigned, thereunto duly authorized, in the City of Redmond, State of Washington, on December 30,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MICROSOFT CORPORATION</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Amy E. Hood</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Amy E. Hood</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and</w:t>
            </w:r>
          </w:p>
          <w:p>
            <w:pPr>
              <w:pStyle w:val="TableContents"/>
              <w:bidi w:val="0"/>
              <w:spacing w:before="0" w:after="20"/>
              <w:jc w:val="left"/>
              <w:rPr>
                <w:rFonts w:ascii="Times New Roman" w:hAnsi="Times New Roman"/>
                <w:sz w:val="20"/>
              </w:rPr>
            </w:pPr>
            <w:r>
              <w:rPr>
                <w:rFonts w:ascii="Times New Roman" w:hAnsi="Times New Roman"/>
                <w:sz w:val="20"/>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these Post-Effective Amendments have been signed by the following persons in the capacities indicated below on December 30,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71"/>
        <w:gridCol w:w="120"/>
        <w:gridCol w:w="6114"/>
      </w:tblGrid>
      <w:tr>
        <w:trPr/>
        <w:tc>
          <w:tcPr>
            <w:tcW w:w="39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114" w:type="dxa"/>
            <w:tcBorders/>
            <w:vAlign w:val="center"/>
          </w:tcPr>
          <w:p>
            <w:pPr>
              <w:pStyle w:val="TableContents"/>
              <w:bidi w:val="0"/>
              <w:spacing w:before="0" w:after="283"/>
              <w:jc w:val="left"/>
              <w:rPr>
                <w:sz w:val="4"/>
                <w:szCs w:val="4"/>
              </w:rPr>
            </w:pPr>
            <w:r>
              <w:rPr>
                <w:sz w:val="4"/>
                <w:szCs w:val="4"/>
              </w:rPr>
            </w:r>
          </w:p>
        </w:tc>
      </w:tr>
      <w:tr>
        <w:trPr/>
        <w:tc>
          <w:tcPr>
            <w:tcW w:w="39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61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3971" w:type="dxa"/>
            <w:tcBorders/>
            <w:vAlign w:val="center"/>
          </w:tcPr>
          <w:p>
            <w:pPr>
              <w:pStyle w:val="TableContents"/>
              <w:bidi w:val="0"/>
              <w:spacing w:before="0" w:after="283"/>
              <w:jc w:val="left"/>
              <w:rPr>
                <w:sz w:val="4"/>
                <w:szCs w:val="4"/>
              </w:rPr>
            </w:pPr>
            <w:r>
              <w:rPr>
                <w:sz w:val="4"/>
                <w:szCs w:val="4"/>
              </w:rPr>
            </w:r>
          </w:p>
        </w:tc>
        <w:tc>
          <w:tcPr>
            <w:tcW w:w="6234" w:type="dxa"/>
            <w:gridSpan w:val="2"/>
            <w:tcBorders/>
            <w:vAlign w:val="center"/>
          </w:tcPr>
          <w:p>
            <w:pPr>
              <w:pStyle w:val="TableContents"/>
              <w:bidi w:val="0"/>
              <w:spacing w:before="0" w:after="283"/>
              <w:jc w:val="left"/>
              <w:rPr>
                <w:sz w:val="4"/>
                <w:szCs w:val="4"/>
              </w:rPr>
            </w:pPr>
            <w:r>
              <w:rPr>
                <w:sz w:val="4"/>
                <w:szCs w:val="4"/>
              </w:rPr>
            </w:r>
          </w:p>
        </w:tc>
      </w:tr>
      <w:tr>
        <w:trPr/>
        <w:tc>
          <w:tcPr>
            <w:tcW w:w="39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Satya Nadella</w:t>
            </w:r>
          </w:p>
          <w:p>
            <w:pPr>
              <w:pStyle w:val="TableContents"/>
              <w:bidi w:val="0"/>
              <w:spacing w:before="0" w:after="20"/>
              <w:jc w:val="left"/>
              <w:rPr>
                <w:rFonts w:ascii="Times New Roman" w:hAnsi="Times New Roman"/>
                <w:sz w:val="20"/>
              </w:rPr>
            </w:pPr>
            <w:r>
              <w:rPr>
                <w:rFonts w:ascii="Times New Roman" w:hAnsi="Times New Roman"/>
                <w:sz w:val="20"/>
              </w:rPr>
              <w:t>Satya Nadella</w:t>
            </w:r>
          </w:p>
        </w:tc>
        <w:tc>
          <w:tcPr>
            <w:tcW w:w="120" w:type="dxa"/>
            <w:tcBorders/>
            <w:vAlign w:val="bottom"/>
          </w:tcPr>
          <w:p>
            <w:pPr>
              <w:pStyle w:val="TableContents"/>
              <w:bidi w:val="0"/>
              <w:spacing w:before="0" w:after="283"/>
              <w:jc w:val="left"/>
              <w:rPr/>
            </w:pPr>
            <w:r>
              <w:rPr/>
              <w:t>  </w:t>
            </w:r>
          </w:p>
        </w:tc>
        <w:tc>
          <w:tcPr>
            <w:tcW w:w="6114" w:type="dxa"/>
            <w:tcBorders/>
          </w:tcPr>
          <w:p>
            <w:pPr>
              <w:pStyle w:val="TableContents"/>
              <w:bidi w:val="0"/>
              <w:spacing w:before="0" w:after="0"/>
              <w:jc w:val="left"/>
              <w:rPr>
                <w:rFonts w:ascii="Times New Roman" w:hAnsi="Times New Roman"/>
                <w:sz w:val="20"/>
              </w:rPr>
            </w:pPr>
            <w:r>
              <w:rPr>
                <w:rFonts w:ascii="Times New Roman" w:hAnsi="Times New Roman"/>
                <w:sz w:val="20"/>
              </w:rPr>
              <w:t>Chairman and Chief Executive Officer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r>
        <w:trPr>
          <w:trHeight w:val="240" w:hRule="atLeast"/>
        </w:trPr>
        <w:tc>
          <w:tcPr>
            <w:tcW w:w="3971" w:type="dxa"/>
            <w:tcBorders/>
            <w:vAlign w:val="center"/>
          </w:tcPr>
          <w:p>
            <w:pPr>
              <w:pStyle w:val="TableContents"/>
              <w:bidi w:val="0"/>
              <w:spacing w:before="0" w:after="283"/>
              <w:jc w:val="left"/>
              <w:rPr>
                <w:sz w:val="4"/>
                <w:szCs w:val="4"/>
              </w:rPr>
            </w:pPr>
            <w:r>
              <w:rPr>
                <w:sz w:val="4"/>
                <w:szCs w:val="4"/>
              </w:rPr>
            </w:r>
          </w:p>
        </w:tc>
        <w:tc>
          <w:tcPr>
            <w:tcW w:w="6234" w:type="dxa"/>
            <w:gridSpan w:val="2"/>
            <w:tcBorders/>
            <w:vAlign w:val="center"/>
          </w:tcPr>
          <w:p>
            <w:pPr>
              <w:pStyle w:val="TableContents"/>
              <w:bidi w:val="0"/>
              <w:spacing w:before="0" w:after="283"/>
              <w:jc w:val="left"/>
              <w:rPr>
                <w:sz w:val="4"/>
                <w:szCs w:val="4"/>
              </w:rPr>
            </w:pPr>
            <w:r>
              <w:rPr>
                <w:sz w:val="4"/>
                <w:szCs w:val="4"/>
              </w:rPr>
            </w:r>
          </w:p>
        </w:tc>
      </w:tr>
      <w:tr>
        <w:trPr/>
        <w:tc>
          <w:tcPr>
            <w:tcW w:w="39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Amy E. Hood</w:t>
            </w:r>
          </w:p>
          <w:p>
            <w:pPr>
              <w:pStyle w:val="TableContents"/>
              <w:bidi w:val="0"/>
              <w:spacing w:before="0" w:after="20"/>
              <w:jc w:val="left"/>
              <w:rPr>
                <w:rFonts w:ascii="Times New Roman" w:hAnsi="Times New Roman"/>
                <w:sz w:val="20"/>
              </w:rPr>
            </w:pPr>
            <w:r>
              <w:rPr>
                <w:rFonts w:ascii="Times New Roman" w:hAnsi="Times New Roman"/>
                <w:sz w:val="20"/>
              </w:rPr>
              <w:t>Amy E. Hood</w:t>
            </w:r>
          </w:p>
        </w:tc>
        <w:tc>
          <w:tcPr>
            <w:tcW w:w="120" w:type="dxa"/>
            <w:tcBorders/>
            <w:vAlign w:val="bottom"/>
          </w:tcPr>
          <w:p>
            <w:pPr>
              <w:pStyle w:val="TableContents"/>
              <w:bidi w:val="0"/>
              <w:spacing w:before="0" w:after="283"/>
              <w:jc w:val="left"/>
              <w:rPr/>
            </w:pPr>
            <w:r>
              <w:rPr/>
              <w:t>  </w:t>
            </w:r>
          </w:p>
        </w:tc>
        <w:tc>
          <w:tcPr>
            <w:tcW w:w="6114" w:type="dxa"/>
            <w:tcBorders/>
          </w:tcPr>
          <w:p>
            <w:pPr>
              <w:pStyle w:val="TableContents"/>
              <w:bidi w:val="0"/>
              <w:spacing w:before="0" w:after="283"/>
              <w:jc w:val="left"/>
              <w:rPr/>
            </w:pPr>
            <w:r>
              <w:rPr/>
              <w:t xml:space="preserve">Executive Vice President and Chief Financial Officer </w:t>
              <w:br/>
              <w:t>(Principal Financial Officer)</w:t>
            </w:r>
          </w:p>
        </w:tc>
      </w:tr>
      <w:tr>
        <w:trPr>
          <w:trHeight w:val="240" w:hRule="atLeast"/>
        </w:trPr>
        <w:tc>
          <w:tcPr>
            <w:tcW w:w="3971" w:type="dxa"/>
            <w:tcBorders/>
            <w:vAlign w:val="center"/>
          </w:tcPr>
          <w:p>
            <w:pPr>
              <w:pStyle w:val="TableContents"/>
              <w:bidi w:val="0"/>
              <w:spacing w:before="0" w:after="283"/>
              <w:jc w:val="left"/>
              <w:rPr>
                <w:sz w:val="4"/>
                <w:szCs w:val="4"/>
              </w:rPr>
            </w:pPr>
            <w:r>
              <w:rPr>
                <w:sz w:val="4"/>
                <w:szCs w:val="4"/>
              </w:rPr>
            </w:r>
          </w:p>
        </w:tc>
        <w:tc>
          <w:tcPr>
            <w:tcW w:w="6234" w:type="dxa"/>
            <w:gridSpan w:val="2"/>
            <w:tcBorders/>
            <w:vAlign w:val="center"/>
          </w:tcPr>
          <w:p>
            <w:pPr>
              <w:pStyle w:val="TableContents"/>
              <w:bidi w:val="0"/>
              <w:spacing w:before="0" w:after="283"/>
              <w:jc w:val="left"/>
              <w:rPr>
                <w:sz w:val="4"/>
                <w:szCs w:val="4"/>
              </w:rPr>
            </w:pPr>
            <w:r>
              <w:rPr>
                <w:sz w:val="4"/>
                <w:szCs w:val="4"/>
              </w:rPr>
            </w:r>
          </w:p>
        </w:tc>
      </w:tr>
      <w:tr>
        <w:trPr/>
        <w:tc>
          <w:tcPr>
            <w:tcW w:w="39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Alice L. Jolla</w:t>
            </w:r>
          </w:p>
          <w:p>
            <w:pPr>
              <w:pStyle w:val="TableContents"/>
              <w:bidi w:val="0"/>
              <w:spacing w:before="0" w:after="20"/>
              <w:jc w:val="left"/>
              <w:rPr>
                <w:rFonts w:ascii="Times New Roman" w:hAnsi="Times New Roman"/>
                <w:sz w:val="20"/>
              </w:rPr>
            </w:pPr>
            <w:r>
              <w:rPr>
                <w:rFonts w:ascii="Times New Roman" w:hAnsi="Times New Roman"/>
                <w:sz w:val="20"/>
              </w:rPr>
              <w:t>Alice L. Jolla</w:t>
            </w:r>
          </w:p>
        </w:tc>
        <w:tc>
          <w:tcPr>
            <w:tcW w:w="120" w:type="dxa"/>
            <w:tcBorders/>
            <w:vAlign w:val="bottom"/>
          </w:tcPr>
          <w:p>
            <w:pPr>
              <w:pStyle w:val="TableContents"/>
              <w:bidi w:val="0"/>
              <w:spacing w:before="0" w:after="283"/>
              <w:jc w:val="left"/>
              <w:rPr/>
            </w:pPr>
            <w:r>
              <w:rPr/>
              <w:t>  </w:t>
            </w:r>
          </w:p>
        </w:tc>
        <w:tc>
          <w:tcPr>
            <w:tcW w:w="6114" w:type="dxa"/>
            <w:tcBorders/>
          </w:tcPr>
          <w:p>
            <w:pPr>
              <w:pStyle w:val="TableContents"/>
              <w:bidi w:val="0"/>
              <w:spacing w:before="0" w:after="283"/>
              <w:jc w:val="left"/>
              <w:rPr/>
            </w:pPr>
            <w:r>
              <w:rPr/>
              <w:t>Corporate Vice President and Chief Accounting Officer</w:t>
              <w:br/>
              <w:t>(Principal Accounting Officer)</w:t>
            </w:r>
          </w:p>
        </w:tc>
      </w:tr>
      <w:tr>
        <w:trPr>
          <w:trHeight w:val="240" w:hRule="atLeast"/>
        </w:trPr>
        <w:tc>
          <w:tcPr>
            <w:tcW w:w="3971" w:type="dxa"/>
            <w:tcBorders/>
            <w:vAlign w:val="center"/>
          </w:tcPr>
          <w:p>
            <w:pPr>
              <w:pStyle w:val="TableContents"/>
              <w:bidi w:val="0"/>
              <w:spacing w:before="0" w:after="283"/>
              <w:jc w:val="left"/>
              <w:rPr>
                <w:sz w:val="4"/>
                <w:szCs w:val="4"/>
              </w:rPr>
            </w:pPr>
            <w:r>
              <w:rPr>
                <w:sz w:val="4"/>
                <w:szCs w:val="4"/>
              </w:rPr>
            </w:r>
          </w:p>
        </w:tc>
        <w:tc>
          <w:tcPr>
            <w:tcW w:w="6234" w:type="dxa"/>
            <w:gridSpan w:val="2"/>
            <w:tcBorders/>
            <w:vAlign w:val="center"/>
          </w:tcPr>
          <w:p>
            <w:pPr>
              <w:pStyle w:val="TableContents"/>
              <w:bidi w:val="0"/>
              <w:spacing w:before="0" w:after="283"/>
              <w:jc w:val="left"/>
              <w:rPr>
                <w:sz w:val="4"/>
                <w:szCs w:val="4"/>
              </w:rPr>
            </w:pPr>
            <w:r>
              <w:rPr>
                <w:sz w:val="4"/>
                <w:szCs w:val="4"/>
              </w:rPr>
            </w:r>
          </w:p>
        </w:tc>
      </w:tr>
      <w:tr>
        <w:trPr/>
        <w:tc>
          <w:tcPr>
            <w:tcW w:w="39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Sandra E. Peterson</w:t>
            </w:r>
          </w:p>
          <w:p>
            <w:pPr>
              <w:pStyle w:val="TableContents"/>
              <w:bidi w:val="0"/>
              <w:spacing w:before="0" w:after="20"/>
              <w:jc w:val="left"/>
              <w:rPr>
                <w:rFonts w:ascii="Times New Roman" w:hAnsi="Times New Roman"/>
                <w:sz w:val="20"/>
              </w:rPr>
            </w:pPr>
            <w:r>
              <w:rPr>
                <w:rFonts w:ascii="Times New Roman" w:hAnsi="Times New Roman"/>
                <w:sz w:val="20"/>
              </w:rPr>
              <w:t>Sandra E. Peterson</w:t>
            </w:r>
          </w:p>
        </w:tc>
        <w:tc>
          <w:tcPr>
            <w:tcW w:w="120" w:type="dxa"/>
            <w:tcBorders/>
            <w:vAlign w:val="bottom"/>
          </w:tcPr>
          <w:p>
            <w:pPr>
              <w:pStyle w:val="TableContents"/>
              <w:bidi w:val="0"/>
              <w:spacing w:before="0" w:after="283"/>
              <w:jc w:val="left"/>
              <w:rPr/>
            </w:pPr>
            <w:r>
              <w:rPr/>
              <w:t>  </w:t>
            </w:r>
          </w:p>
        </w:tc>
        <w:tc>
          <w:tcPr>
            <w:tcW w:w="6114" w:type="dxa"/>
            <w:tcBorders/>
          </w:tcPr>
          <w:p>
            <w:pPr>
              <w:pStyle w:val="TableContents"/>
              <w:bidi w:val="0"/>
              <w:spacing w:before="0" w:after="0"/>
              <w:jc w:val="left"/>
              <w:rPr>
                <w:rFonts w:ascii="Times New Roman" w:hAnsi="Times New Roman"/>
                <w:sz w:val="20"/>
              </w:rPr>
            </w:pPr>
            <w:r>
              <w:rPr>
                <w:rFonts w:ascii="Times New Roman" w:hAnsi="Times New Roman"/>
                <w:sz w:val="20"/>
              </w:rPr>
              <w:t>Lead Independent Director</w:t>
            </w:r>
          </w:p>
        </w:tc>
      </w:tr>
      <w:tr>
        <w:trPr>
          <w:trHeight w:val="240" w:hRule="atLeast"/>
        </w:trPr>
        <w:tc>
          <w:tcPr>
            <w:tcW w:w="3971" w:type="dxa"/>
            <w:tcBorders/>
            <w:vAlign w:val="center"/>
          </w:tcPr>
          <w:p>
            <w:pPr>
              <w:pStyle w:val="TableContents"/>
              <w:bidi w:val="0"/>
              <w:spacing w:before="0" w:after="283"/>
              <w:jc w:val="left"/>
              <w:rPr>
                <w:sz w:val="4"/>
                <w:szCs w:val="4"/>
              </w:rPr>
            </w:pPr>
            <w:r>
              <w:rPr>
                <w:sz w:val="4"/>
                <w:szCs w:val="4"/>
              </w:rPr>
            </w:r>
          </w:p>
        </w:tc>
        <w:tc>
          <w:tcPr>
            <w:tcW w:w="6234" w:type="dxa"/>
            <w:gridSpan w:val="2"/>
            <w:tcBorders/>
            <w:vAlign w:val="center"/>
          </w:tcPr>
          <w:p>
            <w:pPr>
              <w:pStyle w:val="TableContents"/>
              <w:bidi w:val="0"/>
              <w:spacing w:before="0" w:after="283"/>
              <w:jc w:val="left"/>
              <w:rPr>
                <w:sz w:val="4"/>
                <w:szCs w:val="4"/>
              </w:rPr>
            </w:pPr>
            <w:r>
              <w:rPr>
                <w:sz w:val="4"/>
                <w:szCs w:val="4"/>
              </w:rPr>
            </w:r>
          </w:p>
        </w:tc>
      </w:tr>
      <w:tr>
        <w:trPr/>
        <w:tc>
          <w:tcPr>
            <w:tcW w:w="39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Reid G. Hoffman</w:t>
            </w:r>
          </w:p>
          <w:p>
            <w:pPr>
              <w:pStyle w:val="TableContents"/>
              <w:bidi w:val="0"/>
              <w:spacing w:before="0" w:after="20"/>
              <w:jc w:val="left"/>
              <w:rPr>
                <w:rFonts w:ascii="Times New Roman" w:hAnsi="Times New Roman"/>
                <w:sz w:val="20"/>
              </w:rPr>
            </w:pPr>
            <w:r>
              <w:rPr>
                <w:rFonts w:ascii="Times New Roman" w:hAnsi="Times New Roman"/>
                <w:sz w:val="20"/>
              </w:rPr>
              <w:t>Reid G. Hoffman</w:t>
            </w:r>
          </w:p>
        </w:tc>
        <w:tc>
          <w:tcPr>
            <w:tcW w:w="120" w:type="dxa"/>
            <w:tcBorders/>
            <w:vAlign w:val="bottom"/>
          </w:tcPr>
          <w:p>
            <w:pPr>
              <w:pStyle w:val="TableContents"/>
              <w:bidi w:val="0"/>
              <w:spacing w:before="0" w:after="283"/>
              <w:jc w:val="left"/>
              <w:rPr/>
            </w:pPr>
            <w:r>
              <w:rPr/>
              <w:t>  </w:t>
            </w:r>
          </w:p>
        </w:tc>
        <w:tc>
          <w:tcPr>
            <w:tcW w:w="6114"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3971" w:type="dxa"/>
            <w:tcBorders/>
            <w:vAlign w:val="center"/>
          </w:tcPr>
          <w:p>
            <w:pPr>
              <w:pStyle w:val="TableContents"/>
              <w:bidi w:val="0"/>
              <w:spacing w:before="0" w:after="283"/>
              <w:jc w:val="left"/>
              <w:rPr>
                <w:sz w:val="4"/>
                <w:szCs w:val="4"/>
              </w:rPr>
            </w:pPr>
            <w:r>
              <w:rPr>
                <w:sz w:val="4"/>
                <w:szCs w:val="4"/>
              </w:rPr>
            </w:r>
          </w:p>
        </w:tc>
        <w:tc>
          <w:tcPr>
            <w:tcW w:w="6234" w:type="dxa"/>
            <w:gridSpan w:val="2"/>
            <w:tcBorders/>
            <w:vAlign w:val="center"/>
          </w:tcPr>
          <w:p>
            <w:pPr>
              <w:pStyle w:val="TableContents"/>
              <w:bidi w:val="0"/>
              <w:spacing w:before="0" w:after="283"/>
              <w:jc w:val="left"/>
              <w:rPr>
                <w:sz w:val="4"/>
                <w:szCs w:val="4"/>
              </w:rPr>
            </w:pPr>
            <w:r>
              <w:rPr>
                <w:sz w:val="4"/>
                <w:szCs w:val="4"/>
              </w:rPr>
            </w:r>
          </w:p>
        </w:tc>
      </w:tr>
      <w:tr>
        <w:trPr/>
        <w:tc>
          <w:tcPr>
            <w:tcW w:w="39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Hugh F. Johnston</w:t>
            </w:r>
          </w:p>
          <w:p>
            <w:pPr>
              <w:pStyle w:val="TableContents"/>
              <w:bidi w:val="0"/>
              <w:spacing w:before="0" w:after="20"/>
              <w:jc w:val="left"/>
              <w:rPr>
                <w:rFonts w:ascii="Times New Roman" w:hAnsi="Times New Roman"/>
                <w:sz w:val="20"/>
              </w:rPr>
            </w:pPr>
            <w:r>
              <w:rPr>
                <w:rFonts w:ascii="Times New Roman" w:hAnsi="Times New Roman"/>
                <w:sz w:val="20"/>
              </w:rPr>
              <w:t>Hugh F. Johnston</w:t>
            </w:r>
          </w:p>
        </w:tc>
        <w:tc>
          <w:tcPr>
            <w:tcW w:w="120" w:type="dxa"/>
            <w:tcBorders/>
            <w:vAlign w:val="bottom"/>
          </w:tcPr>
          <w:p>
            <w:pPr>
              <w:pStyle w:val="TableContents"/>
              <w:bidi w:val="0"/>
              <w:spacing w:before="0" w:after="283"/>
              <w:jc w:val="left"/>
              <w:rPr/>
            </w:pPr>
            <w:r>
              <w:rPr/>
              <w:t>  </w:t>
            </w:r>
          </w:p>
        </w:tc>
        <w:tc>
          <w:tcPr>
            <w:tcW w:w="6114"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3971" w:type="dxa"/>
            <w:tcBorders/>
            <w:vAlign w:val="center"/>
          </w:tcPr>
          <w:p>
            <w:pPr>
              <w:pStyle w:val="TableContents"/>
              <w:bidi w:val="0"/>
              <w:spacing w:before="0" w:after="283"/>
              <w:jc w:val="left"/>
              <w:rPr>
                <w:sz w:val="4"/>
                <w:szCs w:val="4"/>
              </w:rPr>
            </w:pPr>
            <w:r>
              <w:rPr>
                <w:sz w:val="4"/>
                <w:szCs w:val="4"/>
              </w:rPr>
            </w:r>
          </w:p>
        </w:tc>
        <w:tc>
          <w:tcPr>
            <w:tcW w:w="6234" w:type="dxa"/>
            <w:gridSpan w:val="2"/>
            <w:tcBorders/>
            <w:vAlign w:val="center"/>
          </w:tcPr>
          <w:p>
            <w:pPr>
              <w:pStyle w:val="TableContents"/>
              <w:bidi w:val="0"/>
              <w:spacing w:before="0" w:after="283"/>
              <w:jc w:val="left"/>
              <w:rPr>
                <w:sz w:val="4"/>
                <w:szCs w:val="4"/>
              </w:rPr>
            </w:pPr>
            <w:r>
              <w:rPr>
                <w:sz w:val="4"/>
                <w:szCs w:val="4"/>
              </w:rPr>
            </w:r>
          </w:p>
        </w:tc>
      </w:tr>
      <w:tr>
        <w:trPr/>
        <w:tc>
          <w:tcPr>
            <w:tcW w:w="39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Teri L. List</w:t>
            </w:r>
          </w:p>
          <w:p>
            <w:pPr>
              <w:pStyle w:val="TableContents"/>
              <w:bidi w:val="0"/>
              <w:spacing w:before="0" w:after="20"/>
              <w:jc w:val="left"/>
              <w:rPr>
                <w:rFonts w:ascii="Times New Roman" w:hAnsi="Times New Roman"/>
                <w:sz w:val="20"/>
              </w:rPr>
            </w:pPr>
            <w:r>
              <w:rPr>
                <w:rFonts w:ascii="Times New Roman" w:hAnsi="Times New Roman"/>
                <w:sz w:val="20"/>
              </w:rPr>
              <w:t>Teri L. List</w:t>
            </w:r>
          </w:p>
        </w:tc>
        <w:tc>
          <w:tcPr>
            <w:tcW w:w="120" w:type="dxa"/>
            <w:tcBorders/>
            <w:vAlign w:val="bottom"/>
          </w:tcPr>
          <w:p>
            <w:pPr>
              <w:pStyle w:val="TableContents"/>
              <w:bidi w:val="0"/>
              <w:spacing w:before="0" w:after="283"/>
              <w:jc w:val="left"/>
              <w:rPr/>
            </w:pPr>
            <w:r>
              <w:rPr/>
              <w:t>  </w:t>
            </w:r>
          </w:p>
        </w:tc>
        <w:tc>
          <w:tcPr>
            <w:tcW w:w="6114"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3971" w:type="dxa"/>
            <w:tcBorders/>
            <w:vAlign w:val="center"/>
          </w:tcPr>
          <w:p>
            <w:pPr>
              <w:pStyle w:val="TableContents"/>
              <w:bidi w:val="0"/>
              <w:spacing w:before="0" w:after="283"/>
              <w:jc w:val="left"/>
              <w:rPr>
                <w:sz w:val="4"/>
                <w:szCs w:val="4"/>
              </w:rPr>
            </w:pPr>
            <w:r>
              <w:rPr>
                <w:sz w:val="4"/>
                <w:szCs w:val="4"/>
              </w:rPr>
            </w:r>
          </w:p>
        </w:tc>
        <w:tc>
          <w:tcPr>
            <w:tcW w:w="6234" w:type="dxa"/>
            <w:gridSpan w:val="2"/>
            <w:tcBorders/>
            <w:vAlign w:val="center"/>
          </w:tcPr>
          <w:p>
            <w:pPr>
              <w:pStyle w:val="TableContents"/>
              <w:bidi w:val="0"/>
              <w:spacing w:before="0" w:after="283"/>
              <w:jc w:val="left"/>
              <w:rPr>
                <w:sz w:val="4"/>
                <w:szCs w:val="4"/>
              </w:rPr>
            </w:pPr>
            <w:r>
              <w:rPr>
                <w:sz w:val="4"/>
                <w:szCs w:val="4"/>
              </w:rPr>
            </w:r>
          </w:p>
        </w:tc>
      </w:tr>
      <w:tr>
        <w:trPr/>
        <w:tc>
          <w:tcPr>
            <w:tcW w:w="39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Catherine MacGregor</w:t>
            </w:r>
          </w:p>
          <w:p>
            <w:pPr>
              <w:pStyle w:val="TableContents"/>
              <w:bidi w:val="0"/>
              <w:spacing w:before="0" w:after="20"/>
              <w:jc w:val="left"/>
              <w:rPr>
                <w:rFonts w:ascii="Times New Roman" w:hAnsi="Times New Roman"/>
                <w:sz w:val="20"/>
              </w:rPr>
            </w:pPr>
            <w:r>
              <w:rPr>
                <w:rFonts w:ascii="Times New Roman" w:hAnsi="Times New Roman"/>
                <w:sz w:val="20"/>
              </w:rPr>
              <w:t>Catherine MacGregor</w:t>
            </w:r>
          </w:p>
        </w:tc>
        <w:tc>
          <w:tcPr>
            <w:tcW w:w="120" w:type="dxa"/>
            <w:tcBorders/>
            <w:vAlign w:val="bottom"/>
          </w:tcPr>
          <w:p>
            <w:pPr>
              <w:pStyle w:val="TableContents"/>
              <w:bidi w:val="0"/>
              <w:spacing w:before="0" w:after="283"/>
              <w:jc w:val="left"/>
              <w:rPr/>
            </w:pPr>
            <w:r>
              <w:rPr/>
              <w:t>  </w:t>
            </w:r>
          </w:p>
        </w:tc>
        <w:tc>
          <w:tcPr>
            <w:tcW w:w="6114"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3971" w:type="dxa"/>
            <w:tcBorders/>
            <w:vAlign w:val="center"/>
          </w:tcPr>
          <w:p>
            <w:pPr>
              <w:pStyle w:val="TableContents"/>
              <w:bidi w:val="0"/>
              <w:spacing w:before="0" w:after="283"/>
              <w:jc w:val="left"/>
              <w:rPr>
                <w:sz w:val="4"/>
                <w:szCs w:val="4"/>
              </w:rPr>
            </w:pPr>
            <w:r>
              <w:rPr>
                <w:sz w:val="4"/>
                <w:szCs w:val="4"/>
              </w:rPr>
            </w:r>
          </w:p>
        </w:tc>
        <w:tc>
          <w:tcPr>
            <w:tcW w:w="6234" w:type="dxa"/>
            <w:gridSpan w:val="2"/>
            <w:tcBorders/>
            <w:vAlign w:val="center"/>
          </w:tcPr>
          <w:p>
            <w:pPr>
              <w:pStyle w:val="TableContents"/>
              <w:bidi w:val="0"/>
              <w:spacing w:before="0" w:after="283"/>
              <w:jc w:val="left"/>
              <w:rPr>
                <w:sz w:val="4"/>
                <w:szCs w:val="4"/>
              </w:rPr>
            </w:pPr>
            <w:r>
              <w:rPr>
                <w:sz w:val="4"/>
                <w:szCs w:val="4"/>
              </w:rPr>
            </w:r>
          </w:p>
        </w:tc>
      </w:tr>
      <w:tr>
        <w:trPr/>
        <w:tc>
          <w:tcPr>
            <w:tcW w:w="39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Mark A. L. Mason</w:t>
            </w:r>
          </w:p>
          <w:p>
            <w:pPr>
              <w:pStyle w:val="TableContents"/>
              <w:bidi w:val="0"/>
              <w:spacing w:before="0" w:after="20"/>
              <w:jc w:val="left"/>
              <w:rPr>
                <w:rFonts w:ascii="Times New Roman" w:hAnsi="Times New Roman"/>
                <w:sz w:val="20"/>
              </w:rPr>
            </w:pPr>
            <w:r>
              <w:rPr>
                <w:rFonts w:ascii="Times New Roman" w:hAnsi="Times New Roman"/>
                <w:sz w:val="20"/>
              </w:rPr>
              <w:t>Mark A. L. Mason</w:t>
            </w:r>
          </w:p>
        </w:tc>
        <w:tc>
          <w:tcPr>
            <w:tcW w:w="120" w:type="dxa"/>
            <w:tcBorders/>
            <w:vAlign w:val="bottom"/>
          </w:tcPr>
          <w:p>
            <w:pPr>
              <w:pStyle w:val="TableContents"/>
              <w:bidi w:val="0"/>
              <w:spacing w:before="0" w:after="283"/>
              <w:jc w:val="left"/>
              <w:rPr/>
            </w:pPr>
            <w:r>
              <w:rPr/>
              <w:t>  </w:t>
            </w:r>
          </w:p>
        </w:tc>
        <w:tc>
          <w:tcPr>
            <w:tcW w:w="6114"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3971" w:type="dxa"/>
            <w:tcBorders/>
            <w:vAlign w:val="center"/>
          </w:tcPr>
          <w:p>
            <w:pPr>
              <w:pStyle w:val="TableContents"/>
              <w:bidi w:val="0"/>
              <w:spacing w:before="0" w:after="283"/>
              <w:jc w:val="left"/>
              <w:rPr>
                <w:sz w:val="4"/>
                <w:szCs w:val="4"/>
              </w:rPr>
            </w:pPr>
            <w:r>
              <w:rPr>
                <w:sz w:val="4"/>
                <w:szCs w:val="4"/>
              </w:rPr>
            </w:r>
          </w:p>
        </w:tc>
        <w:tc>
          <w:tcPr>
            <w:tcW w:w="6234" w:type="dxa"/>
            <w:gridSpan w:val="2"/>
            <w:tcBorders/>
            <w:vAlign w:val="center"/>
          </w:tcPr>
          <w:p>
            <w:pPr>
              <w:pStyle w:val="TableContents"/>
              <w:bidi w:val="0"/>
              <w:spacing w:before="0" w:after="283"/>
              <w:jc w:val="left"/>
              <w:rPr>
                <w:sz w:val="4"/>
                <w:szCs w:val="4"/>
              </w:rPr>
            </w:pPr>
            <w:r>
              <w:rPr>
                <w:sz w:val="4"/>
                <w:szCs w:val="4"/>
              </w:rPr>
            </w:r>
          </w:p>
        </w:tc>
      </w:tr>
      <w:tr>
        <w:trPr/>
        <w:tc>
          <w:tcPr>
            <w:tcW w:w="39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Penny S. Pritzker</w:t>
            </w:r>
          </w:p>
          <w:p>
            <w:pPr>
              <w:pStyle w:val="TableContents"/>
              <w:bidi w:val="0"/>
              <w:spacing w:before="0" w:after="20"/>
              <w:jc w:val="left"/>
              <w:rPr>
                <w:rFonts w:ascii="Times New Roman" w:hAnsi="Times New Roman"/>
                <w:sz w:val="20"/>
              </w:rPr>
            </w:pPr>
            <w:r>
              <w:rPr>
                <w:rFonts w:ascii="Times New Roman" w:hAnsi="Times New Roman"/>
                <w:sz w:val="20"/>
              </w:rPr>
              <w:t>Penny S. Pritzker</w:t>
            </w:r>
          </w:p>
        </w:tc>
        <w:tc>
          <w:tcPr>
            <w:tcW w:w="120" w:type="dxa"/>
            <w:tcBorders/>
            <w:vAlign w:val="bottom"/>
          </w:tcPr>
          <w:p>
            <w:pPr>
              <w:pStyle w:val="TableContents"/>
              <w:bidi w:val="0"/>
              <w:spacing w:before="0" w:after="283"/>
              <w:jc w:val="left"/>
              <w:rPr/>
            </w:pPr>
            <w:r>
              <w:rPr/>
              <w:t>  </w:t>
            </w:r>
          </w:p>
        </w:tc>
        <w:tc>
          <w:tcPr>
            <w:tcW w:w="6114"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3971" w:type="dxa"/>
            <w:tcBorders/>
            <w:vAlign w:val="center"/>
          </w:tcPr>
          <w:p>
            <w:pPr>
              <w:pStyle w:val="TableContents"/>
              <w:bidi w:val="0"/>
              <w:spacing w:before="0" w:after="283"/>
              <w:jc w:val="left"/>
              <w:rPr>
                <w:sz w:val="4"/>
                <w:szCs w:val="4"/>
              </w:rPr>
            </w:pPr>
            <w:r>
              <w:rPr>
                <w:sz w:val="4"/>
                <w:szCs w:val="4"/>
              </w:rPr>
            </w:r>
          </w:p>
        </w:tc>
        <w:tc>
          <w:tcPr>
            <w:tcW w:w="6234" w:type="dxa"/>
            <w:gridSpan w:val="2"/>
            <w:tcBorders/>
            <w:vAlign w:val="center"/>
          </w:tcPr>
          <w:p>
            <w:pPr>
              <w:pStyle w:val="TableContents"/>
              <w:bidi w:val="0"/>
              <w:spacing w:before="0" w:after="283"/>
              <w:jc w:val="left"/>
              <w:rPr>
                <w:sz w:val="4"/>
                <w:szCs w:val="4"/>
              </w:rPr>
            </w:pPr>
            <w:r>
              <w:rPr>
                <w:sz w:val="4"/>
                <w:szCs w:val="4"/>
              </w:rPr>
            </w:r>
          </w:p>
        </w:tc>
      </w:tr>
      <w:tr>
        <w:trPr/>
        <w:tc>
          <w:tcPr>
            <w:tcW w:w="39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John David Rainey</w:t>
            </w:r>
          </w:p>
          <w:p>
            <w:pPr>
              <w:pStyle w:val="TableContents"/>
              <w:bidi w:val="0"/>
              <w:spacing w:before="0" w:after="20"/>
              <w:jc w:val="left"/>
              <w:rPr>
                <w:rFonts w:ascii="Times New Roman" w:hAnsi="Times New Roman"/>
                <w:sz w:val="20"/>
              </w:rPr>
            </w:pPr>
            <w:r>
              <w:rPr>
                <w:rFonts w:ascii="Times New Roman" w:hAnsi="Times New Roman"/>
                <w:sz w:val="20"/>
              </w:rPr>
              <w:t>John David Rainey</w:t>
            </w:r>
          </w:p>
        </w:tc>
        <w:tc>
          <w:tcPr>
            <w:tcW w:w="120" w:type="dxa"/>
            <w:tcBorders/>
            <w:vAlign w:val="bottom"/>
          </w:tcPr>
          <w:p>
            <w:pPr>
              <w:pStyle w:val="TableContents"/>
              <w:bidi w:val="0"/>
              <w:spacing w:before="0" w:after="283"/>
              <w:jc w:val="left"/>
              <w:rPr/>
            </w:pPr>
            <w:r>
              <w:rPr/>
              <w:t>  </w:t>
            </w:r>
          </w:p>
        </w:tc>
        <w:tc>
          <w:tcPr>
            <w:tcW w:w="6114"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3971" w:type="dxa"/>
            <w:tcBorders/>
            <w:vAlign w:val="center"/>
          </w:tcPr>
          <w:p>
            <w:pPr>
              <w:pStyle w:val="TableContents"/>
              <w:bidi w:val="0"/>
              <w:spacing w:before="0" w:after="283"/>
              <w:jc w:val="left"/>
              <w:rPr>
                <w:sz w:val="4"/>
                <w:szCs w:val="4"/>
              </w:rPr>
            </w:pPr>
            <w:r>
              <w:rPr>
                <w:sz w:val="4"/>
                <w:szCs w:val="4"/>
              </w:rPr>
            </w:r>
          </w:p>
        </w:tc>
        <w:tc>
          <w:tcPr>
            <w:tcW w:w="6234" w:type="dxa"/>
            <w:gridSpan w:val="2"/>
            <w:tcBorders/>
            <w:vAlign w:val="center"/>
          </w:tcPr>
          <w:p>
            <w:pPr>
              <w:pStyle w:val="TableContents"/>
              <w:bidi w:val="0"/>
              <w:spacing w:before="0" w:after="283"/>
              <w:jc w:val="left"/>
              <w:rPr>
                <w:sz w:val="4"/>
                <w:szCs w:val="4"/>
              </w:rPr>
            </w:pPr>
            <w:r>
              <w:rPr>
                <w:sz w:val="4"/>
                <w:szCs w:val="4"/>
              </w:rPr>
            </w:r>
          </w:p>
        </w:tc>
      </w:tr>
      <w:tr>
        <w:trPr/>
        <w:tc>
          <w:tcPr>
            <w:tcW w:w="39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Charles W. Scharf</w:t>
            </w:r>
          </w:p>
          <w:p>
            <w:pPr>
              <w:pStyle w:val="TableContents"/>
              <w:bidi w:val="0"/>
              <w:spacing w:before="0" w:after="20"/>
              <w:jc w:val="left"/>
              <w:rPr>
                <w:rFonts w:ascii="Times New Roman" w:hAnsi="Times New Roman"/>
                <w:sz w:val="20"/>
              </w:rPr>
            </w:pPr>
            <w:r>
              <w:rPr>
                <w:rFonts w:ascii="Times New Roman" w:hAnsi="Times New Roman"/>
                <w:sz w:val="20"/>
              </w:rPr>
              <w:t>Charles W. Scharf</w:t>
            </w:r>
          </w:p>
        </w:tc>
        <w:tc>
          <w:tcPr>
            <w:tcW w:w="120" w:type="dxa"/>
            <w:tcBorders/>
            <w:vAlign w:val="bottom"/>
          </w:tcPr>
          <w:p>
            <w:pPr>
              <w:pStyle w:val="TableContents"/>
              <w:bidi w:val="0"/>
              <w:spacing w:before="0" w:after="283"/>
              <w:jc w:val="left"/>
              <w:rPr/>
            </w:pPr>
            <w:r>
              <w:rPr/>
              <w:t>  </w:t>
            </w:r>
          </w:p>
        </w:tc>
        <w:tc>
          <w:tcPr>
            <w:tcW w:w="6114"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3971" w:type="dxa"/>
            <w:tcBorders/>
            <w:vAlign w:val="center"/>
          </w:tcPr>
          <w:p>
            <w:pPr>
              <w:pStyle w:val="TableContents"/>
              <w:bidi w:val="0"/>
              <w:spacing w:before="0" w:after="283"/>
              <w:jc w:val="left"/>
              <w:rPr>
                <w:sz w:val="4"/>
                <w:szCs w:val="4"/>
              </w:rPr>
            </w:pPr>
            <w:r>
              <w:rPr>
                <w:sz w:val="4"/>
                <w:szCs w:val="4"/>
              </w:rPr>
            </w:r>
          </w:p>
        </w:tc>
        <w:tc>
          <w:tcPr>
            <w:tcW w:w="6234" w:type="dxa"/>
            <w:gridSpan w:val="2"/>
            <w:tcBorders/>
            <w:vAlign w:val="center"/>
          </w:tcPr>
          <w:p>
            <w:pPr>
              <w:pStyle w:val="TableContents"/>
              <w:bidi w:val="0"/>
              <w:spacing w:before="0" w:after="283"/>
              <w:jc w:val="left"/>
              <w:rPr>
                <w:sz w:val="4"/>
                <w:szCs w:val="4"/>
              </w:rPr>
            </w:pPr>
            <w:r>
              <w:rPr>
                <w:sz w:val="4"/>
                <w:szCs w:val="4"/>
              </w:rPr>
            </w:r>
          </w:p>
        </w:tc>
      </w:tr>
      <w:tr>
        <w:trPr/>
        <w:tc>
          <w:tcPr>
            <w:tcW w:w="39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John W. Stanton</w:t>
            </w:r>
          </w:p>
          <w:p>
            <w:pPr>
              <w:pStyle w:val="TableContents"/>
              <w:bidi w:val="0"/>
              <w:spacing w:before="0" w:after="20"/>
              <w:jc w:val="left"/>
              <w:rPr>
                <w:rFonts w:ascii="Times New Roman" w:hAnsi="Times New Roman"/>
                <w:sz w:val="20"/>
              </w:rPr>
            </w:pPr>
            <w:r>
              <w:rPr>
                <w:rFonts w:ascii="Times New Roman" w:hAnsi="Times New Roman"/>
                <w:sz w:val="20"/>
              </w:rPr>
              <w:t>John W. Stanton</w:t>
            </w:r>
          </w:p>
        </w:tc>
        <w:tc>
          <w:tcPr>
            <w:tcW w:w="120" w:type="dxa"/>
            <w:tcBorders/>
            <w:vAlign w:val="bottom"/>
          </w:tcPr>
          <w:p>
            <w:pPr>
              <w:pStyle w:val="TableContents"/>
              <w:bidi w:val="0"/>
              <w:spacing w:before="0" w:after="283"/>
              <w:jc w:val="left"/>
              <w:rPr/>
            </w:pPr>
            <w:r>
              <w:rPr/>
              <w:t>  </w:t>
            </w:r>
          </w:p>
        </w:tc>
        <w:tc>
          <w:tcPr>
            <w:tcW w:w="6114"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3971" w:type="dxa"/>
            <w:tcBorders/>
            <w:vAlign w:val="center"/>
          </w:tcPr>
          <w:p>
            <w:pPr>
              <w:pStyle w:val="TableContents"/>
              <w:bidi w:val="0"/>
              <w:spacing w:before="0" w:after="283"/>
              <w:jc w:val="left"/>
              <w:rPr>
                <w:sz w:val="4"/>
                <w:szCs w:val="4"/>
              </w:rPr>
            </w:pPr>
            <w:r>
              <w:rPr>
                <w:sz w:val="4"/>
                <w:szCs w:val="4"/>
              </w:rPr>
            </w:r>
          </w:p>
        </w:tc>
        <w:tc>
          <w:tcPr>
            <w:tcW w:w="6234" w:type="dxa"/>
            <w:gridSpan w:val="2"/>
            <w:tcBorders/>
            <w:vAlign w:val="center"/>
          </w:tcPr>
          <w:p>
            <w:pPr>
              <w:pStyle w:val="TableContents"/>
              <w:bidi w:val="0"/>
              <w:spacing w:before="0" w:after="283"/>
              <w:jc w:val="left"/>
              <w:rPr>
                <w:sz w:val="4"/>
                <w:szCs w:val="4"/>
              </w:rPr>
            </w:pPr>
            <w:r>
              <w:rPr>
                <w:sz w:val="4"/>
                <w:szCs w:val="4"/>
              </w:rPr>
            </w:r>
          </w:p>
        </w:tc>
      </w:tr>
      <w:tr>
        <w:trPr/>
        <w:tc>
          <w:tcPr>
            <w:tcW w:w="39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Emma N. Walmsley</w:t>
            </w:r>
          </w:p>
          <w:p>
            <w:pPr>
              <w:pStyle w:val="TableContents"/>
              <w:bidi w:val="0"/>
              <w:spacing w:before="0" w:after="20"/>
              <w:jc w:val="left"/>
              <w:rPr>
                <w:rFonts w:ascii="Times New Roman" w:hAnsi="Times New Roman"/>
                <w:sz w:val="20"/>
              </w:rPr>
            </w:pPr>
            <w:r>
              <w:rPr>
                <w:rFonts w:ascii="Times New Roman" w:hAnsi="Times New Roman"/>
                <w:sz w:val="20"/>
              </w:rPr>
              <w:t>Emma N. Walmsley</w:t>
            </w:r>
          </w:p>
        </w:tc>
        <w:tc>
          <w:tcPr>
            <w:tcW w:w="120" w:type="dxa"/>
            <w:tcBorders/>
            <w:vAlign w:val="bottom"/>
          </w:tcPr>
          <w:p>
            <w:pPr>
              <w:pStyle w:val="TableContents"/>
              <w:bidi w:val="0"/>
              <w:spacing w:before="0" w:after="283"/>
              <w:jc w:val="left"/>
              <w:rPr/>
            </w:pPr>
            <w:r>
              <w:rPr/>
              <w:t>  </w:t>
            </w:r>
          </w:p>
        </w:tc>
        <w:tc>
          <w:tcPr>
            <w:tcW w:w="6114"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2" w:name="d76076dex51.htm"/>
      <w:bookmarkStart w:id="3" w:name="ksd76076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14300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143000" cy="6477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5"/>
        <w:gridCol w:w="123"/>
        <w:gridCol w:w="3188"/>
        <w:gridCol w:w="123"/>
        <w:gridCol w:w="3286"/>
      </w:tblGrid>
      <w:tr>
        <w:trPr/>
        <w:tc>
          <w:tcPr>
            <w:tcW w:w="348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8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348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8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86" w:type="dxa"/>
            <w:tcBorders/>
          </w:tcPr>
          <w:p>
            <w:pPr>
              <w:pStyle w:val="TableContents"/>
              <w:bidi w:val="0"/>
              <w:spacing w:before="0" w:after="0"/>
              <w:jc w:val="left"/>
              <w:rPr>
                <w:rFonts w:ascii="Times New Roman" w:hAnsi="Times New Roman"/>
                <w:b/>
                <w:sz w:val="20"/>
              </w:rPr>
            </w:pPr>
            <w:r>
              <w:rPr>
                <w:rFonts w:ascii="Times New Roman" w:hAnsi="Times New Roman"/>
                <w:b/>
                <w:sz w:val="20"/>
              </w:rPr>
              <w:t>Orrick, Herrington &amp; Sutcliffe LLP</w:t>
            </w:r>
          </w:p>
          <w:p>
            <w:pPr>
              <w:pStyle w:val="TableContents"/>
              <w:bidi w:val="0"/>
              <w:spacing w:before="0" w:after="0"/>
              <w:jc w:val="left"/>
              <w:rPr>
                <w:rFonts w:ascii="Times New Roman" w:hAnsi="Times New Roman"/>
                <w:sz w:val="20"/>
              </w:rPr>
            </w:pPr>
            <w:r>
              <w:rPr>
                <w:rFonts w:ascii="Times New Roman" w:hAnsi="Times New Roman"/>
                <w:sz w:val="20"/>
              </w:rPr>
              <w:t>401 UNION STREET - SUITE 3300</w:t>
            </w:r>
          </w:p>
          <w:p>
            <w:pPr>
              <w:pStyle w:val="TableContents"/>
              <w:bidi w:val="0"/>
              <w:spacing w:before="0" w:after="0"/>
              <w:jc w:val="left"/>
              <w:rPr>
                <w:rFonts w:ascii="Times New Roman" w:hAnsi="Times New Roman"/>
                <w:sz w:val="20"/>
              </w:rPr>
            </w:pPr>
            <w:r>
              <w:rPr>
                <w:rFonts w:ascii="Times New Roman" w:hAnsi="Times New Roman"/>
                <w:sz w:val="20"/>
              </w:rPr>
              <w:t>SEATTLE, WA 98101</w:t>
            </w:r>
          </w:p>
          <w:p>
            <w:pPr>
              <w:pStyle w:val="TableContents"/>
              <w:bidi w:val="0"/>
              <w:spacing w:before="0" w:after="0"/>
              <w:jc w:val="left"/>
              <w:rPr>
                <w:rFonts w:ascii="Times New Roman" w:hAnsi="Times New Roman"/>
                <w:sz w:val="20"/>
              </w:rPr>
            </w:pPr>
            <w:r>
              <w:rPr>
                <w:rFonts w:ascii="Times New Roman" w:hAnsi="Times New Roman"/>
                <w:sz w:val="20"/>
              </w:rPr>
              <w:t>+1 206 839 4300</w:t>
            </w:r>
          </w:p>
          <w:p>
            <w:pPr>
              <w:pStyle w:val="TableContents"/>
              <w:bidi w:val="0"/>
              <w:spacing w:before="0" w:after="20"/>
              <w:jc w:val="left"/>
              <w:rPr>
                <w:rFonts w:ascii="Times New Roman" w:hAnsi="Times New Roman"/>
                <w:b/>
                <w:sz w:val="20"/>
              </w:rPr>
            </w:pPr>
            <w:r>
              <w:rPr>
                <w:rFonts w:ascii="Times New Roman" w:hAnsi="Times New Roman"/>
                <w:b/>
                <w:sz w:val="20"/>
              </w:rPr>
              <w:t>orrick.com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December 30, 2025 </w:t>
      </w:r>
    </w:p>
    <w:p>
      <w:pPr>
        <w:pStyle w:val="TextBody"/>
        <w:bidi w:val="0"/>
        <w:spacing w:before="360" w:after="0"/>
        <w:jc w:val="left"/>
        <w:rPr>
          <w:rFonts w:ascii="Times New Roman" w:hAnsi="Times New Roman"/>
          <w:sz w:val="20"/>
        </w:rPr>
      </w:pPr>
      <w:r>
        <w:rPr>
          <w:rFonts w:ascii="Times New Roman" w:hAnsi="Times New Roman"/>
          <w:sz w:val="20"/>
        </w:rPr>
        <w:t xml:space="preserve">Microsoft Corporation </w:t>
      </w:r>
    </w:p>
    <w:p>
      <w:pPr>
        <w:pStyle w:val="TextBody"/>
        <w:bidi w:val="0"/>
        <w:spacing w:before="0" w:after="0"/>
        <w:jc w:val="left"/>
        <w:rPr>
          <w:rFonts w:ascii="Times New Roman" w:hAnsi="Times New Roman"/>
          <w:sz w:val="20"/>
        </w:rPr>
      </w:pPr>
      <w:r>
        <w:rPr>
          <w:rFonts w:ascii="Times New Roman" w:hAnsi="Times New Roman"/>
          <w:sz w:val="20"/>
        </w:rPr>
        <w:t xml:space="preserve">One Microsoft Way </w:t>
      </w:r>
    </w:p>
    <w:p>
      <w:pPr>
        <w:pStyle w:val="TextBody"/>
        <w:bidi w:val="0"/>
        <w:spacing w:before="0" w:after="0"/>
        <w:jc w:val="left"/>
        <w:rPr>
          <w:rFonts w:ascii="Times New Roman" w:hAnsi="Times New Roman"/>
          <w:sz w:val="20"/>
        </w:rPr>
      </w:pPr>
      <w:r>
        <w:rPr>
          <w:rFonts w:ascii="Times New Roman" w:hAnsi="Times New Roman"/>
          <w:sz w:val="20"/>
        </w:rPr>
        <w:t xml:space="preserve">Redmond, Washington 98052-6399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47"/>
        <w:gridCol w:w="386"/>
        <w:gridCol w:w="4772"/>
      </w:tblGrid>
      <w:tr>
        <w:trPr/>
        <w:tc>
          <w:tcPr>
            <w:tcW w:w="5047"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47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Re:  Microsoft Post-Effective Amendments to Form S-8</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for Microsoft Corporation, a Washington corporation (“Microsoft”), in connection with the preparation and filing with the Securities and Exchange Commission (the “Commission”) of Microsoft’s Post-Effective Amendment No. 3 to Registration Statement No. 333-52852 and Post-Effective Amendment No. 1 to Registration Statement No. 333-221833 (together, the “Post-Effective Amendments”), under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December 5, 2025, the shareholders of Microsoft approved the Microsoft Corporation 2026 Stock Plan (the “Plan”), which becomes effective on March 1, 2026 (the “Effective Date”). The total number of shares of Microsoft common stock that may be granted under the Plan includes, in addition to 226,000,000 new shares (registered concurrently on a new registration statement on Form S-8), (i) the number of shares available for future awards under the Microsoft Corporation 2017 Stock Plan (the “2017 Plan”) as of the Effective Date and (ii) the number of undelivered shares subject to outstanding awards under the 2017 Plan and the Microsoft Corporation 2001 Stock Plan that again become available for future awards under the Plan on or after the Effective Date, as provided for in the Plan (the shares described in (i) and (ii), the “Prior Plans’ Shares”). </w:t>
      </w:r>
    </w:p>
    <w:p>
      <w:pPr>
        <w:pStyle w:val="TextBody"/>
        <w:bidi w:val="0"/>
        <w:spacing w:before="240" w:after="0"/>
        <w:jc w:val="left"/>
        <w:rPr>
          <w:rFonts w:ascii="Times New Roman" w:hAnsi="Times New Roman"/>
          <w:sz w:val="20"/>
        </w:rPr>
      </w:pPr>
      <w:r>
        <w:rPr>
          <w:rFonts w:ascii="Times New Roman" w:hAnsi="Times New Roman"/>
          <w:sz w:val="20"/>
        </w:rPr>
        <w:t xml:space="preserve">As your legal counsel, we have reviewed the actions proposed to be taken by you to cover the issuance of the Prior Plans’ Shares pursuant to the Plan.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originals or copies, certified or otherwise identified to our satisfaction, of (i) the Amended and Restated Articles of Incorporation of Microsoft Corporation, (ii) the Bylaws of Microsoft Corporation, (iii) the Post-Effective Amendments, (iv) the Plan, and (v) such corporate records, agreements, documents and other instruments, and such certificates or comparable documents of public officials and of officers and representatives of Microsoft, and have made such inquiries of such officers and representatives, as we have deemed relevant and necessary or appropriate as a basis for the opinion set forth below.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530"/>
        <w:gridCol w:w="120"/>
        <w:gridCol w:w="3073"/>
        <w:gridCol w:w="120"/>
        <w:gridCol w:w="3362"/>
      </w:tblGrid>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530" w:type="dxa"/>
            <w:tcBorders/>
          </w:tcPr>
          <w:p>
            <w:pPr>
              <w:pStyle w:val="TableContents"/>
              <w:bidi w:val="0"/>
              <w:spacing w:before="0" w:after="0"/>
              <w:jc w:val="left"/>
              <w:rPr>
                <w:rFonts w:ascii="Times New Roman" w:hAnsi="Times New Roman"/>
                <w:sz w:val="20"/>
              </w:rPr>
            </w:pPr>
            <w:r>
              <w:rPr>
                <w:rFonts w:ascii="Times New Roman" w:hAnsi="Times New Roman"/>
                <w:sz w:val="20"/>
              </w:rPr>
              <w:t>December 30, 2025</w:t>
            </w:r>
          </w:p>
          <w:p>
            <w:pPr>
              <w:pStyle w:val="TableContents"/>
              <w:bidi w:val="0"/>
              <w:spacing w:before="0" w:after="20"/>
              <w:jc w:val="left"/>
              <w:rPr>
                <w:rFonts w:ascii="Times New Roman" w:hAnsi="Times New Roman"/>
                <w:sz w:val="20"/>
              </w:rPr>
            </w:pPr>
            <w:r>
              <w:rPr>
                <w:rFonts w:ascii="Times New Roman" w:hAnsi="Times New Roman"/>
                <w:sz w:val="20"/>
              </w:rPr>
              <w:t>Page 2</w:t>
            </w:r>
          </w:p>
        </w:tc>
        <w:tc>
          <w:tcPr>
            <w:tcW w:w="120" w:type="dxa"/>
            <w:tcBorders/>
            <w:vAlign w:val="bottom"/>
          </w:tcPr>
          <w:p>
            <w:pPr>
              <w:pStyle w:val="TableContents"/>
              <w:bidi w:val="0"/>
              <w:spacing w:before="0" w:after="283"/>
              <w:jc w:val="left"/>
              <w:rPr/>
            </w:pPr>
            <w:r>
              <w:rPr/>
              <w:t>  </w:t>
            </w:r>
          </w:p>
        </w:tc>
        <w:tc>
          <w:tcPr>
            <w:tcW w:w="307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right"/>
              <w:rPr/>
            </w:pPr>
            <w:r>
              <w:rPr/>
              <w:drawing>
                <wp:inline distT="0" distB="0" distL="0" distR="0">
                  <wp:extent cx="1159510" cy="6591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1159510" cy="65913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documents executed or to be executed, we have assumed that the parties thereto, other than Microsoft, had or will have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material to the opinions expressed herein that we did not independently establish or verify, we have relied upon statements and representations of officers and other representatives of Microsoft and others and of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limitations, qualifications and assumptions set forth herein, we are of the opinion that the Prior Plans’ Shares to be issued pursuant to the terms of the Plan have been duly authorized and, when issued, delivered and paid for in accordance with the terms of the Plan,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herein is limited to the corporate laws of the State of Washington and the federal laws of the United States of America, and we express no opinion as to the effect on the matters covered by this letter of the laws of any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Post-Effective Amendment. In giving such consent, we do not hereby admit that we are included in the category of persons whose consent is required under Section 7 of the Securities Act or the rules and regulations of the Commission promulgated thereunder.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 ORRICK, HERRINGTON &amp; SUTCLIFFE LLP</w:t>
            </w:r>
          </w:p>
          <w:p>
            <w:pPr>
              <w:pStyle w:val="TableContents"/>
              <w:bidi w:val="0"/>
              <w:spacing w:before="0" w:after="20"/>
              <w:jc w:val="left"/>
              <w:rPr>
                <w:rFonts w:ascii="Times New Roman" w:hAnsi="Times New Roman"/>
                <w:sz w:val="20"/>
              </w:rPr>
            </w:pPr>
            <w:r>
              <w:rPr>
                <w:rFonts w:ascii="Times New Roman" w:hAnsi="Times New Roman"/>
                <w:sz w:val="20"/>
              </w:rPr>
              <w:t>ORRICK, HERRINGTON &amp; SUTCLIFFE LLP</w:t>
            </w:r>
          </w:p>
        </w:tc>
      </w:tr>
    </w:tbl>
    <w:p>
      <w:pPr>
        <w:pStyle w:val="TextBody"/>
        <w:bidi w:val="0"/>
        <w:spacing w:before="0" w:after="0"/>
        <w:jc w:val="right"/>
        <w:rPr>
          <w:rFonts w:ascii="Times New Roman" w:hAnsi="Times New Roman"/>
          <w:b/>
          <w:sz w:val="20"/>
        </w:rPr>
      </w:pPr>
      <w:bookmarkStart w:id="4" w:name="d76076dex15.htm"/>
      <w:bookmarkStart w:id="5" w:name="ksd76076dex15"/>
      <w:bookmarkEnd w:id="4"/>
      <w:bookmarkEnd w:id="5"/>
      <w:r>
        <w:rPr>
          <w:rFonts w:ascii="Times New Roman" w:hAnsi="Times New Roman"/>
          <w:b/>
          <w:sz w:val="20"/>
        </w:rPr>
        <w:t xml:space="preserve">Exhibit 15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December 30, 2025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and Stockholders of Microsoft Corporation </w:t>
      </w:r>
    </w:p>
    <w:p>
      <w:pPr>
        <w:pStyle w:val="TextBody"/>
        <w:bidi w:val="0"/>
        <w:spacing w:before="0" w:after="0"/>
        <w:jc w:val="left"/>
        <w:rPr>
          <w:rFonts w:ascii="Times New Roman" w:hAnsi="Times New Roman"/>
          <w:sz w:val="20"/>
        </w:rPr>
      </w:pPr>
      <w:r>
        <w:rPr>
          <w:rFonts w:ascii="Times New Roman" w:hAnsi="Times New Roman"/>
          <w:sz w:val="20"/>
        </w:rPr>
        <w:t xml:space="preserve">One Microsoft Way </w:t>
      </w:r>
    </w:p>
    <w:p>
      <w:pPr>
        <w:pStyle w:val="TextBody"/>
        <w:bidi w:val="0"/>
        <w:spacing w:before="0" w:after="0"/>
        <w:jc w:val="left"/>
        <w:rPr>
          <w:rFonts w:ascii="Times New Roman" w:hAnsi="Times New Roman"/>
          <w:sz w:val="20"/>
        </w:rPr>
      </w:pPr>
      <w:r>
        <w:rPr>
          <w:rFonts w:ascii="Times New Roman" w:hAnsi="Times New Roman"/>
          <w:sz w:val="20"/>
        </w:rPr>
        <w:t xml:space="preserve">Redmond, Washington 98052-6399 </w:t>
      </w:r>
    </w:p>
    <w:p>
      <w:pPr>
        <w:pStyle w:val="TextBody"/>
        <w:bidi w:val="0"/>
        <w:spacing w:before="240" w:after="0"/>
        <w:jc w:val="left"/>
        <w:rPr>
          <w:rFonts w:ascii="Times New Roman" w:hAnsi="Times New Roman"/>
          <w:sz w:val="20"/>
        </w:rPr>
      </w:pPr>
      <w:r>
        <w:rPr>
          <w:rFonts w:ascii="Times New Roman" w:hAnsi="Times New Roman"/>
          <w:sz w:val="20"/>
        </w:rPr>
        <w:t xml:space="preserve">We are aware that our report dated October 29, 2025, on our review of the interim financial information of Microsoft Corporation appearing in Microsoft Corporation’s Quarterly Report on Form 10-Q for the quarter ending September 30, 2025, is being incorporated by reference in this Post-Effective Amendment No. 3 to the Form S-8 Registration Statement No. 333-52852 pertaining to the Microsoft Corporation 2001 Stock Plan and this Post-Effective Amendment No. 1 to the Form S-8 Registration Statement No. 333-221833 pertaining to the Microsoft Corporation 2017 Stock Plan.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Seattle, Washington </w:t>
      </w:r>
    </w:p>
    <w:p>
      <w:pPr>
        <w:pStyle w:val="TextBody"/>
        <w:bidi w:val="0"/>
        <w:spacing w:before="0" w:after="0"/>
        <w:jc w:val="right"/>
        <w:rPr>
          <w:rFonts w:ascii="Times New Roman" w:hAnsi="Times New Roman"/>
          <w:b/>
          <w:sz w:val="20"/>
        </w:rPr>
      </w:pPr>
      <w:bookmarkStart w:id="6" w:name="d76076dex231.htm"/>
      <w:bookmarkStart w:id="7" w:name="ksd76076dex231"/>
      <w:bookmarkEnd w:id="6"/>
      <w:bookmarkEnd w:id="7"/>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Post-Effective Amendment No. 3 to the Form S-8 Registration Statement (333-52852) pertaining to the Microsoft Corporation 2001 Stock Plan and this Post-Effective Amendment No. 1 to the Form S-8 Registration Statement (333-221833) pertaining to the Microsoft Corporation 2017 Stock Plan of our reports dated July 30, 2025, relating to the consolidated financial statements of Microsoft Corporation and subsidiaries (the “Company”), and the effectiveness of the Company’s internal control over financial reporting, appearing in the Annual Report on Form 10-K of Microsoft Corporation for the year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Seattle, Washington </w:t>
      </w:r>
    </w:p>
    <w:p>
      <w:pPr>
        <w:pStyle w:val="TextBody"/>
        <w:bidi w:val="0"/>
        <w:spacing w:before="0" w:after="0"/>
        <w:jc w:val="left"/>
        <w:rPr>
          <w:rFonts w:ascii="Times New Roman" w:hAnsi="Times New Roman"/>
          <w:sz w:val="20"/>
        </w:rPr>
      </w:pPr>
      <w:r>
        <w:rPr>
          <w:rFonts w:ascii="Times New Roman" w:hAnsi="Times New Roman"/>
          <w:sz w:val="20"/>
        </w:rPr>
        <w:t xml:space="preserve">December 30, 2025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89019/000095017025100235/msft-20250630.htm" TargetMode="External"/><Relationship Id="rId3" Type="http://schemas.openxmlformats.org/officeDocument/2006/relationships/hyperlink" Target="http://www.sec.gov/Archives/edgar/data/789019/000095017024087843/msft-ex4_26.htm" TargetMode="External"/><Relationship Id="rId4" Type="http://schemas.openxmlformats.org/officeDocument/2006/relationships/hyperlink" Target="http://www.sec.gov/Archives/edgar/data/789019/000119312517310951/d461626ddef14a.htm" TargetMode="External"/><Relationship Id="rId5" Type="http://schemas.openxmlformats.org/officeDocument/2006/relationships/hyperlink" Target="http://www.sec.gov/Archives/edgar/data/789019/000119312516742796/d245252dex101.htm" TargetMode="External"/><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3207</Words>
  <Characters>17712</Characters>
  <CharactersWithSpaces>20946</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