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STANTON JOHN W</w:t>
              </w:r>
            </w:hyperlink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MICROSOFT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MSFT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80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12/04/2025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MICROSOFT CORPORATION</w:t>
            </w: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MICROSOFT WAY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REDMOND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98052-6399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12/04/2025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130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78,760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3,622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stock award which is fully vested on the date of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Julia Stark, Attorney-in-fact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John W. Stanton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September 16, 2024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Securities and Exchange Commission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100 F Street, N.E.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8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Washington, D.C.</w:t>
        <w:tab/>
        <w:t>20549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7"/>
          <w:szCs w:val="17"/>
          <w:color w:val="auto"/>
        </w:rPr>
        <w:t>Microsoft Corporation - Power of Attorney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To whom it may concern: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539"/>
        <w:spacing w:after="0" w:line="26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 revoke my prior Microsoft Corporation - Power of Attorney. This will confirm that, effective as of the date above, I have granted each of the individuals listed below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353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authority to, on my behalf, execute and file the Statement of Changes in Beneficial Ownership of Securities (Form 4) and the Annual Statement of Changes in Beneficial Ownership (Form 5),</w:t>
      </w:r>
    </w:p>
    <w:p>
      <w:pPr>
        <w:ind w:right="2919"/>
        <w:spacing w:after="0" w:line="26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 connection with transactions in Microsoft Corporation securities, as my Attorney-In-Fact. Such power of attorney shall remain in full force and effect until either (i) I am no longer subject to the reporting requirements under Section 16 of the Securities Act of 1933, as amended or (ii) I have provided you with written notice withdrawing this authority.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right="3339"/>
        <w:spacing w:after="0" w:line="37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individuals who are authorized to act as my Attorney-In-Fact under this Power of Attorney are as follows: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Julia Stark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Benjamin O. Orndorff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Michael Pressman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Keith R. Dolliver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Christyne Mayberry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right="2819"/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Power of Attorney is effective immediately upon filing with the Securities Exchange Commission and for purposes of my future Form 4 and Form 5 filings relating to Microsoft securities and transactions. Sincerely,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/s/ John W. Stanton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John W. Stanton</w:t>
      </w:r>
    </w:p>
    <w:sectPr>
      <w:pgSz w:w="11900" w:h="16838" w:orient="portrait"/>
      <w:cols w:equalWidth="0" w:num="1">
        <w:col w:w="9999"/>
      </w:cols>
      <w:pgMar w:left="460" w:top="909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0904858" TargetMode="External"/><Relationship Id="rId14" Type="http://schemas.openxmlformats.org/officeDocument/2006/relationships/hyperlink" Target="http://www.sec.gov/cgi-bin/browse-edgar?action=getcompany&amp;CIK=00007890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2025-12-05T17:06:13Z</dcterms:created>
  <dcterms:modified xsi:type="dcterms:W3CDTF">2025-12-05T17:06:13Z</dcterms:modified>
</cp:coreProperties>
</file>