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4815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81520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20" w:space="360"/>
            <w:col w:w="8500"/>
          </w:cols>
          <w:pgMar w:left="460" w:top="216" w:right="359" w:bottom="144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PRITZKER PENNY 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right="1180"/>
        <w:spacing w:after="0" w:line="374" w:lineRule="auto"/>
        <w:rPr>
          <w:sz w:val="20"/>
          <w:szCs w:val="20"/>
          <w:color w:val="auto"/>
        </w:rPr>
      </w:pPr>
      <w:r>
        <w:rPr>
          <w:rFonts w:ascii="Times New Roman" w:cs="Times New Roman" w:eastAsia="Times New Roman" w:hAnsi="Times New Roman"/>
          <w:sz w:val="16"/>
          <w:szCs w:val="16"/>
          <w:color w:val="0000FF"/>
        </w:rPr>
        <w:t>C/O MICROSOFT CORPORATION ONE MICROSOFT WAY</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REDMOND</w:t>
            </w:r>
          </w:p>
        </w:tc>
        <w:tc>
          <w:tcPr>
            <w:tcW w:w="100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WA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98052-6399</w:t>
            </w:r>
          </w:p>
        </w:tc>
      </w:tr>
      <w:tr>
        <w:trPr>
          <w:trHeight w:val="147"/>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20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MICROSOFT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MSFT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20" w:type="dxa"/>
            <w:vAlign w:val="bottom"/>
          </w:tcPr>
          <w:p>
            <w:pPr>
              <w:spacing w:after="0"/>
              <w:rPr>
                <w:sz w:val="3"/>
                <w:szCs w:val="3"/>
                <w:color w:val="auto"/>
              </w:rPr>
            </w:pPr>
          </w:p>
        </w:tc>
        <w:tc>
          <w:tcPr>
            <w:tcW w:w="182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40" w:type="dxa"/>
            <w:vAlign w:val="bottom"/>
            <w:vMerge w:val="restart"/>
          </w:tcPr>
          <w:p>
            <w:pPr>
              <w:ind w:left="400"/>
              <w:spacing w:after="0" w:line="144" w:lineRule="exact"/>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line="144"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3"/>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2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4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8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06/13/2024</w:t>
            </w:r>
          </w:p>
        </w:tc>
        <w:tc>
          <w:tcPr>
            <w:tcW w:w="2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20" w:right="360"/>
        <w:spacing w:after="0" w:line="28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3.</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840" w:type="dxa"/>
            <w:vAlign w:val="bottom"/>
            <w:gridSpan w:val="3"/>
          </w:tcPr>
          <w:p>
            <w:pPr>
              <w:ind w:left="100"/>
              <w:spacing w:after="0"/>
              <w:rPr>
                <w:sz w:val="20"/>
                <w:szCs w:val="20"/>
                <w:color w:val="auto"/>
              </w:rPr>
            </w:pPr>
            <w:r>
              <w:rPr>
                <w:rFonts w:ascii="Arial" w:cs="Arial" w:eastAsia="Arial" w:hAnsi="Arial"/>
                <w:sz w:val="11"/>
                <w:szCs w:val="11"/>
                <w:b w:val="1"/>
                <w:bCs w:val="1"/>
                <w:color w:val="auto"/>
              </w:rPr>
              <w:t>Disposed Of (D) (Instr. 3, 4 and</w:t>
            </w:r>
          </w:p>
        </w:tc>
        <w:tc>
          <w:tcPr>
            <w:tcW w:w="100" w:type="dxa"/>
            <w:vAlign w:val="bottom"/>
          </w:tcPr>
          <w:p>
            <w:pPr>
              <w:spacing w:after="0"/>
              <w:rPr>
                <w:sz w:val="11"/>
                <w:szCs w:val="11"/>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1"/>
                <w:szCs w:val="11"/>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8)</w:t>
            </w: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ind w:left="260"/>
              <w:spacing w:after="0"/>
              <w:rPr>
                <w:sz w:val="20"/>
                <w:szCs w:val="20"/>
                <w:color w:val="auto"/>
              </w:rPr>
            </w:pPr>
            <w:r>
              <w:rPr>
                <w:rFonts w:ascii="Arial" w:cs="Arial" w:eastAsia="Arial" w:hAnsi="Arial"/>
                <w:sz w:val="11"/>
                <w:szCs w:val="11"/>
                <w:b w:val="1"/>
                <w:bCs w:val="1"/>
                <w:color w:val="auto"/>
              </w:rPr>
              <w:t>(A) or</w:t>
            </w:r>
          </w:p>
        </w:tc>
        <w:tc>
          <w:tcPr>
            <w:tcW w:w="5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0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1"/>
                <w:szCs w:val="11"/>
                <w:b w:val="1"/>
                <w:bCs w:val="1"/>
                <w:color w:val="auto"/>
              </w:rPr>
              <w:t>(D)</w:t>
            </w: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14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2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12,000</w:t>
            </w:r>
          </w:p>
        </w:tc>
        <w:tc>
          <w:tcPr>
            <w:tcW w:w="280" w:type="dxa"/>
            <w:vAlign w:val="bottom"/>
          </w:tcPr>
          <w:p>
            <w:pPr>
              <w:spacing w:after="0"/>
              <w:rPr>
                <w:sz w:val="22"/>
                <w:szCs w:val="22"/>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gridSpan w:val="5"/>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1420" w:type="dxa"/>
            <w:vAlign w:val="bottom"/>
            <w:tcBorders>
              <w:bottom w:val="single" w:sz="8" w:color="2C2C2C"/>
            </w:tcBorders>
            <w:gridSpan w:val="3"/>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142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 3,</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4 and 5)</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300" w:type="dxa"/>
            <w:vAlign w:val="bottom"/>
          </w:tcPr>
          <w:p>
            <w:pPr>
              <w:ind w:left="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6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20.894</w:t>
            </w:r>
            <w:r>
              <w:rPr>
                <w:rFonts w:ascii="Times New Roman" w:cs="Times New Roman" w:eastAsia="Times New Roman" w:hAnsi="Times New Roman"/>
                <w:sz w:val="21"/>
                <w:szCs w:val="21"/>
                <w:color w:val="008000"/>
                <w:vertAlign w:val="superscript"/>
              </w:rPr>
              <w:t>(2)</w:t>
            </w:r>
          </w:p>
        </w:tc>
        <w:tc>
          <w:tcPr>
            <w:tcW w:w="300" w:type="dxa"/>
            <w:vAlign w:val="bottom"/>
          </w:tcPr>
          <w:p>
            <w:pPr>
              <w:spacing w:after="0"/>
              <w:rPr>
                <w:sz w:val="15"/>
                <w:szCs w:val="15"/>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20.894</w:t>
            </w: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continue"/>
          </w:tcPr>
          <w:p>
            <w:pPr>
              <w:spacing w:after="0"/>
              <w:rPr>
                <w:sz w:val="11"/>
                <w:szCs w:val="11"/>
                <w:color w:val="auto"/>
              </w:rPr>
            </w:pPr>
          </w:p>
        </w:tc>
        <w:tc>
          <w:tcPr>
            <w:tcW w:w="1060" w:type="dxa"/>
            <w:vAlign w:val="bottom"/>
          </w:tcPr>
          <w:p>
            <w:pPr>
              <w:jc w:val="right"/>
              <w:ind w:right="161"/>
              <w:spacing w:after="0" w:line="128" w:lineRule="exact"/>
              <w:rPr>
                <w:sz w:val="20"/>
                <w:szCs w:val="20"/>
                <w:color w:val="auto"/>
              </w:rPr>
            </w:pPr>
            <w:r>
              <w:rPr>
                <w:rFonts w:ascii="Times New Roman" w:cs="Times New Roman" w:eastAsia="Times New Roman" w:hAnsi="Times New Roman"/>
                <w:sz w:val="13"/>
                <w:szCs w:val="13"/>
                <w:color w:val="0000FF"/>
              </w:rPr>
              <w:t>06/13/2024</w:t>
            </w:r>
          </w:p>
        </w:tc>
        <w:tc>
          <w:tcPr>
            <w:tcW w:w="1100" w:type="dxa"/>
            <w:vAlign w:val="bottom"/>
          </w:tcPr>
          <w:p>
            <w:pPr>
              <w:spacing w:after="0"/>
              <w:rPr>
                <w:sz w:val="11"/>
                <w:szCs w:val="11"/>
                <w:color w:val="auto"/>
              </w:rPr>
            </w:pPr>
          </w:p>
        </w:tc>
        <w:tc>
          <w:tcPr>
            <w:tcW w:w="76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7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40" w:type="dxa"/>
            <w:vAlign w:val="bottom"/>
            <w:gridSpan w:val="2"/>
          </w:tcPr>
          <w:p>
            <w:pPr>
              <w:ind w:left="280"/>
              <w:spacing w:after="0" w:line="128"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80"/>
              <w:spacing w:after="0" w:line="128" w:lineRule="exact"/>
              <w:rPr>
                <w:sz w:val="20"/>
                <w:szCs w:val="20"/>
                <w:color w:val="auto"/>
              </w:rPr>
            </w:pPr>
            <w:r>
              <w:rPr>
                <w:rFonts w:ascii="Times New Roman" w:cs="Times New Roman" w:eastAsia="Times New Roman" w:hAnsi="Times New Roman"/>
                <w:sz w:val="13"/>
                <w:szCs w:val="13"/>
                <w:color w:val="0000FF"/>
              </w:rPr>
              <w:t>12,323.8</w:t>
            </w:r>
          </w:p>
        </w:tc>
        <w:tc>
          <w:tcPr>
            <w:tcW w:w="660" w:type="dxa"/>
            <w:vAlign w:val="bottom"/>
          </w:tcPr>
          <w:p>
            <w:pPr>
              <w:ind w:left="34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8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-1827530</wp:posOffset>
            </wp:positionV>
            <wp:extent cx="29210" cy="18326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183261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Microsoft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Dividend equivalent rights accrue when and as dividends are paid on the Company's common stock and become exercisable proportionately with the restricted stock units to which they relate.</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are fully vested. Delivery of the shares to the reporting person will be made 30 days after the date of the reporting person's separation from service to the Board of Directors.</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Ann Habernigg, Attorney-in-</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06/14/2024</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bottom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fact for Penny S. Pritzker</w:t>
            </w:r>
          </w:p>
        </w:tc>
        <w:tc>
          <w:tcPr>
            <w:tcW w:w="2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94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087398"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2024-06-14T17:00:58Z</dcterms:created>
  <dcterms:modified xsi:type="dcterms:W3CDTF">2024-06-14T17:00:58Z</dcterms:modified>
</cp:coreProperties>
</file>