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Hood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1"/>
        <w:gridCol w:w="897"/>
        <w:gridCol w:w="771"/>
        <w:gridCol w:w="596"/>
        <w:gridCol w:w="331"/>
        <w:gridCol w:w="1223"/>
        <w:gridCol w:w="407"/>
        <w:gridCol w:w="825"/>
        <w:gridCol w:w="1409"/>
        <w:gridCol w:w="938"/>
        <w:gridCol w:w="89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594,037.25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18,738.823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513.53</w:t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575,298.427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full vesting of shares earned under a performance stock award granted in September 2023 under the Microsoft Corporation Executive Incentive Plan for the 3-year performance period that ended on June 30,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Amy E. Hood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843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3337</Characters>
  <CharactersWithSpaces>3871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