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BRADFORD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04"/>
        <w:gridCol w:w="897"/>
        <w:gridCol w:w="771"/>
        <w:gridCol w:w="595"/>
        <w:gridCol w:w="327"/>
        <w:gridCol w:w="1223"/>
        <w:gridCol w:w="397"/>
        <w:gridCol w:w="822"/>
        <w:gridCol w:w="1551"/>
        <w:gridCol w:w="925"/>
        <w:gridCol w:w="8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475,695.2313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17,036.099</w:t>
            </w:r>
          </w:p>
        </w:tc>
        <w:tc>
          <w:tcPr>
            <w:tcW w:w="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513.53</w:t>
            </w:r>
          </w:p>
        </w:tc>
        <w:tc>
          <w:tcPr>
            <w:tcW w:w="1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458,716.2944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 vesting of shares earned under a performance stock award granted in September 2023 under the Microsoft Corporation Executive Incentive Plan for the 3-year performance period that ended on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37.5206 shares acquired on March 31, 2026, and 19.6415 shares acquired on June 30, 2026, under the Microsoft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Bradford L.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119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3479</Characters>
  <CharactersWithSpaces>4037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