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53340</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85090</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7"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Fiscal Year Ended June 30, 2018</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40"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540" w:type="dxa"/>
        <w:tblCellMar>
          <w:top w:w="0" w:type="dxa"/>
          <w:left w:w="0" w:type="dxa"/>
          <w:bottom w:w="0" w:type="dxa"/>
          <w:right w:w="0" w:type="dxa"/>
        </w:tblCellMar>
      </w:tblPr>
      <w:tr>
        <w:trPr>
          <w:trHeight w:val="215"/>
        </w:trPr>
        <w:tc>
          <w:tcPr>
            <w:tcW w:w="314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538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r>
      <w:tr>
        <w:trPr>
          <w:trHeight w:val="243"/>
        </w:trPr>
        <w:tc>
          <w:tcPr>
            <w:tcW w:w="3140" w:type="dxa"/>
            <w:vAlign w:val="bottom"/>
          </w:tcPr>
          <w:p>
            <w:pPr>
              <w:spacing w:after="0"/>
              <w:rPr>
                <w:sz w:val="21"/>
                <w:szCs w:val="21"/>
                <w:color w:val="auto"/>
              </w:rPr>
            </w:pPr>
          </w:p>
        </w:tc>
        <w:tc>
          <w:tcPr>
            <w:tcW w:w="5380" w:type="dxa"/>
            <w:vAlign w:val="bottom"/>
            <w:gridSpan w:val="3"/>
          </w:tcPr>
          <w:p>
            <w:pPr>
              <w:jc w:val="center"/>
              <w:ind w:right="1262"/>
              <w:spacing w:after="0"/>
              <w:rPr>
                <w:sz w:val="20"/>
                <w:szCs w:val="20"/>
                <w:color w:val="auto"/>
              </w:rPr>
            </w:pPr>
            <w:r>
              <w:rPr>
                <w:rFonts w:ascii="Arial" w:cs="Arial" w:eastAsia="Arial" w:hAnsi="Arial"/>
                <w:sz w:val="16"/>
                <w:szCs w:val="16"/>
                <w:b w:val="1"/>
                <w:bCs w:val="1"/>
                <w:color w:val="auto"/>
              </w:rPr>
              <w:t>Commission File Number 001-37845</w:t>
            </w:r>
          </w:p>
        </w:tc>
      </w:tr>
      <w:tr>
        <w:trPr>
          <w:trHeight w:val="74"/>
        </w:trPr>
        <w:tc>
          <w:tcPr>
            <w:tcW w:w="3880" w:type="dxa"/>
            <w:vAlign w:val="bottom"/>
            <w:gridSpan w:val="2"/>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2040" w:type="dxa"/>
            <w:vAlign w:val="bottom"/>
          </w:tcPr>
          <w:p>
            <w:pPr>
              <w:spacing w:after="0"/>
              <w:rPr>
                <w:sz w:val="6"/>
                <w:szCs w:val="6"/>
                <w:color w:val="auto"/>
              </w:rPr>
            </w:pPr>
          </w:p>
        </w:tc>
      </w:tr>
      <w:tr>
        <w:trPr>
          <w:trHeight w:val="550"/>
        </w:trPr>
        <w:tc>
          <w:tcPr>
            <w:tcW w:w="8520" w:type="dxa"/>
            <w:vAlign w:val="bottom"/>
            <w:gridSpan w:val="4"/>
          </w:tcPr>
          <w:p>
            <w:pPr>
              <w:jc w:val="center"/>
              <w:ind w:left="1733"/>
              <w:spacing w:after="0"/>
              <w:rPr>
                <w:sz w:val="20"/>
                <w:szCs w:val="20"/>
                <w:color w:val="auto"/>
              </w:rPr>
            </w:pPr>
            <w:r>
              <w:rPr>
                <w:rFonts w:ascii="Arial" w:cs="Arial" w:eastAsia="Arial" w:hAnsi="Arial"/>
                <w:sz w:val="41"/>
                <w:szCs w:val="41"/>
                <w:b w:val="1"/>
                <w:bCs w:val="1"/>
                <w:color w:val="auto"/>
              </w:rPr>
              <w:t>MICROSOFT CORPORATION</w:t>
            </w:r>
          </w:p>
        </w:tc>
      </w:tr>
      <w:tr>
        <w:trPr>
          <w:trHeight w:val="65"/>
        </w:trPr>
        <w:tc>
          <w:tcPr>
            <w:tcW w:w="3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r>
      <w:tr>
        <w:trPr>
          <w:trHeight w:val="252"/>
        </w:trPr>
        <w:tc>
          <w:tcPr>
            <w:tcW w:w="3140" w:type="dxa"/>
            <w:vAlign w:val="bottom"/>
          </w:tcPr>
          <w:p>
            <w:pPr>
              <w:jc w:val="center"/>
              <w:ind w:left="1293"/>
              <w:spacing w:after="0"/>
              <w:rPr>
                <w:sz w:val="20"/>
                <w:szCs w:val="20"/>
                <w:color w:val="auto"/>
              </w:rPr>
            </w:pPr>
            <w:r>
              <w:rPr>
                <w:rFonts w:ascii="Arial" w:cs="Arial" w:eastAsia="Arial" w:hAnsi="Arial"/>
                <w:sz w:val="16"/>
                <w:szCs w:val="16"/>
                <w:b w:val="1"/>
                <w:bCs w:val="1"/>
                <w:color w:val="auto"/>
                <w:w w:val="98"/>
              </w:rPr>
              <w:t>WASHINGTON</w:t>
            </w:r>
          </w:p>
        </w:tc>
        <w:tc>
          <w:tcPr>
            <w:tcW w:w="5380" w:type="dxa"/>
            <w:vAlign w:val="bottom"/>
            <w:gridSpan w:val="3"/>
          </w:tcPr>
          <w:p>
            <w:pPr>
              <w:jc w:val="right"/>
              <w:spacing w:after="0"/>
              <w:rPr>
                <w:sz w:val="20"/>
                <w:szCs w:val="20"/>
                <w:color w:val="auto"/>
              </w:rPr>
            </w:pPr>
            <w:r>
              <w:rPr>
                <w:rFonts w:ascii="Arial" w:cs="Arial" w:eastAsia="Arial" w:hAnsi="Arial"/>
                <w:sz w:val="16"/>
                <w:szCs w:val="16"/>
                <w:b w:val="1"/>
                <w:bCs w:val="1"/>
                <w:color w:val="auto"/>
              </w:rPr>
              <w:t>91-1144442</w:t>
            </w:r>
          </w:p>
        </w:tc>
      </w:tr>
      <w:tr>
        <w:trPr>
          <w:trHeight w:val="154"/>
        </w:trPr>
        <w:tc>
          <w:tcPr>
            <w:tcW w:w="3140" w:type="dxa"/>
            <w:vAlign w:val="bottom"/>
          </w:tcPr>
          <w:p>
            <w:pPr>
              <w:jc w:val="center"/>
              <w:ind w:left="1293"/>
              <w:spacing w:after="0"/>
              <w:rPr>
                <w:sz w:val="20"/>
                <w:szCs w:val="20"/>
                <w:color w:val="auto"/>
              </w:rPr>
            </w:pPr>
            <w:r>
              <w:rPr>
                <w:rFonts w:ascii="Arial" w:cs="Arial" w:eastAsia="Arial" w:hAnsi="Arial"/>
                <w:sz w:val="12"/>
                <w:szCs w:val="12"/>
                <w:b w:val="1"/>
                <w:bCs w:val="1"/>
                <w:color w:val="auto"/>
                <w:w w:val="96"/>
              </w:rPr>
              <w:t>(STATE OF INCORPORATION)</w:t>
            </w:r>
          </w:p>
        </w:tc>
        <w:tc>
          <w:tcPr>
            <w:tcW w:w="7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40" w:type="dxa"/>
            <w:vAlign w:val="bottom"/>
          </w:tcPr>
          <w:p>
            <w:pPr>
              <w:jc w:val="center"/>
              <w:ind w:left="1102"/>
              <w:spacing w:after="0"/>
              <w:rPr>
                <w:sz w:val="20"/>
                <w:szCs w:val="20"/>
                <w:color w:val="auto"/>
              </w:rPr>
            </w:pPr>
            <w:r>
              <w:rPr>
                <w:rFonts w:ascii="Arial" w:cs="Arial" w:eastAsia="Arial" w:hAnsi="Arial"/>
                <w:sz w:val="12"/>
                <w:szCs w:val="12"/>
                <w:b w:val="1"/>
                <w:bCs w:val="1"/>
                <w:color w:val="auto"/>
                <w:w w:val="97"/>
              </w:rPr>
              <w:t>(I.R.S. ID)</w:t>
            </w: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MICROSOFT WAY, REDMOND, WASHINGTON 98052-6399</w:t>
      </w:r>
    </w:p>
    <w:p>
      <w:pPr>
        <w:spacing w:after="0" w:line="59" w:lineRule="exact"/>
        <w:rPr>
          <w:sz w:val="24"/>
          <w:szCs w:val="24"/>
          <w:color w:val="auto"/>
        </w:rPr>
      </w:pPr>
    </w:p>
    <w:p>
      <w:pPr>
        <w:ind w:left="5580" w:hanging="420"/>
        <w:spacing w:after="0"/>
        <w:tabs>
          <w:tab w:leader="none" w:pos="55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882-8080</w:t>
      </w:r>
    </w:p>
    <w:p>
      <w:pPr>
        <w:spacing w:after="0" w:line="59" w:lineRule="exact"/>
        <w:rPr>
          <w:rFonts w:ascii="Arial" w:cs="Arial" w:eastAsia="Arial" w:hAnsi="Arial"/>
          <w:sz w:val="16"/>
          <w:szCs w:val="16"/>
          <w:b w:val="1"/>
          <w:bCs w:val="1"/>
          <w:color w:val="auto"/>
        </w:rPr>
      </w:pPr>
    </w:p>
    <w:p>
      <w:pPr>
        <w:ind w:left="46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www.microsoft.com/investor</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9" w:lineRule="exact"/>
        <w:rPr>
          <w:sz w:val="24"/>
          <w:szCs w:val="24"/>
          <w:color w:val="auto"/>
        </w:rPr>
      </w:pPr>
    </w:p>
    <w:p>
      <w:pPr>
        <w:ind w:left="2460"/>
        <w:spacing w:after="0"/>
        <w:tabs>
          <w:tab w:leader="none" w:pos="8260" w:val="left"/>
        </w:tabs>
        <w:rPr>
          <w:sz w:val="20"/>
          <w:szCs w:val="20"/>
          <w:color w:val="auto"/>
        </w:rPr>
      </w:pPr>
      <w:r>
        <w:rPr>
          <w:rFonts w:ascii="Arial" w:cs="Arial" w:eastAsia="Arial" w:hAnsi="Arial"/>
          <w:sz w:val="16"/>
          <w:szCs w:val="16"/>
          <w:b w:val="1"/>
          <w:bCs w:val="1"/>
          <w:color w:val="auto"/>
        </w:rPr>
        <w:t>COMMON STOCK, $0.00000625 par value per share</w:t>
      </w:r>
      <w:r>
        <w:rPr>
          <w:sz w:val="20"/>
          <w:szCs w:val="20"/>
          <w:color w:val="auto"/>
        </w:rPr>
        <w:tab/>
      </w:r>
      <w:r>
        <w:rPr>
          <w:rFonts w:ascii="Arial" w:cs="Arial" w:eastAsia="Arial" w:hAnsi="Arial"/>
          <w:sz w:val="16"/>
          <w:szCs w:val="16"/>
          <w:b w:val="1"/>
          <w:bCs w:val="1"/>
          <w:color w:val="auto"/>
        </w:rPr>
        <w:t>NASDAQ</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39" w:lineRule="exact"/>
        <w:rPr>
          <w:sz w:val="24"/>
          <w:szCs w:val="24"/>
          <w:color w:val="auto"/>
        </w:rPr>
      </w:pPr>
    </w:p>
    <w:p>
      <w:pPr>
        <w:ind w:left="5480"/>
        <w:spacing w:after="0"/>
        <w:rPr>
          <w:sz w:val="20"/>
          <w:szCs w:val="20"/>
          <w:color w:val="auto"/>
        </w:rPr>
      </w:pPr>
      <w:r>
        <w:rPr>
          <w:rFonts w:ascii="Arial" w:cs="Arial" w:eastAsia="Arial" w:hAnsi="Arial"/>
          <w:sz w:val="16"/>
          <w:szCs w:val="16"/>
          <w:b w:val="1"/>
          <w:bCs w:val="1"/>
          <w:color w:val="auto"/>
        </w:rPr>
        <w:t>NONE</w:t>
      </w:r>
    </w:p>
    <w:p>
      <w:pPr>
        <w:spacing w:after="0" w:line="37" w:lineRule="exact"/>
        <w:rPr>
          <w:sz w:val="24"/>
          <w:szCs w:val="24"/>
          <w:color w:val="auto"/>
        </w:rPr>
      </w:pPr>
    </w:p>
    <w:p>
      <w:pPr>
        <w:spacing w:after="0" w:line="184"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tabs>
          <w:tab w:leader="none" w:pos="9400" w:val="left"/>
          <w:tab w:leader="none" w:pos="1008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73" w:right="239" w:bottom="1440" w:gutter="0" w:footer="0" w:header="0"/>
        </w:sectPr>
      </w:pPr>
    </w:p>
    <w:p>
      <w:pPr>
        <w:spacing w:after="0" w:line="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2">
            <w:col w:w="6720" w:space="720"/>
            <w:col w:w="3980"/>
          </w:cols>
          <w:pgMar w:left="240" w:top="473"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ectPr>
          <w:pgSz w:w="11900" w:h="16838" w:orient="portrait"/>
          <w:cols w:equalWidth="0" w:num="2">
            <w:col w:w="6720" w:space="720"/>
            <w:col w:w="3980"/>
          </w:cols>
          <w:pgMar w:left="240" w:top="473"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73" w:right="239" w:bottom="1440" w:gutter="0" w:footer="0" w:header="0"/>
          <w:type w:val="continuous"/>
        </w:sectPr>
      </w:pPr>
    </w:p>
    <w:p>
      <w:pPr>
        <w:spacing w:after="0" w:line="63"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8060" w:val="left"/>
          <w:tab w:leader="none" w:pos="8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 xml:space="preserve">As of December 31, 2017, the aggregate market value of the registrant’s common stock held by non-affiliates of the registrant was $650.1 billion based on the closing sale price as reported on the NASDAQ National Market System. As of July 31, 2018, there were </w:t>
      </w:r>
      <w:r>
        <w:rPr>
          <w:rFonts w:ascii="Arial" w:cs="Arial" w:eastAsia="Arial" w:hAnsi="Arial"/>
          <w:sz w:val="15"/>
          <w:szCs w:val="15"/>
          <w:color w:val="auto"/>
        </w:rPr>
        <w:t>7,668,217,316</w:t>
      </w:r>
      <w:r>
        <w:rPr>
          <w:rFonts w:ascii="Arial" w:cs="Arial" w:eastAsia="Arial" w:hAnsi="Arial"/>
          <w:sz w:val="16"/>
          <w:szCs w:val="16"/>
          <w:color w:val="auto"/>
        </w:rPr>
        <w:t xml:space="preserve"> shares of common stock outstanding.</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9"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Portions of the definitive Proxy Statement to be delivered to shareholders in connection with the Annual Meeting of Shareholders to be held on November 28, 2018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307340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June 30, 2018</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820" w:type="dxa"/>
            <w:vAlign w:val="bottom"/>
            <w:gridSpan w:val="8"/>
            <w:vMerge w:val="restart"/>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Executive Officers of the Registrant</w:t>
              </w:r>
            </w:hyperlink>
          </w:p>
        </w:tc>
        <w:tc>
          <w:tcPr>
            <w:tcW w:w="59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160" w:type="dxa"/>
            <w:vAlign w:val="bottom"/>
          </w:tcPr>
          <w:p>
            <w:pPr>
              <w:spacing w:after="0"/>
              <w:rPr>
                <w:sz w:val="24"/>
                <w:szCs w:val="24"/>
                <w:color w:val="auto"/>
              </w:rPr>
            </w:pPr>
          </w:p>
        </w:tc>
        <w:tc>
          <w:tcPr>
            <w:tcW w:w="2820" w:type="dxa"/>
            <w:vAlign w:val="bottom"/>
            <w:tcBorders>
              <w:bottom w:val="single" w:sz="8" w:color="0000EE"/>
            </w:tcBorders>
            <w:gridSpan w:val="8"/>
            <w:vMerge w:val="continue"/>
          </w:tcPr>
          <w:p>
            <w:pPr>
              <w:spacing w:after="0"/>
              <w:rPr>
                <w:sz w:val="24"/>
                <w:szCs w:val="24"/>
                <w:color w:val="auto"/>
              </w:rPr>
            </w:pPr>
          </w:p>
        </w:tc>
        <w:tc>
          <w:tcPr>
            <w:tcW w:w="5960" w:type="dxa"/>
            <w:vAlign w:val="bottom"/>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1"/>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1A.</w:t>
            </w:r>
          </w:p>
        </w:tc>
        <w:tc>
          <w:tcPr>
            <w:tcW w:w="1000" w:type="dxa"/>
            <w:vAlign w:val="bottom"/>
            <w:gridSpan w:val="4"/>
            <w:vMerge w:val="restart"/>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Risk Factors</w:t>
              </w:r>
            </w:hyperlink>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9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160" w:type="dxa"/>
            <w:vAlign w:val="bottom"/>
            <w:vMerge w:val="continue"/>
          </w:tcPr>
          <w:p>
            <w:pPr>
              <w:spacing w:after="0"/>
              <w:rPr>
                <w:sz w:val="24"/>
                <w:szCs w:val="24"/>
                <w:color w:val="auto"/>
              </w:rPr>
            </w:pPr>
          </w:p>
        </w:tc>
        <w:tc>
          <w:tcPr>
            <w:tcW w:w="1000" w:type="dxa"/>
            <w:vAlign w:val="bottom"/>
            <w:tcBorders>
              <w:bottom w:val="single" w:sz="8" w:color="0000EE"/>
            </w:tcBorders>
            <w:gridSpan w:val="4"/>
            <w:vMerge w:val="continue"/>
          </w:tcPr>
          <w:p>
            <w:pPr>
              <w:spacing w:after="0"/>
              <w:rPr>
                <w:sz w:val="24"/>
                <w:szCs w:val="24"/>
                <w:color w:val="auto"/>
              </w:rPr>
            </w:pPr>
          </w:p>
        </w:tc>
        <w:tc>
          <w:tcPr>
            <w:tcW w:w="500" w:type="dxa"/>
            <w:vAlign w:val="bottom"/>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520" w:type="dxa"/>
            <w:vAlign w:val="bottom"/>
            <w:gridSpan w:val="2"/>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65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Unresolved Staff Comments</w:t>
              </w:r>
            </w:hyperlink>
          </w:p>
        </w:tc>
        <w:tc>
          <w:tcPr>
            <w:tcW w:w="6520" w:type="dxa"/>
            <w:vAlign w:val="bottom"/>
            <w:gridSpan w:val="2"/>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68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5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Properties</w:t>
              </w:r>
            </w:hyperlink>
          </w:p>
        </w:tc>
        <w:tc>
          <w:tcPr>
            <w:tcW w:w="680" w:type="dxa"/>
            <w:vAlign w:val="bottom"/>
            <w:gridSpan w:val="2"/>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6840" w:type="dxa"/>
            <w:vAlign w:val="bottom"/>
            <w:gridSpan w:val="3"/>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840" w:type="dxa"/>
            <w:vAlign w:val="bottom"/>
            <w:gridSpan w:val="3"/>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Legal Proceedings</w:t>
              </w:r>
            </w:hyperlink>
          </w:p>
        </w:tc>
        <w:tc>
          <w:tcPr>
            <w:tcW w:w="440" w:type="dxa"/>
            <w:vAlign w:val="bottom"/>
            <w:vMerge w:val="restart"/>
          </w:tcPr>
          <w:p>
            <w:pPr>
              <w:spacing w:after="0"/>
              <w:rPr>
                <w:sz w:val="24"/>
                <w:szCs w:val="24"/>
                <w:color w:val="auto"/>
              </w:rPr>
            </w:pPr>
          </w:p>
        </w:tc>
        <w:tc>
          <w:tcPr>
            <w:tcW w:w="6840" w:type="dxa"/>
            <w:vAlign w:val="bottom"/>
            <w:gridSpan w:val="3"/>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4"/>
          </w:tcPr>
          <w:p>
            <w:pPr>
              <w:spacing w:after="0"/>
              <w:rPr>
                <w:sz w:val="5"/>
                <w:szCs w:val="5"/>
                <w:color w:val="auto"/>
              </w:rPr>
            </w:pPr>
          </w:p>
        </w:tc>
        <w:tc>
          <w:tcPr>
            <w:tcW w:w="440" w:type="dxa"/>
            <w:vAlign w:val="bottom"/>
            <w:vMerge w:val="continue"/>
          </w:tcPr>
          <w:p>
            <w:pPr>
              <w:spacing w:after="0"/>
              <w:rPr>
                <w:sz w:val="5"/>
                <w:szCs w:val="5"/>
                <w:color w:val="auto"/>
              </w:rPr>
            </w:pPr>
          </w:p>
        </w:tc>
        <w:tc>
          <w:tcPr>
            <w:tcW w:w="6840" w:type="dxa"/>
            <w:vAlign w:val="bottom"/>
            <w:gridSpan w:val="3"/>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4.</w:t>
            </w:r>
          </w:p>
        </w:tc>
        <w:tc>
          <w:tcPr>
            <w:tcW w:w="20" w:type="dxa"/>
            <w:vAlign w:val="bottom"/>
            <w:vMerge w:val="restart"/>
          </w:tcPr>
          <w:p>
            <w:pPr>
              <w:spacing w:after="0"/>
              <w:rPr>
                <w:sz w:val="24"/>
                <w:szCs w:val="24"/>
                <w:color w:val="auto"/>
              </w:rPr>
            </w:pPr>
          </w:p>
        </w:tc>
        <w:tc>
          <w:tcPr>
            <w:tcW w:w="19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Mine Safety Disclosures</w:t>
              </w:r>
            </w:hyperlink>
          </w:p>
        </w:tc>
        <w:tc>
          <w:tcPr>
            <w:tcW w:w="6840" w:type="dxa"/>
            <w:vAlign w:val="bottom"/>
            <w:gridSpan w:val="3"/>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920" w:type="dxa"/>
            <w:vAlign w:val="bottom"/>
            <w:gridSpan w:val="5"/>
          </w:tcPr>
          <w:p>
            <w:pPr>
              <w:spacing w:after="0"/>
              <w:rPr>
                <w:sz w:val="5"/>
                <w:szCs w:val="5"/>
                <w:color w:val="auto"/>
              </w:rPr>
            </w:pPr>
          </w:p>
        </w:tc>
        <w:tc>
          <w:tcPr>
            <w:tcW w:w="6840" w:type="dxa"/>
            <w:vAlign w:val="bottom"/>
            <w:gridSpan w:val="3"/>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440"/>
          </w:cols>
          <w:pgMar w:left="240" w:top="346" w:right="219" w:bottom="1440" w:gutter="0" w:footer="0" w:header="0"/>
        </w:sectPr>
      </w:pPr>
    </w:p>
    <w:p>
      <w:pPr>
        <w:ind w:left="2160" w:hanging="1255"/>
        <w:spacing w:after="0" w:line="246" w:lineRule="auto"/>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30">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Securities</w:t>
        </w:r>
      </w:hyperlink>
    </w:p>
    <w:p>
      <w:pPr>
        <w:spacing w:after="0" w:line="102"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6.</w:t>
      </w:r>
      <w:r>
        <w:rPr>
          <w:sz w:val="20"/>
          <w:szCs w:val="20"/>
          <w:color w:val="auto"/>
        </w:rPr>
        <w:tab/>
      </w:r>
      <w:hyperlink w:anchor="page31">
        <w:r>
          <w:rPr>
            <w:rFonts w:ascii="Arial" w:cs="Arial" w:eastAsia="Arial" w:hAnsi="Arial"/>
            <w:sz w:val="18"/>
            <w:szCs w:val="18"/>
            <w:u w:val="single" w:color="auto"/>
            <w:color w:val="0000EE"/>
          </w:rPr>
          <w:t>Selected Financial Data</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32">
        <w:r>
          <w:rPr>
            <w:rFonts w:ascii="Arial" w:cs="Arial" w:eastAsia="Arial" w:hAnsi="Arial"/>
            <w:sz w:val="17"/>
            <w:szCs w:val="17"/>
            <w:u w:val="single" w:color="auto"/>
            <w:color w:val="0000EE"/>
          </w:rPr>
          <w:t>Management’s Discussion and Analysis of Financial Condition and Results of Operations</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7A.</w:t>
      </w:r>
      <w:r>
        <w:rPr>
          <w:sz w:val="20"/>
          <w:szCs w:val="20"/>
          <w:color w:val="auto"/>
        </w:rPr>
        <w:tab/>
      </w:r>
      <w:hyperlink w:anchor="page50">
        <w:r>
          <w:rPr>
            <w:rFonts w:ascii="Arial" w:cs="Arial" w:eastAsia="Arial" w:hAnsi="Arial"/>
            <w:sz w:val="18"/>
            <w:szCs w:val="18"/>
            <w:u w:val="single" w:color="auto"/>
            <w:color w:val="0000EE"/>
          </w:rPr>
          <w:t>Quantitative and Qualitative Disclosures about Market Risk</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8.</w:t>
      </w:r>
      <w:r>
        <w:rPr>
          <w:sz w:val="20"/>
          <w:szCs w:val="20"/>
          <w:color w:val="auto"/>
        </w:rPr>
        <w:tab/>
      </w:r>
      <w:hyperlink w:anchor="page51">
        <w:r>
          <w:rPr>
            <w:rFonts w:ascii="Arial" w:cs="Arial" w:eastAsia="Arial" w:hAnsi="Arial"/>
            <w:sz w:val="18"/>
            <w:szCs w:val="18"/>
            <w:u w:val="single" w:color="auto"/>
            <w:color w:val="0000EE"/>
          </w:rPr>
          <w:t>Financial Statements and Supplementary Data</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98">
        <w:r>
          <w:rPr>
            <w:rFonts w:ascii="Arial" w:cs="Arial" w:eastAsia="Arial" w:hAnsi="Arial"/>
            <w:sz w:val="18"/>
            <w:szCs w:val="18"/>
            <w:u w:val="single" w:color="auto"/>
            <w:color w:val="0000EE"/>
          </w:rPr>
          <w:t>Changes in and Disagreements with Accountants on Accounting and Financial Disclosure</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9A.</w:t>
      </w:r>
      <w:r>
        <w:rPr>
          <w:sz w:val="20"/>
          <w:szCs w:val="20"/>
          <w:color w:val="auto"/>
        </w:rPr>
        <w:tab/>
      </w:r>
      <w:hyperlink w:anchor="page98">
        <w:r>
          <w:rPr>
            <w:rFonts w:ascii="Arial" w:cs="Arial" w:eastAsia="Arial" w:hAnsi="Arial"/>
            <w:sz w:val="18"/>
            <w:szCs w:val="18"/>
            <w:u w:val="single" w:color="auto"/>
            <w:color w:val="0000EE"/>
          </w:rPr>
          <w:t>Controls and Procedures</w:t>
        </w:r>
      </w:hyperlink>
    </w:p>
    <w:p>
      <w:pPr>
        <w:spacing w:after="0" w:line="158" w:lineRule="exact"/>
        <w:rPr>
          <w:sz w:val="20"/>
          <w:szCs w:val="20"/>
          <w:color w:val="auto"/>
        </w:rPr>
      </w:pPr>
    </w:p>
    <w:p>
      <w:pPr>
        <w:ind w:left="216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Report of Management on Internal Control over Financial Reporting</w:t>
        </w:r>
      </w:hyperlink>
    </w:p>
    <w:p>
      <w:pPr>
        <w:spacing w:after="0" w:line="158" w:lineRule="exact"/>
        <w:rPr>
          <w:sz w:val="20"/>
          <w:szCs w:val="20"/>
          <w:color w:val="auto"/>
        </w:rPr>
      </w:pPr>
    </w:p>
    <w:p>
      <w:pPr>
        <w:ind w:left="216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Report of Independent Registered Public Accounting Firm</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100">
        <w:r>
          <w:rPr>
            <w:rFonts w:ascii="Arial" w:cs="Arial" w:eastAsia="Arial" w:hAnsi="Arial"/>
            <w:sz w:val="17"/>
            <w:szCs w:val="17"/>
            <w:u w:val="single" w:color="auto"/>
            <w:color w:val="0000EE"/>
          </w:rPr>
          <w:t>Other Information</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30</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31</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32</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50</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98</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98</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98</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99</w:t>
      </w:r>
    </w:p>
    <w:p>
      <w:pPr>
        <w:spacing w:after="0" w:line="158"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100</w:t>
      </w:r>
    </w:p>
    <w:p>
      <w:pPr>
        <w:spacing w:after="0" w:line="442" w:lineRule="exact"/>
        <w:rPr>
          <w:sz w:val="20"/>
          <w:szCs w:val="20"/>
          <w:color w:val="auto"/>
        </w:rPr>
      </w:pPr>
    </w:p>
    <w:p>
      <w:pPr>
        <w:sectPr>
          <w:pgSz w:w="11900" w:h="16838" w:orient="portrait"/>
          <w:cols w:equalWidth="0" w:num="2">
            <w:col w:w="10860" w:space="200"/>
            <w:col w:w="380"/>
          </w:cols>
          <w:pgMar w:left="240" w:top="346" w:right="2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Directors, Executive Officers and Corporate Governance</w:t>
              </w:r>
            </w:hyperlink>
          </w:p>
        </w:tc>
        <w:tc>
          <w:tcPr>
            <w:tcW w:w="1580" w:type="dxa"/>
            <w:vAlign w:val="bottom"/>
            <w:vMerge w:val="restart"/>
          </w:tcPr>
          <w:p>
            <w:pPr>
              <w:spacing w:after="0"/>
              <w:rPr>
                <w:sz w:val="19"/>
                <w:szCs w:val="19"/>
                <w:color w:val="auto"/>
              </w:rPr>
            </w:pPr>
          </w:p>
        </w:tc>
        <w:tc>
          <w:tcPr>
            <w:tcW w:w="1940" w:type="dxa"/>
            <w:vAlign w:val="bottom"/>
            <w:vMerge w:val="restart"/>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Executive Compensation</w:t>
              </w:r>
            </w:hyperlink>
          </w:p>
        </w:tc>
        <w:tc>
          <w:tcPr>
            <w:tcW w:w="11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860" w:type="dxa"/>
            <w:vAlign w:val="bottom"/>
            <w:gridSpan w:val="2"/>
            <w:vMerge w:val="restart"/>
          </w:tcPr>
          <w:p>
            <w:pPr>
              <w:spacing w:after="0"/>
              <w:rPr>
                <w:sz w:val="24"/>
                <w:szCs w:val="24"/>
                <w:color w:val="auto"/>
              </w:rPr>
            </w:pPr>
          </w:p>
        </w:tc>
        <w:tc>
          <w:tcPr>
            <w:tcW w:w="1940" w:type="dxa"/>
            <w:vAlign w:val="bottom"/>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86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Security Ownership of Certain Beneficial Owners and Management and Related Stockholder Matters</w:t>
              </w:r>
            </w:hyperlink>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Certain Relationships and Related Transactions, and Director Independence</w:t>
              </w:r>
            </w:hyperlink>
          </w:p>
        </w:tc>
        <w:tc>
          <w:tcPr>
            <w:tcW w:w="1940" w:type="dxa"/>
            <w:vAlign w:val="bottom"/>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2"/>
          </w:tcPr>
          <w:p>
            <w:pPr>
              <w:spacing w:after="0"/>
              <w:rPr>
                <w:sz w:val="5"/>
                <w:szCs w:val="5"/>
                <w:color w:val="auto"/>
              </w:rPr>
            </w:pPr>
          </w:p>
        </w:tc>
        <w:tc>
          <w:tcPr>
            <w:tcW w:w="1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14.</w:t>
            </w:r>
          </w:p>
        </w:tc>
        <w:tc>
          <w:tcPr>
            <w:tcW w:w="20" w:type="dxa"/>
            <w:vAlign w:val="bottom"/>
            <w:vMerge w:val="restart"/>
          </w:tcPr>
          <w:p>
            <w:pPr>
              <w:spacing w:after="0"/>
              <w:rPr>
                <w:sz w:val="24"/>
                <w:szCs w:val="24"/>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00">
              <w:r>
                <w:rPr>
                  <w:rFonts w:ascii="Arial" w:cs="Arial" w:eastAsia="Arial" w:hAnsi="Arial"/>
                  <w:sz w:val="18"/>
                  <w:szCs w:val="18"/>
                  <w:color w:val="0000EE"/>
                  <w:w w:val="98"/>
                </w:rPr>
                <w:t>Principal Accounting Fees and Services</w:t>
              </w:r>
            </w:hyperlink>
          </w:p>
        </w:tc>
        <w:tc>
          <w:tcPr>
            <w:tcW w:w="40" w:type="dxa"/>
            <w:vAlign w:val="bottom"/>
            <w:vMerge w:val="restart"/>
          </w:tcPr>
          <w:p>
            <w:pPr>
              <w:spacing w:after="0"/>
              <w:rPr>
                <w:sz w:val="24"/>
                <w:szCs w:val="24"/>
                <w:color w:val="auto"/>
              </w:rPr>
            </w:pPr>
          </w:p>
        </w:tc>
        <w:tc>
          <w:tcPr>
            <w:tcW w:w="4800" w:type="dxa"/>
            <w:vAlign w:val="bottom"/>
            <w:gridSpan w:val="3"/>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vMerge w:val="continue"/>
          </w:tcPr>
          <w:p>
            <w:pPr>
              <w:spacing w:after="0"/>
              <w:rPr>
                <w:sz w:val="5"/>
                <w:szCs w:val="5"/>
                <w:color w:val="auto"/>
              </w:rPr>
            </w:pPr>
          </w:p>
        </w:tc>
        <w:tc>
          <w:tcPr>
            <w:tcW w:w="48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Exhibits, Financial Statement Schedules</w:t>
              </w:r>
            </w:hyperlink>
          </w:p>
        </w:tc>
        <w:tc>
          <w:tcPr>
            <w:tcW w:w="4800" w:type="dxa"/>
            <w:vAlign w:val="bottom"/>
            <w:gridSpan w:val="3"/>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860" w:type="dxa"/>
            <w:vAlign w:val="bottom"/>
            <w:gridSpan w:val="2"/>
          </w:tcPr>
          <w:p>
            <w:pPr>
              <w:spacing w:after="0"/>
              <w:rPr>
                <w:sz w:val="5"/>
                <w:szCs w:val="5"/>
                <w:color w:val="auto"/>
              </w:rPr>
            </w:pPr>
          </w:p>
        </w:tc>
        <w:tc>
          <w:tcPr>
            <w:tcW w:w="820" w:type="dxa"/>
            <w:vAlign w:val="bottom"/>
          </w:tcPr>
          <w:p>
            <w:pPr>
              <w:spacing w:after="0"/>
              <w:rPr>
                <w:sz w:val="5"/>
                <w:szCs w:val="5"/>
                <w:color w:val="auto"/>
              </w:rPr>
            </w:pPr>
          </w:p>
        </w:tc>
        <w:tc>
          <w:tcPr>
            <w:tcW w:w="1540" w:type="dxa"/>
            <w:vAlign w:val="bottom"/>
            <w:gridSpan w:val="3"/>
          </w:tcPr>
          <w:p>
            <w:pPr>
              <w:spacing w:after="0"/>
              <w:rPr>
                <w:sz w:val="5"/>
                <w:szCs w:val="5"/>
                <w:color w:val="auto"/>
              </w:rPr>
            </w:pPr>
          </w:p>
        </w:tc>
        <w:tc>
          <w:tcPr>
            <w:tcW w:w="48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05">
              <w:r>
                <w:rPr>
                  <w:rFonts w:ascii="Arial" w:cs="Arial" w:eastAsia="Arial" w:hAnsi="Arial"/>
                  <w:sz w:val="18"/>
                  <w:szCs w:val="18"/>
                  <w:color w:val="0000EE"/>
                  <w:w w:val="99"/>
                </w:rPr>
                <w:t>Form 10-K Summary</w:t>
              </w:r>
            </w:hyperlink>
          </w:p>
        </w:tc>
        <w:tc>
          <w:tcPr>
            <w:tcW w:w="6340" w:type="dxa"/>
            <w:vAlign w:val="bottom"/>
            <w:gridSpan w:val="6"/>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860" w:type="dxa"/>
            <w:vAlign w:val="bottom"/>
            <w:gridSpan w:val="2"/>
          </w:tcPr>
          <w:p>
            <w:pPr>
              <w:spacing w:after="0"/>
              <w:rPr>
                <w:sz w:val="5"/>
                <w:szCs w:val="5"/>
                <w:color w:val="auto"/>
              </w:rPr>
            </w:pPr>
          </w:p>
        </w:tc>
        <w:tc>
          <w:tcPr>
            <w:tcW w:w="820" w:type="dxa"/>
            <w:vAlign w:val="bottom"/>
          </w:tcPr>
          <w:p>
            <w:pPr>
              <w:spacing w:after="0"/>
              <w:rPr>
                <w:sz w:val="5"/>
                <w:szCs w:val="5"/>
                <w:color w:val="auto"/>
              </w:rPr>
            </w:pPr>
          </w:p>
        </w:tc>
        <w:tc>
          <w:tcPr>
            <w:tcW w:w="6340" w:type="dxa"/>
            <w:vAlign w:val="bottom"/>
            <w:gridSpan w:val="6"/>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840" w:type="dxa"/>
            <w:vAlign w:val="bottom"/>
            <w:tcBorders>
              <w:bottom w:val="single" w:sz="8" w:color="0000EE"/>
            </w:tcBorders>
          </w:tcPr>
          <w:p>
            <w:pPr>
              <w:spacing w:after="0"/>
              <w:rPr>
                <w:rFonts w:ascii="Arial" w:cs="Arial" w:eastAsia="Arial" w:hAnsi="Arial"/>
                <w:sz w:val="18"/>
                <w:szCs w:val="18"/>
                <w:color w:val="0000EE"/>
                <w:w w:val="95"/>
              </w:rPr>
            </w:pPr>
            <w:hyperlink w:anchor="page106">
              <w:r>
                <w:rPr>
                  <w:rFonts w:ascii="Arial" w:cs="Arial" w:eastAsia="Arial" w:hAnsi="Arial"/>
                  <w:sz w:val="18"/>
                  <w:szCs w:val="18"/>
                  <w:color w:val="0000EE"/>
                  <w:w w:val="95"/>
                </w:rPr>
                <w:t>Signatures</w:t>
              </w:r>
            </w:hyperlink>
          </w:p>
        </w:tc>
        <w:tc>
          <w:tcPr>
            <w:tcW w:w="7160" w:type="dxa"/>
            <w:vAlign w:val="bottom"/>
            <w:gridSpan w:val="7"/>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61"/>
        </w:trPr>
        <w:tc>
          <w:tcPr>
            <w:tcW w:w="21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160" w:type="dxa"/>
            <w:vAlign w:val="bottom"/>
            <w:gridSpan w:val="7"/>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9"/>
        </w:trPr>
        <w:tc>
          <w:tcPr>
            <w:tcW w:w="2160" w:type="dxa"/>
            <w:vAlign w:val="bottom"/>
          </w:tcPr>
          <w:p>
            <w:pPr>
              <w:spacing w:after="0"/>
              <w:rPr>
                <w:sz w:val="24"/>
                <w:szCs w:val="24"/>
                <w:color w:val="auto"/>
              </w:rPr>
            </w:pPr>
          </w:p>
        </w:tc>
        <w:tc>
          <w:tcPr>
            <w:tcW w:w="4500" w:type="dxa"/>
            <w:vAlign w:val="bottom"/>
            <w:gridSpan w:val="7"/>
          </w:tcPr>
          <w:p>
            <w:pPr>
              <w:ind w:left="3520"/>
              <w:spacing w:after="0"/>
              <w:rPr>
                <w:sz w:val="20"/>
                <w:szCs w:val="20"/>
                <w:color w:val="auto"/>
              </w:rPr>
            </w:pPr>
            <w:r>
              <w:rPr>
                <w:rFonts w:ascii="Arial" w:cs="Arial" w:eastAsia="Arial" w:hAnsi="Arial"/>
                <w:sz w:val="14"/>
                <w:szCs w:val="14"/>
                <w:color w:val="auto"/>
              </w:rPr>
              <w:t>2</w:t>
            </w: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type w:val="continuous"/>
        </w:sectPr>
      </w:pPr>
    </w:p>
    <w:bookmarkStart w:id="2" w:name="page3"/>
    <w:bookmarkEnd w:id="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Embracing Our Future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continue to transform our business to lead in the new era of the intelligent cloud and intelligent edge. We bring technology and products together into experiences and solutions that unlock value for our customers. In this next phase of innovation, computing is more powerful and ubiquitous from the cloud to the edge. Artificial intelligence (“AI”) capabilities are rapidly advancing, fueled by data and knowledge of the world. Physical and virtual worlds are coming together to create richer experiences that understand the context surrounding people, the things they use, the places they go, and their activities and relationships. A person’s experience with technology spans a multitude of devices and has become increasingly more natural and multi-sensory with voice, ink, and gaze interactions.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Offer</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include operating systems; cross-device productivity applications; server applications; business solution applications; desktop and server management tools; software development tools; and video games. We also design, manufacture, and sell devices, including PCs, tablets, gaming and entertainment consoles, other intelligent devices, and related accessories.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Ambitions That Drive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vision, our research and development efforts focus on three interconnected ambitions:</w:t>
      </w:r>
    </w:p>
    <w:p>
      <w:pPr>
        <w:spacing w:after="0" w:line="77" w:lineRule="exact"/>
        <w:rPr>
          <w:sz w:val="20"/>
          <w:szCs w:val="20"/>
          <w:color w:val="auto"/>
        </w:rPr>
      </w:pPr>
    </w:p>
    <w:p>
      <w:pPr>
        <w:ind w:left="1060" w:hanging="3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Reinvent productivity and business processes.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the intelligent cloud platform.</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more personal computing.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Reinvent Productivity and Business Processes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in a unique position to empower people and organizations to succeed in a rapidly evolving workplace. Computing experiences are evolving, no longer bound to one device at a time. Instead, experiences are expanding to many devices as people move from home to work to on the go. These modern needs, habits, and expectations of our customers are motivating us to bring Microsoft Office 365, Windows platform, devices, including Microsoft Surface, and third-party applications into a more cohesive Microsoft 365 experience.</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growth depends on securely delivering continuous innovation and advancing our leading productivity and collaboration tools and services, including Office, Microsoft Dynamics, and LinkedIn. Microsoft 365 brings together Office 365, Windows 10, and Enterprise Mobility + Security to help organizations empower their employees with AI-backed tools that unlock creativity, increase teamwork, and fuel innovation, all the while enabling compliance coverage and data protection. Microsoft Teams is core to our vision for the modern workplace as the digital hub that creates a single canvas for teamwork, conversations, meetings, and content. Microsoft Relationship Sales solution brings together LinkedIn Sales Navigator and Dynamics to transform business to business sales through social selling. Dynamics 365 for Talent with LinkedIn Recruiter and Learning gives human resource professionals a complete solution to compete for talent.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scenarios represent a move to unlock creativity and inspire teamwork, while simplifying security and management. Organizations of all sizes can now digitize business-critical functions, redefining what customers can expect from their business applications. This creates an opportunity for us to reach new customers and increase usage and engagement with existing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the Intelligent Cloud Platform</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Companies are looking to use digital technology to fundamentally reimagine how they empower their employees, engage customers, optimize their operations, and change the very core of their products and services. Partnering with organizations on their digital transformation is one of our largest opportunities and we are uniquely positioned to become the strategic digital transformation platform and partner of choice.</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strategy requires continued investment in datacenters and other infrastructure to support our services. Microsoft Azure is a trusted cloud with comprehensive compliance coverage and AI-based security built in.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one of the two largest providers of cloud computing at scale, we believe we work from a position of strength. Being a global, hyper-scale cloud, Azure uniquely offers hybrid consistency, developer productivity, AI capabilities, and trusted security and compliance. Moreover, with Azure Stack, organizations can extend Azure into their own datacenters to create a consistent stack across the public cloud and the intelligent edge. Our hybrid infrastructure consistency spans identity, data, compute, management, and security, helping to support the real-world needs and evolving regulatory requirements of commercial customers and enterprises.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ability to convert data into AI drives our competitive advantage. Azure SQL Database makes it possible for customers to take Microsoft SQL Server from their on-premises datacenter to a fully managed instance in the cloud to utilize built-in AI. We are accelerating adoption of AI innovations from research to products. Our innovation helps every developer be an AI developer, with approachable new tools from Azure Machine Learning Studio for creating simple machine learning models, to the powerful Azure Machine Learning Workbench for the most advanced AI modeling and data science.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June 4, 2018, Microsoft announced plans to acquire GitHub, Inc., a service that millions of developers around the world rely on to write code together. The acquisition is expected to close by the end of the calendar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Create More Personal Computing</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strive to make computing more personal by putting users at the core of the experience, enabling them to interact with technology in more intuitive, engaging, and dynamic ways. Windows 10 is the cornerstone of our ambition, providing a foundation for the secure, modern workplace, and designed to foster innovation through rich and consistent experiences across the range of existing devices and entirely new device categories. Windows 10 empowers people with AI-first interfaces ranging from voice-activated commands through Cortana, inking, immersive 3D content storytelling, and mixed reality experiences. Cloud sharing and co-authoring experiences are now natively enabled with OneDrive files on demand. Windows 10 is more accessible for everyone with new features like Eye Control, which gives people the ability to operate a PC using just their eyes.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ambition for Windows 10 is to broaden our economic opportunity through three key levers: an original equipment manufacturer (“OEM”) ecosystem that creates exciting new hardware designs for Windows 10; our commitment to our first-party premium device portfolio; and monetization opportunities such as gaming, services, subscriptions, and search advertising.</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working to create a broad developer opportunity by unifying the Windows installed base on Windows 10 and enabling universal Windows applications to run across devices so developers and OEMs can contribute to a thriving Windows ecosystem. Additionally, we are committed to designing and marketing first-party devices, such as the Surface Laptop, Surface Book 2, and Surface Pro to help drive innovation, create new device categories, and stimulate demand in the Windows ecosystem.</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mobilizing to pursue our expansive opportunity in the gaming industry, broadening our approach to how we think about gaming end-to-end, from the way games are created and distributed to how they are played and viewed. We have a strong position with our Xbox One console, our large and growing highly engaged community of gamers on Xbox Live, and with Windows 10, the most popular operating system for PC gamers. And we will continue to connect our gaming assets across PC, console, and mobile, and work to grow and engage the Xbox Live member network more deeply and frequently with new services like Mixer and Xbox Game Pass. Our approach is to enable gamers to play the games they want, with the people they want, on the devices they want.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Opportunity</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Customers are looking to us to accelerate their own digital transformations and to unlock new opportunity in this era of intelligent cloud and intelligent edge. We continue to develop complete, intelligent solutions for our customers that empower users to be creative and work together while safeguarding businesses and simplifying IT management. Our goal is to lead the industry in several distinct areas of technology over the long-term, which we expect will translate to sustained growth. We are investing significant resources in:</w:t>
      </w:r>
    </w:p>
    <w:p>
      <w:pPr>
        <w:spacing w:after="0" w:line="53" w:lineRule="exact"/>
        <w:rPr>
          <w:sz w:val="20"/>
          <w:szCs w:val="20"/>
          <w:color w:val="auto"/>
        </w:rPr>
      </w:pPr>
    </w:p>
    <w:p>
      <w:pPr>
        <w:ind w:left="1060" w:right="20" w:hanging="390"/>
        <w:spacing w:after="0" w:line="24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Transforming the workplace to deliver new modern, modular business applications to improve how people communicate, collaborate, learn, work, play, and interact with one another.</w:t>
      </w:r>
    </w:p>
    <w:p>
      <w:pPr>
        <w:spacing w:after="0" w:line="48"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and running cloud-based services in ways that unleash new experiences and opportunities for businesses and individuals.</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AI to drive insights and act on our customer’s behalf by understanding and interpreting their needs using natural methods of communication.</w:t>
      </w:r>
    </w:p>
    <w:p>
      <w:pPr>
        <w:spacing w:after="0" w:line="48" w:lineRule="exact"/>
        <w:rPr>
          <w:rFonts w:ascii="Arial" w:cs="Arial" w:eastAsia="Arial" w:hAnsi="Arial"/>
          <w:sz w:val="18"/>
          <w:szCs w:val="18"/>
          <w:color w:val="auto"/>
        </w:rPr>
      </w:pPr>
    </w:p>
    <w:p>
      <w:pPr>
        <w:jc w:val="both"/>
        <w:ind w:left="1060" w:hanging="3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Windows to develop new categories of devices – both our own and third-party – as a person’s experience with technology becomes more natural, personal, and predictive with multi-sensory breakthroughs in voice, ink, gaze interactions, and augmented reality holograms.</w:t>
      </w:r>
    </w:p>
    <w:p>
      <w:pPr>
        <w:spacing w:after="0" w:line="5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Inventing new gaming experiences that bring people together around their shared love for games on any devices and pushing the boundaries of innovation with console and PC gaming by creating the next wave of entertainment.</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future growth depends on our ability to transcend current product category definitions, business models, and sales motions. We have the opportunity to redefine what customers and partners can expect and are working to deliver new solutions that reflect the best of Microsoft.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SEGMENTS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operating segments and geographic and product information is contained in Note 21 – Segment Information and Geographic Data of the Notes to Financial Statements (Part II, Item 8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8" w:lineRule="exact"/>
        <w:rPr>
          <w:sz w:val="20"/>
          <w:szCs w:val="20"/>
          <w:color w:val="auto"/>
        </w:rPr>
      </w:pPr>
    </w:p>
    <w:p>
      <w:pPr>
        <w:ind w:left="1060" w:hanging="390"/>
        <w:spacing w:after="0" w:line="24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and Office licensed on-premises, comprising Office, Exchange, SharePoint, Skype for Business, and Microsoft Teams, and related Client Access Licenses (“CALs”).</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Office Consumer, including Office 365 subscriptions and Office licensed on-premises, and Office Consumer Services, including Skype, Outlook.com, and OneDrive.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and Premium Subscriptions.</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Dynamics business solutions, including Dynamics ERP on-premises, Dynamics CRM on-premises, and Dynamics 365, a set of cloud-based applications across ERP and CRM.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Commercial</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Office Commercial is designed to increase personal, team, and organizational productivity through a range of products and services. Growth depends on our ability to reach new users in new markets such as first-line workers, small and medium businesses, and growth markets, as well as add value to our core product and service offerings to span productivity categories such as communication, collaboration, analytics, and security. Office Commercial revenue is mainly affected by a combination of continued installed base growth and average revenue per user expansion, as well as the continued shift from Office licensed on-premises to Office 365. CALs provide certain Office Commercial products and services with access rights to our server products and CAL revenue is reported with the associated Office 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Consumer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Office Consumer is designed to increase personal productivity through a range of products and services. Growth depends on our ability to reach new users, add value to our core product set, and continue to expand our product and service offerings into new markets. Office Consumer revenue is mainly affected by the percentage of customers that buy Office with their new devices and the continued shift from Office licensed on-premises to Office 365. Office Consumer Services revenue is mainly affected by the demand for communication and storage through Skype, Outlook.com, and OneDrive, which is largely driven by subscriptions, advertising, and the sale of minutes.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LinkedIn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LinkedIn connects the world's professionals to make them more productive and successful, and is the world's largest professional network on the Internet. LinkedIn offers services that can be used by customers to transform the way they hire, market, sell, and learn. In addition to LinkedIn’s free services, LinkedIn offers three categories of monetized solutions: Talent Solutions, Marketing Solutions, and Premium Subscriptions, which includes Sales Solutions. Talent Solutions is comprised of two elements: Hiring, and Learning and Development. Hiring provides services to recruiters that enable them to attract, recruit, and hire talent. Learning and Development provides subscriptions to enterprises and individuals to access online learning content. Marketing Solutions enables companies to advertise to LinkedIn’s member base. Premium Subscriptions enables professionals to manage their professional identity, grow their network, and connect with talent through additional services like premium search. Premium Subscriptions also includes Sales Solutions, which helps sales professionals find, qualify, and create sales opportunities and accelerate social selling capabilities. Growth will depend on our ability to increase the number of LinkedIn members and our ability to continue offering services that provide value for our members and increase their engagement. LinkedIn revenue is mainly affected by demand from enterprises and professional organizations for subscriptions to Talent Solutions and Premium Subscriptions offerings, as well as member engagement and the quality of the sponsored content delivered to those members to drive Marketing Solutions.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Dynamics provides on-premises and cloud-based business solutions for financial management, enterprise resource planning (“ERP”), customer relationship management (“CRM”), supply chain management, and analytics applications for small and medium businesses, large organizations, and divisions of global enterprises. Dynamics revenue is largely driven by the number of users licensed and the continued shift to Dynamics 365, a unified set of cloud-based intelligent business applications.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Competitors to Office include software and global application vendors, such as Apple, Cisco Systems, Facebook, Google, IBM, and Slack, and numerous web-based and mobile application competitors as well as local application developers. Apple distributes versions of its pre-installed application software, such as email and calendar products, through its PCs, tablets, and phones. Cisco Systems is using its position in enterprise communications equipment to grow its unified communications business. Google provides a hosted messaging and productivity suite. Skype for Business and Skype also compete with a variety of instant messaging, voice, and video communication providers, ranging from start-ups to established enterprises. Web-based offerings competing with individual applications have also positioned themselves as alternatives to our products and services. We compete by providing powerful, flexible, secure, and easy-to-use productivity and collaboration tools and services that create comprehensive solutions and work well with technologies our customers already have both on-premises or in the cloud.</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LinkedIn faces competition from online recruiting companies, talent management companies, and larger companies that are focusing on talent management and human resource services; job boards; traditional recruiting firms; and companies that provide learning and development products and services. Marketing Solutions competes with online and offline outlets that generate revenue from advertisers and marketers.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Dynamics competes with vendors such as Infor, Oracle, NetSuite. Salesforce.com, SAP, and The Sage Group to provide on-premise and cloud-based business solutions for small, medium, and large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w:t>
      </w:r>
    </w:p>
    <w:p>
      <w:pPr>
        <w:spacing w:after="0"/>
        <w:rPr>
          <w:sz w:val="20"/>
          <w:szCs w:val="20"/>
          <w:color w:val="auto"/>
        </w:rPr>
      </w:pPr>
      <w:r>
        <w:rPr>
          <w:rFonts w:ascii="Arial" w:cs="Arial" w:eastAsia="Arial" w:hAnsi="Arial"/>
          <w:sz w:val="18"/>
          <w:szCs w:val="18"/>
          <w:color w:val="auto"/>
        </w:rPr>
        <w:t>This segment primarily comprises:</w:t>
      </w:r>
    </w:p>
    <w:p>
      <w:pPr>
        <w:spacing w:after="0" w:line="77" w:lineRule="exact"/>
        <w:rPr>
          <w:sz w:val="20"/>
          <w:szCs w:val="20"/>
          <w:color w:val="auto"/>
        </w:rPr>
      </w:pPr>
    </w:p>
    <w:p>
      <w:pPr>
        <w:ind w:left="1060" w:hanging="390"/>
        <w:spacing w:after="0" w:line="24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Server products and cloud services, including SQL Server, Windows Server, Visual Studio, System Center, and related CALs, and Azure.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Server Products and Cloud Services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Server products revenue is mainly affected by purchases through volume licensing programs, licenses sold to OEMs, and retail packaged products. CALs provide access rights to certain server products, including SQL Server and Windows Server, and revenue is reported along with the associated server product.</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Azure is a comprehensive set of cloud services that offer developers, IT professionals, and enterprises freedom to build, deploy, and manage applications on any platform or device. Customers can use Azure through our global network of datacenters for basic computing, networking, storage, mobile and web app services, AI, Internet of Things (“IoT”),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 and per user-based services such as Enterprise Mobility + Security.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Services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Enterprise Services, including Premier Support Services and Microsoft Consulting Services, assist customers in developing, deploying, and managing Microsoft server and desktop solutions and provide training and certification to developers and IT professionals on various Microsoft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server products face competition from a wide variety of server operating systems and applications offered by companies with a range of market approaches. Vertically integrated computer manufacturers such as Hewlett-Packard, IBM, and Oracle offer their own versions of the Unix operating system preinstalled on server hardware. Nearly all computer manufacturers offer server hardware for the Linux operating system and many contribute to Linux operating system development. The competitive position of Linux has also benefited from the large number of compatible applications now produced by many commercial and non-commercial software developers. A number of companies, such as Red Hat, supply versions of Linux.</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compete to provide enterprise-wide computing solutions and point solutions with numerous commercial software vendors that offer solutions and middleware technology platforms, software applications for connectivity (both Internet and intranet), security, hosting, database, and e-business servers. IBM and Oracle lead a group of companies focused on the Java Platform Enterprise Edition that competes with our enterprise-wide computing solutions. Commercial competitors for our server applications for PC-based distributed client-server environments include CA Technologies, IBM, and Oracle. Our web application platform software competes with open source software such as Apache, Linux, MySQL, and PHP. In middleware, we compete against Java vendors.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database, business intelligence, and data warehousing solutions offerings compete with products from IBM, Oracle, SAP, and other companies. Our system management solutions compete with server management and server virtualization platform providers, such as BMC, CA Technologies, Hewlett-Packard, IBM, and VMware. Our products for software developers compete against offerings from Adobe, IBM, Oracle, and other companies, and also against open-source projects, including Eclipse (sponsored by CA Technologies, IBM, Oracle, and SAP), PHP, and Ruby on Rails.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Azure faces diverse competition from companies such as Amazon, Google, IBM, Oracle, Salesforce.com, VMware, and open source offerings. Azure’s competitive advantage includes enabling a hybrid cloud, allowing deployment of existing datacenters with our public cloud into a single, cohesive infrastructure, and the ability to run at a scale that meets the needs of businesses of all sizes and complexities.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Enterprise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geared towards harmonizing the interests of end users, developers, and IT professionals across all devices. This segment primarily comprises:</w:t>
      </w:r>
    </w:p>
    <w:p>
      <w:pPr>
        <w:spacing w:after="0" w:line="62" w:lineRule="exact"/>
        <w:rPr>
          <w:sz w:val="20"/>
          <w:szCs w:val="20"/>
          <w:color w:val="auto"/>
        </w:rPr>
      </w:pPr>
    </w:p>
    <w:p>
      <w:pPr>
        <w:jc w:val="both"/>
        <w:ind w:left="1060" w:hanging="39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Windows, including Windows OEM licensing (“Windows OEM”) and other non-volume licensing of the Windows operating system; Windows Commercial, comprising volume licensing of the Windows operating system, Windows cloud services, and other Windows commercial offerings; patent licensing; Windows IoT; and MSN advertising.</w:t>
      </w:r>
    </w:p>
    <w:p>
      <w:pPr>
        <w:spacing w:after="0" w:line="81" w:lineRule="exact"/>
        <w:rPr>
          <w:rFonts w:ascii="Arial" w:cs="Arial" w:eastAsia="Arial" w:hAnsi="Arial"/>
          <w:sz w:val="18"/>
          <w:szCs w:val="18"/>
          <w:color w:val="auto"/>
        </w:rPr>
      </w:pPr>
    </w:p>
    <w:p>
      <w:pPr>
        <w:ind w:left="1060" w:hanging="39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Devices, including Surface, PC accessories, and other intelligent devices.</w:t>
      </w:r>
    </w:p>
    <w:p>
      <w:pPr>
        <w:spacing w:after="0" w:line="76"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Gaming, including Xbox hardware and Xbox software and services, comprising Xbox Live transactions, subscriptions, and advertising (“Xbox Live”), video games, and third-party video game royalties.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Search.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Windows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53" w:lineRule="exact"/>
        <w:rPr>
          <w:sz w:val="20"/>
          <w:szCs w:val="20"/>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computing devices based on form factor and screen size.</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device market demand between developed markets and growth markets.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Attachment of Windows to devices shipped.</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mix between consumer, small and medium businesses, and large enterprises.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inventory levels in the OEM channel.</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changes and promotions, pricing variation that occurs when the mix of devices manufactured shifts from local and regional system builders to large multinational OEMs, and different pricing of Windows versions licensed.</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Piracy.</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Windows Commercial revenue, which includes volume licensing of the Windows operating system and Windows cloud services such as Windows Defender Advanced Threat Protection, is affected mainly by the demand from commercial customers for volume licensing and Software Assurance (“SA”), as well as advanced security offerings. Windows Commercial revenue often reflects the number of information workers in a licensed enterprise and is relatively independent of the number of PCs sold in a given year.</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Patent licensing includes our programs to license patents we own for use across a broad array of technology areas, including mobile devices and cloud offerings.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Windows IoT extends the power of Windows and the cloud to intelligent systems by delivering specialized operating systems, tools, and services for use in embedded devices.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MSN advertising includes both native and display ads.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design, manufacture, and sell devices, including Surface, PC accessories, and other intelligent devices, such as Surface Hub and HoloLens. Our devices are designed to enable people and organizations to connect to the people and content that matter most using Windows and integrated Microsoft products and services. Surface is designed to help organizations, students, and consumers be more productive.</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2016, we announced plans to streamline our smartphone hardware business. In November 2016, we completed the sale of our feature Phone business.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gaming platform is designed to provide a unique variety of entertainment using our devices, peripherals, applications, online services, and content. We released Xbox One S and Xbox One X in August 2016 and November 2017, respectively. With the launch of the Mixer service in May 2017, offering interactive live game streaming, and Xbox Game Pass in June 2017, providing unlimited access to over 100 Xbox titles, we continue to open new opportunities for customers to engage both on- and off-console.</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Xbox Live enables people to connect and share online gaming experiences and is accessible on Xbox consoles, Windows-enabled devices, and other devices. Xbox Live is designed to benefit users by providing access to a network of certified applications and services and to benefit our developer and partner ecosystems by providing access to a large customer base. Xbox Live revenue is mainly affected by subscriptions and sales of Xbox Live enabled content, as well as advertising. We also continue to design and sell gaming content to showcase our unique platform capabilities for Xbox consoles, Windows-enabled devices, and other devices. Growth of our Gaming business is determined by the overall active user base through Xbox Live enabled content, availability of games, providing exclusive game content that gamers seek, the computational power and reliability of the devices used to access our content and services, and the ability to create new experiences via online services, downloadable content, and peripherals.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Search business, including Bing and Bing Ads, is designed to deliver relevant online advertising to a global audience. We have several partnerships with other companies, including Oath (formerly Yahoo! and AOL) which is owned by Verizon, through which we provide and monetize search queries. Growth depends on our ability to attract new users, understand intent, and match intent with relevant content and advertiser offerings.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Windows faces competition from various software products and from alternative platforms and devices, mainly from Apple and Google. We believe Windows competes effectively by giving customers choice, value, flexibility, security, an easy-to-use interface, and compatibility with a broad range of hardware and software applications, including those that enable productivity.</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Devices face competition from various computer, tablet, and hardware manufacturers who offer a unique combination of high-quality industrial design and innovative technologies across various price points. These manufacturers, many of which are also current or potential partners and customers, include Apple and our Windows OEMs.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gaming platform competes with console platforms from Nintendo and Sony, both of which have a large, established base of customers. The lifecycle for gaming and entertainment consoles averages five to ten years. Nintendo released its latest generation console in March 2017 and Sony released its latest generation console in November 2013. We also compete with other providers of entertainment services through online marketplaces. We believe our gaming platform is effectively positioned against competitive products and services based on significant innovation in hardware architecture, user interface, developer tools, online gaming and entertainment services, and continued strong exclusive content from our own game franchises as well as other digital content offerings. Our video games competitors include Electronic Arts and Activision Blizzard. Xbox Live faces competition from various online marketplaces, including those operated by Amazon, Apple, and Google.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search business competes with Google and a wide array of websites, social platforms like Facebook, and portals that provide content and online offerings to end users.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operations centers that support operations in their regions, including customer contract and order processing, credit and collections, information processing, and vendor management and logistics. The regional center in Ireland supports the European, Middle Eastern, and African region; the center in Singapore supports the Japan, India, Greater China, and Asia-Pacific region; and the centers in Fargo, North Dakota, Fort Lauderdale, Florida, Puerto Rico, Redmond, Washington, and Reno, Nevada support Latin America and North America. In addition to the operations centers, we also operate datacenters throughout the Americas, Australia, Europe, and Asia.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 w:name="page11"/>
    <w:bookmarkEnd w:id="10"/>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serve the needs of customers around the world and to improve the quality and usability of products in international markets, we localize many of our products to reflect local languages and conventions. Localizing a product may require modifying the user interface, altering dialog boxes, and translating text.</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devices are primarily manufactured by third-party contract manufacturers. We generally have the ability to use other manufacturers if a current vendor becomes unavailable or unable to meet our requirements.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RESEARCH AND DEVELOPMENT</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fiscal years 2018, 2017, and 2016, research and development expense was $14.7 billion, $13.0 billion, and $12.0 billion, respectively. These amounts represented 13% of revenue in fiscal years 2018, 2017, and 2016. We plan to continue to make significant investments in a broad range of research and development efforts.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Development, and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develop most of our products and services internally through the following engineering groups.</w:t>
      </w:r>
    </w:p>
    <w:p>
      <w:pPr>
        <w:spacing w:after="0" w:line="72" w:lineRule="exact"/>
        <w:rPr>
          <w:sz w:val="20"/>
          <w:szCs w:val="20"/>
          <w:color w:val="auto"/>
        </w:rPr>
      </w:pPr>
    </w:p>
    <w:p>
      <w:pPr>
        <w:jc w:val="both"/>
        <w:ind w:left="1060" w:hanging="390"/>
        <w:spacing w:after="0" w:line="25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Cloud and AI Platform</w:t>
      </w:r>
      <w:r>
        <w:rPr>
          <w:rFonts w:ascii="Arial" w:cs="Arial" w:eastAsia="Arial" w:hAnsi="Arial"/>
          <w:sz w:val="18"/>
          <w:szCs w:val="18"/>
          <w:color w:val="auto"/>
        </w:rPr>
        <w:t>, focuses on making IT professionals, developers, and their systems more productive and efficient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cloud infrastructure, server, database, CRM, ERP, management and development tools, AI cognitive services, and other business process applications and services for enterprises.</w:t>
      </w:r>
    </w:p>
    <w:p>
      <w:pPr>
        <w:spacing w:after="0" w:line="21" w:lineRule="exact"/>
        <w:rPr>
          <w:rFonts w:ascii="Arial" w:cs="Arial" w:eastAsia="Arial" w:hAnsi="Arial"/>
          <w:sz w:val="18"/>
          <w:szCs w:val="18"/>
          <w:color w:val="auto"/>
        </w:rPr>
      </w:pPr>
    </w:p>
    <w:p>
      <w:pPr>
        <w:ind w:left="1060" w:right="20" w:hanging="390"/>
        <w:spacing w:after="0" w:line="26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Experiences and Devices</w:t>
      </w:r>
      <w:r>
        <w:rPr>
          <w:rFonts w:ascii="Arial" w:cs="Arial" w:eastAsia="Arial" w:hAnsi="Arial"/>
          <w:sz w:val="18"/>
          <w:szCs w:val="18"/>
          <w:color w:val="auto"/>
        </w:rPr>
        <w:t>, focuses on instilling a unifying product ethos across our end-user experiences and devices,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 Windows, Enterprise Mobility and Management, and devices.</w:t>
      </w:r>
    </w:p>
    <w:p>
      <w:pPr>
        <w:spacing w:after="0" w:line="12" w:lineRule="exact"/>
        <w:rPr>
          <w:rFonts w:ascii="Arial" w:cs="Arial" w:eastAsia="Arial" w:hAnsi="Arial"/>
          <w:sz w:val="18"/>
          <w:szCs w:val="18"/>
          <w:color w:val="auto"/>
        </w:rPr>
      </w:pPr>
    </w:p>
    <w:p>
      <w:pPr>
        <w:ind w:left="1060" w:right="20" w:hanging="390"/>
        <w:spacing w:after="0" w:line="26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AI and Research</w:t>
      </w:r>
      <w:r>
        <w:rPr>
          <w:rFonts w:ascii="Arial" w:cs="Arial" w:eastAsia="Arial" w:hAnsi="Arial"/>
          <w:sz w:val="18"/>
          <w:szCs w:val="18"/>
          <w:color w:val="auto"/>
        </w:rPr>
        <w:t>, focuses on our AI innovations and other forward-looking research and development efforts spanning</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applications, and search.</w:t>
      </w:r>
    </w:p>
    <w:p>
      <w:pPr>
        <w:spacing w:after="0" w:line="12" w:lineRule="exact"/>
        <w:rPr>
          <w:rFonts w:ascii="Arial" w:cs="Arial" w:eastAsia="Arial" w:hAnsi="Arial"/>
          <w:sz w:val="18"/>
          <w:szCs w:val="18"/>
          <w:color w:val="auto"/>
        </w:rPr>
      </w:pPr>
    </w:p>
    <w:p>
      <w:pPr>
        <w:ind w:left="1060" w:hanging="39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LinkedIn</w:t>
      </w:r>
      <w:r>
        <w:rPr>
          <w:rFonts w:ascii="Arial" w:cs="Arial" w:eastAsia="Arial" w:hAnsi="Arial"/>
          <w:sz w:val="18"/>
          <w:szCs w:val="18"/>
          <w:color w:val="auto"/>
        </w:rPr>
        <w:t>, focuses on our services that transform the way customers hire, market, sell, and learn.</w:t>
      </w:r>
    </w:p>
    <w:p>
      <w:pPr>
        <w:spacing w:after="0" w:line="63" w:lineRule="exact"/>
        <w:rPr>
          <w:rFonts w:ascii="Arial" w:cs="Arial" w:eastAsia="Arial" w:hAnsi="Arial"/>
          <w:sz w:val="18"/>
          <w:szCs w:val="18"/>
          <w:color w:val="auto"/>
        </w:rPr>
      </w:pPr>
    </w:p>
    <w:p>
      <w:pPr>
        <w:ind w:left="1060" w:hanging="390"/>
        <w:spacing w:after="0" w:line="26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Gaming</w:t>
      </w:r>
      <w:r>
        <w:rPr>
          <w:rFonts w:ascii="Arial" w:cs="Arial" w:eastAsia="Arial" w:hAnsi="Arial"/>
          <w:sz w:val="18"/>
          <w:szCs w:val="18"/>
          <w:color w:val="auto"/>
        </w:rPr>
        <w:t>, focuses on connecting gaming assets across the range of devices to grow and engage the Xbox Live member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game experiences, streaming content, and social interaction.</w:t>
      </w:r>
    </w:p>
    <w:p>
      <w:pPr>
        <w:spacing w:after="0" w:line="1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Internal development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 Generally, we also create product documentation internally.</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protect our intellectual property investments in a variety of ways. We work actively in the U.S. and internationally to ensure the enforcement of copyright, trademark, trade secret, and other protections that apply to our software and hardware products, services, business plans, and branding. We are a leader among technology companies in pursuing patents and currently have a portfolio of over 53,000 U.S. and international patents issued and over 29,000 pending. While we employ much of our internally developed intellectual property exclusively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also purchase or license technology that we incorporate into our products and services. At times, we make select intellectual property broadly available at no or low cost to achieve a strategic objective, such as promoting industry standards, advancing interoperability, or attracting and enabling our external development community. Our increasing engagement with open source software will also cause us to license our intellectual property rights broadly in certain situations.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it may be necessary in the future to seek or renew licenses relating to various aspects of our products, services, and business methods, we believe, based upon past experience and industry practice, such licenses generally can be obtained on commercially reasonable terms. We believe our continuing research and product development are not materially dependent on any single license or other agreement with a third party relating to the development of our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 w:name="page12"/>
    <w:bookmarkEnd w:id="11"/>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Future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success is based on our ability to create new and compelling products, services, and experiences for our users, to initiate and embrace disruptive technology trends, to enter new geographic and product markets, and to drive broad adoption of our products and services. We invest in a range of emerging technology trends and breakthroughs that we believe offer significant opportunities to deliver value to our customers and growth for the company. Based on our assessment of key technology trends, we maintain our long-term commitment to research and development across a wide spectrum of technologies, tools, and platforms spanning digital work and life experiences, cloud computing, AI, devices, and operating systems.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our main research and development facilities are located in Redmond, Washington, we also operate research and development facilities in other parts of the U.S. and around the world, including Canada, China, India, Ireland, Israel, and the United Kingdom. This global approach helps us remain competitive in local markets and enables us to continue to attract top talent from across the world. We generally fund research at the corporate level to ensure that we are looking beyond immediate product considerations to opportunities further in the future. We also fund research and development activities at the operating segment level. Much of our segment level research and development is coordinated with other segments and leveraged across the company.</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our main research and development operations, we also operate Microsoft Research. Microsoft Research is one of the world’s largest corporate research organizations and works in close collaboration with top universities around the world to advance the state-of-the-art in computer science and a broad range of other disciplines, providing us a unique perspective on future trends and contributing to our innovation.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DISTRIBUTION, SALES, AND MARKETING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market and distribute our products and services through the following channels: OEMs, direct, and distributors and resellers. Our sales force performs a variety of functions, including working directly with enterprises and public-sector organizations worldwide to identify and meet their technology requirements; managing OEM relationships; and supporting system integrators, independent software vendors, and other partners who engage directly with our customers to perform sales, consulting, and fulfillment functions for our products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Office 365.</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Acer, ASUS, Dell, Fujitsu, Hewlett-Packard, Lenovo, Samsung, Toshiba, and with many regional and local OEMs. The second broad category of OEMs are system builders consisting of lower-volume PC manufacturers, which source Microsoft software for pre-installation and local redistribution primarily through the Microsoft distributor channel rather than through a direct agreement or relationship with Microsoft.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sell commercial and consumer products and services directly to customers, such as cloud services, search, and gaming, through our digital marketplaces, online stores, and retail stores.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Distributors and Resellers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Dynamics business solutions are also licensed to enterprises through a global network of channel partners providing vertical solutions and specialized services.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LICENSING OPTIONS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offer options for organizations that want to purchase our cloud services, on-premises software, and Software Assurance. We license software to organizations under volume licensing agreements to allow the customer to acquire multiple licenses of products and services instead of having to acquire separate licenses through retail channels. We use different programs designed to provide flexibility for organizations of various sizes. While these programs may differ in various parts of the world, generally they include those discussed below.</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 conveys rights to new software and upgrades for perpetual licenses released over the contract period. It also provides support, tools, and training to help customers deploy and use software efficiently. SA is included with certain volume licensing agreements and is an optional purchase with others.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 Licensing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Agreement</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cloud services and on-premises software organization-wide over a three-year period. Organizations can elect to purchase perpetual licenses or subscribe to licenses. SA is included.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Product and Services Agreement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Microsoft Product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Open agreements are a simple, cost-effective way to acquire the latest Microsoft technology. Open agreements are designed for small and medium organizations that want to license cloud services and on-premises software over a one- to three-year period. Under the Open agreements, organizations purchase perpetual licenses and SA is optional. Under Open Value agreements, organizations can elect to purchase perpetual licenses or subscribe to licenses and SA is included.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Plus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Select Plus agreements are designed for government and academic organizations to acquire on-premises licenses at any affiliate or department level, while realizing advantages as one organization. Organizations purchase perpetual licenses and SA is optional.</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July 2014, we announced the retirement over a two -year period of Select Plus agreements for commercial organizations. Beginning July 2015, no new Select Plus agreements were signed with commercial organizations.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 w:name="page14"/>
    <w:bookmarkEnd w:id="13"/>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Online Subscription Agreement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Microsoft Online Subscription Agreements are designed for small and medium organizations that want to subscribe to, activate, provision, and maintain cloud services seamlessly and directly via the web. The agreement allows customers to acquire monthly or annual subscriptions for cloud-based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Microsoft Cloud Solution Provider program offers customers an easy way to license the cloud services they need in combination with the value-added services offered by their systems integrator, hosting partner, or cloud reseller partner. Partners in this program can easily package their own products and services to directly provision, manage, and support their customer subscriptions.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Microsoft Services Provider License Agreement allows service providers and independent software vendors who want to license eligible Microsoft software products to provide software services and hosted applications to their end customers. Partners license software over a three-year period and are billed monthly based on consumption.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Independent Software Vendor Royalty program enables partners to integrate Microsoft products into other applications and then license the unified business solution to their end users.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CUSTOMERS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include individual consumers, small and medium organizations, large global enterprises, public-sector institutions, internet service providers, application developers, and OEMs. No sales to an individual customer accounted for more than 10% of revenue in fiscal years 2018, 2017, or 2016. Our practice is to ship our products promptly upon receipt of purchase orders from customers; consequently, backlog is not 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 w:name="page15"/>
    <w:bookmarkEnd w:id="14"/>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200" w:lineRule="exact"/>
        <w:rPr>
          <w:sz w:val="20"/>
          <w:szCs w:val="20"/>
          <w:color w:val="auto"/>
        </w:rPr>
      </w:pPr>
    </w:p>
    <w:p>
      <w:pPr>
        <w:spacing w:after="0" w:line="220" w:lineRule="exact"/>
        <w:rPr>
          <w:sz w:val="20"/>
          <w:szCs w:val="20"/>
          <w:color w:val="auto"/>
        </w:rPr>
      </w:pPr>
    </w:p>
    <w:p>
      <w:pPr>
        <w:ind w:right="3760" w:firstLine="3756"/>
        <w:spacing w:after="0" w:line="434" w:lineRule="auto"/>
        <w:rPr>
          <w:sz w:val="20"/>
          <w:szCs w:val="20"/>
          <w:color w:val="auto"/>
        </w:rPr>
      </w:pPr>
      <w:r>
        <w:rPr>
          <w:rFonts w:ascii="Arial" w:cs="Arial" w:eastAsia="Arial" w:hAnsi="Arial"/>
          <w:sz w:val="18"/>
          <w:szCs w:val="18"/>
          <w:u w:val="single" w:color="auto"/>
          <w:color w:val="auto"/>
        </w:rPr>
        <w:t xml:space="preserve">EXECUTIVE OFFICERS OF THE REGISTRANT </w:t>
      </w:r>
      <w:r>
        <w:rPr>
          <w:rFonts w:ascii="Arial" w:cs="Arial" w:eastAsia="Arial" w:hAnsi="Arial"/>
          <w:sz w:val="18"/>
          <w:szCs w:val="18"/>
          <w:color w:val="auto"/>
        </w:rPr>
        <w:t>Our executive officers as of August 3, 2018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auto"/>
              </w:rPr>
              <w:t>Age</w:t>
            </w:r>
          </w:p>
        </w:tc>
        <w:tc>
          <w:tcPr>
            <w:tcW w:w="7880" w:type="dxa"/>
            <w:vAlign w:val="bottom"/>
          </w:tcPr>
          <w:p>
            <w:pPr>
              <w:ind w:left="120"/>
              <w:spacing w:after="0"/>
              <w:rPr>
                <w:sz w:val="20"/>
                <w:szCs w:val="20"/>
                <w:color w:val="auto"/>
              </w:rPr>
            </w:pPr>
            <w:r>
              <w:rPr>
                <w:rFonts w:ascii="Arial" w:cs="Arial" w:eastAsia="Arial" w:hAnsi="Arial"/>
                <w:sz w:val="14"/>
                <w:szCs w:val="14"/>
                <w:b w:val="1"/>
                <w:bCs w:val="1"/>
                <w:color w:val="auto"/>
              </w:rPr>
              <w:t>Position with the Company</w:t>
            </w:r>
          </w:p>
        </w:tc>
      </w:tr>
      <w:tr>
        <w:trPr>
          <w:trHeight w:val="68"/>
        </w:trPr>
        <w:tc>
          <w:tcPr>
            <w:tcW w:w="26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880" w:type="dxa"/>
            <w:vAlign w:val="bottom"/>
            <w:tcBorders>
              <w:bottom w:val="single" w:sz="8" w:color="auto"/>
            </w:tcBorders>
          </w:tcPr>
          <w:p>
            <w:pPr>
              <w:spacing w:after="0"/>
              <w:rPr>
                <w:sz w:val="5"/>
                <w:szCs w:val="5"/>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8"/>
                <w:szCs w:val="18"/>
                <w:color w:val="auto"/>
              </w:rPr>
              <w:t>Satya Nadella</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78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Christopher C. Capossela</w:t>
            </w: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w:t>
            </w:r>
          </w:p>
        </w:tc>
        <w:tc>
          <w:tcPr>
            <w:tcW w:w="788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Marketing and Consumer Business, and Chief Marketing Officer</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Jean-Philippe Courtois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7880" w:type="dxa"/>
            <w:vAlign w:val="bottom"/>
          </w:tcPr>
          <w:p>
            <w:pPr>
              <w:ind w:left="120"/>
              <w:spacing w:after="0"/>
              <w:rPr>
                <w:sz w:val="20"/>
                <w:szCs w:val="20"/>
                <w:color w:val="auto"/>
              </w:rPr>
            </w:pPr>
            <w:r>
              <w:rPr>
                <w:rFonts w:ascii="Arial" w:cs="Arial" w:eastAsia="Arial" w:hAnsi="Arial"/>
                <w:sz w:val="18"/>
                <w:szCs w:val="18"/>
                <w:color w:val="auto"/>
              </w:rPr>
              <w:t>Executive Vice President and President, Microsoft Global Sales, Marketing and Operations</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Kathleen T. Hogan</w:t>
            </w: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w:t>
            </w:r>
          </w:p>
        </w:tc>
        <w:tc>
          <w:tcPr>
            <w:tcW w:w="788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Human Resources</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Amy E. Hood</w:t>
            </w: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w:t>
            </w:r>
          </w:p>
        </w:tc>
        <w:tc>
          <w:tcPr>
            <w:tcW w:w="788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Margaret L. Johnson</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7880" w:type="dxa"/>
            <w:vAlign w:val="bottom"/>
          </w:tcPr>
          <w:p>
            <w:pPr>
              <w:ind w:left="120"/>
              <w:spacing w:after="0"/>
              <w:rPr>
                <w:sz w:val="20"/>
                <w:szCs w:val="20"/>
                <w:color w:val="auto"/>
              </w:rPr>
            </w:pPr>
            <w:r>
              <w:rPr>
                <w:rFonts w:ascii="Arial" w:cs="Arial" w:eastAsia="Arial" w:hAnsi="Arial"/>
                <w:sz w:val="18"/>
                <w:szCs w:val="18"/>
                <w:color w:val="auto"/>
              </w:rPr>
              <w:t>Executive Vice President, Business Development</w:t>
            </w:r>
          </w:p>
        </w:tc>
      </w:t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Bradford L. Smith</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7880" w:type="dxa"/>
            <w:vAlign w:val="bottom"/>
          </w:tcPr>
          <w:p>
            <w:pPr>
              <w:ind w:left="120"/>
              <w:spacing w:after="0"/>
              <w:rPr>
                <w:sz w:val="20"/>
                <w:szCs w:val="20"/>
                <w:color w:val="auto"/>
              </w:rPr>
            </w:pPr>
            <w:r>
              <w:rPr>
                <w:rFonts w:ascii="Arial" w:cs="Arial" w:eastAsia="Arial" w:hAnsi="Arial"/>
                <w:sz w:val="18"/>
                <w:szCs w:val="18"/>
                <w:color w:val="auto"/>
              </w:rPr>
              <w:t>President and Chief Legal Officer</w:t>
            </w:r>
          </w:p>
        </w:tc>
      </w:tr>
      <w:tr>
        <w:trPr>
          <w:trHeight w:val="68"/>
        </w:trPr>
        <w:tc>
          <w:tcPr>
            <w:tcW w:w="26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880" w:type="dxa"/>
            <w:vAlign w:val="bottom"/>
            <w:tcBorders>
              <w:bottom w:val="single" w:sz="8" w:color="auto"/>
            </w:tcBorders>
          </w:tcPr>
          <w:p>
            <w:pPr>
              <w:spacing w:after="0"/>
              <w:rPr>
                <w:sz w:val="5"/>
                <w:szCs w:val="5"/>
                <w:color w:val="auto"/>
              </w:rPr>
            </w:pPr>
          </w:p>
        </w:tc>
      </w:tr>
    </w:tbl>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Nadella was appointed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 Mr. Nadella also serves on the Board of Directors of Starbucks Corporation.</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Capossela was appointed Executive Vice President, Marketing and Consumer Business, and Chief Marketing Officer in July 2016. He had served as Executive Vice President, Chief Marketing Officer since March 2014. Previously, he served as the worldwide leader of the Consumer Channels Group, responsible for sales and marketing activities with OEMs, operators, and retail partners. In his more than 25 years at Microsoft, Mr. Capossela has held a variety of marketing leadership roles in the Microsoft Office Division. He was responsible for marketing productivity solutions including Microsoft Office, Office 365, SharePoint, Exchange, Skype for Business, Project, and Visio.</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Courtois was named Executive Vice President and President, Microsoft Global Sales, Marketing and Operations in July 2016. Before that he was President of Microsoft International since 2005. He was Chief Executive Officer, Microsoft Europe, Middle East, and Africa from 2003 to 2005.He was Senior Vice President and President, Microsoft Europe, Middle East, and Africa from 2000 to 2003. He was Corporate Vice President, Worldwide Customer Marketing from 1998 to 2000. Mr. Courtois joined Microsoft in 1984.</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Hogan was appointed Executive Vice President, Human Resources in November 2014. Prior to that Ms. Hogan was Corporate Vice President of Microsoft Services. She also served as Corporate Vice President of Customer Service and Support. Ms. Hogan joined Microsoft in 2003.</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Hood was appointed Executive Vice President and Chief Financial Officer in July 2013, subsequent to her appointment as Chief Financial Officer in May 2013. From 2010 to 2013, Ms. Hood was Chief Financial Officer of the Microsoft Business Division. From 2006 through 2009, Ms. Hood was General Manager, Microsoft Business Division Strategy. Since joining Microsoft in 2002, Ms. Hood has also held finance-related</w:t>
      </w:r>
    </w:p>
    <w:p>
      <w:pPr>
        <w:spacing w:after="0" w:line="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positions in the Server and Tools Business and the corporate finance organization. Ms. Hood also serves on the Board of Directors of 3M Corporation.</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Johnson was appointed Executive Vice President, Business Development in September 2014. Prior to that Ms. Johnson spent 24 years at Qualcomm in various leadership positions across engineering, sales, marketing and business development. She most recently served as Executive Vice President of Qualcomm Technologies, Inc. Ms. Johnson also serves on the Board of Directors of BlackRock, Inc.</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Smith was appointed President and Chief Legal Officer in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 w:name="page16"/>
    <w:bookmarkEnd w:id="15"/>
    <w:p>
      <w:pPr>
        <w:ind w:left="5500"/>
        <w:spacing w:after="0"/>
        <w:rPr>
          <w:sz w:val="20"/>
          <w:szCs w:val="20"/>
          <w:color w:val="auto"/>
        </w:rPr>
      </w:pPr>
      <w:r>
        <w:rPr>
          <w:rFonts w:ascii="Arial" w:cs="Arial" w:eastAsia="Arial" w:hAnsi="Arial"/>
          <w:sz w:val="14"/>
          <w:szCs w:val="14"/>
          <w:u w:val="single" w:color="auto"/>
          <w:color w:val="auto"/>
        </w:rPr>
        <w:t>PART I</w:t>
      </w:r>
    </w:p>
    <w:p>
      <w:pPr>
        <w:ind w:left="5520"/>
        <w:spacing w:after="0"/>
        <w:rPr>
          <w:sz w:val="20"/>
          <w:szCs w:val="20"/>
          <w:color w:val="auto"/>
        </w:rPr>
      </w:pPr>
      <w:r>
        <w:rPr>
          <w:rFonts w:ascii="Arial" w:cs="Arial" w:eastAsia="Arial" w:hAnsi="Arial"/>
          <w:sz w:val="14"/>
          <w:szCs w:val="14"/>
          <w:color w:val="auto"/>
        </w:rPr>
        <w:t>Item 1</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EMPLOYEES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2018, we employed approximately 131,000 people on a full-time basis, 78,000 in the U.S. and 53,000 internationally. Of the total employed people, 42,000 were in operations, including manufacturing, distribution, product support, and consulting services; 42,000 were in product research and development; 36,000 were in sales and marketing; and 11,000 were in general and administration. Certain of our employees are subject to collective bargaining agreements.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AVAILABLE INFORMATION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54" w:lineRule="exact"/>
        <w:rPr>
          <w:sz w:val="20"/>
          <w:szCs w:val="20"/>
          <w:color w:val="auto"/>
        </w:rPr>
      </w:pPr>
    </w:p>
    <w:p>
      <w:pPr>
        <w:jc w:val="both"/>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w:t>
      </w:r>
    </w:p>
    <w:p>
      <w:pPr>
        <w:spacing w:after="0" w:line="54" w:lineRule="exact"/>
        <w:rPr>
          <w:rFonts w:ascii="Arial" w:cs="Arial" w:eastAsia="Arial" w:hAnsi="Arial"/>
          <w:sz w:val="18"/>
          <w:szCs w:val="18"/>
          <w:color w:val="auto"/>
        </w:rPr>
      </w:pP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on our business strategies, financial results, and metrics for investors.</w:t>
      </w:r>
    </w:p>
    <w:p>
      <w:pPr>
        <w:spacing w:after="0" w:line="63"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investor conferences, speeches, and events at which our executives talk about our product, service, and competitive strategies. Archives of these events are also available.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Press releases on quarterly earnings, product and service announcements, legal developments, and international news.</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governance information including our articles of incorporation, bylaws, governance guidelines, committee charters, codes of conduct and ethics, global corporate social responsibility initiatives, and other governance-related policies.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Opportunities to sign up for email alerts to have information pushed in real time.</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information found on our website is not part of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3" w:lineRule="exact"/>
        <w:rPr>
          <w:sz w:val="20"/>
          <w:szCs w:val="20"/>
          <w:color w:val="auto"/>
        </w:rPr>
      </w:pPr>
    </w:p>
    <w:p>
      <w:pPr>
        <w:jc w:val="both"/>
        <w:ind w:left="1060" w:hanging="390"/>
        <w:spacing w:after="0" w:line="23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and wearables.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54" w:lineRule="exact"/>
        <w:rPr>
          <w:rFonts w:ascii="Arial" w:cs="Arial" w:eastAsia="Arial" w:hAnsi="Arial"/>
          <w:sz w:val="18"/>
          <w:szCs w:val="18"/>
          <w:color w:val="auto"/>
        </w:rPr>
      </w:pPr>
    </w:p>
    <w:p>
      <w:pPr>
        <w:jc w:val="both"/>
        <w:ind w:left="1060" w:hanging="390"/>
        <w:spacing w:after="0" w:line="236"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personal computers.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58" w:lineRule="exact"/>
        <w:rPr>
          <w:rFonts w:ascii="Arial" w:cs="Arial" w:eastAsia="Arial" w:hAnsi="Arial"/>
          <w:sz w:val="18"/>
          <w:szCs w:val="18"/>
          <w:color w:val="auto"/>
        </w:rPr>
      </w:pPr>
    </w:p>
    <w:p>
      <w:pPr>
        <w:jc w:val="both"/>
        <w:ind w:left="1060" w:hanging="390"/>
        <w:spacing w:after="0" w:line="23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sometimes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0"/>
        <w:spacing w:after="0" w:line="23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4" w:lineRule="exact"/>
        <w:rPr>
          <w:rFonts w:ascii="Arial" w:cs="Arial" w:eastAsia="Arial" w:hAnsi="Arial"/>
          <w:sz w:val="18"/>
          <w:szCs w:val="18"/>
          <w:color w:val="auto"/>
        </w:rPr>
      </w:pPr>
    </w:p>
    <w:p>
      <w:pPr>
        <w:jc w:val="both"/>
        <w:ind w:left="1060" w:hanging="3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0"/>
        <w:spacing w:after="0" w:line="23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companies compete with us using an open source business model by modifying and then distributing open source software at nominal cost to end-users, and earning revenue on advertising or complementary services and products. These firms do not bear the full costs of research and development for the software. Some open source software vendors develop software that mimics the features and functionality of our products.</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 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suite of cloud-based services to use. We are devoting significant resources to develop and deploy our cloud-based strategies. The Windows ecosystem must continue to evolve with this changing environment. We are undertaking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Microsoft Azure, Azure Stack, Azure IoT Edge, and Azure Sphere. We may not establish market share sufficient to achieve scale necessary to achieve our business objectives.</w:t>
      </w:r>
    </w:p>
    <w:p>
      <w:pPr>
        <w:spacing w:after="0" w:line="3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8" w:lineRule="exact"/>
        <w:rPr>
          <w:sz w:val="20"/>
          <w:szCs w:val="20"/>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endpoints.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w:t>
      </w:r>
    </w:p>
    <w:p>
      <w:pPr>
        <w:spacing w:after="0" w:line="63"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make significant investments in new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Microsoft SQL Server, Windows Server, the Windows Store, Azure, Office 365, Xbox Live, Mixer, LinkedIn, and other cloud-based offerings.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Windows Store, Microsoft Edge, and Bing, that drive post-license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In December 2016, we completed our acquisition of LinkedIn Corporation for $27.0 billion. In June 2018, we announced an agreement to acquire GitHub, Inc. for $7.5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or that they distract management from our other businesses.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enhanced efficiencies, or increased market share, or the benefits may ultimately be smaller than we expected. These events could adversely affect our operating results or financial condition.</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 Our acquisition of LinkedIn resulted in a significant increase in our goodwill and intangible asset balances.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earn the revenues we expect from our intellectual property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expected royalties from our patent licenses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our patents to others in return for a royalty.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Finally, the royalties we can obtain to monetize our intellectual property may decline because of the evolution of technology, selling price changes in products using licensed patents, or the difficulty of discovering infringements. Finally, our increasing engagement with open source software will also cause us to license our intellectual property rights broadly in certain situations and may negatively impact revenue.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 number of these claims may grow because of constant technological change in the markets in which we compete, the extensive patent coverage of existing technologies, the rapid rate of issuance of new patents, and our offering of first-party devices, such as Microsoft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in the next paragraph.</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 w:name="page21"/>
    <w:bookmarkEnd w:id="20"/>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Cyberthreats are constantly evolving,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improved technologies, or otherwise adversely affect our business.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Adversaries that acquire user account information at other companies can use that information to compromise our users’ accounts where accounts share the same attributes like passwords. Inadequate account security practices may also result in unauthorized access. We are also increasingly incorporating open source software into our products. There may be vulnerabilities in open source software that may make our products susceptible to cyberattacks.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customers security tools such as firewalls and anti-virus software and information about the need to deploy security measures and the impact of doing so.</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of these steps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may fail to update their systems, continue to run software or operating systems we no longer support, or may fail timely to install or enable security patches. Any of these actions by customers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exposure to customers.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illustrated by the recent Spectre and Meltdown threats, our products operate in conjunction with and are dependent on products and components across a broad ecosystem. If there is a security vulnerability in one of these components, and if there is a security exploit targeting it, we could face increased costs, liability claims, reduced revenue, or harm to our reputation or competitive position.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 w:name="page22"/>
    <w:bookmarkEnd w:id="21"/>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vendors on data security, and other practices we follow may not prevent the improper disclosure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Abuse of our advertising or social platforms may harm our reputation or user engagement. </w:t>
      </w:r>
      <w:r>
        <w:rPr>
          <w:rFonts w:ascii="Arial" w:cs="Arial" w:eastAsia="Arial" w:hAnsi="Arial"/>
          <w:sz w:val="18"/>
          <w:szCs w:val="18"/>
          <w:color w:val="auto"/>
        </w:rPr>
        <w:t>For LinkedIn, Bing Ads, and other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that provide content or host ads that come from or can be influenced by third parties, our reputation or user engagement may be negatively affected by activity that is hostile or inappropriate to other people, by users impersonating other people or organizations, by use of our products or services to disseminate information that may be viewed as misleading or intended to manipulate the opinions of our users, or by the use of our products or services that violates our terms of service or otherwise for objectionable or illegal ends. Preventing these actions may require us to make substantial investments in people and technology and these investments may not be successful, adversely affecting our business and financial results.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 power.</w:t>
      </w:r>
      <w:r>
        <w:rPr>
          <w:rFonts w:ascii="Arial" w:cs="Arial" w:eastAsia="Arial" w:hAnsi="Arial"/>
          <w:sz w:val="18"/>
          <w:szCs w:val="18"/>
          <w:b w:val="1"/>
          <w:bCs w:val="1"/>
          <w:color w:val="auto"/>
        </w:rPr>
        <w:t xml:space="preserve"> </w:t>
      </w:r>
      <w:r>
        <w:rPr>
          <w:rFonts w:ascii="Arial" w:cs="Arial" w:eastAsia="Arial" w:hAnsi="Arial"/>
          <w:sz w:val="18"/>
          <w:szCs w:val="18"/>
          <w:color w:val="auto"/>
        </w:rPr>
        <w:t>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Exchange Online, Azure, Microsoft account services, Office 365, OneDrive, SharePoint Online, Skype, Xbox Live, Outlook.com, and Windows Stores. We are rapidly growing our business of providing a platform and back-end hosting for services provided by third parties to their end users. Maintaining, securing, and expanding this infrastructure is expensive and complex. It requires that we maintain an Internet connectivity infrastructure that is robust and reliable within competitive and regulatory constraints that continue to evolve. Inefficiencies or operational failures, including temporary or permanent loss of customer data or insufficient Internet connectivity,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harm our operating results and financial condition.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An increasing number of governments are actively enforcing competition laws and regulations and this includes increased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on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53" w:lineRule="exact"/>
        <w:rPr>
          <w:sz w:val="20"/>
          <w:szCs w:val="20"/>
          <w:color w:val="auto"/>
        </w:rPr>
      </w:pPr>
    </w:p>
    <w:p>
      <w:pPr>
        <w:jc w:val="both"/>
        <w:ind w:left="1060" w:hanging="3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5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48" w:lineRule="exact"/>
        <w:rPr>
          <w:rFonts w:ascii="Arial" w:cs="Arial" w:eastAsia="Arial" w:hAnsi="Arial"/>
          <w:sz w:val="18"/>
          <w:szCs w:val="18"/>
          <w:color w:val="auto"/>
        </w:rPr>
      </w:pPr>
    </w:p>
    <w:p>
      <w:pPr>
        <w:jc w:val="both"/>
        <w:ind w:left="1060" w:hanging="3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and other anti-corruption laws and regulations (“Anti-Corruption Laws”) prohibit corrupt payments by our employees, vendors, or agents. From time to time, we receive inquiries from authorities in the U.S. and elsewhere and reports from employees and others about our business activities outside the U.S. and our compliance with Anti-Corruption Laws. Specifically, we have been cooperating with authorities in the U.S. in connection with reports concerning our compliance with the Foreign Corrupt Practices Act in various countries. Most countries in which we operate also have competition laws that prohibit competitors from colluding or otherwise attempting to reduce competition between themselves. While we devote substantial resources to our global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Operations outside the U.S. may be affected by changes in trade protection laws, policies, and measures, sanctions, and other regulatory requirements affecting trade and investment. We may be subject to legal liability and reputational damage if we sell goods or services in violation of U.S. trade sanctions on countries such as Iran, North Korea, Cuba, Sudan, and Syria.</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regulatory areas that may apply to our products and online services offerings include user privacy, telecommunications, data storage and protection, and online content. For example, regulators may take the position that our offerings such as Skype are covered by existing laws regulating telecommunications services and new laws may define more of our services as regulated telecommunications services. Data protection authorities may assert that our collection, use, and management of customer data is inconsistent with their laws and regulations. Legislative or regulatory action relating cybersecurity requirements may increase the costs to develop, implement, or secure our products and services. Legislative or regulatory action could also emerge in the area of AI, increasing costs or restricting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and customers to make technology more accessible. If our products do not meet customer expectations or emerging global accessibility requirements, we could lose sales opportunities or face regulatory actions</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the EU and the U.S. formally entered into a new framework in July 2016 that provides a mechanism for companies to transfer data from EU member states to the U.S. This framework, called the Privacy Shield, is intended to address shortcomings identified by the European Court of Justice in a predecessor mechanism. The Privacy Shield and other mechanisms are currently subject to challenges in European courts, which may lead to uncertainty about the legal basis for data transfers across the Atlantic. The Privacy Shield and other potential rules on the flow of data across borders could increase the cost and complexity of delivering our products and services in some markets. In May 2018, a new EU law governing data practices and privacy, the General Data Protection Regulation (“GDPR”), became effective. The law, which applies to all of our activities conducted from an establishment in the EU or related to products and services offered in the EU, imposes a range of new compliance obligations regarding the handling of personal data. Engineering efforts to build new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the changes we implement to comply with the GDPR make our offerings less attractive. The GDPR imposes significant new obligations and compliance with these obligations depends in part on how particular regulators apply and interpret them. If we fail to comply with the GDPR, or if regulators assert we have failed to comply with the GDPR, it may lead to regulatory enforcement actions, which can result in monetary penalties of up to 4% of worldwide revenue, private lawsuits, or reputational damage.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4" w:name="page25"/>
    <w:bookmarkEnd w:id="24"/>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reviews by regulators may result in burdensome or inconsistent requirements, including data sovereignty and localization requirements, affecting the location and movement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The market for highly skilled workers and leaders in our industry is extremely competitive. Maintaining our brand and reputation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 and Jobs Act (“TCJA”) may require the collection of information not regularly produced within the Company, the use of estimates in our financial statements, and the exercise of significant judgment in accounting for its provisions. As regulations and guidance evolve with respect to TCJA, and as we gather more information and perform more analysis, our results may differ from previous estimates and may materially affect our financial position.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regularly are under audit by tax authorities in different jurisdictions. Economic and political pressures to increase tax revenue in various jurisdictions may make resolving tax disputes favorably more difficult. Although we believe our tax estimates are reasonable, the final determination of tax audits and any related litigation in the jurisdictions where we are subject to taxation could be materially different from our historical income tax provisions and accruals. The results of an audit or litigation could have a material effect in our consolidated financial statements in the period or periods in which that determination is made.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tax expense and cash flows.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 w:name="page26"/>
    <w:bookmarkEnd w:id="25"/>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manufacture,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software products also may experience quality or reliability problems. The highly-sophisticated software products we develop may contain bugs and other defects that interfere with their intended operation.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Our global business exposes us to operational and economic risks. </w:t>
      </w:r>
      <w:r>
        <w:rPr>
          <w:rFonts w:ascii="Arial" w:cs="Arial" w:eastAsia="Arial" w:hAnsi="Arial"/>
          <w:sz w:val="17"/>
          <w:szCs w:val="17"/>
          <w:color w:val="auto"/>
        </w:rPr>
        <w:t>Our customers are located in over 200 countries and a significant part</w:t>
      </w:r>
      <w:r>
        <w:rPr>
          <w:rFonts w:ascii="Arial" w:cs="Arial" w:eastAsia="Arial" w:hAnsi="Arial"/>
          <w:sz w:val="17"/>
          <w:szCs w:val="17"/>
          <w:b w:val="1"/>
          <w:bCs w:val="1"/>
          <w:color w:val="auto"/>
        </w:rPr>
        <w:t xml:space="preserve"> </w:t>
      </w:r>
      <w:r>
        <w:rPr>
          <w:rFonts w:ascii="Arial" w:cs="Arial" w:eastAsia="Arial" w:hAnsi="Arial"/>
          <w:sz w:val="17"/>
          <w:szCs w:val="17"/>
          <w:color w:val="auto"/>
        </w:rPr>
        <w:t>of our revenue comes from international sales. The global nature of our business creates operational and economic risks. Our results of operations may be affected by global, regional, and local economic developments, monetary policy, inflation, and recession, as well as political and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trends in specific countries may significantly alter the trade environment. Changes to trade policy or agreements as a result of populism, protectionism, or economic nationalism may result in higher tariffs, local sourcing initiatives,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revenue.</w:t>
      </w:r>
    </w:p>
    <w:p>
      <w:pPr>
        <w:spacing w:after="0" w:line="11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 earthquake, weather event, cyberattack, terrorist attack,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on our operating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6" w:name="page27"/>
    <w:bookmarkEnd w:id="26"/>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requirements that could impact our operating strategies, access to global markets, hiring, and profitability. Geopolitical instability may lead to sanctions and impact our ability to do business in some markets or with some public-sector customers. Any of these changes may negatively impact our revenues.</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long-term effects of climate change on the global economy or the IT industry in particular are unclear. Environmental regulations or changes in the supply, demand or available sources of energy or other natural resources may affect the availability or cost of goods and services, including natural resources, necessary to run our business. Changes in weather where we operate may increase the costs of powering and cooling computer hardware we use to develop software and provide cloud-based services.</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economic conditions, may cause lower IT spending and adversely affect our revenue. If demand for PCs, servers, and other computing devices declines, or consumer or business spending for those products declines, our revenue will be adversely affected. Substantial revenue comes from our U.S. government contracts. An extended federal government shutdown resulting from failing to pass budget appropriations, adopt continuing funding resolutions or raise the debt ceiling, and other budgetary decisions limiting or delaying federal government spending, could reduce government IT spending on our products and services and adversely affect our revenue.</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an other-than-temporary decline in fair value, requiring impairment charges that could adversely affect our financial results.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Changes in our sales organization may impact revenues. </w:t>
      </w:r>
      <w:r>
        <w:rPr>
          <w:rFonts w:ascii="Arial" w:cs="Arial" w:eastAsia="Arial" w:hAnsi="Arial"/>
          <w:sz w:val="18"/>
          <w:szCs w:val="18"/>
          <w:color w:val="auto"/>
        </w:rPr>
        <w:t>In July 2017, we announced plans to reorganize our global sales organization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enable customers’ digital transformation, add greater technical ability to our sales force, and create pooled resources that can be used across countries and industries. The reorganization is the most significant change in our global sales organization in our history, involving employees changing roles, adding additional talent, realigning teams, and onboarding new partners. Successfully executing these changes will be a significant factor in enabling future revenue growth. As we continue to navigate through this transition, sales, profitability, and cash flow could be adversely impacted.</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internet of things presents security, privacy, and execution risks. </w:t>
      </w:r>
      <w:r>
        <w:rPr>
          <w:rFonts w:ascii="Arial" w:cs="Arial" w:eastAsia="Arial" w:hAnsi="Arial"/>
          <w:sz w:val="18"/>
          <w:szCs w:val="18"/>
          <w:color w:val="auto"/>
        </w:rPr>
        <w:t>To support the growth of the intelligent cloud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ind w:left="5500"/>
        <w:spacing w:after="0"/>
        <w:rPr>
          <w:sz w:val="20"/>
          <w:szCs w:val="20"/>
          <w:color w:val="auto"/>
        </w:rPr>
      </w:pPr>
      <w:r>
        <w:rPr>
          <w:rFonts w:ascii="Arial" w:cs="Arial" w:eastAsia="Arial" w:hAnsi="Arial"/>
          <w:sz w:val="14"/>
          <w:szCs w:val="14"/>
          <w:u w:val="single" w:color="auto"/>
          <w:color w:val="auto"/>
        </w:rPr>
        <w:t>PART I</w:t>
      </w: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Issues in the use of artificial intelligence in our offerings may result in reputational harm or liability</w:t>
      </w:r>
      <w:r>
        <w:rPr>
          <w:rFonts w:ascii="Arial" w:cs="Arial" w:eastAsia="Arial" w:hAnsi="Arial"/>
          <w:sz w:val="18"/>
          <w:szCs w:val="18"/>
          <w:color w:val="auto"/>
        </w:rPr>
        <w:t>. We are building AI into many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offerings and we expect this element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Inappropriate or controversial data practices by Microsoft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brand or reputational harm.</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 globally</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supply chain practices, or human rights record. We may experience backlash from customers, government entities,</w:t>
      </w:r>
    </w:p>
    <w:p>
      <w:pPr>
        <w:jc w:val="both"/>
        <w:ind w:right="20"/>
        <w:spacing w:after="0" w:line="264" w:lineRule="auto"/>
        <w:rPr>
          <w:sz w:val="20"/>
          <w:szCs w:val="20"/>
          <w:color w:val="auto"/>
        </w:rPr>
      </w:pPr>
      <w:r>
        <w:rPr>
          <w:rFonts w:ascii="Arial" w:cs="Arial" w:eastAsia="Arial" w:hAnsi="Arial"/>
          <w:sz w:val="18"/>
          <w:szCs w:val="18"/>
          <w:color w:val="auto"/>
        </w:rPr>
        <w:t xml:space="preserve">advocacy groups, employees, and other stakeholders that disagree with </w:t>
      </w:r>
      <w:r>
        <w:rPr>
          <w:rFonts w:ascii="Arial" w:cs="Arial" w:eastAsia="Arial" w:hAnsi="Arial"/>
          <w:sz w:val="19"/>
          <w:szCs w:val="19"/>
          <w:color w:val="auto"/>
        </w:rPr>
        <w:t>our</w:t>
      </w:r>
      <w:r>
        <w:rPr>
          <w:rFonts w:ascii="Arial" w:cs="Arial" w:eastAsia="Arial" w:hAnsi="Arial"/>
          <w:sz w:val="18"/>
          <w:szCs w:val="18"/>
          <w:color w:val="auto"/>
        </w:rPr>
        <w:t xml:space="preserve"> product offering decisions or public policy positions. Damage to our reputation or our brands may occur from, among other things:</w:t>
      </w:r>
    </w:p>
    <w:p>
      <w:pPr>
        <w:spacing w:after="0" w:line="32" w:lineRule="exact"/>
        <w:rPr>
          <w:sz w:val="20"/>
          <w:szCs w:val="20"/>
          <w:color w:val="auto"/>
        </w:rPr>
      </w:pPr>
    </w:p>
    <w:p>
      <w:pPr>
        <w:ind w:left="1080" w:hanging="397"/>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63" w:lineRule="exact"/>
        <w:rPr>
          <w:rFonts w:ascii="Arial" w:cs="Arial" w:eastAsia="Arial" w:hAnsi="Arial"/>
          <w:sz w:val="18"/>
          <w:szCs w:val="18"/>
          <w:color w:val="auto"/>
        </w:rPr>
      </w:pPr>
    </w:p>
    <w:p>
      <w:pPr>
        <w:ind w:left="1080" w:hanging="397"/>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63" w:lineRule="exact"/>
        <w:rPr>
          <w:rFonts w:ascii="Arial" w:cs="Arial" w:eastAsia="Arial" w:hAnsi="Arial"/>
          <w:sz w:val="18"/>
          <w:szCs w:val="18"/>
          <w:color w:val="auto"/>
        </w:rPr>
      </w:pPr>
    </w:p>
    <w:p>
      <w:pPr>
        <w:ind w:left="1080" w:hanging="397"/>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u w:val="single" w:color="auto"/>
          <w:color w:val="auto"/>
        </w:rPr>
        <w:t>PART I</w:t>
      </w:r>
    </w:p>
    <w:p>
      <w:pPr>
        <w:jc w:val="center"/>
        <w:spacing w:after="0"/>
        <w:rPr>
          <w:sz w:val="20"/>
          <w:szCs w:val="20"/>
          <w:color w:val="auto"/>
        </w:rPr>
      </w:pPr>
      <w:r>
        <w:rPr>
          <w:rFonts w:ascii="Arial" w:cs="Arial" w:eastAsia="Arial" w:hAnsi="Arial"/>
          <w:sz w:val="14"/>
          <w:szCs w:val="14"/>
          <w:color w:val="auto"/>
        </w:rPr>
        <w:t>Item 1B, 2, 3,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1B. UNRESOLVED STAFF COMMENTS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Securities and Exchange Commission that were issued 180 days or more preceding the end of our fiscal year 2018 that remain unresolved.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PROPERTIES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corporate headquarters are located in Redmond, Washington. We have approximately 15 million square feet of space located in King County, Washington that is used for engineering, sales, marketing, and operations, among other general and administrative purposes. These facilities include approximately 10 million square feet of owned space situated on approximately 540 acres of land we own at our corporate headquarters, and approximately five million square feet of space we lease. In addition, we own and lease space domestically that includes office, datacenter, and retail space.</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own and lease facilities internationally. The largest owned properties include: our research and development centers in China and India; our datacenters in Ireland, Singapore, and the Netherlands; and our operations and facilities in Ireland and the United Kingdom. The largest leased properties include space in the following locations: India, China, France, the United Kingdom, Canada, Australia, Germany, and Japan.</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the above locations, we have various product development facilities, both domestically and internationally, as described under Research and Development (Part I, Item 1 of this Form 10-K).</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table below shows a summary of the square footage of our office, datacenter, retail, and other facilities owned and leased domestically and internationally as of June 30, 2018:</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(Square feet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Owned</w:t>
            </w:r>
          </w:p>
        </w:tc>
        <w:tc>
          <w:tcPr>
            <w:tcW w:w="1440" w:type="dxa"/>
            <w:vAlign w:val="bottom"/>
            <w:gridSpan w:val="2"/>
          </w:tcPr>
          <w:p>
            <w:pPr>
              <w:ind w:left="760"/>
              <w:spacing w:after="0"/>
              <w:rPr>
                <w:sz w:val="20"/>
                <w:szCs w:val="20"/>
                <w:color w:val="auto"/>
              </w:rPr>
            </w:pPr>
            <w:r>
              <w:rPr>
                <w:rFonts w:ascii="Arial" w:cs="Arial" w:eastAsia="Arial" w:hAnsi="Arial"/>
                <w:sz w:val="14"/>
                <w:szCs w:val="14"/>
                <w:b w:val="1"/>
                <w:bCs w:val="1"/>
                <w:color w:val="auto"/>
              </w:rPr>
              <w:t>Leased</w:t>
            </w:r>
          </w:p>
        </w:tc>
        <w:tc>
          <w:tcPr>
            <w:tcW w:w="1360" w:type="dxa"/>
            <w:vAlign w:val="bottom"/>
            <w:gridSpan w:val="2"/>
          </w:tcPr>
          <w:p>
            <w:pPr>
              <w:ind w:left="9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1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18</w:t>
            </w:r>
          </w:p>
        </w:tc>
        <w:tc>
          <w:tcPr>
            <w:tcW w:w="1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13</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International</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24</w:t>
            </w:r>
          </w:p>
        </w:tc>
        <w:tc>
          <w:tcPr>
            <w:tcW w:w="1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26</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8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LEGAL PROCEEDINGS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While not material to the Company, the Company makes the following annual report of the general activities of the Company’s Antitrust Compliance Office as required by the Final Order and Judgment in </w:t>
      </w:r>
      <w:r>
        <w:rPr>
          <w:rFonts w:ascii="Arial" w:cs="Arial" w:eastAsia="Arial" w:hAnsi="Arial"/>
          <w:sz w:val="18"/>
          <w:szCs w:val="18"/>
          <w:i w:val="1"/>
          <w:iCs w:val="1"/>
          <w:color w:val="auto"/>
        </w:rPr>
        <w:t>Barovic v. Ballmer et al,</w:t>
      </w:r>
      <w:r>
        <w:rPr>
          <w:rFonts w:ascii="Arial" w:cs="Arial" w:eastAsia="Arial" w:hAnsi="Arial"/>
          <w:sz w:val="18"/>
          <w:szCs w:val="18"/>
          <w:color w:val="auto"/>
        </w:rPr>
        <w:t xml:space="preserve"> United States District Court for the Western District of Washington (“Final Order”). For more information see http://aka.ms/MSLegalNotice2015. These annual reports will continue through 2020. During fiscal year 2018, the Antitrust Compliance Office (a) monitored the Company’s compliance with the European Commission Decision of March 24, 2004, (“2004 Decision”) and with the Company’s Public Undertaking to the European Commission dated December 16, 2009 (“2009 Undertaking”); (b) monitored, in the manner required by the Final Order, employee, customer, competitor, regulator, or other third-party complaints regarding compliance with the 2004 Decision, the 2009 Undertaking, or other EU or U.S. laws or regulations governing tying, bundling, and exclusive dealing contracts; and, (c) monitored, in the manner required by the Final Order, the training of the Company’s employees regarding the Company’s antitrust compliance polices. In addition, the Antitrust Compliance Officer reports to the Regulatory and Public Policy Committee of the Board at each of its regularly scheduled meetings and to the full Board annually.</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17 – Contingencies of the Notes to Financial Statements (Part II, Item 8 of this Form 10-K)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 w:name="page30"/>
    <w:bookmarkEnd w:id="29"/>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5</w:t>
      </w:r>
    </w:p>
    <w:p>
      <w:pPr>
        <w:spacing w:after="0" w:line="16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MARKET AND STOCKHOLDERS</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common stock is traded on the NASDAQ Stock Market under the symbol MSFT. On July 31, 2018, there were 97,535 registered holders of record of our common stock. The high and low common stock sales prices per share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2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55"/>
        </w:trPr>
        <w:tc>
          <w:tcPr>
            <w:tcW w:w="3500" w:type="dxa"/>
            <w:vAlign w:val="bottom"/>
            <w:tcBorders>
              <w:bottom w:val="single" w:sz="8" w:color="auto"/>
            </w:tcBorders>
            <w:gridSpan w:val="2"/>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Fiscal Year 2018</w:t>
            </w:r>
          </w:p>
        </w:tc>
        <w:tc>
          <w:tcPr>
            <w:tcW w:w="2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4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High</w:t>
            </w:r>
          </w:p>
        </w:tc>
        <w:tc>
          <w:tcPr>
            <w:tcW w:w="26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75.97</w:t>
            </w:r>
          </w:p>
        </w:tc>
        <w:tc>
          <w:tcPr>
            <w:tcW w:w="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87.50</w:t>
            </w:r>
          </w:p>
        </w:tc>
        <w:tc>
          <w:tcPr>
            <w:tcW w:w="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97.24</w:t>
            </w:r>
          </w:p>
        </w:tc>
        <w:tc>
          <w:tcPr>
            <w:tcW w:w="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102.69</w:t>
            </w:r>
          </w:p>
        </w:tc>
        <w:tc>
          <w:tcPr>
            <w:tcW w:w="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102.69</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Low</w:t>
            </w:r>
          </w:p>
        </w:tc>
        <w:tc>
          <w:tcPr>
            <w:tcW w:w="2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73.71</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83.83</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87.51</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Fiscal Year 2017</w:t>
            </w:r>
          </w:p>
        </w:tc>
        <w:tc>
          <w:tcPr>
            <w:tcW w:w="2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High</w:t>
            </w:r>
          </w:p>
        </w:tc>
        <w:tc>
          <w:tcPr>
            <w:tcW w:w="26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58.70</w:t>
            </w:r>
          </w:p>
        </w:tc>
        <w:tc>
          <w:tcPr>
            <w:tcW w:w="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64.10</w:t>
            </w:r>
          </w:p>
        </w:tc>
        <w:tc>
          <w:tcPr>
            <w:tcW w:w="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66.19</w:t>
            </w:r>
          </w:p>
        </w:tc>
        <w:tc>
          <w:tcPr>
            <w:tcW w:w="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72.89</w:t>
            </w:r>
          </w:p>
        </w:tc>
        <w:tc>
          <w:tcPr>
            <w:tcW w:w="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72.89</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Low</w:t>
            </w:r>
          </w:p>
        </w:tc>
        <w:tc>
          <w:tcPr>
            <w:tcW w:w="2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56.32</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61.95</w:t>
            </w:r>
          </w:p>
        </w:tc>
        <w:tc>
          <w:tcPr>
            <w:tcW w:w="2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64.85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DIVIDENDS AND SHARE REPURCHASES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18 – Stockholders’ Equity of the Notes to Financial Statements (Part II, Item 8 of this Form 10-K) for further discussion regarding dividends and share repurchases. Following are our monthly stock repurchases for the fourth quarter of fiscal year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Shares Purchased as</w:t>
            </w:r>
          </w:p>
        </w:tc>
        <w:tc>
          <w:tcPr>
            <w:tcW w:w="26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 Number</w:t>
            </w:r>
          </w:p>
        </w:tc>
        <w:tc>
          <w:tcPr>
            <w:tcW w:w="3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Average</w:t>
            </w: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Part of Publicly</w:t>
            </w:r>
          </w:p>
        </w:tc>
        <w:tc>
          <w:tcPr>
            <w:tcW w:w="26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of Shares</w:t>
            </w:r>
          </w:p>
        </w:tc>
        <w:tc>
          <w:tcPr>
            <w:tcW w:w="3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Price Paid</w:t>
            </w: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Announced Plans</w:t>
            </w:r>
          </w:p>
        </w:tc>
        <w:tc>
          <w:tcPr>
            <w:tcW w:w="26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78"/>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 Share</w:t>
            </w:r>
          </w:p>
        </w:tc>
        <w:tc>
          <w:tcPr>
            <w:tcW w:w="1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or Programs</w:t>
            </w:r>
          </w:p>
        </w:tc>
        <w:tc>
          <w:tcPr>
            <w:tcW w:w="260" w:type="dxa"/>
            <w:vAlign w:val="bottom"/>
          </w:tcPr>
          <w:p>
            <w:pPr>
              <w:spacing w:after="0"/>
              <w:rPr>
                <w:sz w:val="15"/>
                <w:szCs w:val="15"/>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April 1, 2018 – April 30, 2018</w:t>
            </w:r>
          </w:p>
        </w:tc>
        <w:tc>
          <w:tcPr>
            <w:tcW w:w="16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10,320,190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93.11</w:t>
            </w:r>
          </w:p>
        </w:tc>
        <w:tc>
          <w:tcPr>
            <w:tcW w:w="1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10,320,190</w:t>
            </w:r>
          </w:p>
        </w:tc>
        <w:tc>
          <w:tcPr>
            <w:tcW w:w="14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29,339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8"/>
                <w:szCs w:val="18"/>
                <w:color w:val="auto"/>
              </w:rPr>
              <w:t>May 1, 2018 – May 31, 2018</w:t>
            </w:r>
          </w:p>
        </w:tc>
        <w:tc>
          <w:tcPr>
            <w:tcW w:w="16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0</w:t>
            </w:r>
          </w:p>
        </w:tc>
        <w:tc>
          <w:tcPr>
            <w:tcW w:w="34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7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29,339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2018 – June 30, 2018</w:t>
            </w:r>
          </w:p>
        </w:tc>
        <w:tc>
          <w:tcPr>
            <w:tcW w:w="16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11,335,224</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100.49</w:t>
            </w:r>
          </w:p>
        </w:tc>
        <w:tc>
          <w:tcPr>
            <w:tcW w:w="1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11,335,224</w:t>
            </w:r>
          </w:p>
        </w:tc>
        <w:tc>
          <w:tcPr>
            <w:tcW w:w="1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28,200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21,655,414</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21,655,414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repurchases were made using cash resources. Our stock repurchases may occur through open market purchases or pursuant to a Rule 10b5-1 trading plan. The above table excludes shares repurchased to settle employee tax withholding related to the vesting of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0" w:name="page31"/>
    <w:bookmarkEnd w:id="30"/>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SELECTED FINANCIAL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HIGHLIGHTS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43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780" w:type="dxa"/>
            <w:vAlign w:val="bottom"/>
          </w:tcPr>
          <w:p>
            <w:pPr>
              <w:spacing w:after="0"/>
              <w:rPr>
                <w:sz w:val="15"/>
                <w:szCs w:val="15"/>
                <w:color w:val="auto"/>
              </w:rPr>
            </w:pPr>
          </w:p>
        </w:tc>
        <w:tc>
          <w:tcPr>
            <w:tcW w:w="11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1"/>
                <w:szCs w:val="11"/>
                <w:b w:val="1"/>
                <w:bCs w:val="1"/>
                <w:color w:val="auto"/>
              </w:rPr>
              <w:t>(b)(c)</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1"/>
                <w:szCs w:val="11"/>
                <w:b w:val="1"/>
                <w:bCs w:val="1"/>
                <w:color w:val="auto"/>
              </w:rPr>
              <w:t>(b)</w:t>
            </w:r>
          </w:p>
        </w:tc>
        <w:tc>
          <w:tcPr>
            <w:tcW w:w="380" w:type="dxa"/>
            <w:vAlign w:val="bottom"/>
          </w:tcPr>
          <w:p>
            <w:pPr>
              <w:spacing w:after="0"/>
              <w:rPr>
                <w:sz w:val="15"/>
                <w:szCs w:val="15"/>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1"/>
                <w:szCs w:val="11"/>
                <w:b w:val="1"/>
                <w:bCs w:val="1"/>
                <w:color w:val="auto"/>
              </w:rPr>
              <w:t>(h)</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78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110,360</w:t>
            </w:r>
          </w:p>
        </w:tc>
        <w:tc>
          <w:tcPr>
            <w:tcW w:w="4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272"/>
              <w:spacing w:after="0" w:line="202" w:lineRule="exact"/>
              <w:rPr>
                <w:sz w:val="20"/>
                <w:szCs w:val="20"/>
                <w:color w:val="auto"/>
              </w:rPr>
            </w:pPr>
            <w:r>
              <w:rPr>
                <w:rFonts w:ascii="Arial" w:cs="Arial" w:eastAsia="Arial" w:hAnsi="Arial"/>
                <w:sz w:val="18"/>
                <w:szCs w:val="18"/>
                <w:color w:val="auto"/>
              </w:rPr>
              <w:t>96,571</w:t>
            </w:r>
          </w:p>
        </w:tc>
        <w:tc>
          <w:tcPr>
            <w:tcW w:w="38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91,154</w:t>
            </w:r>
          </w:p>
        </w:tc>
        <w:tc>
          <w:tcPr>
            <w:tcW w:w="3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color w:val="auto"/>
              </w:rPr>
              <w:t>93,580</w:t>
            </w:r>
          </w:p>
        </w:tc>
        <w:tc>
          <w:tcPr>
            <w:tcW w:w="38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86,833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margin</w:t>
            </w:r>
          </w:p>
        </w:tc>
        <w:tc>
          <w:tcPr>
            <w:tcW w:w="7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72,007</w:t>
            </w:r>
          </w:p>
        </w:tc>
        <w:tc>
          <w:tcPr>
            <w:tcW w:w="420" w:type="dxa"/>
            <w:vAlign w:val="bottom"/>
          </w:tcPr>
          <w:p>
            <w:pPr>
              <w:spacing w:after="0"/>
              <w:rPr>
                <w:sz w:val="19"/>
                <w:szCs w:val="19"/>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62,310</w:t>
            </w:r>
          </w:p>
        </w:tc>
        <w:tc>
          <w:tcPr>
            <w:tcW w:w="3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58,374</w:t>
            </w:r>
          </w:p>
        </w:tc>
        <w:tc>
          <w:tcPr>
            <w:tcW w:w="38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60,542</w:t>
            </w:r>
          </w:p>
        </w:tc>
        <w:tc>
          <w:tcPr>
            <w:tcW w:w="38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59,755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780" w:type="dxa"/>
            <w:vAlign w:val="bottom"/>
            <w:shd w:val="clear" w:color="auto" w:fill="E5E5E5"/>
          </w:tcPr>
          <w:p>
            <w:pPr>
              <w:spacing w:after="0"/>
              <w:rPr>
                <w:sz w:val="17"/>
                <w:szCs w:val="17"/>
                <w:color w:val="auto"/>
              </w:rPr>
            </w:pPr>
          </w:p>
        </w:tc>
        <w:tc>
          <w:tcPr>
            <w:tcW w:w="110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35,058</w:t>
            </w:r>
          </w:p>
        </w:tc>
        <w:tc>
          <w:tcPr>
            <w:tcW w:w="42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132"/>
              <w:spacing w:after="0" w:line="203" w:lineRule="exact"/>
              <w:rPr>
                <w:sz w:val="20"/>
                <w:szCs w:val="20"/>
                <w:color w:val="auto"/>
              </w:rPr>
            </w:pPr>
            <w:r>
              <w:rPr>
                <w:rFonts w:ascii="Arial" w:cs="Arial" w:eastAsia="Arial" w:hAnsi="Arial"/>
                <w:sz w:val="18"/>
                <w:szCs w:val="18"/>
                <w:color w:val="auto"/>
              </w:rPr>
              <w:t>29,025</w:t>
            </w:r>
            <w:r>
              <w:rPr>
                <w:rFonts w:ascii="Arial" w:cs="Arial" w:eastAsia="Arial" w:hAnsi="Arial"/>
                <w:sz w:val="22"/>
                <w:szCs w:val="22"/>
                <w:color w:val="auto"/>
                <w:vertAlign w:val="superscript"/>
              </w:rPr>
              <w:t>(d)</w:t>
            </w:r>
          </w:p>
        </w:tc>
        <w:tc>
          <w:tcPr>
            <w:tcW w:w="38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26,078</w:t>
            </w:r>
            <w:r>
              <w:rPr>
                <w:rFonts w:ascii="Arial" w:cs="Arial" w:eastAsia="Arial" w:hAnsi="Arial"/>
                <w:sz w:val="22"/>
                <w:szCs w:val="22"/>
                <w:color w:val="auto"/>
                <w:vertAlign w:val="superscript"/>
              </w:rPr>
              <w:t>(e)</w:t>
            </w:r>
          </w:p>
        </w:tc>
        <w:tc>
          <w:tcPr>
            <w:tcW w:w="3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2"/>
              <w:spacing w:after="0" w:line="203" w:lineRule="exact"/>
              <w:rPr>
                <w:sz w:val="20"/>
                <w:szCs w:val="20"/>
                <w:color w:val="auto"/>
              </w:rPr>
            </w:pPr>
            <w:r>
              <w:rPr>
                <w:rFonts w:ascii="Arial" w:cs="Arial" w:eastAsia="Arial" w:hAnsi="Arial"/>
                <w:sz w:val="18"/>
                <w:szCs w:val="18"/>
                <w:color w:val="auto"/>
              </w:rPr>
              <w:t>18,161</w:t>
            </w:r>
            <w:r>
              <w:rPr>
                <w:rFonts w:ascii="Arial" w:cs="Arial" w:eastAsia="Arial" w:hAnsi="Arial"/>
                <w:sz w:val="22"/>
                <w:szCs w:val="22"/>
                <w:color w:val="auto"/>
                <w:vertAlign w:val="superscript"/>
              </w:rPr>
              <w:t>(g)</w:t>
            </w:r>
          </w:p>
        </w:tc>
        <w:tc>
          <w:tcPr>
            <w:tcW w:w="38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27,759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16,571</w:t>
            </w:r>
            <w:r>
              <w:rPr>
                <w:rFonts w:ascii="Arial" w:cs="Arial" w:eastAsia="Arial" w:hAnsi="Arial"/>
                <w:sz w:val="11"/>
                <w:szCs w:val="11"/>
                <w:b w:val="1"/>
                <w:bCs w:val="1"/>
                <w:color w:val="auto"/>
              </w:rPr>
              <w:t>(a)</w:t>
            </w:r>
          </w:p>
        </w:tc>
        <w:tc>
          <w:tcPr>
            <w:tcW w:w="420" w:type="dxa"/>
            <w:vAlign w:val="bottom"/>
          </w:tcPr>
          <w:p>
            <w:pPr>
              <w:spacing w:after="0"/>
              <w:rPr>
                <w:sz w:val="17"/>
                <w:szCs w:val="17"/>
                <w:color w:val="auto"/>
              </w:rPr>
            </w:pPr>
          </w:p>
        </w:tc>
        <w:tc>
          <w:tcPr>
            <w:tcW w:w="12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25,489</w:t>
            </w:r>
            <w:r>
              <w:rPr>
                <w:rFonts w:ascii="Arial" w:cs="Arial" w:eastAsia="Arial" w:hAnsi="Arial"/>
                <w:sz w:val="22"/>
                <w:szCs w:val="22"/>
                <w:color w:val="auto"/>
                <w:vertAlign w:val="superscript"/>
              </w:rPr>
              <w:t>(d)</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20,539</w:t>
            </w:r>
            <w:r>
              <w:rPr>
                <w:rFonts w:ascii="Arial" w:cs="Arial" w:eastAsia="Arial" w:hAnsi="Arial"/>
                <w:sz w:val="22"/>
                <w:szCs w:val="22"/>
                <w:color w:val="auto"/>
                <w:vertAlign w:val="superscript"/>
              </w:rPr>
              <w:t>(e)</w:t>
            </w:r>
          </w:p>
        </w:tc>
        <w:tc>
          <w:tcPr>
            <w:tcW w:w="380" w:type="dxa"/>
            <w:vAlign w:val="bottom"/>
          </w:tcPr>
          <w:p>
            <w:pPr>
              <w:spacing w:after="0"/>
              <w:rPr>
                <w:sz w:val="17"/>
                <w:szCs w:val="17"/>
                <w:color w:val="auto"/>
              </w:rPr>
            </w:pPr>
          </w:p>
        </w:tc>
        <w:tc>
          <w:tcPr>
            <w:tcW w:w="10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12,193</w:t>
            </w:r>
            <w:r>
              <w:rPr>
                <w:rFonts w:ascii="Arial" w:cs="Arial" w:eastAsia="Arial" w:hAnsi="Arial"/>
                <w:sz w:val="22"/>
                <w:szCs w:val="22"/>
                <w:color w:val="auto"/>
                <w:vertAlign w:val="superscript"/>
              </w:rPr>
              <w:t>(g)</w:t>
            </w:r>
          </w:p>
        </w:tc>
        <w:tc>
          <w:tcPr>
            <w:tcW w:w="380" w:type="dxa"/>
            <w:vAlign w:val="bottom"/>
          </w:tcPr>
          <w:p>
            <w:pPr>
              <w:spacing w:after="0"/>
              <w:rPr>
                <w:sz w:val="17"/>
                <w:szCs w:val="17"/>
                <w:color w:val="auto"/>
              </w:rPr>
            </w:pP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780" w:type="dxa"/>
            <w:vAlign w:val="bottom"/>
            <w:shd w:val="clear" w:color="auto" w:fill="E5E5E5"/>
          </w:tcPr>
          <w:p>
            <w:pPr>
              <w:spacing w:after="0"/>
              <w:rPr>
                <w:sz w:val="17"/>
                <w:szCs w:val="17"/>
                <w:color w:val="auto"/>
              </w:rPr>
            </w:pPr>
          </w:p>
        </w:tc>
        <w:tc>
          <w:tcPr>
            <w:tcW w:w="110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b w:val="1"/>
                <w:bCs w:val="1"/>
                <w:color w:val="auto"/>
              </w:rPr>
              <w:t>2.13</w:t>
            </w:r>
            <w:r>
              <w:rPr>
                <w:rFonts w:ascii="Arial" w:cs="Arial" w:eastAsia="Arial" w:hAnsi="Arial"/>
                <w:sz w:val="11"/>
                <w:szCs w:val="11"/>
                <w:b w:val="1"/>
                <w:bCs w:val="1"/>
                <w:color w:val="auto"/>
              </w:rPr>
              <w:t>(a)</w:t>
            </w:r>
          </w:p>
        </w:tc>
        <w:tc>
          <w:tcPr>
            <w:tcW w:w="42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132"/>
              <w:spacing w:after="0" w:line="203" w:lineRule="exact"/>
              <w:rPr>
                <w:sz w:val="20"/>
                <w:szCs w:val="20"/>
                <w:color w:val="auto"/>
              </w:rPr>
            </w:pPr>
            <w:r>
              <w:rPr>
                <w:rFonts w:ascii="Arial" w:cs="Arial" w:eastAsia="Arial" w:hAnsi="Arial"/>
                <w:sz w:val="18"/>
                <w:szCs w:val="18"/>
                <w:color w:val="auto"/>
              </w:rPr>
              <w:t>3.25</w:t>
            </w:r>
            <w:r>
              <w:rPr>
                <w:rFonts w:ascii="Arial" w:cs="Arial" w:eastAsia="Arial" w:hAnsi="Arial"/>
                <w:sz w:val="22"/>
                <w:szCs w:val="22"/>
                <w:color w:val="auto"/>
                <w:vertAlign w:val="superscript"/>
              </w:rPr>
              <w:t>(d)</w:t>
            </w:r>
          </w:p>
        </w:tc>
        <w:tc>
          <w:tcPr>
            <w:tcW w:w="38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2.56</w:t>
            </w:r>
            <w:r>
              <w:rPr>
                <w:rFonts w:ascii="Arial" w:cs="Arial" w:eastAsia="Arial" w:hAnsi="Arial"/>
                <w:sz w:val="22"/>
                <w:szCs w:val="22"/>
                <w:color w:val="auto"/>
                <w:vertAlign w:val="superscript"/>
              </w:rPr>
              <w:t>(e)</w:t>
            </w:r>
          </w:p>
        </w:tc>
        <w:tc>
          <w:tcPr>
            <w:tcW w:w="3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2"/>
              <w:spacing w:after="0" w:line="203" w:lineRule="exact"/>
              <w:rPr>
                <w:sz w:val="20"/>
                <w:szCs w:val="20"/>
                <w:color w:val="auto"/>
              </w:rPr>
            </w:pPr>
            <w:r>
              <w:rPr>
                <w:rFonts w:ascii="Arial" w:cs="Arial" w:eastAsia="Arial" w:hAnsi="Arial"/>
                <w:sz w:val="18"/>
                <w:szCs w:val="18"/>
                <w:color w:val="auto"/>
              </w:rPr>
              <w:t>1.48</w:t>
            </w:r>
            <w:r>
              <w:rPr>
                <w:rFonts w:ascii="Arial" w:cs="Arial" w:eastAsia="Arial" w:hAnsi="Arial"/>
                <w:sz w:val="22"/>
                <w:szCs w:val="22"/>
                <w:color w:val="auto"/>
                <w:vertAlign w:val="superscript"/>
              </w:rPr>
              <w:t>(g)</w:t>
            </w:r>
          </w:p>
        </w:tc>
        <w:tc>
          <w:tcPr>
            <w:tcW w:w="38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Cash dividends declared per share</w:t>
            </w:r>
          </w:p>
        </w:tc>
        <w:tc>
          <w:tcPr>
            <w:tcW w:w="780" w:type="dxa"/>
            <w:vAlign w:val="bottom"/>
          </w:tcPr>
          <w:p>
            <w:pPr>
              <w:spacing w:after="0"/>
              <w:rPr>
                <w:sz w:val="17"/>
                <w:szCs w:val="17"/>
                <w:color w:val="auto"/>
              </w:rPr>
            </w:pP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1.68</w:t>
            </w:r>
          </w:p>
        </w:tc>
        <w:tc>
          <w:tcPr>
            <w:tcW w:w="420" w:type="dxa"/>
            <w:vAlign w:val="bottom"/>
          </w:tcPr>
          <w:p>
            <w:pPr>
              <w:spacing w:after="0"/>
              <w:rPr>
                <w:sz w:val="17"/>
                <w:szCs w:val="17"/>
                <w:color w:val="auto"/>
              </w:rPr>
            </w:pPr>
          </w:p>
        </w:tc>
        <w:tc>
          <w:tcPr>
            <w:tcW w:w="12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1.56</w:t>
            </w:r>
          </w:p>
        </w:tc>
        <w:tc>
          <w:tcPr>
            <w:tcW w:w="38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1.44</w:t>
            </w:r>
          </w:p>
        </w:tc>
        <w:tc>
          <w:tcPr>
            <w:tcW w:w="38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1.24</w:t>
            </w:r>
          </w:p>
        </w:tc>
        <w:tc>
          <w:tcPr>
            <w:tcW w:w="380" w:type="dxa"/>
            <w:vAlign w:val="bottom"/>
          </w:tcPr>
          <w:p>
            <w:pPr>
              <w:spacing w:after="0"/>
              <w:rPr>
                <w:sz w:val="17"/>
                <w:szCs w:val="17"/>
                <w:color w:val="auto"/>
              </w:rPr>
            </w:pP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Cash, cash equivalents, and short-term</w:t>
            </w:r>
          </w:p>
        </w:tc>
        <w:tc>
          <w:tcPr>
            <w:tcW w:w="780" w:type="dxa"/>
            <w:vAlign w:val="bottom"/>
            <w:shd w:val="clear" w:color="auto" w:fill="E5E5E5"/>
          </w:tcPr>
          <w:p>
            <w:pPr>
              <w:spacing w:after="0"/>
              <w:rPr>
                <w:sz w:val="17"/>
                <w:szCs w:val="17"/>
                <w:color w:val="auto"/>
              </w:rPr>
            </w:pPr>
          </w:p>
        </w:tc>
        <w:tc>
          <w:tcPr>
            <w:tcW w:w="1100" w:type="dxa"/>
            <w:vAlign w:val="bottom"/>
            <w:vMerge w:val="restart"/>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133,768</w:t>
            </w:r>
          </w:p>
        </w:tc>
        <w:tc>
          <w:tcPr>
            <w:tcW w:w="42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investments</w:t>
            </w:r>
          </w:p>
        </w:tc>
        <w:tc>
          <w:tcPr>
            <w:tcW w:w="780" w:type="dxa"/>
            <w:vAlign w:val="bottom"/>
            <w:shd w:val="clear" w:color="auto" w:fill="E5E5E5"/>
          </w:tcPr>
          <w:p>
            <w:pPr>
              <w:spacing w:after="0"/>
              <w:rPr>
                <w:sz w:val="17"/>
                <w:szCs w:val="17"/>
                <w:color w:val="auto"/>
              </w:rPr>
            </w:pPr>
          </w:p>
        </w:tc>
        <w:tc>
          <w:tcPr>
            <w:tcW w:w="1100" w:type="dxa"/>
            <w:vAlign w:val="bottom"/>
            <w:vMerge w:val="continue"/>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272"/>
              <w:spacing w:after="0" w:line="203" w:lineRule="exact"/>
              <w:rPr>
                <w:sz w:val="20"/>
                <w:szCs w:val="20"/>
                <w:color w:val="auto"/>
              </w:rPr>
            </w:pPr>
            <w:r>
              <w:rPr>
                <w:rFonts w:ascii="Arial" w:cs="Arial" w:eastAsia="Arial" w:hAnsi="Arial"/>
                <w:sz w:val="18"/>
                <w:szCs w:val="18"/>
                <w:color w:val="auto"/>
              </w:rPr>
              <w:t>132,981</w:t>
            </w:r>
          </w:p>
        </w:tc>
        <w:tc>
          <w:tcPr>
            <w:tcW w:w="38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32"/>
              <w:spacing w:after="0" w:line="203" w:lineRule="exact"/>
              <w:rPr>
                <w:sz w:val="20"/>
                <w:szCs w:val="20"/>
                <w:color w:val="auto"/>
              </w:rPr>
            </w:pPr>
            <w:r>
              <w:rPr>
                <w:rFonts w:ascii="Arial" w:cs="Arial" w:eastAsia="Arial" w:hAnsi="Arial"/>
                <w:sz w:val="18"/>
                <w:szCs w:val="18"/>
                <w:color w:val="auto"/>
              </w:rPr>
              <w:t>113,240</w:t>
            </w:r>
          </w:p>
        </w:tc>
        <w:tc>
          <w:tcPr>
            <w:tcW w:w="3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52"/>
              <w:spacing w:after="0" w:line="203" w:lineRule="exact"/>
              <w:rPr>
                <w:sz w:val="20"/>
                <w:szCs w:val="20"/>
                <w:color w:val="auto"/>
              </w:rPr>
            </w:pPr>
            <w:r>
              <w:rPr>
                <w:rFonts w:ascii="Arial" w:cs="Arial" w:eastAsia="Arial" w:hAnsi="Arial"/>
                <w:sz w:val="18"/>
                <w:szCs w:val="18"/>
                <w:color w:val="auto"/>
              </w:rPr>
              <w:t>96,526</w:t>
            </w:r>
          </w:p>
        </w:tc>
        <w:tc>
          <w:tcPr>
            <w:tcW w:w="38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72"/>
              <w:spacing w:after="0" w:line="203" w:lineRule="exact"/>
              <w:rPr>
                <w:sz w:val="20"/>
                <w:szCs w:val="20"/>
                <w:color w:val="auto"/>
              </w:rPr>
            </w:pPr>
            <w:r>
              <w:rPr>
                <w:rFonts w:ascii="Arial" w:cs="Arial" w:eastAsia="Arial" w:hAnsi="Arial"/>
                <w:sz w:val="18"/>
                <w:szCs w:val="18"/>
                <w:color w:val="auto"/>
              </w:rPr>
              <w:t>85,709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7"/>
                <w:szCs w:val="17"/>
                <w:color w:val="auto"/>
              </w:rPr>
            </w:pP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258,848</w:t>
            </w:r>
          </w:p>
        </w:tc>
        <w:tc>
          <w:tcPr>
            <w:tcW w:w="420" w:type="dxa"/>
            <w:vAlign w:val="bottom"/>
          </w:tcPr>
          <w:p>
            <w:pPr>
              <w:spacing w:after="0"/>
              <w:rPr>
                <w:sz w:val="17"/>
                <w:szCs w:val="17"/>
                <w:color w:val="auto"/>
              </w:rPr>
            </w:pPr>
          </w:p>
        </w:tc>
        <w:tc>
          <w:tcPr>
            <w:tcW w:w="12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250,312</w:t>
            </w:r>
          </w:p>
        </w:tc>
        <w:tc>
          <w:tcPr>
            <w:tcW w:w="3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202,897</w:t>
            </w:r>
            <w:r>
              <w:rPr>
                <w:rFonts w:ascii="Arial" w:cs="Arial" w:eastAsia="Arial" w:hAnsi="Arial"/>
                <w:sz w:val="22"/>
                <w:szCs w:val="22"/>
                <w:color w:val="auto"/>
                <w:vertAlign w:val="superscript"/>
              </w:rPr>
              <w:t>(f)</w:t>
            </w:r>
          </w:p>
        </w:tc>
        <w:tc>
          <w:tcPr>
            <w:tcW w:w="380" w:type="dxa"/>
            <w:vAlign w:val="bottom"/>
          </w:tcPr>
          <w:p>
            <w:pPr>
              <w:spacing w:after="0"/>
              <w:rPr>
                <w:sz w:val="17"/>
                <w:szCs w:val="17"/>
                <w:color w:val="auto"/>
              </w:rPr>
            </w:pPr>
          </w:p>
        </w:tc>
        <w:tc>
          <w:tcPr>
            <w:tcW w:w="1080" w:type="dxa"/>
            <w:vAlign w:val="bottom"/>
          </w:tcPr>
          <w:p>
            <w:pPr>
              <w:jc w:val="right"/>
              <w:ind w:right="52"/>
              <w:spacing w:after="0" w:line="203" w:lineRule="exact"/>
              <w:rPr>
                <w:sz w:val="20"/>
                <w:szCs w:val="20"/>
                <w:color w:val="auto"/>
              </w:rPr>
            </w:pPr>
            <w:r>
              <w:rPr>
                <w:rFonts w:ascii="Arial" w:cs="Arial" w:eastAsia="Arial" w:hAnsi="Arial"/>
                <w:sz w:val="18"/>
                <w:szCs w:val="18"/>
                <w:color w:val="auto"/>
              </w:rPr>
              <w:t>174,303</w:t>
            </w:r>
            <w:r>
              <w:rPr>
                <w:rFonts w:ascii="Arial" w:cs="Arial" w:eastAsia="Arial" w:hAnsi="Arial"/>
                <w:sz w:val="22"/>
                <w:szCs w:val="22"/>
                <w:color w:val="auto"/>
                <w:vertAlign w:val="superscript"/>
              </w:rPr>
              <w:t>(f)</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170,569</w:t>
            </w:r>
            <w:r>
              <w:rPr>
                <w:rFonts w:ascii="Arial" w:cs="Arial" w:eastAsia="Arial" w:hAnsi="Arial"/>
                <w:sz w:val="22"/>
                <w:szCs w:val="22"/>
                <w:color w:val="auto"/>
                <w:vertAlign w:val="superscript"/>
              </w:rPr>
              <w:t>(f)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obligations</w:t>
            </w:r>
          </w:p>
        </w:tc>
        <w:tc>
          <w:tcPr>
            <w:tcW w:w="780" w:type="dxa"/>
            <w:vAlign w:val="bottom"/>
            <w:shd w:val="clear" w:color="auto" w:fill="E5E5E5"/>
          </w:tcPr>
          <w:p>
            <w:pPr>
              <w:spacing w:after="0"/>
              <w:rPr>
                <w:sz w:val="17"/>
                <w:szCs w:val="17"/>
                <w:color w:val="auto"/>
              </w:rPr>
            </w:pPr>
          </w:p>
        </w:tc>
        <w:tc>
          <w:tcPr>
            <w:tcW w:w="110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117,642</w:t>
            </w:r>
          </w:p>
        </w:tc>
        <w:tc>
          <w:tcPr>
            <w:tcW w:w="42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272"/>
              <w:spacing w:after="0" w:line="202" w:lineRule="exact"/>
              <w:rPr>
                <w:sz w:val="20"/>
                <w:szCs w:val="20"/>
                <w:color w:val="auto"/>
              </w:rPr>
            </w:pPr>
            <w:r>
              <w:rPr>
                <w:rFonts w:ascii="Arial" w:cs="Arial" w:eastAsia="Arial" w:hAnsi="Arial"/>
                <w:sz w:val="18"/>
                <w:szCs w:val="18"/>
                <w:color w:val="auto"/>
              </w:rPr>
              <w:t>106,856</w:t>
            </w:r>
          </w:p>
        </w:tc>
        <w:tc>
          <w:tcPr>
            <w:tcW w:w="38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32"/>
              <w:spacing w:after="0" w:line="203" w:lineRule="exact"/>
              <w:rPr>
                <w:sz w:val="20"/>
                <w:szCs w:val="20"/>
                <w:color w:val="auto"/>
              </w:rPr>
            </w:pPr>
            <w:r>
              <w:rPr>
                <w:rFonts w:ascii="Arial" w:cs="Arial" w:eastAsia="Arial" w:hAnsi="Arial"/>
                <w:sz w:val="18"/>
                <w:szCs w:val="18"/>
                <w:color w:val="auto"/>
              </w:rPr>
              <w:t>66,705</w:t>
            </w:r>
            <w:r>
              <w:rPr>
                <w:rFonts w:ascii="Arial" w:cs="Arial" w:eastAsia="Arial" w:hAnsi="Arial"/>
                <w:sz w:val="22"/>
                <w:szCs w:val="22"/>
                <w:color w:val="auto"/>
                <w:vertAlign w:val="superscript"/>
              </w:rPr>
              <w:t>(f)</w:t>
            </w:r>
          </w:p>
        </w:tc>
        <w:tc>
          <w:tcPr>
            <w:tcW w:w="3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52"/>
              <w:spacing w:after="0" w:line="203" w:lineRule="exact"/>
              <w:rPr>
                <w:sz w:val="20"/>
                <w:szCs w:val="20"/>
                <w:color w:val="auto"/>
              </w:rPr>
            </w:pPr>
            <w:r>
              <w:rPr>
                <w:rFonts w:ascii="Arial" w:cs="Arial" w:eastAsia="Arial" w:hAnsi="Arial"/>
                <w:sz w:val="18"/>
                <w:szCs w:val="18"/>
                <w:color w:val="auto"/>
              </w:rPr>
              <w:t>44,574</w:t>
            </w:r>
            <w:r>
              <w:rPr>
                <w:rFonts w:ascii="Arial" w:cs="Arial" w:eastAsia="Arial" w:hAnsi="Arial"/>
                <w:sz w:val="22"/>
                <w:szCs w:val="22"/>
                <w:color w:val="auto"/>
                <w:vertAlign w:val="superscript"/>
              </w:rPr>
              <w:t>(f)</w:t>
            </w:r>
          </w:p>
        </w:tc>
        <w:tc>
          <w:tcPr>
            <w:tcW w:w="38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35,285</w:t>
            </w:r>
            <w:r>
              <w:rPr>
                <w:rFonts w:ascii="Arial" w:cs="Arial" w:eastAsia="Arial" w:hAnsi="Arial"/>
                <w:sz w:val="22"/>
                <w:szCs w:val="22"/>
                <w:color w:val="auto"/>
                <w:vertAlign w:val="superscript"/>
              </w:rPr>
              <w:t>(f)</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tcPr>
          <w:p>
            <w:pPr>
              <w:spacing w:after="0"/>
              <w:rPr>
                <w:sz w:val="20"/>
                <w:szCs w:val="20"/>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82,718</w:t>
            </w:r>
          </w:p>
        </w:tc>
        <w:tc>
          <w:tcPr>
            <w:tcW w:w="420" w:type="dxa"/>
            <w:vAlign w:val="bottom"/>
          </w:tcPr>
          <w:p>
            <w:pPr>
              <w:spacing w:after="0"/>
              <w:rPr>
                <w:sz w:val="20"/>
                <w:szCs w:val="20"/>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87,711</w:t>
            </w:r>
          </w:p>
        </w:tc>
        <w:tc>
          <w:tcPr>
            <w:tcW w:w="3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83,090</w:t>
            </w:r>
          </w:p>
        </w:tc>
        <w:tc>
          <w:tcPr>
            <w:tcW w:w="380" w:type="dxa"/>
            <w:vAlign w:val="bottom"/>
          </w:tcPr>
          <w:p>
            <w:pPr>
              <w:spacing w:after="0"/>
              <w:rPr>
                <w:sz w:val="20"/>
                <w:szCs w:val="20"/>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80,083</w:t>
            </w:r>
          </w:p>
        </w:tc>
        <w:tc>
          <w:tcPr>
            <w:tcW w:w="38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89,784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3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87" w:lineRule="exact"/>
        <w:rPr>
          <w:sz w:val="20"/>
          <w:szCs w:val="20"/>
          <w:color w:val="auto"/>
        </w:rPr>
      </w:pPr>
    </w:p>
    <w:p>
      <w:pPr>
        <w:jc w:val="both"/>
        <w:ind w:left="540" w:hanging="532"/>
        <w:spacing w:after="0" w:line="24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Includes a $13.7 billion net charge related to the Tax Cuts and Jobs Act, which decreased net income and diluted earnings per share (“EPS”) by $13.7 billion and $1.75, respectively. Refer to Note 13 – Income Taxes of the Notes to Financial Statements (Part II, Item 8 of this Form 10-K) for further discussion.</w:t>
      </w:r>
    </w:p>
    <w:p>
      <w:pPr>
        <w:spacing w:after="0" w:line="2"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Reflects the impact of the adoption of new accounting standards in fiscal year 2018 related to revenue recognition and leases. Refer to Note 1 – Accounting Policies of the Notes to Financial Statements (Part II, Item 8 of this Form 10-K) for further discussion.</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On December 8, 2016, we acquired LinkedIn Corporation. LinkedIn has been included in our consolidated results of operations starting on the acquisition date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Includes $306 million of employee severance expenses primarily related to our sales and marketing restructuring plan, which decreased operating income, net income, and diluted EPS by $306 million, $243 million, and $0.04, respectively.</w:t>
      </w:r>
    </w:p>
    <w:p>
      <w:pPr>
        <w:spacing w:after="0" w:line="1"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Includes $630 million of asset impairment charges related to our Phone business, and $480 million of restructuring charges associated with our Phone business restructuring plans, which together decreased operating income, net income, and diluted EPS by $1.1 billion, $895 million, and $0.11, respectively.</w:t>
      </w:r>
    </w:p>
    <w:p>
      <w:pPr>
        <w:spacing w:after="0" w:line="2"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Reflects the impact of the adoption of the new accounting standard in fiscal year 2017 related to balance sheet classification of debt issuance costs.</w:t>
      </w:r>
    </w:p>
    <w:p>
      <w:pPr>
        <w:spacing w:after="0" w:line="1"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Includes $7.5 billion of goodwill and asset impairment charges related to our Phone business, and $2.5 billion of integration and restructuring expenses, primarily associated with our Phone business restructuring plans, which together decreased operating income, net income, and diluted EPS by $10.0 billion, $9.5 billion, and $1.15, respectively.</w:t>
      </w:r>
    </w:p>
    <w:p>
      <w:pPr>
        <w:spacing w:after="0" w:line="2"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On April 25, 2014, we acquired substantially all of Nokia Corporation’s Devices and Services business (“NDS”). NDS has been included in our consolidated results of operations starting on the acquisition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1" w:name="page32"/>
    <w:bookmarkEnd w:id="31"/>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158"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financial statements and the accompanying Notes to Financial Statements (Part II, Item 8 of this Form 10-K).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generate revenue by licensing and supporting an array of software products; offering a wide range of cloud-based and other services to people and businesses;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fiscal year 2018 compared with fiscal year 2017 included:</w:t>
      </w:r>
    </w:p>
    <w:p>
      <w:pPr>
        <w:spacing w:after="0" w:line="77" w:lineRule="exact"/>
        <w:rPr>
          <w:sz w:val="20"/>
          <w:szCs w:val="20"/>
          <w:color w:val="auto"/>
        </w:rPr>
      </w:pPr>
    </w:p>
    <w:p>
      <w:pPr>
        <w:ind w:left="1060" w:hanging="390"/>
        <w:spacing w:after="0" w:line="24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cloud revenue, which primarily comprises Microsoft Office 365 commercial, Microsoft Azure, Microsoft Dynamics 365, and other cloud properties, increased 56% to $23.2 billion.</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Commercial revenue increased 11%, driven by Office 365 commercial revenue growth of 41%.</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Consumer revenue increased 11% and Office 365 consumer subscribers increased to 31.4 million.</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LinkedIn contributed revenue of $5.3 billion, driven by strong momentum across all business lines.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Dynamics revenue increased 13%, driven by Dynamics 365 revenue growth of 65%.</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21%, driven by Azure revenue growth of 91%.</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Enterprise Services revenue increased 5%.</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5%, driven by OEM Pro revenue growth of 11%.</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Windows Commercial revenue increased 12%, driven by an increased volume of multi-year agreements.</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Gaming revenue increased 14%, driven by Xbox software and services revenue growth of 20%, mainly from third-party title strength.</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Microsoft Surface revenue increased 16%, driven by a higher mix of premium devices and an increase in volumes sold, due to the latest editions of Surface.</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16%, driven by higher revenue per search and search volume.</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June 4, 2018, we entered into a definitive agreement to acquire GitHub, Inc. for $7.5 billion in an all-stock transaction, which is expected to close by the end of the calendar year. On December 8, 2016, we completed our acquisition of LinkedIn Corporation for a total purchase price of $27.0 billion. LinkedIn has been included in our consolidated results of operations since the date of acquisition. Refer to Note 9 – Business Combinations of the Notes to Financial Statements (Part II, Item 8 of this Form 10-K) for further discussion.</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22, 2017, the Tax Cuts and Jobs Act (“TCJA”) was enacted into law, which significantly changes existing U.S. tax law and includes numerous provisions that affect our business. During fiscal year 2018, we recorded a net charge of $13.7 billion related to the TCJA. Refer to Note 13 – Income Taxes of the Notes to Financial Statements (Part II, Item 8 of this Form 10-K) for further discussion.</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adopted the new accounting standards for revenue recognition and leases effective July 1, 2017. These new standards had a material impact in our consolidated financial statements. Beginning in fiscal year 2018, our financial results reflect adoption of the standards with prior periods restated accordingly. Refer to Note 1 – Accounting Policies of the Notes to Financial Statements (Part II, Item 8 of this Form 10-K) for further discussion.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Strengthening of the U.S. dollar relative to certain foreign currencies throughout fiscal year 2017 negatively impacted reported revenue and reduced reported expenses from our international operations. This trend reversed in fiscal year 2018. Strengthening of foreign currencies relative to the U.S. dollar positively impacted reported revenue and increased reported expenses from our international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 Item 1A of this Form 10-K) for a discussion of these factors and other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our revenue to fluctuate quarterly and to be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reportable segments is contained in Note 21 – Segment Information and Geographic Data of the Notes to Financial Statements (Part II, Item 8 of this Form 10-K).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Change 2018</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Change 2017</w:t>
            </w:r>
          </w:p>
        </w:tc>
        <w:tc>
          <w:tcPr>
            <w:tcW w:w="0" w:type="dxa"/>
            <w:vAlign w:val="bottom"/>
          </w:tcPr>
          <w:p>
            <w:pPr>
              <w:spacing w:after="0"/>
              <w:rPr>
                <w:sz w:val="1"/>
                <w:szCs w:val="1"/>
                <w:color w:val="auto"/>
              </w:rPr>
            </w:pPr>
          </w:p>
        </w:tc>
      </w:tr>
      <w:tr>
        <w:trPr>
          <w:trHeight w:val="178"/>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86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5"/>
                <w:szCs w:val="15"/>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rPr>
              <w:t>Versus 2017</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Versus 2016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8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110,360</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96,571</w:t>
            </w:r>
          </w:p>
        </w:tc>
        <w:tc>
          <w:tcPr>
            <w:tcW w:w="44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52"/>
              <w:spacing w:after="0" w:line="189" w:lineRule="exact"/>
              <w:rPr>
                <w:sz w:val="20"/>
                <w:szCs w:val="20"/>
                <w:color w:val="auto"/>
              </w:rPr>
            </w:pPr>
            <w:r>
              <w:rPr>
                <w:rFonts w:ascii="Arial" w:cs="Arial" w:eastAsia="Arial" w:hAnsi="Arial"/>
                <w:sz w:val="18"/>
                <w:szCs w:val="18"/>
                <w:color w:val="auto"/>
              </w:rPr>
              <w:t>91,154</w:t>
            </w:r>
          </w:p>
        </w:tc>
        <w:tc>
          <w:tcPr>
            <w:tcW w:w="1360" w:type="dxa"/>
            <w:vAlign w:val="bottom"/>
            <w:shd w:val="clear" w:color="auto" w:fill="E5E5E5"/>
          </w:tcPr>
          <w:p>
            <w:pPr>
              <w:jc w:val="right"/>
              <w:ind w:right="176"/>
              <w:spacing w:after="0" w:line="189" w:lineRule="exact"/>
              <w:rPr>
                <w:sz w:val="20"/>
                <w:szCs w:val="20"/>
                <w:color w:val="auto"/>
              </w:rPr>
            </w:pPr>
            <w:r>
              <w:rPr>
                <w:rFonts w:ascii="Arial" w:cs="Arial" w:eastAsia="Arial" w:hAnsi="Arial"/>
                <w:sz w:val="18"/>
                <w:szCs w:val="18"/>
                <w:color w:val="auto"/>
              </w:rPr>
              <w:t>14%</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860" w:type="dxa"/>
            <w:vAlign w:val="bottom"/>
          </w:tcPr>
          <w:p>
            <w:pPr>
              <w:spacing w:after="0"/>
              <w:rPr>
                <w:sz w:val="16"/>
                <w:szCs w:val="16"/>
                <w:color w:val="auto"/>
              </w:rPr>
            </w:pPr>
          </w:p>
        </w:tc>
        <w:tc>
          <w:tcPr>
            <w:tcW w:w="980" w:type="dxa"/>
            <w:vAlign w:val="bottom"/>
          </w:tcPr>
          <w:p>
            <w:pPr>
              <w:jc w:val="right"/>
              <w:ind w:right="52"/>
              <w:spacing w:after="0" w:line="189" w:lineRule="exact"/>
              <w:rPr>
                <w:sz w:val="20"/>
                <w:szCs w:val="20"/>
                <w:color w:val="auto"/>
              </w:rPr>
            </w:pPr>
            <w:r>
              <w:rPr>
                <w:rFonts w:ascii="Arial" w:cs="Arial" w:eastAsia="Arial" w:hAnsi="Arial"/>
                <w:sz w:val="18"/>
                <w:szCs w:val="18"/>
                <w:b w:val="1"/>
                <w:bCs w:val="1"/>
                <w:color w:val="auto"/>
              </w:rPr>
              <w:t>72,007</w:t>
            </w:r>
          </w:p>
        </w:tc>
        <w:tc>
          <w:tcPr>
            <w:tcW w:w="460" w:type="dxa"/>
            <w:vAlign w:val="bottom"/>
          </w:tcPr>
          <w:p>
            <w:pPr>
              <w:spacing w:after="0"/>
              <w:rPr>
                <w:sz w:val="16"/>
                <w:szCs w:val="16"/>
                <w:color w:val="auto"/>
              </w:rPr>
            </w:pPr>
          </w:p>
        </w:tc>
        <w:tc>
          <w:tcPr>
            <w:tcW w:w="900" w:type="dxa"/>
            <w:vAlign w:val="bottom"/>
          </w:tcPr>
          <w:p>
            <w:pPr>
              <w:jc w:val="right"/>
              <w:ind w:right="12"/>
              <w:spacing w:after="0" w:line="189" w:lineRule="exact"/>
              <w:rPr>
                <w:sz w:val="20"/>
                <w:szCs w:val="20"/>
                <w:color w:val="auto"/>
              </w:rPr>
            </w:pPr>
            <w:r>
              <w:rPr>
                <w:rFonts w:ascii="Arial" w:cs="Arial" w:eastAsia="Arial" w:hAnsi="Arial"/>
                <w:sz w:val="18"/>
                <w:szCs w:val="18"/>
                <w:color w:val="auto"/>
              </w:rPr>
              <w:t>62,310</w:t>
            </w:r>
          </w:p>
        </w:tc>
        <w:tc>
          <w:tcPr>
            <w:tcW w:w="440" w:type="dxa"/>
            <w:vAlign w:val="bottom"/>
          </w:tcPr>
          <w:p>
            <w:pPr>
              <w:spacing w:after="0"/>
              <w:rPr>
                <w:sz w:val="16"/>
                <w:szCs w:val="16"/>
                <w:color w:val="auto"/>
              </w:rPr>
            </w:pPr>
          </w:p>
        </w:tc>
        <w:tc>
          <w:tcPr>
            <w:tcW w:w="1060" w:type="dxa"/>
            <w:vAlign w:val="bottom"/>
          </w:tcPr>
          <w:p>
            <w:pPr>
              <w:jc w:val="right"/>
              <w:ind w:right="152"/>
              <w:spacing w:after="0" w:line="189" w:lineRule="exact"/>
              <w:rPr>
                <w:sz w:val="20"/>
                <w:szCs w:val="20"/>
                <w:color w:val="auto"/>
              </w:rPr>
            </w:pPr>
            <w:r>
              <w:rPr>
                <w:rFonts w:ascii="Arial" w:cs="Arial" w:eastAsia="Arial" w:hAnsi="Arial"/>
                <w:sz w:val="18"/>
                <w:szCs w:val="18"/>
                <w:color w:val="auto"/>
              </w:rPr>
              <w:t>58,374</w:t>
            </w:r>
          </w:p>
        </w:tc>
        <w:tc>
          <w:tcPr>
            <w:tcW w:w="1360" w:type="dxa"/>
            <w:vAlign w:val="bottom"/>
          </w:tcPr>
          <w:p>
            <w:pPr>
              <w:jc w:val="right"/>
              <w:ind w:right="176"/>
              <w:spacing w:after="0" w:line="189" w:lineRule="exact"/>
              <w:rPr>
                <w:sz w:val="20"/>
                <w:szCs w:val="20"/>
                <w:color w:val="auto"/>
              </w:rPr>
            </w:pPr>
            <w:r>
              <w:rPr>
                <w:rFonts w:ascii="Arial" w:cs="Arial" w:eastAsia="Arial" w:hAnsi="Arial"/>
                <w:sz w:val="18"/>
                <w:szCs w:val="18"/>
                <w:color w:val="auto"/>
              </w:rPr>
              <w:t>16%</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86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35,058</w:t>
            </w:r>
          </w:p>
        </w:tc>
        <w:tc>
          <w:tcPr>
            <w:tcW w:w="46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29,025</w:t>
            </w:r>
          </w:p>
        </w:tc>
        <w:tc>
          <w:tcPr>
            <w:tcW w:w="4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52"/>
              <w:spacing w:after="0" w:line="189" w:lineRule="exact"/>
              <w:rPr>
                <w:sz w:val="20"/>
                <w:szCs w:val="20"/>
                <w:color w:val="auto"/>
              </w:rPr>
            </w:pPr>
            <w:r>
              <w:rPr>
                <w:rFonts w:ascii="Arial" w:cs="Arial" w:eastAsia="Arial" w:hAnsi="Arial"/>
                <w:sz w:val="18"/>
                <w:szCs w:val="18"/>
                <w:color w:val="auto"/>
              </w:rPr>
              <w:t>26,078</w:t>
            </w:r>
          </w:p>
        </w:tc>
        <w:tc>
          <w:tcPr>
            <w:tcW w:w="1360" w:type="dxa"/>
            <w:vAlign w:val="bottom"/>
            <w:shd w:val="clear" w:color="auto" w:fill="E5E5E5"/>
          </w:tcPr>
          <w:p>
            <w:pPr>
              <w:jc w:val="right"/>
              <w:ind w:right="176"/>
              <w:spacing w:after="0" w:line="189" w:lineRule="exact"/>
              <w:rPr>
                <w:sz w:val="20"/>
                <w:szCs w:val="20"/>
                <w:color w:val="auto"/>
              </w:rPr>
            </w:pPr>
            <w:r>
              <w:rPr>
                <w:rFonts w:ascii="Arial" w:cs="Arial" w:eastAsia="Arial" w:hAnsi="Arial"/>
                <w:sz w:val="18"/>
                <w:szCs w:val="18"/>
                <w:color w:val="auto"/>
              </w:rPr>
              <w:t>21%</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6"/>
                <w:szCs w:val="16"/>
                <w:color w:val="auto"/>
              </w:rPr>
            </w:pPr>
          </w:p>
        </w:tc>
        <w:tc>
          <w:tcPr>
            <w:tcW w:w="980" w:type="dxa"/>
            <w:vAlign w:val="bottom"/>
          </w:tcPr>
          <w:p>
            <w:pPr>
              <w:jc w:val="right"/>
              <w:ind w:right="52"/>
              <w:spacing w:after="0" w:line="189" w:lineRule="exact"/>
              <w:rPr>
                <w:sz w:val="20"/>
                <w:szCs w:val="20"/>
                <w:color w:val="auto"/>
              </w:rPr>
            </w:pPr>
            <w:r>
              <w:rPr>
                <w:rFonts w:ascii="Arial" w:cs="Arial" w:eastAsia="Arial" w:hAnsi="Arial"/>
                <w:sz w:val="18"/>
                <w:szCs w:val="18"/>
                <w:b w:val="1"/>
                <w:bCs w:val="1"/>
                <w:color w:val="auto"/>
              </w:rPr>
              <w:t>16,571</w:t>
            </w:r>
          </w:p>
        </w:tc>
        <w:tc>
          <w:tcPr>
            <w:tcW w:w="460" w:type="dxa"/>
            <w:vAlign w:val="bottom"/>
          </w:tcPr>
          <w:p>
            <w:pPr>
              <w:spacing w:after="0"/>
              <w:rPr>
                <w:sz w:val="16"/>
                <w:szCs w:val="16"/>
                <w:color w:val="auto"/>
              </w:rPr>
            </w:pPr>
          </w:p>
        </w:tc>
        <w:tc>
          <w:tcPr>
            <w:tcW w:w="900" w:type="dxa"/>
            <w:vAlign w:val="bottom"/>
          </w:tcPr>
          <w:p>
            <w:pPr>
              <w:jc w:val="right"/>
              <w:ind w:right="12"/>
              <w:spacing w:after="0" w:line="189" w:lineRule="exact"/>
              <w:rPr>
                <w:sz w:val="20"/>
                <w:szCs w:val="20"/>
                <w:color w:val="auto"/>
              </w:rPr>
            </w:pPr>
            <w:r>
              <w:rPr>
                <w:rFonts w:ascii="Arial" w:cs="Arial" w:eastAsia="Arial" w:hAnsi="Arial"/>
                <w:sz w:val="18"/>
                <w:szCs w:val="18"/>
                <w:color w:val="auto"/>
              </w:rPr>
              <w:t>25,489</w:t>
            </w:r>
          </w:p>
        </w:tc>
        <w:tc>
          <w:tcPr>
            <w:tcW w:w="440" w:type="dxa"/>
            <w:vAlign w:val="bottom"/>
          </w:tcPr>
          <w:p>
            <w:pPr>
              <w:spacing w:after="0"/>
              <w:rPr>
                <w:sz w:val="16"/>
                <w:szCs w:val="16"/>
                <w:color w:val="auto"/>
              </w:rPr>
            </w:pPr>
          </w:p>
        </w:tc>
        <w:tc>
          <w:tcPr>
            <w:tcW w:w="1060" w:type="dxa"/>
            <w:vAlign w:val="bottom"/>
          </w:tcPr>
          <w:p>
            <w:pPr>
              <w:jc w:val="right"/>
              <w:ind w:right="152"/>
              <w:spacing w:after="0" w:line="189" w:lineRule="exact"/>
              <w:rPr>
                <w:sz w:val="20"/>
                <w:szCs w:val="20"/>
                <w:color w:val="auto"/>
              </w:rPr>
            </w:pPr>
            <w:r>
              <w:rPr>
                <w:rFonts w:ascii="Arial" w:cs="Arial" w:eastAsia="Arial" w:hAnsi="Arial"/>
                <w:sz w:val="18"/>
                <w:szCs w:val="18"/>
                <w:color w:val="auto"/>
              </w:rPr>
              <w:t>20,539</w:t>
            </w:r>
          </w:p>
        </w:tc>
        <w:tc>
          <w:tcPr>
            <w:tcW w:w="1360" w:type="dxa"/>
            <w:vAlign w:val="bottom"/>
          </w:tcPr>
          <w:p>
            <w:pPr>
              <w:jc w:val="right"/>
              <w:ind w:right="176"/>
              <w:spacing w:after="0" w:line="189" w:lineRule="exact"/>
              <w:rPr>
                <w:sz w:val="20"/>
                <w:szCs w:val="20"/>
                <w:color w:val="auto"/>
              </w:rPr>
            </w:pPr>
            <w:r>
              <w:rPr>
                <w:rFonts w:ascii="Arial" w:cs="Arial" w:eastAsia="Arial" w:hAnsi="Arial"/>
                <w:sz w:val="18"/>
                <w:szCs w:val="18"/>
                <w:color w:val="auto"/>
              </w:rPr>
              <w:t>(35)%</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86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2.13</w:t>
            </w:r>
          </w:p>
        </w:tc>
        <w:tc>
          <w:tcPr>
            <w:tcW w:w="46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3.25</w:t>
            </w:r>
          </w:p>
        </w:tc>
        <w:tc>
          <w:tcPr>
            <w:tcW w:w="4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52"/>
              <w:spacing w:after="0" w:line="189" w:lineRule="exact"/>
              <w:rPr>
                <w:sz w:val="20"/>
                <w:szCs w:val="20"/>
                <w:color w:val="auto"/>
              </w:rPr>
            </w:pPr>
            <w:r>
              <w:rPr>
                <w:rFonts w:ascii="Arial" w:cs="Arial" w:eastAsia="Arial" w:hAnsi="Arial"/>
                <w:sz w:val="18"/>
                <w:szCs w:val="18"/>
                <w:color w:val="auto"/>
              </w:rPr>
              <w:t>2.56</w:t>
            </w:r>
          </w:p>
        </w:tc>
        <w:tc>
          <w:tcPr>
            <w:tcW w:w="1360" w:type="dxa"/>
            <w:vAlign w:val="bottom"/>
            <w:shd w:val="clear" w:color="auto" w:fill="E5E5E5"/>
          </w:tcPr>
          <w:p>
            <w:pPr>
              <w:jc w:val="right"/>
              <w:ind w:right="176"/>
              <w:spacing w:after="0" w:line="189" w:lineRule="exact"/>
              <w:rPr>
                <w:sz w:val="20"/>
                <w:szCs w:val="20"/>
                <w:color w:val="auto"/>
              </w:rPr>
            </w:pPr>
            <w:r>
              <w:rPr>
                <w:rFonts w:ascii="Arial" w:cs="Arial" w:eastAsia="Arial" w:hAnsi="Arial"/>
                <w:sz w:val="18"/>
                <w:szCs w:val="18"/>
                <w:color w:val="auto"/>
              </w:rPr>
              <w:t>(34)%</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86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35,058</w:t>
            </w:r>
          </w:p>
        </w:tc>
        <w:tc>
          <w:tcPr>
            <w:tcW w:w="46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29,331</w:t>
            </w:r>
          </w:p>
        </w:tc>
        <w:tc>
          <w:tcPr>
            <w:tcW w:w="4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27,188</w:t>
            </w: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20%</w:t>
            </w: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Adjusted net income</w:t>
            </w:r>
          </w:p>
        </w:tc>
        <w:tc>
          <w:tcPr>
            <w:tcW w:w="86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30,267</w:t>
            </w:r>
          </w:p>
        </w:tc>
        <w:tc>
          <w:tcPr>
            <w:tcW w:w="46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25,732</w:t>
            </w:r>
          </w:p>
        </w:tc>
        <w:tc>
          <w:tcPr>
            <w:tcW w:w="4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52"/>
              <w:spacing w:after="0" w:line="189" w:lineRule="exact"/>
              <w:rPr>
                <w:sz w:val="20"/>
                <w:szCs w:val="20"/>
                <w:color w:val="auto"/>
              </w:rPr>
            </w:pPr>
            <w:r>
              <w:rPr>
                <w:rFonts w:ascii="Arial" w:cs="Arial" w:eastAsia="Arial" w:hAnsi="Arial"/>
                <w:sz w:val="18"/>
                <w:szCs w:val="18"/>
                <w:color w:val="auto"/>
              </w:rPr>
              <w:t>21,434</w:t>
            </w:r>
          </w:p>
        </w:tc>
        <w:tc>
          <w:tcPr>
            <w:tcW w:w="1360" w:type="dxa"/>
            <w:vAlign w:val="bottom"/>
            <w:shd w:val="clear" w:color="auto" w:fill="E5E5E5"/>
          </w:tcPr>
          <w:p>
            <w:pPr>
              <w:jc w:val="right"/>
              <w:ind w:right="176"/>
              <w:spacing w:after="0" w:line="189" w:lineRule="exact"/>
              <w:rPr>
                <w:sz w:val="20"/>
                <w:szCs w:val="20"/>
                <w:color w:val="auto"/>
              </w:rPr>
            </w:pPr>
            <w:r>
              <w:rPr>
                <w:rFonts w:ascii="Arial" w:cs="Arial" w:eastAsia="Arial" w:hAnsi="Arial"/>
                <w:sz w:val="18"/>
                <w:szCs w:val="18"/>
                <w:color w:val="auto"/>
              </w:rPr>
              <w:t>18%</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diluted earnings per share</w:t>
            </w:r>
          </w:p>
        </w:tc>
        <w:tc>
          <w:tcPr>
            <w:tcW w:w="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3.88</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3.29</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2.67</w:t>
            </w: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Consolidated results of operations include LinkedIn results since the date of acquisition on December 8, 2016. Fiscal year 2018 includes a full period of LinkedIn results, whereas fiscal year 2017 only includes results from the date of acquisition.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Adjusted operating income, net income, and adjusted diluted earnings per share (“EPS”) exclude the net charge related to the TCJA, and impairment and restructuring expenses. Refer to the Non-GAAP Financial Measures section below for a reconciliation of our financial results reported in accordance with GAAP to non-GAAP 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increased $13.8 billion or 14%, driven by growth across each of our segments. Productivity and Business Processes revenue increased, driven by LinkedIn and higher revenue from Office. Intelligent Cloud revenue increased, primarily due to higher revenue from server products and cloud services. More Personal Computing revenue increased, driven by higher revenue from Gaming, Windows, Search advertising, and Surface, offset in part by lower revenue from Phone.</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margin increased $9.7 billion or 16%, due to growth across each of our segments. Gross margin percentage increased slightly, driven by favorable segment sales mix and gross margin percentage improvement in More Personal Computing. Gross margin included a 7 percentage point improvement in commercial cloud, primarily from Azure.</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income increased $6.0 billion or 21%, driven by growth across each of our segments. LinkedIn operating loss increased $63 million to $987 million, including $1.5 billion of amortization of intangible assets. Operating income included a favorable foreign currency impact of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63" w:lineRule="exact"/>
        <w:rPr>
          <w:sz w:val="20"/>
          <w:szCs w:val="20"/>
          <w:color w:val="auto"/>
        </w:rPr>
      </w:pPr>
    </w:p>
    <w:p>
      <w:pPr>
        <w:ind w:left="1060" w:right="20" w:hanging="390"/>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revenue increased $4.1 billion or 12%, mainly due to growth in our commercial cloud, Gaming, LinkedIn, and Search advertising, offset in part by a reduction in Phone cost of revenue.</w:t>
      </w:r>
    </w:p>
    <w:p>
      <w:pPr>
        <w:spacing w:after="0" w:line="35"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expenses increased $2.0 billion or 13%, primarily due to LinkedIn expenses and investments in commercial sales capacity, offset in part by a decrease in Windows marketing expenses.</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expenses increased $1.7 billion or 13%, primarily due to investments in cloud engineering and LinkedIn expenses.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administrative expenses increased $273 million or 6%, primarily due to LinkedIn expenses.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Current year net income and diluted EPS were negatively impacted by the net charge related to TCJA, which resulted in a decrease to net income and diluted earnings per share of $13.7 billion and $1.75, respectively. Prior year diluted EPS was negatively impacted by restructuring expenses, which resulted in a decrease in operating income, net income, and diluted EPS of $306 million, $243 million, and $0.04,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increased $5.4 billion or 6%, driven by growth in Productivity and Business Processes and Intelligent Cloud, offset in part by lower revenue from More Personal Computing. Productivity and Business Processes revenue increased, driven by the acquisition of LinkedIn and higher revenue from Microsoft Office. Intelligent Cloud revenue increased, primarily due to higher revenue from server products and cloud services. More Personal Computing revenue decreased, mainly due to lower revenue from Devices, offset in part by higher revenue from Windows and Search advertising.</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margin increased $3.9 billion or 7%, due to growth across each of our segments, including the acquisition of LinkedIn, driven by higher revenue. Gross margin percentage increased slightly due to a margin percent increase in More Personal Computing and segment sales mix, offset in part by margin percent declines in Productivity and Business Processes and Intelligent Cloud. Gross margin percentage includes a 5 percentage point improvement in commercial cloud gross margin primarily across Azure and Office 365.</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income increased $2.9 billion or 11%, primarily due to higher gross margin and lower impairment and restructuring expenses, offset in part by an increase in research and development and sales and marketing expenses. Operating income included an operating loss of $924 million related to the acquisition of LinkedIn, including $866 million of amortization of intangible assets. Operating income also included an unfavorable foreign currency impact of 3%. Key changes in expenses were:</w:t>
      </w:r>
    </w:p>
    <w:p>
      <w:pPr>
        <w:spacing w:after="0" w:line="67" w:lineRule="exact"/>
        <w:rPr>
          <w:sz w:val="20"/>
          <w:szCs w:val="20"/>
          <w:color w:val="auto"/>
        </w:rPr>
      </w:pPr>
    </w:p>
    <w:p>
      <w:pPr>
        <w:ind w:left="1060" w:hanging="390"/>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revenue increased $1.5 billion or 5%, mainly due to growth in our commercial cloud, the acquisition of LinkedIn, and higher Search advertising traffic acquisition costs, offset in part by a reduction in Phone sales and Gaming cost of revenue.</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expenses increased $1.0 billion or 9%, primarily due to LinkedIn expenses and increased investments in cloud engineering, offset in part by a reduction in Phone expenses.</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expenses increased $826 million or 6%, primarily due to LinkedIn expenses and increased investments in sales capacity for our commercial cloud, offset in part by a reduction in Phone and marketing expenses.</w:t>
      </w:r>
    </w:p>
    <w:p>
      <w:pPr>
        <w:spacing w:after="0" w:line="48" w:lineRule="exact"/>
        <w:rPr>
          <w:rFonts w:ascii="Arial" w:cs="Arial" w:eastAsia="Arial" w:hAnsi="Arial"/>
          <w:sz w:val="18"/>
          <w:szCs w:val="18"/>
          <w:color w:val="auto"/>
        </w:rPr>
      </w:pPr>
    </w:p>
    <w:p>
      <w:pPr>
        <w:jc w:val="both"/>
        <w:ind w:left="1060" w:hanging="39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and restructuring expenses decreased $804 million, driven by asset impairment charges and restructuring charges related to our Phone business in fiscal year 2016, offset in part by employee severance expenses primarily related to our sales and marketing restructuring plan in fiscal year 2017.</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Diluted EPS was $3.25 for fiscal year 2017, and was negatively impacted by restructuring expenses, which resulted in a decrease of $0.04. Diluted EPS was $2.56 for fiscal year 2016, and was negatively impacted by impairment and restructuring expenses, which resulted in a decrease of $0.11.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ind w:right="296"/>
              <w:spacing w:after="0"/>
              <w:rPr>
                <w:sz w:val="20"/>
                <w:szCs w:val="20"/>
                <w:color w:val="auto"/>
              </w:rPr>
            </w:pPr>
            <w:r>
              <w:rPr>
                <w:rFonts w:ascii="Arial" w:cs="Arial" w:eastAsia="Arial" w:hAnsi="Arial"/>
                <w:sz w:val="14"/>
                <w:szCs w:val="14"/>
                <w:b w:val="1"/>
                <w:bCs w:val="1"/>
                <w:color w:val="auto"/>
              </w:rPr>
              <w:t>Percentage</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Change 2018</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Change 2017</w:t>
            </w:r>
          </w:p>
        </w:tc>
        <w:tc>
          <w:tcPr>
            <w:tcW w:w="0" w:type="dxa"/>
            <w:vAlign w:val="bottom"/>
          </w:tcPr>
          <w:p>
            <w:pPr>
              <w:spacing w:after="0"/>
              <w:rPr>
                <w:sz w:val="1"/>
                <w:szCs w:val="1"/>
                <w:color w:val="auto"/>
              </w:rPr>
            </w:pPr>
          </w:p>
        </w:tc>
      </w:tr>
      <w:tr>
        <w:trPr>
          <w:trHeight w:val="178"/>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percentages)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580" w:type="dxa"/>
            <w:vAlign w:val="bottom"/>
          </w:tcPr>
          <w:p>
            <w:pPr>
              <w:jc w:val="right"/>
              <w:ind w:right="296"/>
              <w:spacing w:after="0"/>
              <w:rPr>
                <w:sz w:val="20"/>
                <w:szCs w:val="20"/>
                <w:color w:val="auto"/>
              </w:rPr>
            </w:pPr>
            <w:r>
              <w:rPr>
                <w:rFonts w:ascii="Arial" w:cs="Arial" w:eastAsia="Arial" w:hAnsi="Arial"/>
                <w:sz w:val="14"/>
                <w:szCs w:val="14"/>
                <w:b w:val="1"/>
                <w:bCs w:val="1"/>
                <w:color w:val="auto"/>
              </w:rPr>
              <w:t>Versus 2017</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Versus 2016</w:t>
            </w:r>
          </w:p>
        </w:tc>
        <w:tc>
          <w:tcPr>
            <w:tcW w:w="0" w:type="dxa"/>
            <w:vAlign w:val="bottom"/>
          </w:tcPr>
          <w:p>
            <w:pPr>
              <w:spacing w:after="0"/>
              <w:rPr>
                <w:sz w:val="1"/>
                <w:szCs w:val="1"/>
                <w:color w:val="auto"/>
              </w:rPr>
            </w:pPr>
          </w:p>
        </w:tc>
      </w:tr>
      <w:tr>
        <w:trPr>
          <w:trHeight w:val="55"/>
        </w:trPr>
        <w:tc>
          <w:tcPr>
            <w:tcW w:w="334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2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7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35,865</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29,870</w:t>
            </w:r>
          </w:p>
        </w:tc>
        <w:tc>
          <w:tcPr>
            <w:tcW w:w="5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25,792</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20%</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tcPr>
          <w:p>
            <w:pPr>
              <w:spacing w:after="0" w:line="189" w:lineRule="exact"/>
              <w:rPr>
                <w:sz w:val="20"/>
                <w:szCs w:val="20"/>
                <w:color w:val="auto"/>
              </w:rPr>
            </w:pPr>
            <w:r>
              <w:rPr>
                <w:rFonts w:ascii="Arial" w:cs="Arial" w:eastAsia="Arial" w:hAnsi="Arial"/>
                <w:sz w:val="18"/>
                <w:szCs w:val="18"/>
                <w:color w:val="auto"/>
              </w:rPr>
              <w:t>Intelligent Cloud</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32,219</w:t>
            </w:r>
          </w:p>
        </w:tc>
        <w:tc>
          <w:tcPr>
            <w:tcW w:w="3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27,407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24,952</w:t>
            </w:r>
          </w:p>
        </w:tc>
        <w:tc>
          <w:tcPr>
            <w:tcW w:w="1580" w:type="dxa"/>
            <w:vAlign w:val="bottom"/>
          </w:tcPr>
          <w:p>
            <w:pPr>
              <w:jc w:val="right"/>
              <w:ind w:right="296"/>
              <w:spacing w:after="0" w:line="189" w:lineRule="exact"/>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42,276</w:t>
            </w:r>
          </w:p>
        </w:tc>
        <w:tc>
          <w:tcPr>
            <w:tcW w:w="3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39,294</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40,410</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8%</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110,360</w:t>
            </w:r>
          </w:p>
        </w:tc>
        <w:tc>
          <w:tcPr>
            <w:tcW w:w="44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96,571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91,154</w:t>
            </w:r>
          </w:p>
        </w:tc>
        <w:tc>
          <w:tcPr>
            <w:tcW w:w="1580" w:type="dxa"/>
            <w:vAlign w:val="bottom"/>
          </w:tcPr>
          <w:p>
            <w:pPr>
              <w:jc w:val="right"/>
              <w:ind w:right="296"/>
              <w:spacing w:after="0"/>
              <w:rPr>
                <w:sz w:val="20"/>
                <w:szCs w:val="20"/>
                <w:color w:val="auto"/>
              </w:rPr>
            </w:pPr>
            <w:r>
              <w:rPr>
                <w:rFonts w:ascii="Arial" w:cs="Arial" w:eastAsia="Arial" w:hAnsi="Arial"/>
                <w:sz w:val="18"/>
                <w:szCs w:val="18"/>
                <w:color w:val="auto"/>
              </w:rPr>
              <w:t>14%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4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34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2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7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12,924</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11,389</w:t>
            </w:r>
          </w:p>
        </w:tc>
        <w:tc>
          <w:tcPr>
            <w:tcW w:w="5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11,756</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13%</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tcPr>
          <w:p>
            <w:pPr>
              <w:spacing w:after="0" w:line="189" w:lineRule="exact"/>
              <w:rPr>
                <w:sz w:val="20"/>
                <w:szCs w:val="20"/>
                <w:color w:val="auto"/>
              </w:rPr>
            </w:pPr>
            <w:r>
              <w:rPr>
                <w:rFonts w:ascii="Arial" w:cs="Arial" w:eastAsia="Arial" w:hAnsi="Arial"/>
                <w:sz w:val="18"/>
                <w:szCs w:val="18"/>
                <w:color w:val="auto"/>
              </w:rPr>
              <w:t>Intelligent Cloud</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11,524</w:t>
            </w:r>
          </w:p>
        </w:tc>
        <w:tc>
          <w:tcPr>
            <w:tcW w:w="3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9,127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9,249</w:t>
            </w:r>
          </w:p>
        </w:tc>
        <w:tc>
          <w:tcPr>
            <w:tcW w:w="1580" w:type="dxa"/>
            <w:vAlign w:val="bottom"/>
          </w:tcPr>
          <w:p>
            <w:pPr>
              <w:jc w:val="right"/>
              <w:ind w:right="296"/>
              <w:spacing w:after="0" w:line="189" w:lineRule="exact"/>
              <w:rPr>
                <w:sz w:val="20"/>
                <w:szCs w:val="20"/>
                <w:color w:val="auto"/>
              </w:rPr>
            </w:pPr>
            <w:r>
              <w:rPr>
                <w:rFonts w:ascii="Arial" w:cs="Arial" w:eastAsia="Arial" w:hAnsi="Arial"/>
                <w:sz w:val="18"/>
                <w:szCs w:val="18"/>
                <w:color w:val="auto"/>
              </w:rPr>
              <w:t>26%</w:t>
            </w:r>
          </w:p>
        </w:tc>
        <w:tc>
          <w:tcPr>
            <w:tcW w:w="14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10,610</w:t>
            </w:r>
          </w:p>
        </w:tc>
        <w:tc>
          <w:tcPr>
            <w:tcW w:w="3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8,815</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6,183</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20%</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(1,110)</w:t>
            </w:r>
          </w:p>
        </w:tc>
        <w:tc>
          <w:tcPr>
            <w:tcW w:w="15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18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35,058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29,025</w:t>
            </w:r>
          </w:p>
        </w:tc>
        <w:tc>
          <w:tcPr>
            <w:tcW w:w="5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26,078</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21%</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75"/>
        </w:trPr>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18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4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60" w:type="dxa"/>
            <w:vAlign w:val="bottom"/>
            <w:gridSpan w:val="2"/>
            <w:vMerge w:val="continue"/>
          </w:tcPr>
          <w:p>
            <w:pPr>
              <w:spacing w:after="0"/>
              <w:rPr>
                <w:sz w:val="24"/>
                <w:szCs w:val="24"/>
                <w:color w:val="auto"/>
              </w:rPr>
            </w:pPr>
          </w:p>
        </w:tc>
        <w:tc>
          <w:tcPr>
            <w:tcW w:w="3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5" w:name="page36"/>
    <w:bookmarkEnd w:id="35"/>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$6.0 billion or 20%.</w:t>
      </w:r>
    </w:p>
    <w:p>
      <w:pPr>
        <w:spacing w:after="0" w:line="77" w:lineRule="exact"/>
        <w:rPr>
          <w:sz w:val="20"/>
          <w:szCs w:val="20"/>
          <w:color w:val="auto"/>
        </w:rPr>
      </w:pPr>
    </w:p>
    <w:p>
      <w:pPr>
        <w:jc w:val="both"/>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LinkedIn revenue increased $3.0 billion to $5.3 billion. Fiscal year 2018 includes a full period of results, whereas fiscal year 2017 only includes results from the date of acquisition on December 8, 2016. LinkedIn revenue primarily consisted of revenue from Talent Solutions.</w:t>
      </w:r>
    </w:p>
    <w:p>
      <w:pPr>
        <w:spacing w:after="0" w:line="81" w:lineRule="exact"/>
        <w:rPr>
          <w:rFonts w:ascii="Arial" w:cs="Arial" w:eastAsia="Arial" w:hAnsi="Arial"/>
          <w:sz w:val="18"/>
          <w:szCs w:val="18"/>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Office Commercial revenue increased $2.4 billion or 11%, driven by Office 365 commercial revenue growth, mainly due to growth</w:t>
      </w:r>
    </w:p>
    <w:p>
      <w:pPr>
        <w:spacing w:after="0" w:line="36" w:lineRule="exact"/>
        <w:rPr>
          <w:rFonts w:ascii="Arial" w:cs="Arial" w:eastAsia="Arial" w:hAnsi="Arial"/>
          <w:sz w:val="18"/>
          <w:szCs w:val="18"/>
          <w:color w:val="auto"/>
        </w:rPr>
      </w:pPr>
    </w:p>
    <w:p>
      <w:pPr>
        <w:ind w:left="1060"/>
        <w:spacing w:after="0" w:line="262" w:lineRule="auto"/>
        <w:rPr>
          <w:rFonts w:ascii="Arial" w:cs="Arial" w:eastAsia="Arial" w:hAnsi="Arial"/>
          <w:sz w:val="18"/>
          <w:szCs w:val="18"/>
          <w:color w:val="auto"/>
        </w:rPr>
      </w:pPr>
      <w:r>
        <w:rPr>
          <w:rFonts w:ascii="Arial" w:cs="Arial" w:eastAsia="Arial" w:hAnsi="Arial"/>
          <w:sz w:val="18"/>
          <w:szCs w:val="18"/>
          <w:color w:val="auto"/>
        </w:rPr>
        <w:t>in subscribers and average revenue per user, offset in part by lower revenue from products licensed on-premises, reflecting a continued shift to Office 365 commercial.</w:t>
      </w:r>
    </w:p>
    <w:p>
      <w:pPr>
        <w:spacing w:after="0" w:line="3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Office Consumer revenue increased $382 million or 11%, driven by Office 365 consumer revenue growth, mainly due to growth in subscribers.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Dynamics revenue increased 13%, driven by Dynamics 365 revenue growth.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$1.5 billion or 13%, including a favorable foreign currency impact of 2%.</w:t>
      </w:r>
    </w:p>
    <w:p>
      <w:pPr>
        <w:spacing w:after="0" w:line="77" w:lineRule="exact"/>
        <w:rPr>
          <w:sz w:val="20"/>
          <w:szCs w:val="20"/>
          <w:color w:val="auto"/>
        </w:rPr>
      </w:pPr>
    </w:p>
    <w:p>
      <w:pPr>
        <w:jc w:val="both"/>
        <w:ind w:left="1060" w:hanging="390"/>
        <w:spacing w:after="0" w:line="23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increased $4.4 billion or 19%, driven by LinkedIn and growth in Office commercial. Gross margin percentage decreased slightly, due to an increased mix of cloud offerings, offset in part by gross margin percentage improvement in Office 365 commercial and LinkedIn. LinkedIn cost of revenue increased $818 million to $1.7 billion, including $888 million of amortization for acquired intangible assets.</w:t>
      </w:r>
    </w:p>
    <w:p>
      <w:pPr>
        <w:spacing w:after="0" w:line="53" w:lineRule="exact"/>
        <w:rPr>
          <w:rFonts w:ascii="Arial" w:cs="Arial" w:eastAsia="Arial" w:hAnsi="Arial"/>
          <w:sz w:val="18"/>
          <w:szCs w:val="18"/>
          <w:color w:val="auto"/>
        </w:rPr>
      </w:pPr>
    </w:p>
    <w:p>
      <w:pPr>
        <w:jc w:val="both"/>
        <w:ind w:left="1060" w:hanging="390"/>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increased $2.9 billion or 25%, driven by LinkedIn expenses and investments in commercial sales capacity and cloud engineering. LinkedIn operating expenses increased $2.2 billion to $4.5 billion, including $617 million of amortization of acquired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$4.8 billion or 18%.</w:t>
      </w:r>
    </w:p>
    <w:p>
      <w:pPr>
        <w:spacing w:after="0" w:line="63" w:lineRule="exact"/>
        <w:rPr>
          <w:sz w:val="20"/>
          <w:szCs w:val="20"/>
          <w:color w:val="auto"/>
        </w:rPr>
      </w:pPr>
    </w:p>
    <w:p>
      <w:pPr>
        <w:jc w:val="both"/>
        <w:ind w:left="1060" w:hanging="390"/>
        <w:spacing w:after="0" w:line="25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$4.5 billion or 21%, driven by Azure and server products licensed on-premises revenue growth. Azure revenue growth of 91%, due to higher infrastructure-as-a-service and platform-as-a-service consumption-based and per user-based services. Server products licensed on-premises revenue increased 5%</w:t>
      </w:r>
      <w:r>
        <w:rPr>
          <w:rFonts w:ascii="Arial" w:cs="Arial" w:eastAsia="Arial" w:hAnsi="Arial"/>
          <w:sz w:val="18"/>
          <w:szCs w:val="18"/>
          <w:color w:val="666666"/>
        </w:rPr>
        <w:t>,</w:t>
      </w:r>
      <w:r>
        <w:rPr>
          <w:rFonts w:ascii="Arial" w:cs="Arial" w:eastAsia="Arial" w:hAnsi="Arial"/>
          <w:sz w:val="18"/>
          <w:szCs w:val="18"/>
          <w:color w:val="auto"/>
        </w:rPr>
        <w:t xml:space="preserve"> mainly due to a higher mix of premium licenses for Windows Server and Microsoft SQL Server.</w:t>
      </w:r>
    </w:p>
    <w:p>
      <w:pPr>
        <w:spacing w:after="0" w:line="42"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Enterprise Services revenue increased $304 million or 5%, driven by higher revenue from Premier Support Services and Microsoft Consulting Services, offset in part by a decline in revenue from custom support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$2.4 billion or 26%.</w:t>
      </w:r>
    </w:p>
    <w:p>
      <w:pPr>
        <w:spacing w:after="0" w:line="63" w:lineRule="exact"/>
        <w:rPr>
          <w:sz w:val="20"/>
          <w:szCs w:val="20"/>
          <w:color w:val="auto"/>
        </w:rPr>
      </w:pPr>
    </w:p>
    <w:p>
      <w:pPr>
        <w:jc w:val="both"/>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increased $3.1 billion or 16%, driven by growth in server products and cloud services revenue and cloud services scale and efficiencies. Gross margin percentage decreased, due to an increased mix of cloud offerings, offset in part by gross margin percentage improvement in Azure.</w:t>
      </w:r>
    </w:p>
    <w:p>
      <w:pPr>
        <w:spacing w:after="0" w:line="54" w:lineRule="exact"/>
        <w:rPr>
          <w:rFonts w:ascii="Arial" w:cs="Arial" w:eastAsia="Arial" w:hAnsi="Arial"/>
          <w:sz w:val="18"/>
          <w:szCs w:val="18"/>
          <w:color w:val="auto"/>
        </w:rPr>
      </w:pPr>
    </w:p>
    <w:p>
      <w:pPr>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expenses increased $683 million or 7%, driven by investments in commercial sales capacity and cloud engineering.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$3.0 billion or 8%.</w:t>
      </w:r>
    </w:p>
    <w:p>
      <w:pPr>
        <w:spacing w:after="0" w:line="63" w:lineRule="exact"/>
        <w:rPr>
          <w:sz w:val="20"/>
          <w:szCs w:val="20"/>
          <w:color w:val="auto"/>
        </w:rPr>
      </w:pPr>
    </w:p>
    <w:p>
      <w:pPr>
        <w:jc w:val="both"/>
        <w:ind w:left="1060" w:hanging="390"/>
        <w:spacing w:after="0" w:line="238"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Windows revenue increased $925 million or 5%, driven by growth in Windows Commercial and Windows OEM, offset by a decline in patent licensing revenue. Windows Commercial revenue increased 12%, driven by multi-year agreement revenue growth. Windows OEM revenue increased 5%. Windows OEM Pro revenue grew 11%, ahead of a strengthening commercial PC market. Windows OEM non-Pro revenue declined 4%, below the consumer PC market, driven by continued pressure in the entry-level price category.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6" w:name="page37"/>
    <w:bookmarkEnd w:id="36"/>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257" w:lineRule="exact"/>
        <w:rPr>
          <w:sz w:val="20"/>
          <w:szCs w:val="20"/>
          <w:color w:val="auto"/>
        </w:rPr>
      </w:pPr>
    </w:p>
    <w:p>
      <w:pPr>
        <w:ind w:left="1060" w:hanging="390"/>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Gaming revenue increased $1.3 billion or 14%, driven by Xbox software and services revenue growth of 20%, mainly from third-party title strength.</w:t>
      </w:r>
    </w:p>
    <w:p>
      <w:pPr>
        <w:spacing w:after="0" w:line="48"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Search advertising revenue increased $793 million or 13%. Search advertising revenue, excluding traffic acquisition costs, increased 16%, driven by growth in Bing, due to higher revenue per search and search volume.</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Surface revenue increased $625 million or 16%, driven by a higher mix of premium devices and an increase in volumes sold, due to the latest editions of Surface.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Phone revenue decreased $525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$1.8 billion or 20%, including a favorable foreign currency impact of 2%.</w:t>
      </w:r>
    </w:p>
    <w:p>
      <w:pPr>
        <w:spacing w:after="0" w:line="63" w:lineRule="exact"/>
        <w:rPr>
          <w:sz w:val="20"/>
          <w:szCs w:val="20"/>
          <w:color w:val="auto"/>
        </w:rPr>
      </w:pPr>
    </w:p>
    <w:p>
      <w:pPr>
        <w:ind w:left="1060" w:hanging="390"/>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$2.2 billion or 11%, driven by growth in Windows, Surface, Search, and Gaming. Gross margin percentage increased, primarily due to gross margin percentage improvement in Surface.</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increased $391 million or 3%, driven by investments in Search, artificial intelligence, and Gaming engineering and commercial sales capacity, offset in part by a decrease in Windows marketing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$4.1 billion or 16%.</w:t>
      </w:r>
    </w:p>
    <w:p>
      <w:pPr>
        <w:spacing w:after="0" w:line="77" w:lineRule="exact"/>
        <w:rPr>
          <w:sz w:val="20"/>
          <w:szCs w:val="20"/>
          <w:color w:val="auto"/>
        </w:rPr>
      </w:pPr>
    </w:p>
    <w:p>
      <w:pPr>
        <w:ind w:left="1060" w:hanging="39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LinkedIn revenue was $2.3 billion, primarily comprised of revenue from Talent Solutions.</w:t>
      </w:r>
    </w:p>
    <w:p>
      <w:pPr>
        <w:spacing w:after="0" w:line="63" w:lineRule="exact"/>
        <w:rPr>
          <w:rFonts w:ascii="Arial" w:cs="Arial" w:eastAsia="Arial" w:hAnsi="Arial"/>
          <w:sz w:val="18"/>
          <w:szCs w:val="18"/>
          <w:color w:val="auto"/>
        </w:rPr>
      </w:pPr>
    </w:p>
    <w:p>
      <w:pPr>
        <w:jc w:val="both"/>
        <w:ind w:left="1060" w:hanging="39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Commercial revenue increased $1.4 billion or 7%, driven by higher revenue from Office 365 commercial, mainly due to growth in subscribers, offset in part by lower revenue from products licensed on-premises, reflecting a continued shift to Office 365 commercial.</w:t>
      </w:r>
    </w:p>
    <w:p>
      <w:pPr>
        <w:spacing w:after="0" w:line="54"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Consumer revenue increased $351 million or 11%, driven by higher revenue from Office 365 consumer, mainly due to growth in subscribers.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Dynamics revenue increased 5%, primarily due to higher revenue from Dynamics 365.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$367 million or 3%, including an unfavorable foreign currency impact of 2%.</w:t>
      </w:r>
    </w:p>
    <w:p>
      <w:pPr>
        <w:spacing w:after="0" w:line="77" w:lineRule="exact"/>
        <w:rPr>
          <w:sz w:val="20"/>
          <w:szCs w:val="20"/>
          <w:color w:val="auto"/>
        </w:rPr>
      </w:pPr>
    </w:p>
    <w:p>
      <w:pPr>
        <w:jc w:val="both"/>
        <w:ind w:left="1060" w:hanging="390"/>
        <w:spacing w:after="0" w:line="23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$2.3 billion or 26%, mainly due to LinkedIn and cloud engineering expenses. Operating expenses included $2.3 billion related to our acquisition of LinkedIn, including $359 million of amortization of acquired intangible assets. Sales and marketing expenses increased $1.2 billion or 24%, research and development expenses increased $955 million or 35%, and general and administrative expenses increased $212 million or 14%.</w:t>
      </w:r>
    </w:p>
    <w:p>
      <w:pPr>
        <w:spacing w:after="0" w:line="53" w:lineRule="exact"/>
        <w:rPr>
          <w:rFonts w:ascii="Arial" w:cs="Arial" w:eastAsia="Arial" w:hAnsi="Arial"/>
          <w:sz w:val="18"/>
          <w:szCs w:val="18"/>
          <w:color w:val="auto"/>
        </w:rPr>
      </w:pPr>
    </w:p>
    <w:p>
      <w:pPr>
        <w:jc w:val="both"/>
        <w:ind w:left="1060" w:hanging="390"/>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$2.0 billion or 9%, primarily due to our acquisition of LinkedIn. Gross margin percentage decreased, due to an increased mix of cloud offerings and amortization of acquired intangible assets related to LinkedIn. Cost of revenue included $918 million related to our acquisition of LinkedIn, including $507 million of amortization of acquired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$2.5 billion or 10%.</w:t>
      </w:r>
    </w:p>
    <w:p>
      <w:pPr>
        <w:spacing w:after="0" w:line="63" w:lineRule="exact"/>
        <w:rPr>
          <w:sz w:val="20"/>
          <w:szCs w:val="20"/>
          <w:color w:val="auto"/>
        </w:rPr>
      </w:pPr>
    </w:p>
    <w:p>
      <w:pPr>
        <w:ind w:left="1060" w:hanging="390"/>
        <w:spacing w:after="0" w:line="24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Server products and cloud services revenue grew $2.6 billion or 14%, driven by Azure revenue growth of 98% and server products licensed on-premises revenue growth of 5%.</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Services revenue decreased 2%, driven by a decline in revenue from custom support agreements, offset in part by higher revenue from Premier Support Services and Microsoft Consulting Services.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7" w:name="page38"/>
    <w:bookmarkEnd w:id="37"/>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$122 million or 1%, including an unfavorable foreign currency impact of 2%.</w:t>
      </w:r>
    </w:p>
    <w:p>
      <w:pPr>
        <w:spacing w:after="0" w:line="63" w:lineRule="exact"/>
        <w:rPr>
          <w:sz w:val="20"/>
          <w:szCs w:val="20"/>
          <w:color w:val="auto"/>
        </w:rPr>
      </w:pPr>
    </w:p>
    <w:p>
      <w:pPr>
        <w:jc w:val="both"/>
        <w:ind w:left="1060" w:hanging="390"/>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increased $975 million or 11%, driven by investments in sales capacity, cloud engineering, and developer engagement. Sales and marketing expenses increased $549 million or 13%, research and development expenses increased $468 million or 14%, and general and administrative expenses decreased $42 million or 3%.</w:t>
      </w:r>
    </w:p>
    <w:p>
      <w:pPr>
        <w:spacing w:after="0" w:line="54" w:lineRule="exact"/>
        <w:rPr>
          <w:rFonts w:ascii="Arial" w:cs="Arial" w:eastAsia="Arial" w:hAnsi="Arial"/>
          <w:sz w:val="18"/>
          <w:szCs w:val="18"/>
          <w:color w:val="auto"/>
        </w:rPr>
      </w:pPr>
    </w:p>
    <w:p>
      <w:pPr>
        <w:jc w:val="both"/>
        <w:ind w:left="1060" w:hanging="390"/>
        <w:spacing w:after="0" w:line="23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increased $853 million or 5%, driven by growth in server products and cloud services revenue and cloud services scale and efficiencies, offset in part by a decline in Enterprise Services gross margin. Gross margin percentage decreased, due to an increased mix of cloud offerings and lower Enterprise Services gross margin percent, offset by improvement in Azure gross margin percent.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$1.1 billion or 3%.</w:t>
      </w:r>
    </w:p>
    <w:p>
      <w:pPr>
        <w:spacing w:after="0" w:line="77" w:lineRule="exact"/>
        <w:rPr>
          <w:sz w:val="20"/>
          <w:szCs w:val="20"/>
          <w:color w:val="auto"/>
        </w:rPr>
      </w:pPr>
    </w:p>
    <w:p>
      <w:pPr>
        <w:jc w:val="both"/>
        <w:ind w:left="1060" w:hanging="390"/>
        <w:spacing w:after="0" w:line="24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Windows revenue increased $1.0 billion or 6%, mainly due to higher revenue from Windows Commercial and Windows OEM. Windows Commercial revenue grew 14%, driven by multi-year agreement revenue. Windows OEM revenue increased 3%. Windows OEM Pro revenue grew 4%, outperforming the commercial PC market, primarily due to a higher mix of premium licenses sold. Windows OEM non-Pro revenue grew 3%, outperforming the consumer PC market, primarily due to a higher mix of premium devices sold.</w:t>
      </w:r>
    </w:p>
    <w:p>
      <w:pPr>
        <w:spacing w:after="0" w:line="47"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Search advertising revenue increased $791 million or 15%. Search advertising revenue, excluding traffic acquisition costs, increased 9%, primarily driven by growth in Bing, due to higher revenue per search and search volume.</w:t>
      </w:r>
    </w:p>
    <w:p>
      <w:pPr>
        <w:spacing w:after="0" w:line="48" w:lineRule="exact"/>
        <w:rPr>
          <w:rFonts w:ascii="Arial" w:cs="Arial" w:eastAsia="Arial" w:hAnsi="Arial"/>
          <w:sz w:val="18"/>
          <w:szCs w:val="18"/>
          <w:color w:val="auto"/>
        </w:rPr>
      </w:pPr>
    </w:p>
    <w:p>
      <w:pPr>
        <w:jc w:val="both"/>
        <w:ind w:left="1060" w:hanging="390"/>
        <w:spacing w:after="0" w:line="23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Gaming revenue decreased slightly, primarily due to lower Xbox hardware revenue, offset in part by higher revenue from Xbox software and services. Xbox hardware revenue decreased 21%, mainly due to lower prices of consoles sold and a decline in volume of consoles sold. Xbox software and services revenue increased 11%, driven by a higher volume of Xbox Live transactions and revenue per transaction.</w:t>
      </w:r>
    </w:p>
    <w:p>
      <w:pPr>
        <w:spacing w:after="0" w:line="5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Surface revenue decreased $82 million or 2%, primarily due to a reduction in volumes sold, offset in part by a higher mix of premium devices.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Phone revenue decreased $2.8 billion.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$2.6 billion or 43%, including an unfavorable foreign currency impact of 3%.</w:t>
      </w:r>
    </w:p>
    <w:p>
      <w:pPr>
        <w:spacing w:after="0" w:line="77" w:lineRule="exact"/>
        <w:rPr>
          <w:sz w:val="20"/>
          <w:szCs w:val="20"/>
          <w:color w:val="auto"/>
        </w:rPr>
      </w:pPr>
    </w:p>
    <w:p>
      <w:pPr>
        <w:jc w:val="both"/>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expenses decreased $1.5 billion or 12%, driven by a reduction in Phone expenses and Surface launch-related expenses in the prior year. Sales and marketing expenses decreased $893 million or 16%, research and development expenses decreased $374 million or 6%, and general and administrative expenses decreased $252 million or 16%.</w:t>
      </w:r>
    </w:p>
    <w:p>
      <w:pPr>
        <w:spacing w:after="0" w:line="54" w:lineRule="exact"/>
        <w:rPr>
          <w:rFonts w:ascii="Arial" w:cs="Arial" w:eastAsia="Arial" w:hAnsi="Arial"/>
          <w:sz w:val="18"/>
          <w:szCs w:val="18"/>
          <w:color w:val="auto"/>
        </w:rPr>
      </w:pPr>
    </w:p>
    <w:p>
      <w:pPr>
        <w:jc w:val="both"/>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Gross margin increased $1.1 billion or 6%, driven by growth in Windows, Search advertising, and Gaming, offset in part by a decline in Phone and Surface. Gross margin percentage increased, due to favorable sales mix and gross margin percent improvements across Windows, Gaming, and Search advertising, offset by a gross margin percent decline in Devices.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Corporate and Other operating loss is comprised of corporate-level activity not specifically allocated to a segment, including impairment and restructuring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Corporate and Other operating loss decreased $306 million, due to a reduction in impairment and restructuring expenses, driven by employee severance expenses primarily related to our sales and marketing restructuring plan in fiscal year 2017.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8" w:name="page39"/>
    <w:bookmarkEnd w:id="38"/>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Other operating loss decreased $804 million, primarily due to a reduction in impairment and restructuring expenses, driven by asset impairment charges and restructuring charges related to our Phone business in fiscal year 2016, offset in part by employee severance expenses primarily related to our sales and marketing restructuring plan in fiscal year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jc w:val="right"/>
              <w:ind w:right="183"/>
              <w:spacing w:after="0" w:line="149" w:lineRule="exact"/>
              <w:rPr>
                <w:sz w:val="20"/>
                <w:szCs w:val="20"/>
                <w:color w:val="auto"/>
              </w:rPr>
            </w:pPr>
            <w:r>
              <w:rPr>
                <w:rFonts w:ascii="Arial" w:cs="Arial" w:eastAsia="Arial" w:hAnsi="Arial"/>
                <w:sz w:val="14"/>
                <w:szCs w:val="14"/>
                <w:b w:val="1"/>
                <w:bCs w:val="1"/>
                <w:color w:val="auto"/>
              </w:rPr>
              <w:t>Change 2018</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Change 2017</w:t>
            </w:r>
          </w:p>
        </w:tc>
        <w:tc>
          <w:tcPr>
            <w:tcW w:w="0" w:type="dxa"/>
            <w:vAlign w:val="bottom"/>
          </w:tcPr>
          <w:p>
            <w:pPr>
              <w:spacing w:after="0"/>
              <w:rPr>
                <w:sz w:val="1"/>
                <w:szCs w:val="1"/>
                <w:color w:val="auto"/>
              </w:rPr>
            </w:pPr>
          </w:p>
        </w:tc>
      </w:tr>
      <w:tr>
        <w:trPr>
          <w:trHeight w:val="178"/>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2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5"/>
                <w:szCs w:val="15"/>
                <w:color w:val="auto"/>
              </w:rPr>
            </w:pPr>
          </w:p>
        </w:tc>
        <w:tc>
          <w:tcPr>
            <w:tcW w:w="1040" w:type="dxa"/>
            <w:vAlign w:val="bottom"/>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Versus 2017</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Versus 2016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b w:val="1"/>
                <w:bCs w:val="1"/>
                <w:color w:val="auto"/>
              </w:rPr>
              <w:t>14,726</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13,037</w:t>
            </w:r>
          </w:p>
        </w:tc>
        <w:tc>
          <w:tcPr>
            <w:tcW w:w="4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7"/>
              <w:spacing w:after="0" w:line="189" w:lineRule="exact"/>
              <w:rPr>
                <w:sz w:val="20"/>
                <w:szCs w:val="20"/>
                <w:color w:val="auto"/>
              </w:rPr>
            </w:pPr>
            <w:r>
              <w:rPr>
                <w:rFonts w:ascii="Arial" w:cs="Arial" w:eastAsia="Arial" w:hAnsi="Arial"/>
                <w:sz w:val="18"/>
                <w:szCs w:val="18"/>
                <w:color w:val="auto"/>
              </w:rPr>
              <w:t>11,988</w:t>
            </w:r>
          </w:p>
        </w:tc>
        <w:tc>
          <w:tcPr>
            <w:tcW w:w="1360" w:type="dxa"/>
            <w:vAlign w:val="bottom"/>
            <w:shd w:val="clear" w:color="auto" w:fill="E5E5E5"/>
          </w:tcPr>
          <w:p>
            <w:pPr>
              <w:jc w:val="right"/>
              <w:ind w:right="183"/>
              <w:spacing w:after="0" w:line="189" w:lineRule="exact"/>
              <w:rPr>
                <w:sz w:val="20"/>
                <w:szCs w:val="20"/>
                <w:color w:val="auto"/>
              </w:rPr>
            </w:pPr>
            <w:r>
              <w:rPr>
                <w:rFonts w:ascii="Arial" w:cs="Arial" w:eastAsia="Arial" w:hAnsi="Arial"/>
                <w:sz w:val="18"/>
                <w:szCs w:val="18"/>
                <w:color w:val="auto"/>
              </w:rPr>
              <w:t>13%</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13%</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rPr>
              <w:t>0ppt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$1.7 billion or 13%, primarily due to investments in cloud engineering and LinkedIn expenses.</w:t>
      </w:r>
    </w:p>
    <w:p>
      <w:pPr>
        <w:spacing w:after="0"/>
        <w:rPr>
          <w:sz w:val="20"/>
          <w:szCs w:val="20"/>
          <w:color w:val="auto"/>
        </w:rPr>
      </w:pPr>
      <w:r>
        <w:rPr>
          <w:rFonts w:ascii="Arial" w:cs="Arial" w:eastAsia="Arial" w:hAnsi="Arial"/>
          <w:sz w:val="18"/>
          <w:szCs w:val="18"/>
          <w:color w:val="auto"/>
        </w:rPr>
        <w:t>LinkedIn expenses increased $762 million to $1.5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Research and development expenses increased $1.0 billion or 9%, primarily due to LinkedIn expenses and increased investments in cloud engineering, offset in part by a reduction in Phone expenses. Expenses included $745 million related to our acquisition of LinkedIn.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jc w:val="right"/>
              <w:ind w:right="183"/>
              <w:spacing w:after="0" w:line="149" w:lineRule="exact"/>
              <w:rPr>
                <w:sz w:val="20"/>
                <w:szCs w:val="20"/>
                <w:color w:val="auto"/>
              </w:rPr>
            </w:pPr>
            <w:r>
              <w:rPr>
                <w:rFonts w:ascii="Arial" w:cs="Arial" w:eastAsia="Arial" w:hAnsi="Arial"/>
                <w:sz w:val="14"/>
                <w:szCs w:val="14"/>
                <w:b w:val="1"/>
                <w:bCs w:val="1"/>
                <w:color w:val="auto"/>
              </w:rPr>
              <w:t>Change 2018</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Change 2017</w:t>
            </w:r>
          </w:p>
        </w:tc>
        <w:tc>
          <w:tcPr>
            <w:tcW w:w="0" w:type="dxa"/>
            <w:vAlign w:val="bottom"/>
          </w:tcPr>
          <w:p>
            <w:pPr>
              <w:spacing w:after="0"/>
              <w:rPr>
                <w:sz w:val="1"/>
                <w:szCs w:val="1"/>
                <w:color w:val="auto"/>
              </w:rPr>
            </w:pPr>
          </w:p>
        </w:tc>
      </w:tr>
      <w:tr>
        <w:trPr>
          <w:trHeight w:val="178"/>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6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5"/>
                <w:szCs w:val="15"/>
                <w:color w:val="auto"/>
              </w:rPr>
            </w:pPr>
          </w:p>
        </w:tc>
        <w:tc>
          <w:tcPr>
            <w:tcW w:w="10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Versus 2017</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Versus 2016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17,469</w:t>
            </w:r>
          </w:p>
        </w:tc>
        <w:tc>
          <w:tcPr>
            <w:tcW w:w="48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15,461</w:t>
            </w:r>
          </w:p>
        </w:tc>
        <w:tc>
          <w:tcPr>
            <w:tcW w:w="44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57"/>
              <w:spacing w:after="0" w:line="189" w:lineRule="exact"/>
              <w:rPr>
                <w:sz w:val="20"/>
                <w:szCs w:val="20"/>
                <w:color w:val="auto"/>
              </w:rPr>
            </w:pPr>
            <w:r>
              <w:rPr>
                <w:rFonts w:ascii="Arial" w:cs="Arial" w:eastAsia="Arial" w:hAnsi="Arial"/>
                <w:sz w:val="18"/>
                <w:szCs w:val="18"/>
                <w:color w:val="auto"/>
              </w:rPr>
              <w:t>14,635</w:t>
            </w:r>
          </w:p>
        </w:tc>
        <w:tc>
          <w:tcPr>
            <w:tcW w:w="1360" w:type="dxa"/>
            <w:vAlign w:val="bottom"/>
            <w:shd w:val="clear" w:color="auto" w:fill="E5E5E5"/>
          </w:tcPr>
          <w:p>
            <w:pPr>
              <w:jc w:val="right"/>
              <w:ind w:right="183"/>
              <w:spacing w:after="0" w:line="189" w:lineRule="exact"/>
              <w:rPr>
                <w:sz w:val="20"/>
                <w:szCs w:val="20"/>
                <w:color w:val="auto"/>
              </w:rPr>
            </w:pPr>
            <w:r>
              <w:rPr>
                <w:rFonts w:ascii="Arial" w:cs="Arial" w:eastAsia="Arial" w:hAnsi="Arial"/>
                <w:sz w:val="18"/>
                <w:szCs w:val="18"/>
                <w:color w:val="auto"/>
              </w:rPr>
              <w:t>13%</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16%</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rPr>
              <w:t>0ppt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increased $2.0 billion or 13%, primarily due to LinkedIn expenses and investments in commercial sales capacity, offset in part by a decrease in Windows marketing expenses. LinkedIn expenses increased $1.2 billion to $2.5 billion, including $617 million of amortization of acquired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Sales and marketing expenses increased $ 826 million or 6%, primarily due to LinkedIn expenses and increased investments in sales capacity for our commercial cloud, offset in part by a reduction in Phone expenses and prior year marketing expenses primarily related to Surface, commercial, and Windows 10. Expenses included $1.2 billion related to our acquisition of LinkedIn, including $359 million of amortization of acquired intangible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9" w:name="page40"/>
    <w:bookmarkEnd w:id="39"/>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jc w:val="right"/>
              <w:ind w:right="183"/>
              <w:spacing w:after="0" w:line="149" w:lineRule="exact"/>
              <w:rPr>
                <w:sz w:val="20"/>
                <w:szCs w:val="20"/>
                <w:color w:val="auto"/>
              </w:rPr>
            </w:pPr>
            <w:r>
              <w:rPr>
                <w:rFonts w:ascii="Arial" w:cs="Arial" w:eastAsia="Arial" w:hAnsi="Arial"/>
                <w:sz w:val="14"/>
                <w:szCs w:val="14"/>
                <w:b w:val="1"/>
                <w:bCs w:val="1"/>
                <w:color w:val="auto"/>
              </w:rPr>
              <w:t>Change 2018</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Change 2017</w:t>
            </w:r>
          </w:p>
        </w:tc>
        <w:tc>
          <w:tcPr>
            <w:tcW w:w="0" w:type="dxa"/>
            <w:vAlign w:val="bottom"/>
          </w:tcPr>
          <w:p>
            <w:pPr>
              <w:spacing w:after="0"/>
              <w:rPr>
                <w:sz w:val="1"/>
                <w:szCs w:val="1"/>
                <w:color w:val="auto"/>
              </w:rPr>
            </w:pPr>
          </w:p>
        </w:tc>
      </w:tr>
      <w:tr>
        <w:trPr>
          <w:trHeight w:val="178"/>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8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5"/>
                <w:szCs w:val="15"/>
                <w:color w:val="auto"/>
              </w:rPr>
            </w:pP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Versus 2017</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Versus 2016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b w:val="1"/>
                <w:bCs w:val="1"/>
                <w:color w:val="auto"/>
              </w:rPr>
              <w:t>4,754</w:t>
            </w:r>
          </w:p>
        </w:tc>
        <w:tc>
          <w:tcPr>
            <w:tcW w:w="52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4,481</w:t>
            </w:r>
          </w:p>
        </w:tc>
        <w:tc>
          <w:tcPr>
            <w:tcW w:w="50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57"/>
              <w:spacing w:after="0" w:line="189" w:lineRule="exact"/>
              <w:rPr>
                <w:sz w:val="20"/>
                <w:szCs w:val="20"/>
                <w:color w:val="auto"/>
              </w:rPr>
            </w:pPr>
            <w:r>
              <w:rPr>
                <w:rFonts w:ascii="Arial" w:cs="Arial" w:eastAsia="Arial" w:hAnsi="Arial"/>
                <w:sz w:val="18"/>
                <w:szCs w:val="18"/>
                <w:color w:val="auto"/>
              </w:rPr>
              <w:t>4,563</w:t>
            </w:r>
          </w:p>
        </w:tc>
        <w:tc>
          <w:tcPr>
            <w:tcW w:w="1360" w:type="dxa"/>
            <w:vAlign w:val="bottom"/>
            <w:shd w:val="clear" w:color="auto" w:fill="E5E5E5"/>
          </w:tcPr>
          <w:p>
            <w:pPr>
              <w:jc w:val="right"/>
              <w:ind w:right="183"/>
              <w:spacing w:after="0" w:line="189" w:lineRule="exact"/>
              <w:rPr>
                <w:sz w:val="20"/>
                <w:szCs w:val="20"/>
                <w:color w:val="auto"/>
              </w:rPr>
            </w:pPr>
            <w:r>
              <w:rPr>
                <w:rFonts w:ascii="Arial" w:cs="Arial" w:eastAsia="Arial" w:hAnsi="Arial"/>
                <w:sz w:val="18"/>
                <w:szCs w:val="18"/>
                <w:color w:val="auto"/>
              </w:rPr>
              <w:t>6%</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4%</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rPr>
              <w:t>(1)ppt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General and administrative expenses increased $273 million or 6%, primarily due to LinkedIn expenses. LinkedIn expenses increased $234 million to $528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General and administrative expenses decreased $82 million or 2%, primarily due to prior year investments in infrastructure supporting our business transformation, a reduction in Phone expenses, and lower employee-related expenses, offset in part by LinkedIn expenses. Expenses included $294 million related to our acquisition of LinkedIn.</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IMPAIRMENT AND RESTRUCTURING EXPENSES</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Impairment and restructuring expenses include costs associated with the impairment of intangible assets related to our Phone business, and employee severance expenses and other costs associated with the consolidation of facilities and manufacturing operations related to restructuring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During fiscal year 2017, we recorded $306 million of employee severance expenses primarily related to our sales and marketing restructuring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Impairment and restructuring expenses were $306 million for fiscal year 2017, compared to $1.1 billion for fiscal year 2016.</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During fiscal year 2016, we recorded $630 million of asset impairment charges related to our Phone business. We also recorded $480 million of restructuring charges, including employee severance expenses and contract termination costs, primarily related to our previously announced Phone business restructuring plans.</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Dividends and interest income</w:t>
            </w:r>
          </w:p>
        </w:tc>
        <w:tc>
          <w:tcPr>
            <w:tcW w:w="36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2,214</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1,387</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(2,733)</w:t>
            </w:r>
          </w:p>
        </w:tc>
        <w:tc>
          <w:tcPr>
            <w:tcW w:w="2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(2,222)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3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2,399</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2,583</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Arial" w:cs="Arial" w:eastAsia="Arial" w:hAnsi="Arial"/>
                <w:sz w:val="18"/>
                <w:szCs w:val="18"/>
                <w:color w:val="auto"/>
              </w:rPr>
              <w:t>Net losses on derivatives</w:t>
            </w:r>
          </w:p>
        </w:tc>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(187)</w:t>
            </w:r>
          </w:p>
        </w:tc>
        <w:tc>
          <w:tcPr>
            <w:tcW w:w="2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3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(218)</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(111)</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net</w:t>
            </w:r>
          </w:p>
        </w:tc>
        <w:tc>
          <w:tcPr>
            <w:tcW w:w="3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720" w:type="dxa"/>
            <w:vAlign w:val="bottom"/>
            <w:tcBorders>
              <w:top w:val="single" w:sz="8" w:color="auto"/>
            </w:tcBorders>
          </w:tcPr>
          <w:p>
            <w:pPr>
              <w:spacing w:after="0"/>
              <w:rPr>
                <w:sz w:val="5"/>
                <w:szCs w:val="5"/>
                <w:color w:val="auto"/>
              </w:rPr>
            </w:pPr>
          </w:p>
        </w:tc>
        <w:tc>
          <w:tcPr>
            <w:tcW w:w="33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1,416</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876</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720" w:type="dxa"/>
            <w:vAlign w:val="bottom"/>
          </w:tcPr>
          <w:p>
            <w:pPr>
              <w:spacing w:after="0"/>
              <w:rPr>
                <w:sz w:val="6"/>
                <w:szCs w:val="6"/>
                <w:color w:val="auto"/>
              </w:rPr>
            </w:pPr>
          </w:p>
        </w:tc>
        <w:tc>
          <w:tcPr>
            <w:tcW w:w="3380" w:type="dxa"/>
            <w:vAlign w:val="bottom"/>
            <w:vMerge w:val="restart"/>
          </w:tcPr>
          <w:p>
            <w:pPr>
              <w:jc w:val="right"/>
              <w:ind w:right="2236"/>
              <w:spacing w:after="0"/>
              <w:rPr>
                <w:sz w:val="20"/>
                <w:szCs w:val="20"/>
                <w:color w:val="auto"/>
              </w:rPr>
            </w:pPr>
            <w:r>
              <w:rPr>
                <w:rFonts w:ascii="Arial" w:cs="Arial" w:eastAsia="Arial" w:hAnsi="Arial"/>
                <w:sz w:val="14"/>
                <w:szCs w:val="14"/>
                <w:color w:val="auto"/>
              </w:rPr>
              <w:t>40</w:t>
            </w: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40" w:name="page41"/>
    <w:bookmarkEnd w:id="40"/>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hedges are primarily recognized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Dividends and interest income increased primarily due to higher average portfolio balances and yields on fixed-income securities. Interest expense increased primarily due to higher average outstanding long-term debt and higher finance lease expense. Net recognized gains on investments decreased primarily due to higher losses on sales of fixed-income securities, offset in part by higher gains on sales of equity securities. Net losses on derivatives decreased primarily due to lower losses on equity, foreign exchange, and commodity derivatives, offset in part by losses on interest rate derivatives in the current period as compared to gains in the prior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Dividends and interest income increased primarily due to higher portfolio balances and yields on fixed-income securities. Interest expense increased primarily due to higher outstanding long-term debt. Net recognized gains on investments increased primarily due to higher gains on sales of equity securities. Net losses on derivatives increased due to higher losses on equity derivatives, offset in part by lower losses on commodity and foreign currency derivatives. Other, net reflects recognized losses from certain joint ventures and divestitures.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for fiscal years 2018 and 2017 was 55% and 15%, respectively. The increase in our effective tax rate for fiscal year 2018 compared to fiscal year 2017 was primarily due to the net charge related to the enactment of the TCJA in fiscal year 2018 and the realization of tax benefits attributable to previous Phone business losses in fiscal year 2017. Our effective tax rate was higher than the U.S. federal statutory rate primarily due to the net charge related to the enactment of the TCJA, offset in part by earnings taxed at lower rates in foreign jurisdictions resulting from our foreign regional operations centers in Ireland, Singapore, and Puerto Rico.</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2018, our U.S. income before income taxes was $ 11.5 billion and our foreign income before income taxes was $24.9 billion. In fiscal year 2017, our U.S. income before income taxes was $6.8 billion and our foreign income before income taxes was $23.1 billion.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for fiscal years 2017 and 2016 was 15% and 20%, respectively. The decrease in our effective tax rate for fiscal year 2017 compared to fiscal year 2016 was primarily due to the realization of tax benefits attributable to previous Phone business losses, offset in part by changes in the mix of our income before income taxes between the U.S. and foreign countries. Our effective tax rate was lower than the U.S. federal statutory rate primarily due to earnings taxed at lower rates in foreign jurisdictions resulting from our foreign regional operations centers in Ireland, Singapore, and Puerto Rico.</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2017, our U.S. income before income taxes was $6.8 billion and our foreign income before income taxes was $23.1 billion. In fiscal year 2016, our U.S. income before income taxes was $5.1 billion and our foreign income before income taxes was $20.5 billion.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22, 2017, the TCJA was enacted into law, which significantly changes existing U.S. tax law and includes numerous provisions that affect our business, such as imposing a one-time transition tax on deemed repatriation of deferred foreign income, reducing the U.S. federal statutory tax rate, and adopting a territorial tax system. The TCJA required us to incur a one-time transition tax on deferred foreign income not previously subject to U.S. income tax at a rate of 15.5% for foreign cash and certain other net current assets, and 8% on the remaining income. The TCJA also reduced the U.S. federal statutory tax rate from 35% to 21% effective January 1, 2018. For fiscal year 2018, our blended U.S. federal statutory tax rate is 28.1%. This is the result of using the tax rate of 35% for the first and second quarter of fiscal year 2018 and the reduced tax rate of 21% for the third and fourth quarter of fiscal year 2018. The TCJA includes a provision to tax global intangible low-taxed income (“GILTI”) of foreign subsidiaries and a base erosion anti-abuse tax (“BEAT”) measure that taxes certain payments between a U.S. corporation and its foreign subsidiaries. The GILTI and BEAT provisions of the TCJA will be effective for us beginning July 1, 2018.</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TCJA was effective in the second quarter of fiscal year 2018. As of June 30, 2018, we have not completed our accounting for the estimated tax effects of the TCJA. During fiscal year 2018, we recorded a provisional net charge of $ 13.7 billion related to the TCJA based on reasonable estimates for those tax effects. Due to the timing of the enactment and the complexity in applying the provisions of the TCJA, the provisional net charge is subject to revisions as we continue to complete our analysis of the TCJA, collect and prepare necessary data, and interpret any additional guidance issued by the U.S. Treasury Department, Internal Revenue Service (“IRS”), Financial Accounting Standards Board, and other standard-setting and regulatory bodies. Adjustments may materially impact our provision for income taxes and effective tax rate in the period in which the adjustments are made. Our accounting for the estimated tax effects of the TCJA will be completed during the measurement period, which is not expected to extend beyond one year from the enactment date.</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fiscal year 2018, we recorded an estimated net charge of $13.7 billion related to the TCJA, due to the impact of the one-time transition tax on the deemed repatriation of deferred foreign income of $17.9 billion, offset in part by the impact of changes in the tax rate of $4.2 billion, primarily on deferred tax assets and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we settled a portion of the IRS audit for tax years 2004 to 2006 during the third quarter of fiscal year 2011, and a portion of the IRS audit for tax years 2007 to 2009 during the first quarter of fiscal year 2016, we remain under audit for those years. In the second quarter of fiscal year 2018, we settled a portion of the IRS audit for tax years 2010 to 2013. We continue to be subject to examination by the IRS for tax years 2010 to 2017. In February 2012, the IRS withdrew its 2011 Revenue Agents Report for tax years 2004 to 2006 and reopened the audit phase of the examination. As of June 30, 2018, the primary unresolved issue relates to transfer pricing, which could have a significant impact in our consolidated financial statements if not resolved favorably.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2017, some of which are currently under audit by local tax authorities. The resolution of each of these audits is not expected to be material to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operating income, net income and diluted earnings per share are non-GAAP financial measures which exclude the net charge related to the TCJA, and impairment and restructuring expenses.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2" w:name="page43"/>
    <w:bookmarkEnd w:id="42"/>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157"/>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Change 2018</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Change 2017</w:t>
            </w:r>
          </w:p>
        </w:tc>
        <w:tc>
          <w:tcPr>
            <w:tcW w:w="0" w:type="dxa"/>
            <w:vAlign w:val="bottom"/>
          </w:tcPr>
          <w:p>
            <w:pPr>
              <w:spacing w:after="0"/>
              <w:rPr>
                <w:sz w:val="1"/>
                <w:szCs w:val="1"/>
                <w:color w:val="auto"/>
              </w:rPr>
            </w:pPr>
          </w:p>
        </w:tc>
      </w:tr>
      <w:tr>
        <w:trPr>
          <w:trHeight w:val="178"/>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1320" w:type="dxa"/>
            <w:vAlign w:val="bottom"/>
          </w:tcPr>
          <w:p>
            <w:pPr>
              <w:jc w:val="right"/>
              <w:ind w:right="157"/>
              <w:spacing w:after="0"/>
              <w:rPr>
                <w:sz w:val="20"/>
                <w:szCs w:val="20"/>
                <w:color w:val="auto"/>
              </w:rPr>
            </w:pPr>
            <w:r>
              <w:rPr>
                <w:rFonts w:ascii="Arial" w:cs="Arial" w:eastAsia="Arial" w:hAnsi="Arial"/>
                <w:sz w:val="14"/>
                <w:szCs w:val="14"/>
                <w:b w:val="1"/>
                <w:bCs w:val="1"/>
                <w:color w:val="auto"/>
              </w:rPr>
              <w:t>Versus 2017</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Versus 2016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35,058</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29,025</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26,078</w:t>
            </w:r>
          </w:p>
        </w:tc>
        <w:tc>
          <w:tcPr>
            <w:tcW w:w="1320" w:type="dxa"/>
            <w:vAlign w:val="bottom"/>
            <w:shd w:val="clear" w:color="auto" w:fill="E5E5E5"/>
          </w:tcPr>
          <w:p>
            <w:pPr>
              <w:jc w:val="right"/>
              <w:ind w:right="157"/>
              <w:spacing w:after="0" w:line="189" w:lineRule="exact"/>
              <w:rPr>
                <w:sz w:val="20"/>
                <w:szCs w:val="20"/>
                <w:color w:val="auto"/>
              </w:rPr>
            </w:pPr>
            <w:r>
              <w:rPr>
                <w:rFonts w:ascii="Arial" w:cs="Arial" w:eastAsia="Arial" w:hAnsi="Arial"/>
                <w:sz w:val="18"/>
                <w:szCs w:val="18"/>
                <w:color w:val="auto"/>
              </w:rPr>
              <w:t>21%</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8"/>
                <w:szCs w:val="18"/>
                <w:color w:val="auto"/>
              </w:rPr>
              <w:t>Net charge related to the TCJA</w:t>
            </w: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 and restructuring expenses</w:t>
            </w:r>
          </w:p>
        </w:tc>
        <w:tc>
          <w:tcPr>
            <w:tcW w:w="6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306</w:t>
            </w:r>
          </w:p>
        </w:tc>
        <w:tc>
          <w:tcPr>
            <w:tcW w:w="3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1,110</w:t>
            </w:r>
          </w:p>
        </w:tc>
        <w:tc>
          <w:tcPr>
            <w:tcW w:w="1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Adjusted operating income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35,058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29,331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27,188</w:t>
            </w: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16,571</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25,489</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20,539</w:t>
            </w:r>
          </w:p>
        </w:tc>
        <w:tc>
          <w:tcPr>
            <w:tcW w:w="1320" w:type="dxa"/>
            <w:vAlign w:val="bottom"/>
            <w:shd w:val="clear" w:color="auto" w:fill="E5E5E5"/>
          </w:tcPr>
          <w:p>
            <w:pPr>
              <w:jc w:val="right"/>
              <w:ind w:right="157"/>
              <w:spacing w:after="0" w:line="189" w:lineRule="exact"/>
              <w:rPr>
                <w:sz w:val="20"/>
                <w:szCs w:val="20"/>
                <w:color w:val="auto"/>
              </w:rPr>
            </w:pPr>
            <w:r>
              <w:rPr>
                <w:rFonts w:ascii="Arial" w:cs="Arial" w:eastAsia="Arial" w:hAnsi="Arial"/>
                <w:sz w:val="18"/>
                <w:szCs w:val="18"/>
                <w:color w:val="auto"/>
              </w:rPr>
              <w:t>(35)%</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8"/>
                <w:szCs w:val="18"/>
                <w:color w:val="auto"/>
              </w:rPr>
              <w:t>Net charge related to the TCJA</w:t>
            </w: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13,696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 and restructuring expenses</w:t>
            </w:r>
          </w:p>
        </w:tc>
        <w:tc>
          <w:tcPr>
            <w:tcW w:w="6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243</w:t>
            </w:r>
          </w:p>
        </w:tc>
        <w:tc>
          <w:tcPr>
            <w:tcW w:w="36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895</w:t>
            </w:r>
          </w:p>
        </w:tc>
        <w:tc>
          <w:tcPr>
            <w:tcW w:w="24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Adjusted net income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30,267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25,732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21,434</w:t>
            </w: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18%</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2.13</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3.25</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2.56</w:t>
            </w:r>
          </w:p>
        </w:tc>
        <w:tc>
          <w:tcPr>
            <w:tcW w:w="24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157"/>
              <w:spacing w:after="0" w:line="189" w:lineRule="exact"/>
              <w:rPr>
                <w:sz w:val="20"/>
                <w:szCs w:val="20"/>
                <w:color w:val="auto"/>
              </w:rPr>
            </w:pPr>
            <w:r>
              <w:rPr>
                <w:rFonts w:ascii="Arial" w:cs="Arial" w:eastAsia="Arial" w:hAnsi="Arial"/>
                <w:sz w:val="18"/>
                <w:szCs w:val="18"/>
                <w:color w:val="auto"/>
              </w:rPr>
              <w:t>(34)%</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27%</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8"/>
                <w:szCs w:val="18"/>
                <w:color w:val="auto"/>
              </w:rPr>
              <w:t>Net charge related to the TCJA</w:t>
            </w: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1.75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 and restructuring expenses</w:t>
            </w:r>
          </w:p>
        </w:tc>
        <w:tc>
          <w:tcPr>
            <w:tcW w:w="6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0.04</w:t>
            </w:r>
          </w:p>
        </w:tc>
        <w:tc>
          <w:tcPr>
            <w:tcW w:w="36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0.11</w:t>
            </w:r>
          </w:p>
        </w:tc>
        <w:tc>
          <w:tcPr>
            <w:tcW w:w="24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Adjusted diluted earnings per share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18%</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$133.8 billion and $133.0 billion as of June 30, 2018 and 2017, respectively. Equity and other investments were $1.9 billion and $6.0 billion as of June 30, 2018 and 2017,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the TCJA, our cash, cash equivalents, and short-term investments held by foreign subsidiaries are no longer subject to U.S. tax on repatriation into the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corporate notes and bonds, foreign government bonds, mortgage- and asset-backed securities, commercial paper, certificates of deposit, and U.S. agency securities. Level 3 investments are valued using internally developed models with unobservable inputs. Assets and liabilities measured at fair value on a recurring basis using unobservable inputs are an immaterial portion of our portfolio.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3" w:name="page44"/>
    <w:bookmarkEnd w:id="43"/>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from operations increased $4.4 billion to $43.9 billion for the fiscal year ended June 30, 2018, mainly due to an increase in cash received from customers, offset in part by an increase in cash paid to employees, net cash paid for income taxes, cash paid for interest on debt, and cash paid to suppliers. Cash used in financing was $33.6 billion for the fiscal year ended June 30, 2018, compared to cash from financing of $8.4 billion for the fiscal year ended June 30, 2017. The change was mainly due to a $41.7 billion decrease in proceeds from issuance of debt, net of repayments, offset in part by a $1.1 billion decrease in cash used for common stock repurchases. Cash used in investing decreased $40.7 billion to $6.1 billion for the fiscal year ended June 30, 2018, mainly due to a $</w:t>
      </w:r>
      <w:r>
        <w:rPr>
          <w:rFonts w:ascii="Arial" w:cs="Arial" w:eastAsia="Arial" w:hAnsi="Arial"/>
          <w:sz w:val="18"/>
          <w:szCs w:val="18"/>
          <w:i w:val="1"/>
          <w:iCs w:val="1"/>
          <w:color w:val="auto"/>
        </w:rPr>
        <w:t>25.</w:t>
      </w:r>
      <w:r>
        <w:rPr>
          <w:rFonts w:ascii="Arial" w:cs="Arial" w:eastAsia="Arial" w:hAnsi="Arial"/>
          <w:sz w:val="18"/>
          <w:szCs w:val="18"/>
          <w:color w:val="auto"/>
        </w:rPr>
        <w:t>1 billion decrease in cash used for acquisitions of companies, net of cash acquired, and purchases of intangible and other assets, and a $19.1 billion increase in cash from net investment purchases, sales, and maturities.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with Fiscal Year 2016</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from operations increased $6.2 billion to $39.5 billion during the fiscal year, mainly due to an increase in cash received from customers and an income tax refund for overpayment of estimated taxes, offset in part by an increase in cash paid to employees. Cash from financing increased $16.8 billion to $8.4 billion, mainly due to a $13.2 billion increase in proceeds from issuances of debt, net of repayments, and a $4.2 billion decrease in cash used for common stock repurchases, offset in part by an $839 million increase in dividends paid. Cash used in investing increased $22.8 billion to $46.8 billion, mainly due to a $24.6 billion increase in cash used for acquisitions of companies, net of cash acquired, and purchases of intangibles and other assets, offset in part by a $1.9 billion decrease in cash used for net investment purchases, sales, and maturities.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issued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12 – Debt of the Notes to Financial Statements (Part II, Item 8 of this Form 10-K)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Unearned revenue comprises mainly unearned revenue related to volume licensing programs and includes Software Assurance (“SA”) and cloud services. Unearned revenue is generally billed upfront at the beginning of each annual coverage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 for further discussion.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000" w:type="dxa"/>
            <w:vAlign w:val="bottom"/>
            <w:gridSpan w:val="2"/>
          </w:tcPr>
          <w:p>
            <w:pPr>
              <w:jc w:val="center"/>
              <w:ind w:right="4540"/>
              <w:spacing w:after="0"/>
              <w:rPr>
                <w:sz w:val="20"/>
                <w:szCs w:val="20"/>
                <w:color w:val="auto"/>
              </w:rPr>
            </w:pPr>
            <w:r>
              <w:rPr>
                <w:rFonts w:ascii="Arial" w:cs="Arial" w:eastAsia="Arial" w:hAnsi="Arial"/>
                <w:sz w:val="14"/>
                <w:szCs w:val="14"/>
                <w:color w:val="auto"/>
                <w:w w:val="93"/>
              </w:rPr>
              <w:t>PART II</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4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Item 7</w:t>
            </w:r>
          </w:p>
        </w:tc>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7"/>
        </w:trPr>
        <w:tc>
          <w:tcPr>
            <w:tcW w:w="10480" w:type="dxa"/>
            <w:vAlign w:val="bottom"/>
            <w:gridSpan w:val="4"/>
          </w:tcPr>
          <w:p>
            <w:pPr>
              <w:spacing w:after="0"/>
              <w:rPr>
                <w:sz w:val="20"/>
                <w:szCs w:val="20"/>
                <w:color w:val="auto"/>
              </w:rPr>
            </w:pPr>
            <w:r>
              <w:rPr>
                <w:rFonts w:ascii="Arial" w:cs="Arial" w:eastAsia="Arial" w:hAnsi="Arial"/>
                <w:sz w:val="18"/>
                <w:szCs w:val="18"/>
                <w:color w:val="auto"/>
              </w:rPr>
              <w:t>The following table outlines the expected future recognition of unearned revenue as of June 30, 2018:</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4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548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4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Ending,</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46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September 30, 2018</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11,081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3"/>
          </w:tcPr>
          <w:p>
            <w:pPr>
              <w:spacing w:after="0" w:line="189" w:lineRule="exact"/>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8,688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March 31, 2019</w:t>
            </w:r>
          </w:p>
        </w:tc>
        <w:tc>
          <w:tcPr>
            <w:tcW w:w="200" w:type="dxa"/>
            <w:vAlign w:val="bottom"/>
            <w:shd w:val="clear" w:color="auto" w:fill="E5E5E5"/>
          </w:tcPr>
          <w:p>
            <w:pPr>
              <w:spacing w:after="0"/>
              <w:rPr>
                <w:sz w:val="16"/>
                <w:szCs w:val="16"/>
                <w:color w:val="auto"/>
              </w:rPr>
            </w:pP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5,995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3"/>
          </w:tcPr>
          <w:p>
            <w:pPr>
              <w:spacing w:after="0" w:line="189" w:lineRule="exact"/>
              <w:rPr>
                <w:sz w:val="20"/>
                <w:szCs w:val="20"/>
                <w:color w:val="auto"/>
              </w:rPr>
            </w:pPr>
            <w:r>
              <w:rPr>
                <w:rFonts w:ascii="Arial" w:cs="Arial" w:eastAsia="Arial" w:hAnsi="Arial"/>
                <w:sz w:val="18"/>
                <w:szCs w:val="18"/>
                <w:color w:val="auto"/>
              </w:rPr>
              <w:t>June 30, 2019</w:t>
            </w:r>
          </w:p>
        </w:tc>
        <w:tc>
          <w:tcPr>
            <w:tcW w:w="2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3,141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200" w:type="dxa"/>
            <w:vAlign w:val="bottom"/>
            <w:shd w:val="clear" w:color="auto" w:fill="E5E5E5"/>
          </w:tcPr>
          <w:p>
            <w:pPr>
              <w:spacing w:after="0"/>
              <w:rPr>
                <w:sz w:val="16"/>
                <w:szCs w:val="16"/>
                <w:color w:val="auto"/>
              </w:rPr>
            </w:pP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3,815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4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32,720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5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fiscal years ended June 30, 2018, 2017, and 2016, we repurchased 99 million shares, 170 million shares, and 294 million shares of our common stock for $8.6 billion, $10.3 billion, and $14.8 billion, respectively, through our share repurchase programs. All repurchases were made using cash resources. Refer to Note 18 – Stockholders’ Equity of the Notes to Financial Statements (Part II, Item 8 of this Form 10-K)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 Stockholders’ Equity of the Notes to Financial Statements (Part II, Item 8 of this Form 10-K)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June 30,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(a)</w:t>
            </w:r>
          </w:p>
        </w:tc>
        <w:tc>
          <w:tcPr>
            <w:tcW w:w="10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ind w:left="200"/>
              <w:spacing w:after="0" w:line="189" w:lineRule="exact"/>
              <w:rPr>
                <w:sz w:val="20"/>
                <w:szCs w:val="20"/>
                <w:color w:val="auto"/>
              </w:rPr>
            </w:pPr>
            <w:r>
              <w:rPr>
                <w:rFonts w:ascii="Arial" w:cs="Arial" w:eastAsia="Arial" w:hAnsi="Arial"/>
                <w:sz w:val="18"/>
                <w:szCs w:val="18"/>
                <w:color w:val="auto"/>
              </w:rPr>
              <w:t>Principal payments</w:t>
            </w:r>
          </w:p>
        </w:tc>
        <w:tc>
          <w:tcPr>
            <w:tcW w:w="1060" w:type="dxa"/>
            <w:vAlign w:val="bottom"/>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4,000</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9,268</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10,794</w:t>
            </w:r>
          </w:p>
        </w:tc>
        <w:tc>
          <w:tcPr>
            <w:tcW w:w="3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52,836</w:t>
            </w:r>
          </w:p>
        </w:tc>
        <w:tc>
          <w:tcPr>
            <w:tcW w:w="3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76,898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Interest payments</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2,377</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4,495</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4,066</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31,247</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42,185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 xml:space="preserve">Construction commitments </w:t>
            </w:r>
            <w:r>
              <w:rPr>
                <w:rFonts w:ascii="Arial" w:cs="Arial" w:eastAsia="Arial" w:hAnsi="Arial"/>
                <w:sz w:val="15"/>
                <w:szCs w:val="15"/>
                <w:color w:val="auto"/>
              </w:rPr>
              <w:t>(b)</w:t>
            </w:r>
          </w:p>
        </w:tc>
        <w:tc>
          <w:tcPr>
            <w:tcW w:w="106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1,793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Operating leases, including imputed interest </w:t>
            </w:r>
            <w:r>
              <w:rPr>
                <w:rFonts w:ascii="Arial" w:cs="Arial" w:eastAsia="Arial" w:hAnsi="Arial"/>
                <w:sz w:val="15"/>
                <w:szCs w:val="15"/>
                <w:color w:val="auto"/>
              </w:rPr>
              <w:t>(c)</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1,538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2,567</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2,416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 xml:space="preserve">Finance leases, including imputed interest </w:t>
            </w:r>
            <w:r>
              <w:rPr>
                <w:rFonts w:ascii="Arial" w:cs="Arial" w:eastAsia="Arial" w:hAnsi="Arial"/>
                <w:sz w:val="15"/>
                <w:szCs w:val="15"/>
                <w:color w:val="auto"/>
              </w:rPr>
              <w:t>(c)</w:t>
            </w:r>
          </w:p>
        </w:tc>
        <w:tc>
          <w:tcPr>
            <w:tcW w:w="106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1,101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5,751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Transition tax </w:t>
            </w:r>
            <w:r>
              <w:rPr>
                <w:rFonts w:ascii="Arial" w:cs="Arial" w:eastAsia="Arial" w:hAnsi="Arial"/>
                <w:sz w:val="15"/>
                <w:szCs w:val="15"/>
                <w:color w:val="auto"/>
              </w:rPr>
              <w:t>(d)</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1,495</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2,808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2,808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10,530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5"/>
                <w:szCs w:val="15"/>
                <w:color w:val="auto"/>
              </w:rPr>
              <w:t>(e)</w:t>
            </w:r>
          </w:p>
        </w:tc>
        <w:tc>
          <w:tcPr>
            <w:tcW w:w="106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19,321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20,858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(f)</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76</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313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 contractual obligations</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30,994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21,296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20,862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103,501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176,653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34290</wp:posOffset>
            </wp:positionV>
            <wp:extent cx="38334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Refer to Note 12 – Debt of the Notes to Financial Statements (Part II, Item 8 of this Form 10-K).</w:t>
      </w: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Refer to Note 8 – Property and Equipment of the Notes to Financial Statements (Part II, Item 8 of this Form 10-K).</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5" w:name="page46"/>
    <w:bookmarkEnd w:id="45"/>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17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Refer to Note 16 – Leases of the Notes to Financial Statements (Part II, Item 8 of this Form 10-K).</w:t>
      </w:r>
    </w:p>
    <w:p>
      <w:pPr>
        <w:spacing w:after="0" w:line="13"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Refer to Note 13 – Income Taxes of the Notes to Financial Statements (Part II, Item 8 of this Form 10-K).</w:t>
      </w:r>
    </w:p>
    <w:p>
      <w:pPr>
        <w:ind w:left="540" w:hanging="532"/>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Amounts represent purchase commitments, including open purchase orders and take-or-pay contracts that are not presented as construction commitments above.</w:t>
      </w:r>
    </w:p>
    <w:p>
      <w:pPr>
        <w:spacing w:after="0" w:line="1"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We have excluded long-term tax contingencies, other tax liabilities, and deferred income taxes of $13.6 billion from the amounts presented as the timing of these obligations is uncertain. We have also excluded unearned revenue and non-cash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retail stores, and certain equipment. We have not engaged in any related party transactions or arrangements with unconsolidated entities or other persons that are reasonably likely to materially affect liquidity or the availability of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result of the TCJA, we are required to pay a one-time transition tax of $17.9 billion on deferred foreign income not previously subject to U.S. income tax. In fiscal year 2018, we paid transition tax of $228 million. Under the TCJA, the remaining transition tax of $17.6 billion is payable interest-free over eight years, with 8% due in each of the first five years, 15% in year six, 20% in year seven, and 25% in year eight.</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II, Item 8 of this Form 10-K)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impairment of investment securities, goodwill, research and development costs, contingencies, income taxes, and inventories.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6" w:name="page47"/>
    <w:bookmarkEnd w:id="46"/>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new standard related to revenue recognition had a material impact in our consolidated financial statements. Refer to Note 1 – Accounting Policies of the Notes to Financial Statements (Part II, Item 8 of this Form 10-K)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investments quarterly for indicators of other-than-temporary impairment. This determination requires significant judgment. In making this judgment, we employ a systematic methodology quarterly that considers available quantitative and qualitative evidence in evaluating potential impairment of our investments. If the cost of an investment exceeds its fair value, we evaluate, among other factors, general market conditions, credit quality of debt instrument issuers, the duration and extent to which the fair value is less than cost, and for equity securities, our intent and ability to hold, or plans to sell, the investment. For fixed -income securities, we also evaluate whether we have plans to sell the security or it is more likely than not that we will be required to sell the security before recovery. We also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net and a new cost basis in the investment is established. If market, industry, and/or investee conditions deteriorate, we may incur future impairments.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7" w:name="page48"/>
    <w:bookmarkEnd w:id="47"/>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3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all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TCJA significantly changes existing U.S. tax law and includes numerous provisions that affect our business. Refer to Note 13 – Income Taxes of the Notes to Financial Statements (Part II, Item 8 of this Form 10-K)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8" w:name="page49"/>
    <w:bookmarkEnd w:id="48"/>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MANAGEMENT’S RESPONSIBILITY FOR FINANCIAL STATEMENTS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7A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Principal currencies hedged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and other investments portfolio are subject to market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Historically, we used a value-at-risk (“VaR”) model to estimate and quantify our market risks. This included presenting one-day VaR as well as average, high, and low VaR by risk category throughout the reporting period. Given the changes in size and allocation of our portfolio of financial assets, we believe sensitivity analysis is more informative in representing the potential impact to the portfolio as a result of market movements. Therefore, we have presented a sensitivity analysis for each risk category below.</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Sensitivity analysis is not intended to represent actual losses in fair value, including determinations of other-than-temporary losses in fair value in accordance with accounting principles generally accepted in the United States of America, but is used as a risk estimation and management tool.</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Risk Categories</w:t>
            </w:r>
          </w:p>
        </w:tc>
        <w:tc>
          <w:tcPr>
            <w:tcW w:w="5960" w:type="dxa"/>
            <w:vAlign w:val="bottom"/>
          </w:tcPr>
          <w:p>
            <w:pPr>
              <w:ind w:left="220"/>
              <w:spacing w:after="0"/>
              <w:rPr>
                <w:sz w:val="20"/>
                <w:szCs w:val="20"/>
                <w:color w:val="auto"/>
              </w:rPr>
            </w:pPr>
            <w:r>
              <w:rPr>
                <w:rFonts w:ascii="Arial" w:cs="Arial" w:eastAsia="Arial" w:hAnsi="Arial"/>
                <w:sz w:val="14"/>
                <w:szCs w:val="14"/>
                <w:b w:val="1"/>
                <w:bCs w:val="1"/>
                <w:color w:val="auto"/>
              </w:rPr>
              <w:t>Hypothetical Change</w:t>
            </w: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80" w:type="dxa"/>
            <w:vAlign w:val="bottom"/>
          </w:tcPr>
          <w:p>
            <w:pPr>
              <w:spacing w:after="0"/>
              <w:rPr>
                <w:sz w:val="4"/>
                <w:szCs w:val="4"/>
                <w:color w:val="auto"/>
              </w:rPr>
            </w:pPr>
          </w:p>
        </w:tc>
        <w:tc>
          <w:tcPr>
            <w:tcW w:w="5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168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Foreign currency -</w:t>
            </w:r>
          </w:p>
        </w:tc>
        <w:tc>
          <w:tcPr>
            <w:tcW w:w="5960" w:type="dxa"/>
            <w:vAlign w:val="bottom"/>
            <w:shd w:val="clear" w:color="auto" w:fill="E5E5E5"/>
          </w:tcPr>
          <w:p>
            <w:pPr>
              <w:ind w:left="220"/>
              <w:spacing w:after="0" w:line="153" w:lineRule="exact"/>
              <w:rPr>
                <w:sz w:val="20"/>
                <w:szCs w:val="20"/>
                <w:color w:val="auto"/>
              </w:rPr>
            </w:pPr>
            <w:r>
              <w:rPr>
                <w:rFonts w:ascii="Arial" w:cs="Arial" w:eastAsia="Arial" w:hAnsi="Arial"/>
                <w:sz w:val="17"/>
                <w:szCs w:val="17"/>
                <w:color w:val="auto"/>
              </w:rPr>
              <w:t>10% decrease in foreign exchange rates</w:t>
            </w: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(2,187)</w:t>
            </w:r>
          </w:p>
        </w:tc>
        <w:tc>
          <w:tcPr>
            <w:tcW w:w="480" w:type="dxa"/>
            <w:vAlign w:val="bottom"/>
            <w:shd w:val="clear" w:color="auto" w:fill="E5E5E5"/>
          </w:tcPr>
          <w:p>
            <w:pPr>
              <w:spacing w:after="0"/>
              <w:rPr>
                <w:sz w:val="13"/>
                <w:szCs w:val="13"/>
                <w:color w:val="auto"/>
              </w:rPr>
            </w:pPr>
          </w:p>
        </w:tc>
        <w:tc>
          <w:tcPr>
            <w:tcW w:w="960" w:type="dxa"/>
            <w:vAlign w:val="bottom"/>
            <w:shd w:val="clear" w:color="auto" w:fill="E5E5E5"/>
          </w:tcPr>
          <w:p>
            <w:pPr>
              <w:spacing w:after="0"/>
              <w:rPr>
                <w:sz w:val="13"/>
                <w:szCs w:val="13"/>
                <w:color w:val="auto"/>
              </w:rPr>
            </w:pPr>
          </w:p>
        </w:tc>
        <w:tc>
          <w:tcPr>
            <w:tcW w:w="12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Revenue</w:t>
            </w:r>
          </w:p>
        </w:tc>
        <w:tc>
          <w:tcPr>
            <w:tcW w:w="5960" w:type="dxa"/>
            <w:vAlign w:val="bottom"/>
            <w:shd w:val="clear" w:color="auto" w:fill="E5E5E5"/>
          </w:tcPr>
          <w:p>
            <w:pPr>
              <w:ind w:left="5580"/>
              <w:spacing w:after="0"/>
              <w:rPr>
                <w:sz w:val="20"/>
                <w:szCs w:val="20"/>
                <w:color w:val="auto"/>
              </w:rPr>
            </w:pPr>
            <w:r>
              <w:rPr>
                <w:rFonts w:ascii="Arial" w:cs="Arial" w:eastAsia="Arial" w:hAnsi="Arial"/>
                <w:sz w:val="18"/>
                <w:szCs w:val="18"/>
                <w:b w:val="1"/>
                <w:bCs w:val="1"/>
                <w:color w:val="auto"/>
              </w:rPr>
              <w:t>$</w:t>
            </w:r>
          </w:p>
        </w:tc>
        <w:tc>
          <w:tcPr>
            <w:tcW w:w="960" w:type="dxa"/>
            <w:vAlign w:val="bottom"/>
            <w:vMerge w:val="continue"/>
            <w:shd w:val="clear" w:color="auto" w:fill="E5E5E5"/>
          </w:tcPr>
          <w:p>
            <w:pPr>
              <w:spacing w:after="0"/>
              <w:rPr>
                <w:sz w:val="19"/>
                <w:szCs w:val="19"/>
                <w:color w:val="auto"/>
              </w:rPr>
            </w:pPr>
          </w:p>
        </w:tc>
        <w:tc>
          <w:tcPr>
            <w:tcW w:w="480" w:type="dxa"/>
            <w:vAlign w:val="bottom"/>
            <w:shd w:val="clear" w:color="auto" w:fill="E5E5E5"/>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(1,785)</w:t>
            </w:r>
          </w:p>
        </w:tc>
        <w:tc>
          <w:tcPr>
            <w:tcW w:w="1360" w:type="dxa"/>
            <w:vAlign w:val="bottom"/>
            <w:gridSpan w:val="2"/>
            <w:shd w:val="clear" w:color="auto" w:fill="E5E5E5"/>
          </w:tcPr>
          <w:p>
            <w:pPr>
              <w:ind w:left="10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line="175" w:lineRule="exact"/>
              <w:rPr>
                <w:sz w:val="20"/>
                <w:szCs w:val="20"/>
                <w:color w:val="auto"/>
              </w:rPr>
            </w:pPr>
            <w:r>
              <w:rPr>
                <w:rFonts w:ascii="Arial" w:cs="Arial" w:eastAsia="Arial" w:hAnsi="Arial"/>
                <w:sz w:val="18"/>
                <w:szCs w:val="18"/>
                <w:color w:val="auto"/>
              </w:rPr>
              <w:t>Foreign currency -</w:t>
            </w:r>
          </w:p>
        </w:tc>
        <w:tc>
          <w:tcPr>
            <w:tcW w:w="5960" w:type="dxa"/>
            <w:vAlign w:val="bottom"/>
          </w:tcPr>
          <w:p>
            <w:pPr>
              <w:ind w:left="220"/>
              <w:spacing w:after="0" w:line="175" w:lineRule="exact"/>
              <w:rPr>
                <w:sz w:val="20"/>
                <w:szCs w:val="20"/>
                <w:color w:val="auto"/>
              </w:rPr>
            </w:pPr>
            <w:r>
              <w:rPr>
                <w:rFonts w:ascii="Arial" w:cs="Arial" w:eastAsia="Arial" w:hAnsi="Arial"/>
                <w:sz w:val="18"/>
                <w:szCs w:val="18"/>
                <w:color w:val="auto"/>
              </w:rPr>
              <w:t>10% decrease in foreign exchange rates</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ind w:left="200"/>
              <w:spacing w:after="0" w:line="203" w:lineRule="exact"/>
              <w:rPr>
                <w:sz w:val="20"/>
                <w:szCs w:val="20"/>
                <w:color w:val="auto"/>
              </w:rPr>
            </w:pPr>
            <w:r>
              <w:rPr>
                <w:rFonts w:ascii="Arial" w:cs="Arial" w:eastAsia="Arial" w:hAnsi="Arial"/>
                <w:sz w:val="18"/>
                <w:szCs w:val="18"/>
                <w:color w:val="auto"/>
              </w:rPr>
              <w:t>Investments</w:t>
            </w:r>
          </w:p>
        </w:tc>
        <w:tc>
          <w:tcPr>
            <w:tcW w:w="59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(92)</w:t>
            </w:r>
          </w:p>
        </w:tc>
        <w:tc>
          <w:tcPr>
            <w:tcW w:w="136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9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(2,705)</w:t>
            </w: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(2,394)</w:t>
            </w:r>
          </w:p>
        </w:tc>
        <w:tc>
          <w:tcPr>
            <w:tcW w:w="136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960" w:type="dxa"/>
            <w:vAlign w:val="bottom"/>
          </w:tcPr>
          <w:p>
            <w:pPr>
              <w:ind w:left="22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(232)</w:t>
            </w: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(167)</w:t>
            </w:r>
          </w:p>
        </w:tc>
        <w:tc>
          <w:tcPr>
            <w:tcW w:w="136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9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10% decrease in equity market prices</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(140)</w:t>
            </w: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(323)</w:t>
            </w:r>
          </w:p>
        </w:tc>
        <w:tc>
          <w:tcPr>
            <w:tcW w:w="136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59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0" w:name="page51"/>
    <w:bookmarkEnd w:id="50"/>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ind w:left="200"/>
              <w:spacing w:after="0" w:line="189" w:lineRule="exact"/>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64,497</w:t>
            </w:r>
          </w:p>
        </w:tc>
        <w:tc>
          <w:tcPr>
            <w:tcW w:w="3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63,811</w:t>
            </w: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67,336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Service and other</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45,863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32,760</w:t>
            </w: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23,818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110,360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96,571</w:t>
            </w:r>
          </w:p>
        </w:tc>
        <w:tc>
          <w:tcPr>
            <w:tcW w:w="3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91,154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ind w:left="200"/>
              <w:spacing w:after="0" w:line="189" w:lineRule="exact"/>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15,420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15,175</w:t>
            </w: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17,880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Service and other</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22,933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19,086</w:t>
            </w: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14,900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38,353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34,261</w:t>
            </w:r>
          </w:p>
        </w:tc>
        <w:tc>
          <w:tcPr>
            <w:tcW w:w="3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32,780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500"/>
              <w:spacing w:after="0" w:line="189"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72,007</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62,310</w:t>
            </w: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58,374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14,726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13,037</w:t>
            </w: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17,469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15,461</w:t>
            </w: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14,635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spacing w:after="0" w:line="189"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4,754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4,481</w:t>
            </w: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 and restructuring</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306</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29,025</w:t>
            </w:r>
          </w:p>
        </w:tc>
        <w:tc>
          <w:tcPr>
            <w:tcW w:w="3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26,078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1,416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876</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29,901</w:t>
            </w:r>
          </w:p>
        </w:tc>
        <w:tc>
          <w:tcPr>
            <w:tcW w:w="3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25,639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19,903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4,412</w:t>
            </w: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16,571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25,489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ind w:left="200"/>
              <w:spacing w:after="0" w:line="189" w:lineRule="exact"/>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2.15</w:t>
            </w:r>
          </w:p>
        </w:tc>
        <w:tc>
          <w:tcPr>
            <w:tcW w:w="3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3.29</w:t>
            </w:r>
          </w:p>
        </w:tc>
        <w:tc>
          <w:tcPr>
            <w:tcW w:w="22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2.13</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3.25</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7,700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7,746</w:t>
            </w: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7,832</w:t>
            </w:r>
          </w:p>
        </w:tc>
        <w:tc>
          <w:tcPr>
            <w:tcW w:w="3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1.68</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1.56</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005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16,571</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25,489</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2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change related to derivatives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(218)</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tcPr>
          <w:p>
            <w:pPr>
              <w:spacing w:after="0" w:line="189" w:lineRule="exact"/>
              <w:rPr>
                <w:sz w:val="20"/>
                <w:szCs w:val="20"/>
                <w:color w:val="auto"/>
              </w:rPr>
            </w:pPr>
            <w:r>
              <w:rPr>
                <w:rFonts w:ascii="Arial" w:cs="Arial" w:eastAsia="Arial" w:hAnsi="Arial"/>
                <w:sz w:val="18"/>
                <w:szCs w:val="18"/>
                <w:color w:val="auto"/>
              </w:rPr>
              <w:t>Net change related to investments</w:t>
            </w:r>
          </w:p>
        </w:tc>
        <w:tc>
          <w:tcPr>
            <w:tcW w:w="28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(2,717)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(1,116)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Translation adjustments and other</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(178)</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167</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(2,856)</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13,715</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24,322</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19,811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 Refer to Note 19 – Accumulated Other Comprehensive Income (Loss) for further information.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2" w:name="page53"/>
    <w:bookmarkEnd w:id="52"/>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11,946</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7,663</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121,822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125,318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133,768</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132,981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$377</w:t>
            </w:r>
            <w:r>
              <w:rPr>
                <w:rFonts w:ascii="Arial" w:cs="Arial" w:eastAsia="Arial" w:hAnsi="Arial"/>
                <w:sz w:val="18"/>
                <w:szCs w:val="18"/>
                <w:color w:val="auto"/>
              </w:rPr>
              <w:t xml:space="preserve"> and $345</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26,481</w:t>
            </w:r>
          </w:p>
        </w:tc>
        <w:tc>
          <w:tcPr>
            <w:tcW w:w="120" w:type="dxa"/>
            <w:vAlign w:val="bottom"/>
          </w:tcPr>
          <w:p>
            <w:pPr>
              <w:spacing w:after="0"/>
              <w:rPr>
                <w:sz w:val="16"/>
                <w:szCs w:val="16"/>
                <w:color w:val="auto"/>
              </w:rPr>
            </w:pPr>
          </w:p>
        </w:tc>
        <w:tc>
          <w:tcPr>
            <w:tcW w:w="7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2,662</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2,181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6,751</w:t>
            </w: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169,662</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162,696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$29,223</w:t>
            </w:r>
            <w:r>
              <w:rPr>
                <w:rFonts w:ascii="Arial" w:cs="Arial" w:eastAsia="Arial" w:hAnsi="Arial"/>
                <w:sz w:val="18"/>
                <w:szCs w:val="18"/>
                <w:color w:val="auto"/>
              </w:rPr>
              <w:t xml:space="preserve"> and $24,179</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29,460</w:t>
            </w:r>
          </w:p>
        </w:tc>
        <w:tc>
          <w:tcPr>
            <w:tcW w:w="120" w:type="dxa"/>
            <w:vAlign w:val="bottom"/>
          </w:tcPr>
          <w:p>
            <w:pPr>
              <w:spacing w:after="0"/>
              <w:rPr>
                <w:sz w:val="16"/>
                <w:szCs w:val="16"/>
                <w:color w:val="auto"/>
              </w:rPr>
            </w:pPr>
          </w:p>
        </w:tc>
        <w:tc>
          <w:tcPr>
            <w:tcW w:w="7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23,734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6,686</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6,555</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Equity and other investments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1,862</w:t>
            </w:r>
          </w:p>
        </w:tc>
        <w:tc>
          <w:tcPr>
            <w:tcW w:w="12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35,683</w:t>
            </w:r>
          </w:p>
        </w:tc>
        <w:tc>
          <w:tcPr>
            <w:tcW w:w="120" w:type="dxa"/>
            <w:vAlign w:val="bottom"/>
            <w:shd w:val="clear" w:color="auto" w:fill="E5E5E5"/>
          </w:tcPr>
          <w:p>
            <w:pPr>
              <w:spacing w:after="0"/>
              <w:rPr>
                <w:sz w:val="16"/>
                <w:szCs w:val="16"/>
                <w:color w:val="auto"/>
              </w:rPr>
            </w:pPr>
          </w:p>
        </w:tc>
        <w:tc>
          <w:tcPr>
            <w:tcW w:w="7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35,122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8,053</w:t>
            </w:r>
          </w:p>
        </w:tc>
        <w:tc>
          <w:tcPr>
            <w:tcW w:w="120" w:type="dxa"/>
            <w:vAlign w:val="bottom"/>
          </w:tcPr>
          <w:p>
            <w:pPr>
              <w:spacing w:after="0"/>
              <w:rPr>
                <w:sz w:val="16"/>
                <w:szCs w:val="16"/>
                <w:color w:val="auto"/>
              </w:rPr>
            </w:pPr>
          </w:p>
        </w:tc>
        <w:tc>
          <w:tcPr>
            <w:tcW w:w="7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7,442</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6,076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258,848</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250,312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9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8,617</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7,390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Short-term debt</w:t>
            </w: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9,072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3,998</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1,049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6,103</w:t>
            </w:r>
          </w:p>
        </w:tc>
        <w:tc>
          <w:tcPr>
            <w:tcW w:w="12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5,819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Short-term income taxes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2,121</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718</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Short-term unearned revenue</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28,905</w:t>
            </w:r>
          </w:p>
        </w:tc>
        <w:tc>
          <w:tcPr>
            <w:tcW w:w="120" w:type="dxa"/>
            <w:vAlign w:val="bottom"/>
          </w:tcPr>
          <w:p>
            <w:pPr>
              <w:spacing w:after="0"/>
              <w:rPr>
                <w:sz w:val="16"/>
                <w:szCs w:val="16"/>
                <w:color w:val="auto"/>
              </w:rPr>
            </w:pPr>
          </w:p>
        </w:tc>
        <w:tc>
          <w:tcPr>
            <w:tcW w:w="7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24,013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8,744</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7,684</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58,488</w:t>
            </w:r>
          </w:p>
        </w:tc>
        <w:tc>
          <w:tcPr>
            <w:tcW w:w="1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55,745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debt</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72,242</w:t>
            </w:r>
          </w:p>
        </w:tc>
        <w:tc>
          <w:tcPr>
            <w:tcW w:w="120" w:type="dxa"/>
            <w:vAlign w:val="bottom"/>
            <w:shd w:val="clear" w:color="auto" w:fill="E5E5E5"/>
          </w:tcPr>
          <w:p>
            <w:pPr>
              <w:spacing w:after="0"/>
              <w:rPr>
                <w:sz w:val="16"/>
                <w:szCs w:val="16"/>
                <w:color w:val="auto"/>
              </w:rPr>
            </w:pPr>
          </w:p>
        </w:tc>
        <w:tc>
          <w:tcPr>
            <w:tcW w:w="7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76,073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Long-term income taxes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30,265</w:t>
            </w:r>
          </w:p>
        </w:tc>
        <w:tc>
          <w:tcPr>
            <w:tcW w:w="120" w:type="dxa"/>
            <w:vAlign w:val="bottom"/>
          </w:tcPr>
          <w:p>
            <w:pPr>
              <w:spacing w:after="0"/>
              <w:rPr>
                <w:sz w:val="16"/>
                <w:szCs w:val="16"/>
                <w:color w:val="auto"/>
              </w:rPr>
            </w:pPr>
          </w:p>
        </w:tc>
        <w:tc>
          <w:tcPr>
            <w:tcW w:w="7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13,485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unearned revenue</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3,815</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2,643</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541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5,734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5,568</w:t>
            </w: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5,372</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5,211</w:t>
            </w: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Total liabilities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176,130</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162,601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4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7,677</w:t>
            </w:r>
            <w:r>
              <w:rPr>
                <w:rFonts w:ascii="Arial" w:cs="Arial" w:eastAsia="Arial" w:hAnsi="Arial"/>
                <w:sz w:val="18"/>
                <w:szCs w:val="18"/>
                <w:color w:val="auto"/>
              </w:rPr>
              <w:t xml:space="preserve"> and 7,708</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71,223</w:t>
            </w:r>
          </w:p>
        </w:tc>
        <w:tc>
          <w:tcPr>
            <w:tcW w:w="120" w:type="dxa"/>
            <w:vAlign w:val="bottom"/>
          </w:tcPr>
          <w:p>
            <w:pPr>
              <w:spacing w:after="0"/>
              <w:rPr>
                <w:sz w:val="16"/>
                <w:szCs w:val="16"/>
                <w:color w:val="auto"/>
              </w:rPr>
            </w:pPr>
          </w:p>
        </w:tc>
        <w:tc>
          <w:tcPr>
            <w:tcW w:w="7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69,315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Retained earnings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13,682</w:t>
            </w:r>
          </w:p>
        </w:tc>
        <w:tc>
          <w:tcPr>
            <w:tcW w:w="120" w:type="dxa"/>
            <w:vAlign w:val="bottom"/>
            <w:shd w:val="clear" w:color="auto" w:fill="E5E5E5"/>
          </w:tcPr>
          <w:p>
            <w:pPr>
              <w:spacing w:after="0"/>
              <w:rPr>
                <w:sz w:val="16"/>
                <w:szCs w:val="16"/>
                <w:color w:val="auto"/>
              </w:rPr>
            </w:pPr>
          </w:p>
        </w:tc>
        <w:tc>
          <w:tcPr>
            <w:tcW w:w="7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(2,187)</w:t>
            </w: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82,718</w:t>
            </w:r>
          </w:p>
        </w:tc>
        <w:tc>
          <w:tcPr>
            <w:tcW w:w="120" w:type="dxa"/>
            <w:vAlign w:val="bottom"/>
            <w:shd w:val="clear" w:color="auto" w:fill="E5E5E5"/>
          </w:tcPr>
          <w:p>
            <w:pPr>
              <w:spacing w:after="0"/>
              <w:rPr>
                <w:sz w:val="16"/>
                <w:szCs w:val="16"/>
                <w:color w:val="auto"/>
              </w:rPr>
            </w:pPr>
          </w:p>
        </w:tc>
        <w:tc>
          <w:tcPr>
            <w:tcW w:w="7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87,711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258,848</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250,312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3" w:name="page54"/>
    <w:bookmarkEnd w:id="53"/>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FLOWS STATEMENTS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16,571</w:t>
            </w:r>
          </w:p>
        </w:tc>
        <w:tc>
          <w:tcPr>
            <w:tcW w:w="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25,489</w:t>
            </w:r>
          </w:p>
        </w:tc>
        <w:tc>
          <w:tcPr>
            <w:tcW w:w="2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20,539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Depreciation, amortization, and other</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10,261</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8,778</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6,622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3,940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3,266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(2,212)</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(2,073)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2,479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(3,862)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(1,216)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(465</w:t>
            </w:r>
            <w:r>
              <w:rPr>
                <w:rFonts w:ascii="Arial" w:cs="Arial" w:eastAsia="Arial" w:hAnsi="Arial"/>
                <w:sz w:val="18"/>
                <w:szCs w:val="18"/>
                <w:color w:val="auto"/>
              </w:rPr>
              <w:t>)</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1,028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(917)</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1,148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Unearned revenue</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5,922</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3,820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18,183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1,792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798</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356</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Net cash from operations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43,884</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39,507</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33,325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Financing</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Proceeds from issuance (repayments) of short-term debt, maturities of 90 days or less, net</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(7,324)</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(4,963)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7,195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7,183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44,344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13,884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Repayments of debt</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(10,060)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(7,922)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(2,796)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Common stock issued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1,002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repurchased</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(10,721)</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(11,788)</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(15,969)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(12,699)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(11,845)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(971)</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(190)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80" w:type="dxa"/>
            <w:vAlign w:val="bottom"/>
          </w:tcPr>
          <w:p>
            <w:pPr>
              <w:ind w:left="640"/>
              <w:spacing w:after="0"/>
              <w:rPr>
                <w:sz w:val="20"/>
                <w:szCs w:val="20"/>
                <w:color w:val="auto"/>
              </w:rPr>
            </w:pPr>
            <w:r>
              <w:rPr>
                <w:rFonts w:ascii="Arial" w:cs="Arial" w:eastAsia="Arial" w:hAnsi="Arial"/>
                <w:sz w:val="18"/>
                <w:szCs w:val="18"/>
                <w:color w:val="auto"/>
              </w:rPr>
              <w:t>Net cash from (used in) financing</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(33,590)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8,408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Investing</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(11,632)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(8,129)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(8,343)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Acquisition of companies, net of cash acquired, and purchases of intangible and other assets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(888)</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(25,944)</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(137,380)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(176,905)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(129,758)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Maturities of investments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26,360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28,044</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22,054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Sales of investments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117,577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136,350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93,287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Securities lending payable</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(197)</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80" w:type="dxa"/>
            <w:vAlign w:val="bottom"/>
          </w:tcPr>
          <w:p>
            <w:pPr>
              <w:ind w:left="640"/>
              <w:spacing w:after="0"/>
              <w:rPr>
                <w:sz w:val="20"/>
                <w:szCs w:val="20"/>
                <w:color w:val="auto"/>
              </w:rPr>
            </w:pPr>
            <w:r>
              <w:rPr>
                <w:rFonts w:ascii="Arial" w:cs="Arial" w:eastAsia="Arial" w:hAnsi="Arial"/>
                <w:sz w:val="18"/>
                <w:szCs w:val="18"/>
                <w:color w:val="auto"/>
              </w:rPr>
              <w:t>Net cash used in investing</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(46,781)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(23,950)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Effect of foreign exchange rates on cash and cash equivalents</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19</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6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7,663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6,510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6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11,946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7,663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Refer to accompanying notes.</w:t>
            </w: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7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600" w:type="dxa"/>
            <w:vAlign w:val="bottom"/>
            <w:gridSpan w:val="2"/>
          </w:tcPr>
          <w:p>
            <w:pPr>
              <w:ind w:left="5640"/>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54" w:name="page55"/>
    <w:bookmarkEnd w:id="54"/>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2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300"/>
              <w:spacing w:after="0" w:line="189" w:lineRule="exact"/>
              <w:rPr>
                <w:sz w:val="20"/>
                <w:szCs w:val="20"/>
                <w:color w:val="auto"/>
              </w:rPr>
            </w:pPr>
            <w:r>
              <w:rPr>
                <w:rFonts w:ascii="Arial" w:cs="Arial" w:eastAsia="Arial" w:hAnsi="Arial"/>
                <w:sz w:val="18"/>
                <w:szCs w:val="18"/>
                <w:b w:val="1"/>
                <w:bCs w:val="1"/>
                <w:color w:val="auto"/>
              </w:rPr>
              <w:t>69,315</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68,178</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68,465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1,002</w:t>
            </w: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772</w:t>
            </w: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668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(3,033)</w:t>
            </w:r>
          </w:p>
        </w:tc>
        <w:tc>
          <w:tcPr>
            <w:tcW w:w="26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(2,987)</w:t>
            </w:r>
          </w:p>
        </w:tc>
        <w:tc>
          <w:tcPr>
            <w:tcW w:w="2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3,940</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3,266</w:t>
            </w: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2,668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71,223</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69,315</w:t>
            </w: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68,178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17,769</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13,118</w:t>
            </w: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16,191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6"/>
                <w:szCs w:val="16"/>
                <w:color w:val="auto"/>
              </w:rPr>
            </w:pPr>
          </w:p>
        </w:tc>
        <w:tc>
          <w:tcPr>
            <w:tcW w:w="1080" w:type="dxa"/>
            <w:vAlign w:val="bottom"/>
            <w:gridSpan w:val="2"/>
          </w:tcPr>
          <w:p>
            <w:pPr>
              <w:jc w:val="right"/>
              <w:ind w:right="300"/>
              <w:spacing w:after="0" w:line="189" w:lineRule="exact"/>
              <w:rPr>
                <w:sz w:val="20"/>
                <w:szCs w:val="20"/>
                <w:color w:val="auto"/>
              </w:rPr>
            </w:pPr>
            <w:r>
              <w:rPr>
                <w:rFonts w:ascii="Arial" w:cs="Arial" w:eastAsia="Arial" w:hAnsi="Arial"/>
                <w:sz w:val="18"/>
                <w:szCs w:val="18"/>
                <w:b w:val="1"/>
                <w:bCs w:val="1"/>
                <w:color w:val="auto"/>
              </w:rPr>
              <w:t>16,571</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25,489</w:t>
            </w: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20,539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(12,917)</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(12,040)</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(7,699)</w:t>
            </w:r>
          </w:p>
        </w:tc>
        <w:tc>
          <w:tcPr>
            <w:tcW w:w="26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(8,798)</w:t>
            </w:r>
          </w:p>
        </w:tc>
        <w:tc>
          <w:tcPr>
            <w:tcW w:w="2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2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13,682</w:t>
            </w:r>
          </w:p>
        </w:tc>
        <w:tc>
          <w:tcPr>
            <w:tcW w:w="2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17,769</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 (loss)</w:t>
            </w:r>
          </w:p>
        </w:tc>
        <w:tc>
          <w:tcPr>
            <w:tcW w:w="2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80" w:type="dxa"/>
            <w:vAlign w:val="bottom"/>
          </w:tcPr>
          <w:p>
            <w:pPr>
              <w:spacing w:after="0"/>
              <w:rPr>
                <w:sz w:val="16"/>
                <w:szCs w:val="16"/>
                <w:color w:val="auto"/>
              </w:rPr>
            </w:pPr>
          </w:p>
        </w:tc>
        <w:tc>
          <w:tcPr>
            <w:tcW w:w="1080" w:type="dxa"/>
            <w:vAlign w:val="bottom"/>
            <w:gridSpan w:val="2"/>
          </w:tcPr>
          <w:p>
            <w:pPr>
              <w:jc w:val="right"/>
              <w:ind w:right="300"/>
              <w:spacing w:after="0" w:line="189" w:lineRule="exact"/>
              <w:rPr>
                <w:sz w:val="20"/>
                <w:szCs w:val="20"/>
                <w:color w:val="auto"/>
              </w:rPr>
            </w:pPr>
            <w:r>
              <w:rPr>
                <w:rFonts w:ascii="Arial" w:cs="Arial" w:eastAsia="Arial" w:hAnsi="Arial"/>
                <w:sz w:val="18"/>
                <w:szCs w:val="18"/>
                <w:b w:val="1"/>
                <w:bCs w:val="1"/>
                <w:color w:val="auto"/>
              </w:rPr>
              <w:t>627</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1,794</w:t>
            </w: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2,522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(2,856)</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(1,167)</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28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2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(2,187)</w:t>
            </w: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627</w:t>
            </w: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1,794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6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82,718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87,711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83,090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5" w:name="page56"/>
    <w:bookmarkEnd w:id="55"/>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(“GAAP”).</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recast certain prior period income tax liabilities as discussed in the Recent Tax Legislation section below. We have also recast prior period securities lending payables to other current liabilities in our consolidated balance sheets to conform to the current period presentation. These items had no impact in our consolidated income statements or net cash from or used in operating, financing, or investing in our consolidated cash flows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 Equity investments for which we are able to exercise significant influence over but do not control the investee and are not the primary beneficiary of the investee’s activities are accounted for using the equity method. Investments for which we are not able to exercise significant influence over the investee and which do not have readily determinable fair values are accounted for under the cost method.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future tax consequences of events that have been recognized in our consolidated financial statements or tax returns; and determining when investment impairments are other-than-temporary. Actual results and outcomes may differ from management’s estimates and assumptions.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 (“OCI”).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revenue includes sales from operating systems; cross-device productivity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Microsoft Office 365, Microsoft Azure, Microsoft Dynamics 365, and Xbox Live; solution support; and consulting services. Service and other revenue also includes sales from online advertising and LinkedIn.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6" w:name="page57"/>
    <w:bookmarkEnd w:id="56"/>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21 – Segment Information and Geographic Data for further information, including revenue by significant product and service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7" w:name="page58"/>
    <w:bookmarkEnd w:id="57"/>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current and long-term accounts receivable, net of allowance for doubtful accounts, was $22.3 billion as of July 1, 2016.</w:t>
      </w:r>
    </w:p>
    <w:p>
      <w:pPr>
        <w:spacing w:after="0" w:line="158"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As of June 30, 2018 and 2017, long-term accounts receivable, net of allowance for doubtful accounts, were $1.8 billion and $1.7 billion, respectively, and are included in other long-term assets in our consolidated balance sheets.</w:t>
      </w:r>
    </w:p>
    <w:p>
      <w:pPr>
        <w:spacing w:after="0" w:line="143"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951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361</w:t>
            </w:r>
          </w:p>
        </w:tc>
        <w:tc>
          <w:tcPr>
            <w:tcW w:w="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409</w:t>
            </w:r>
          </w:p>
        </w:tc>
        <w:tc>
          <w:tcPr>
            <w:tcW w:w="1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E5E5E5"/>
            </w:tcBorders>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200"/>
              <w:spacing w:after="0" w:line="189" w:lineRule="exact"/>
              <w:rPr>
                <w:sz w:val="20"/>
                <w:szCs w:val="20"/>
                <w:color w:val="auto"/>
              </w:rPr>
            </w:pPr>
            <w:r>
              <w:rPr>
                <w:rFonts w:ascii="Arial" w:cs="Arial" w:eastAsia="Arial" w:hAnsi="Arial"/>
                <w:sz w:val="18"/>
                <w:szCs w:val="18"/>
                <w:color w:val="auto"/>
              </w:rPr>
              <w:t>Charged to costs and other</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340"/>
              <w:spacing w:after="0" w:line="189" w:lineRule="exact"/>
              <w:rPr>
                <w:sz w:val="20"/>
                <w:szCs w:val="20"/>
                <w:color w:val="auto"/>
              </w:rPr>
            </w:pPr>
            <w:r>
              <w:rPr>
                <w:rFonts w:ascii="Arial" w:cs="Arial" w:eastAsia="Arial" w:hAnsi="Arial"/>
                <w:sz w:val="18"/>
                <w:szCs w:val="18"/>
                <w:b w:val="1"/>
                <w:bCs w:val="1"/>
                <w:color w:val="auto"/>
              </w:rPr>
              <w:t>134</w:t>
            </w:r>
          </w:p>
        </w:tc>
        <w:tc>
          <w:tcPr>
            <w:tcW w:w="4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Write-offs</w:t>
            </w:r>
          </w:p>
        </w:tc>
        <w:tc>
          <w:tcPr>
            <w:tcW w:w="44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(98)</w:t>
            </w:r>
          </w:p>
        </w:tc>
        <w:tc>
          <w:tcPr>
            <w:tcW w:w="4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(106)</w:t>
            </w:r>
          </w:p>
        </w:tc>
        <w:tc>
          <w:tcPr>
            <w:tcW w:w="8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800" w:type="dxa"/>
            <w:vAlign w:val="bottom"/>
            <w:tcBorders>
              <w:right w:val="single" w:sz="8" w:color="E5E5E5"/>
            </w:tcBorders>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60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397</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Allowance for doubtful accounts included in our consolidated balance sheets:</w:t>
            </w:r>
          </w:p>
        </w:tc>
        <w:tc>
          <w:tcPr>
            <w:tcW w:w="4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66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auto"/>
            </w:tcBorders>
            <w:gridSpan w:val="2"/>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5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08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9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377</w:t>
            </w:r>
          </w:p>
        </w:tc>
        <w:tc>
          <w:tcPr>
            <w:tcW w:w="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345</w:t>
            </w:r>
          </w:p>
        </w:tc>
        <w:tc>
          <w:tcPr>
            <w:tcW w:w="6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E5E5E5"/>
            </w:tcBorders>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long-term assets</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w:t>
            </w:r>
          </w:p>
        </w:tc>
        <w:tc>
          <w:tcPr>
            <w:tcW w:w="4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397</w:t>
            </w:r>
          </w:p>
        </w:tc>
        <w:tc>
          <w:tcPr>
            <w:tcW w:w="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361</w:t>
            </w:r>
          </w:p>
        </w:tc>
        <w:tc>
          <w:tcPr>
            <w:tcW w:w="6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E5E5E5"/>
            </w:tcBorders>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600" w:type="dxa"/>
            <w:vAlign w:val="bottom"/>
            <w:gridSpan w:val="2"/>
            <w:vMerge w:val="restart"/>
          </w:tcPr>
          <w:p>
            <w:pPr>
              <w:ind w:left="5640"/>
              <w:spacing w:after="0"/>
              <w:rPr>
                <w:sz w:val="20"/>
                <w:szCs w:val="20"/>
                <w:color w:val="auto"/>
              </w:rPr>
            </w:pPr>
            <w:r>
              <w:rPr>
                <w:rFonts w:ascii="Arial" w:cs="Arial" w:eastAsia="Arial" w:hAnsi="Arial"/>
                <w:sz w:val="14"/>
                <w:szCs w:val="14"/>
                <w:color w:val="auto"/>
              </w:rPr>
              <w:t>58</w:t>
            </w:r>
          </w:p>
        </w:tc>
        <w:tc>
          <w:tcPr>
            <w:tcW w:w="4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6"/>
        </w:trPr>
        <w:tc>
          <w:tcPr>
            <w:tcW w:w="66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5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58" w:name="page59"/>
    <w:bookmarkEnd w:id="58"/>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Live subscriptions; Windows 10 post-delivery support; Dynamics business solutions; Skype prepaid credits and subscriptions; and other offerings for which we have been paid in advance and earn the revenue when we transfer control of the product or service.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15 – Unearned Revenue for further information, including unearned revenue by segment and changes in unearned revenue during the period.</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4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force compensation program and certain partner sales incentive programs as we have determined annual compensation is commensurate with annual sales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 of revenue includes: manufacturing and distribution costs for products sold and programs licensed; operating costs related to product support service centers and product distribution centers; costs incurred to include software on PCs sold by original equipment manufacturers (“OEM”), to drive traffic to our websites, and to acquire online advertising space; costs incurred to support and maintain Internet-based products and services, including datacenter costs and royalties; warranty costs; inventory valuation adjustments; costs associated with the delivery of consulting services; and the amortization of capitalized software development costs. Capitalized software development costs are amortized over the estimated lives of the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provide for the estimated costs of fulfilling our obligations under hardware and software warranties at the time the related revenue is recognized. For hardware warranties, we estimate the costs based on historical and projected product failure rates, historical and projected repair costs, and knowledge of specific product failures (if any). The specific hardware warranty terms and conditions vary depending upon the product sold and the country in which we do business, but generally include parts and labor over a period generally ranging from 90 days to three years. For software warranties, we estimate the costs to provide bug fixes, such as security patches, over the estimated life of the software. We regularly reevaluate our estimates to assess the adequacy of the recorded warranty liabilities and adjust the amounts as necessary.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9" w:name="page60"/>
    <w:bookmarkEnd w:id="59"/>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$1.6 billion, $1.5 billion, and $1.6 billion in fiscal years 2018,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for the employee stock purchase plan (“ESPP”) is measured as the discount the employee is entitled to upon purchase and is recognized in the period of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0" w:name="page61"/>
    <w:bookmarkEnd w:id="60"/>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50" w:lineRule="exact"/>
        <w:rPr>
          <w:sz w:val="20"/>
          <w:szCs w:val="20"/>
          <w:color w:val="auto"/>
        </w:rPr>
      </w:pPr>
    </w:p>
    <w:p>
      <w:pPr>
        <w:jc w:val="both"/>
        <w:ind w:left="1060" w:hanging="390"/>
        <w:spacing w:after="0" w:line="251"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non-derivative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primarily include U.S. government securities, common and preferred stock, and mutual funds. Our Level 1 derivative assets and liabilities include those actively traded on exchanges.</w:t>
      </w:r>
    </w:p>
    <w:p>
      <w:pPr>
        <w:spacing w:after="0" w:line="25" w:lineRule="exact"/>
        <w:rPr>
          <w:rFonts w:ascii="Arial" w:cs="Arial" w:eastAsia="Arial" w:hAnsi="Arial"/>
          <w:sz w:val="18"/>
          <w:szCs w:val="18"/>
          <w:color w:val="auto"/>
        </w:rPr>
      </w:pPr>
    </w:p>
    <w:p>
      <w:pPr>
        <w:jc w:val="both"/>
        <w:ind w:left="1060" w:hanging="390"/>
        <w:spacing w:after="0" w:line="239"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non-derivative investments consist primarily of corporate notes and bonds, foreign government bonds, mortgage- and asset-backed securities, commercial paper, certificates of deposit, and U.S. agency securities. Our Level 2 derivative assets and liabilities primarily include certain over-the-counter option and swap contracts.</w:t>
      </w:r>
    </w:p>
    <w:p>
      <w:pPr>
        <w:spacing w:after="0" w:line="39" w:lineRule="exact"/>
        <w:rPr>
          <w:rFonts w:ascii="Arial" w:cs="Arial" w:eastAsia="Arial" w:hAnsi="Arial"/>
          <w:sz w:val="18"/>
          <w:szCs w:val="18"/>
          <w:color w:val="auto"/>
        </w:rPr>
      </w:pPr>
    </w:p>
    <w:p>
      <w:pPr>
        <w:jc w:val="both"/>
        <w:ind w:left="1060" w:hanging="390"/>
        <w:spacing w:after="0" w:line="242"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pricing the asset or liability. The fair values are therefore determined using model-based techniques, including option pricing models and discounted cash flow models. Our Level 3 non-derivative assets and liabilities primarily comprise investments in common and preferred stock, and goodwill and intangible assets, when they are recorded at fair value due to an impairment charge. Unobservable inputs used in the models are significant to the fair values of the assets and liabilities.</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measure certain assets, including our cost and equity method investments, at fair value on a nonrecurring basis when they are deemed to be other-than-temporarily impaired. The fair values of these investments are determined based on valuation techniques using the best information available, and may include quoted market prices, market comparables, and discounted cash flow projections. An impairment charge is recorded when the cost of the investment exceeds its fair value and this condition is determined to be other-than-temporary.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All cash equivalents and short-term investments are classified as available-for-sale and realized gains and losses are recorded using the specific identification method. Changes in market value, excluding other-than-temporary impairments, are reflected in OCI.</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Equity and other investments classified as long-term include both debt and equity instruments. Debt and publicly-traded equity securities are classified as available-for-sale and realized gains and losses are recorded using the specific identification method. Changes in the market value of available-for-sale securities, excluding other-than-temporary impairments, are reflected in OCI. Common and preferred stock and other investments that are restricted for more than one year or are not publicly traded are recorded at cost or using the equity method.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1" w:name="page62"/>
    <w:bookmarkEnd w:id="61"/>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lend certain fixed-income and equity securities to increase investment returns. These transactions are accounted for as secured borrowings and the loaned securities continue to be carried as investments in our consolidated balance sheets. Cash and/or security interests are received as collateral for the loaned securities with the amount determined based upon the underlying security lent and the creditworthiness of the borrower. Cash received is recorded as an asset with a corresponding liability.</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Fair value is calculated based on publicly available market information or other estimates determined by management. We employ a systematic methodology on a quarterly basis that considers available quantitative and qualitative evidence in evaluating potential impairment of our investments. If the cost of an investment exceeds its fair value, we evaluate, among other factors, general market conditions, credit quality of debt instrument issuers, the duration and extent to which the fair value is less than cost, and for equity securities, our intent and ability to hold, or plans to sell, the investment. For fixed-income securities, we also evaluate whether we have plans to sell the security or it is more likely than not that we will be required to sell the security before recovery. We also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net and a new cost basis in the investment is established.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fair value hedges, the gains (losses) are recognized in earnings in the periods of change together with the offsetting losses (gains) on the hedged items attributed to the risk being hedged. For options designated as fair value hedges, changes in the time value are excluded from the assessment of hedge effectiveness and are recognized in earnings.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For options designated as cash flow hedges, changes in the time value are excluded from the assessment of hedge effectiveness and are recognized in earnings. Gains (losses) on derivatives representing either hedge components excluded from the assessment of effectiveness or hedge ineffectiveness are recognized in earnings.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derivative instruments that are not designated as hedges, gains (losses) from changes in fair values are primarily recognized in 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If our review indicates a reduction in utility below carrying value, we reduce our inventory to a new cost basis through a charge to cost of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computer software developed or acquired for internal use, three to seven years; computer equipment, two to three years; buildings and improvements, five to 15 years; leasehold improvements, three to 20 years; and furniture and equipment, one to 10 years. Land is not depreciated.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2" w:name="page63"/>
    <w:bookmarkEnd w:id="62"/>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of our intangible assets are subject to amortization and are amortized using the straight-line method over their estimated period of benefit, ranging from one to 20 years. We evaluate the recoverability of intangible assets periodically by taking into account events or circumstances that may warrant revised estimates of useful lives or that indicate the asset may be impaired.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December 22, 2017, the Tax Cuts and Jobs Act (“TCJA”) was enacted into law, which significantly changes existing U.S. tax law and includes numerous provisions that affect our business. Refer to Note 13 – Income Taxes for further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3" w:name="page64"/>
    <w:bookmarkEnd w:id="63"/>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a result of the TCJA, we have recast certain prior period income tax liabilities in our consolidated balance sheets to conform to the current period presentation. Previously reported balances were impacted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b w:val="1"/>
                <w:bCs w:val="1"/>
                <w:color w:val="auto"/>
              </w:rPr>
              <w:t>As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tcPr>
          <w:p>
            <w:pPr>
              <w:jc w:val="right"/>
              <w:ind w:right="23"/>
              <w:spacing w:after="0" w:line="149" w:lineRule="exact"/>
              <w:rPr>
                <w:sz w:val="20"/>
                <w:szCs w:val="20"/>
                <w:color w:val="auto"/>
              </w:rPr>
            </w:pPr>
            <w:r>
              <w:rPr>
                <w:rFonts w:ascii="Arial" w:cs="Arial" w:eastAsia="Arial" w:hAnsi="Arial"/>
                <w:sz w:val="14"/>
                <w:szCs w:val="14"/>
                <w:b w:val="1"/>
                <w:bCs w:val="1"/>
                <w:color w:val="auto"/>
              </w:rPr>
              <w:t>Previously</w:t>
            </w:r>
          </w:p>
        </w:tc>
        <w:tc>
          <w:tcPr>
            <w:tcW w:w="52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8"/>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0" w:type="dxa"/>
            <w:vAlign w:val="bottom"/>
          </w:tcPr>
          <w:p>
            <w:pPr>
              <w:spacing w:after="0"/>
              <w:rPr>
                <w:sz w:val="15"/>
                <w:szCs w:val="15"/>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b w:val="1"/>
                <w:bCs w:val="1"/>
                <w:color w:val="auto"/>
              </w:rPr>
              <w:t>Reported</w:t>
            </w:r>
          </w:p>
        </w:tc>
        <w:tc>
          <w:tcPr>
            <w:tcW w:w="52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Balance Sheets</w:t>
            </w:r>
          </w:p>
        </w:tc>
        <w:tc>
          <w:tcPr>
            <w:tcW w:w="3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income taxes</w:t>
            </w:r>
          </w:p>
        </w:tc>
        <w:tc>
          <w:tcPr>
            <w:tcW w:w="360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23"/>
              <w:spacing w:after="0" w:line="189" w:lineRule="exact"/>
              <w:rPr>
                <w:sz w:val="20"/>
                <w:szCs w:val="20"/>
                <w:color w:val="auto"/>
              </w:rPr>
            </w:pPr>
            <w:r>
              <w:rPr>
                <w:rFonts w:ascii="Arial" w:cs="Arial" w:eastAsia="Arial" w:hAnsi="Arial"/>
                <w:sz w:val="18"/>
                <w:szCs w:val="18"/>
                <w:color w:val="auto"/>
              </w:rPr>
              <w:t>0</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13,485</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8"/>
                <w:szCs w:val="18"/>
                <w:color w:val="auto"/>
              </w:rPr>
              <w:t>17,034</w:t>
            </w: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These adjustments had no impact in our consolidated income statements or net cash from or used in operating, financing, or investing in our consolidated cash flows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 Reclassification of Certain Tax Effects</w:t>
      </w:r>
    </w:p>
    <w:p>
      <w:pPr>
        <w:spacing w:after="0" w:line="17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February 2018, the Financial Accounting Standards Board (“FASB”) issued new guidance to allow a reclassification from accumulated other comprehensive income (“AOCI”) to retained earnings for stranded tax effects resulting from the TCJA. In the second quarter of fiscal year 2018, we remeasured our deferred taxes related to unrealized gains on our investment balances using the reduced tax rate. As required by GAAP, we recognized the net tax benefit in the provision for income taxes in our consolidated income statements, even though the deferred taxes were initially recognized in AOCI, which resulted in stranded tax effects. We elected to early adopt the standard effective April 1, 2018 and reclassified a $42 million net tax benefit from AOCI to retained earnings in our consolidated balance sheets. Adoption of the standard had no impact to our consolidated income statements or cash flows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February 2016, the FASB issued a new standard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are also required to recognize and measure leases existing at, or entered into after, the beginning of the earliest comparative period presented using a modified retrospective approach, with certain practical expedients available.</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elected to early adopt the standard effective July 1, 2017 concurrent with our adoption of the new standard related to revenue recognition. We elected the available practical expedients and implemented internal controls and key system functionality to enable the preparation of financial information on adoption.</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standard had a material impact in our consolidated balance sheets, but did not have an impact in our consolidated income statements. The most significant impact was the recognition of ROU assets and lease liabilities for operating leases, while our accounting for finance leases remained substantially unchanged. Adoption of the standard required us to restate certain previously reported results, including the recognition of additional ROU assets and lease liabilities for operating leases. Refer to Impacts to Previously Reported Results below for the impact of adoption of the standard in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May 2014, the FASB issued a new standard related to revenue recognition. Under the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64" w:name="page65"/>
    <w:bookmarkEnd w:id="64"/>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elected to early adopt the standard effective July 1, 2017, using the full retrospective method, which required us to restate each prior reporting period presented. We implemented internal controls and key system functionality to enable the preparation of financial information on adoption.</w:t>
      </w:r>
    </w:p>
    <w:p>
      <w:pPr>
        <w:spacing w:after="0" w:line="14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most significant impact of the standard relates to our accounting for software license revenue. Specifically, for Windows 10, we recognize revenue predominantly at the time of billing and delivery rather than ratably over the life of the related device. For certain multi-year commercial software subscriptions that include both distinct software licenses and SA, we recognize license revenue at the time of contract execution rather than over the subscription period. Due to the complexity of certain of our commercial license subscription contracts, the actual revenue recognition treatment required under the standard depends on contract-specific terms and in some instances may vary from recognition at the time of billing. Revenue recognition related to our hardware, cloud offerings (such as Office 365), LinkedIn, and professional services remains substantially unchanged.</w:t>
      </w:r>
    </w:p>
    <w:p>
      <w:pPr>
        <w:spacing w:after="0" w:line="14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Adoption of the standard using the full retrospective method required us to restate certain previously reported results, including the recognition of additional revenue and an increase in the provision for income taxes, primarily due to the net change in Windows 10 revenue recognition. In addition, adoption of the standard resulted in an increase in accounts receivable and other current and long-term assets, driven by unbilled receivables from upfront recognition of revenue for certain multi-year commercial software subscriptions that include both distinct software licenses and SA; a reduction of unearned revenue, driven by the upfront recognition of license revenue from Windows 10 and certain multi-year commercial software subscriptions; and an increase in deferred income taxes, driven by the upfront recognition of revenue. Refer to Impacts to Previously Reported Results below for the impact of adoption of the standard in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to Previously Reported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standards related to revenue recognition and leases impacted our previously reported results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rPr>
              <w:t>New</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As</w:t>
            </w:r>
          </w:p>
        </w:tc>
        <w:tc>
          <w:tcPr>
            <w:tcW w:w="420" w:type="dxa"/>
            <w:vAlign w:val="bottom"/>
          </w:tcPr>
          <w:p>
            <w:pPr>
              <w:spacing w:after="0"/>
              <w:rPr>
                <w:sz w:val="12"/>
                <w:szCs w:val="12"/>
                <w:color w:val="auto"/>
              </w:rPr>
            </w:pPr>
          </w:p>
        </w:tc>
        <w:tc>
          <w:tcPr>
            <w:tcW w:w="10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Revenue</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Previously</w:t>
            </w:r>
          </w:p>
        </w:tc>
        <w:tc>
          <w:tcPr>
            <w:tcW w:w="420" w:type="dxa"/>
            <w:vAlign w:val="bottom"/>
          </w:tcPr>
          <w:p>
            <w:pPr>
              <w:spacing w:after="0"/>
              <w:rPr>
                <w:sz w:val="12"/>
                <w:szCs w:val="12"/>
                <w:color w:val="auto"/>
              </w:rPr>
            </w:pPr>
          </w:p>
        </w:tc>
        <w:tc>
          <w:tcPr>
            <w:tcW w:w="10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Standard</w:t>
            </w:r>
          </w:p>
        </w:tc>
        <w:tc>
          <w:tcPr>
            <w:tcW w:w="5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338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rPr>
              <w:t>Reported</w:t>
            </w:r>
          </w:p>
        </w:tc>
        <w:tc>
          <w:tcPr>
            <w:tcW w:w="42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rPr>
              <w:t>Adjustment</w:t>
            </w:r>
          </w:p>
        </w:tc>
        <w:tc>
          <w:tcPr>
            <w:tcW w:w="5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080" w:type="dxa"/>
            <w:vAlign w:val="bottom"/>
            <w:tcBorders>
              <w:bottom w:val="single" w:sz="8" w:color="auto"/>
            </w:tcBorders>
            <w:gridSpan w:val="2"/>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Income Statements</w:t>
            </w:r>
          </w:p>
        </w:tc>
        <w:tc>
          <w:tcPr>
            <w:tcW w:w="3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2017</w:t>
            </w: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3380" w:type="dxa"/>
            <w:vAlign w:val="bottom"/>
            <w:shd w:val="clear" w:color="auto" w:fill="E5E5E5"/>
          </w:tcPr>
          <w:p>
            <w:pPr>
              <w:jc w:val="right"/>
              <w:ind w:right="156"/>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89,950</w:t>
            </w:r>
          </w:p>
        </w:tc>
        <w:tc>
          <w:tcPr>
            <w:tcW w:w="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6,621</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96,571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3380" w:type="dxa"/>
            <w:vAlign w:val="bottom"/>
          </w:tcPr>
          <w:p>
            <w:pPr>
              <w:spacing w:after="0"/>
              <w:rPr>
                <w:sz w:val="16"/>
                <w:szCs w:val="16"/>
                <w:color w:val="auto"/>
              </w:rPr>
            </w:pPr>
          </w:p>
        </w:tc>
        <w:tc>
          <w:tcPr>
            <w:tcW w:w="1020" w:type="dxa"/>
            <w:vAlign w:val="bottom"/>
          </w:tcPr>
          <w:p>
            <w:pPr>
              <w:jc w:val="right"/>
              <w:ind w:right="36"/>
              <w:spacing w:after="0" w:line="189" w:lineRule="exact"/>
              <w:rPr>
                <w:sz w:val="20"/>
                <w:szCs w:val="20"/>
                <w:color w:val="auto"/>
              </w:rPr>
            </w:pPr>
            <w:r>
              <w:rPr>
                <w:rFonts w:ascii="Arial" w:cs="Arial" w:eastAsia="Arial" w:hAnsi="Arial"/>
                <w:sz w:val="18"/>
                <w:szCs w:val="18"/>
                <w:color w:val="auto"/>
              </w:rPr>
              <w:t>1,945</w:t>
            </w:r>
          </w:p>
        </w:tc>
        <w:tc>
          <w:tcPr>
            <w:tcW w:w="420" w:type="dxa"/>
            <w:vAlign w:val="bottom"/>
          </w:tcPr>
          <w:p>
            <w:pPr>
              <w:spacing w:after="0"/>
              <w:rPr>
                <w:sz w:val="16"/>
                <w:szCs w:val="16"/>
                <w:color w:val="auto"/>
              </w:rPr>
            </w:pPr>
          </w:p>
        </w:tc>
        <w:tc>
          <w:tcPr>
            <w:tcW w:w="1040" w:type="dxa"/>
            <w:vAlign w:val="bottom"/>
          </w:tcPr>
          <w:p>
            <w:pPr>
              <w:jc w:val="right"/>
              <w:ind w:right="17"/>
              <w:spacing w:after="0" w:line="189" w:lineRule="exact"/>
              <w:rPr>
                <w:sz w:val="20"/>
                <w:szCs w:val="20"/>
                <w:color w:val="auto"/>
              </w:rPr>
            </w:pPr>
            <w:r>
              <w:rPr>
                <w:rFonts w:ascii="Arial" w:cs="Arial" w:eastAsia="Arial" w:hAnsi="Arial"/>
                <w:sz w:val="18"/>
                <w:szCs w:val="18"/>
                <w:color w:val="auto"/>
              </w:rPr>
              <w:t>2,467</w:t>
            </w:r>
          </w:p>
        </w:tc>
        <w:tc>
          <w:tcPr>
            <w:tcW w:w="5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4,412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338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21,204</w:t>
            </w:r>
          </w:p>
        </w:tc>
        <w:tc>
          <w:tcPr>
            <w:tcW w:w="4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4,285</w:t>
            </w:r>
          </w:p>
        </w:tc>
        <w:tc>
          <w:tcPr>
            <w:tcW w:w="5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25,489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3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2.71</w:t>
            </w:r>
          </w:p>
        </w:tc>
        <w:tc>
          <w:tcPr>
            <w:tcW w:w="42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0.54</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2016</w:t>
            </w:r>
          </w:p>
        </w:tc>
        <w:tc>
          <w:tcPr>
            <w:tcW w:w="3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3380" w:type="dxa"/>
            <w:vAlign w:val="bottom"/>
            <w:shd w:val="clear" w:color="auto" w:fill="E5E5E5"/>
          </w:tcPr>
          <w:p>
            <w:pPr>
              <w:jc w:val="right"/>
              <w:ind w:right="156"/>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85,320</w:t>
            </w:r>
          </w:p>
        </w:tc>
        <w:tc>
          <w:tcPr>
            <w:tcW w:w="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5,834</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91,154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3380" w:type="dxa"/>
            <w:vAlign w:val="bottom"/>
          </w:tcPr>
          <w:p>
            <w:pPr>
              <w:spacing w:after="0"/>
              <w:rPr>
                <w:sz w:val="16"/>
                <w:szCs w:val="16"/>
                <w:color w:val="auto"/>
              </w:rPr>
            </w:pPr>
          </w:p>
        </w:tc>
        <w:tc>
          <w:tcPr>
            <w:tcW w:w="1020" w:type="dxa"/>
            <w:vAlign w:val="bottom"/>
          </w:tcPr>
          <w:p>
            <w:pPr>
              <w:jc w:val="right"/>
              <w:ind w:right="36"/>
              <w:spacing w:after="0" w:line="189" w:lineRule="exact"/>
              <w:rPr>
                <w:sz w:val="20"/>
                <w:szCs w:val="20"/>
                <w:color w:val="auto"/>
              </w:rPr>
            </w:pPr>
            <w:r>
              <w:rPr>
                <w:rFonts w:ascii="Arial" w:cs="Arial" w:eastAsia="Arial" w:hAnsi="Arial"/>
                <w:sz w:val="18"/>
                <w:szCs w:val="18"/>
                <w:color w:val="auto"/>
              </w:rPr>
              <w:t>2,953</w:t>
            </w:r>
          </w:p>
        </w:tc>
        <w:tc>
          <w:tcPr>
            <w:tcW w:w="420" w:type="dxa"/>
            <w:vAlign w:val="bottom"/>
          </w:tcPr>
          <w:p>
            <w:pPr>
              <w:spacing w:after="0"/>
              <w:rPr>
                <w:sz w:val="16"/>
                <w:szCs w:val="16"/>
                <w:color w:val="auto"/>
              </w:rPr>
            </w:pPr>
          </w:p>
        </w:tc>
        <w:tc>
          <w:tcPr>
            <w:tcW w:w="1040" w:type="dxa"/>
            <w:vAlign w:val="bottom"/>
          </w:tcPr>
          <w:p>
            <w:pPr>
              <w:jc w:val="right"/>
              <w:ind w:right="17"/>
              <w:spacing w:after="0" w:line="189" w:lineRule="exact"/>
              <w:rPr>
                <w:sz w:val="20"/>
                <w:szCs w:val="20"/>
                <w:color w:val="auto"/>
              </w:rPr>
            </w:pPr>
            <w:r>
              <w:rPr>
                <w:rFonts w:ascii="Arial" w:cs="Arial" w:eastAsia="Arial" w:hAnsi="Arial"/>
                <w:sz w:val="18"/>
                <w:szCs w:val="18"/>
                <w:color w:val="auto"/>
              </w:rPr>
              <w:t>2,147</w:t>
            </w:r>
          </w:p>
        </w:tc>
        <w:tc>
          <w:tcPr>
            <w:tcW w:w="5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338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16,798</w:t>
            </w:r>
          </w:p>
        </w:tc>
        <w:tc>
          <w:tcPr>
            <w:tcW w:w="4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3,741</w:t>
            </w:r>
          </w:p>
        </w:tc>
        <w:tc>
          <w:tcPr>
            <w:tcW w:w="5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20,539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3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2.10</w:t>
            </w:r>
          </w:p>
        </w:tc>
        <w:tc>
          <w:tcPr>
            <w:tcW w:w="42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0.46</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80" w:type="dxa"/>
            <w:vAlign w:val="bottom"/>
          </w:tcPr>
          <w:p>
            <w:pPr>
              <w:jc w:val="right"/>
              <w:ind w:right="1576"/>
              <w:spacing w:after="0"/>
              <w:rPr>
                <w:sz w:val="20"/>
                <w:szCs w:val="20"/>
                <w:color w:val="auto"/>
              </w:rPr>
            </w:pPr>
            <w:r>
              <w:rPr>
                <w:rFonts w:ascii="Arial" w:cs="Arial" w:eastAsia="Arial" w:hAnsi="Arial"/>
                <w:sz w:val="14"/>
                <w:szCs w:val="14"/>
                <w:color w:val="auto"/>
              </w:rPr>
              <w:t>65</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65" w:name="page66"/>
    <w:bookmarkEnd w:id="65"/>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57"/>
              <w:spacing w:after="0"/>
              <w:rPr>
                <w:sz w:val="20"/>
                <w:szCs w:val="20"/>
                <w:color w:val="auto"/>
              </w:rPr>
            </w:pPr>
            <w:r>
              <w:rPr>
                <w:rFonts w:ascii="Arial" w:cs="Arial" w:eastAsia="Arial" w:hAnsi="Arial"/>
                <w:sz w:val="14"/>
                <w:szCs w:val="14"/>
                <w:b w:val="1"/>
                <w:bCs w:val="1"/>
                <w:color w:val="auto"/>
              </w:rPr>
              <w:t>New</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As</w:t>
            </w:r>
          </w:p>
        </w:tc>
        <w:tc>
          <w:tcPr>
            <w:tcW w:w="440" w:type="dxa"/>
            <w:vAlign w:val="bottom"/>
          </w:tcPr>
          <w:p>
            <w:pPr>
              <w:spacing w:after="0"/>
              <w:rPr>
                <w:sz w:val="12"/>
                <w:szCs w:val="12"/>
                <w:color w:val="auto"/>
              </w:rPr>
            </w:pPr>
          </w:p>
        </w:tc>
        <w:tc>
          <w:tcPr>
            <w:tcW w:w="110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Revenue</w:t>
            </w:r>
          </w:p>
        </w:tc>
        <w:tc>
          <w:tcPr>
            <w:tcW w:w="380" w:type="dxa"/>
            <w:vAlign w:val="bottom"/>
          </w:tcPr>
          <w:p>
            <w:pPr>
              <w:spacing w:after="0"/>
              <w:rPr>
                <w:sz w:val="12"/>
                <w:szCs w:val="12"/>
                <w:color w:val="auto"/>
              </w:rPr>
            </w:pPr>
          </w:p>
        </w:tc>
        <w:tc>
          <w:tcPr>
            <w:tcW w:w="104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New Lease</w:t>
            </w: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Previously</w:t>
            </w:r>
          </w:p>
        </w:tc>
        <w:tc>
          <w:tcPr>
            <w:tcW w:w="440" w:type="dxa"/>
            <w:vAlign w:val="bottom"/>
          </w:tcPr>
          <w:p>
            <w:pPr>
              <w:spacing w:after="0"/>
              <w:rPr>
                <w:sz w:val="12"/>
                <w:szCs w:val="12"/>
                <w:color w:val="auto"/>
              </w:rPr>
            </w:pPr>
          </w:p>
        </w:tc>
        <w:tc>
          <w:tcPr>
            <w:tcW w:w="110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Standard</w:t>
            </w:r>
          </w:p>
        </w:tc>
        <w:tc>
          <w:tcPr>
            <w:tcW w:w="380" w:type="dxa"/>
            <w:vAlign w:val="bottom"/>
          </w:tcPr>
          <w:p>
            <w:pPr>
              <w:spacing w:after="0"/>
              <w:rPr>
                <w:sz w:val="12"/>
                <w:szCs w:val="12"/>
                <w:color w:val="auto"/>
              </w:rPr>
            </w:pPr>
          </w:p>
        </w:tc>
        <w:tc>
          <w:tcPr>
            <w:tcW w:w="104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Standard</w:t>
            </w:r>
          </w:p>
        </w:tc>
        <w:tc>
          <w:tcPr>
            <w:tcW w:w="5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8"/>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Reported</w:t>
            </w:r>
          </w:p>
        </w:tc>
        <w:tc>
          <w:tcPr>
            <w:tcW w:w="44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4"/>
                <w:szCs w:val="14"/>
                <w:b w:val="1"/>
                <w:bCs w:val="1"/>
                <w:color w:val="auto"/>
              </w:rPr>
              <w:t>Adjustment</w:t>
            </w:r>
          </w:p>
        </w:tc>
        <w:tc>
          <w:tcPr>
            <w:tcW w:w="38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Adjustment</w:t>
            </w:r>
          </w:p>
        </w:tc>
        <w:tc>
          <w:tcPr>
            <w:tcW w:w="5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55"/>
        </w:trPr>
        <w:tc>
          <w:tcPr>
            <w:tcW w:w="518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Balance Sheets</w:t>
            </w: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78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19,792</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color w:val="auto"/>
              </w:rPr>
              <w:t>2,639</w:t>
            </w:r>
          </w:p>
        </w:tc>
        <w:tc>
          <w:tcPr>
            <w:tcW w:w="38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22,431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780" w:type="dxa"/>
            <w:vAlign w:val="bottom"/>
          </w:tcPr>
          <w:p>
            <w:pPr>
              <w:spacing w:after="0"/>
              <w:rPr>
                <w:sz w:val="16"/>
                <w:szCs w:val="16"/>
                <w:color w:val="auto"/>
              </w:rPr>
            </w:pPr>
          </w:p>
        </w:tc>
        <w:tc>
          <w:tcPr>
            <w:tcW w:w="1040" w:type="dxa"/>
            <w:vAlign w:val="bottom"/>
          </w:tcPr>
          <w:p>
            <w:pPr>
              <w:jc w:val="right"/>
              <w:ind w:right="36"/>
              <w:spacing w:after="0" w:line="189" w:lineRule="exact"/>
              <w:rPr>
                <w:sz w:val="20"/>
                <w:szCs w:val="20"/>
                <w:color w:val="auto"/>
              </w:rPr>
            </w:pPr>
            <w:r>
              <w:rPr>
                <w:rFonts w:ascii="Arial" w:cs="Arial" w:eastAsia="Arial" w:hAnsi="Arial"/>
                <w:sz w:val="18"/>
                <w:szCs w:val="18"/>
                <w:color w:val="auto"/>
              </w:rPr>
              <w:t>0</w:t>
            </w:r>
          </w:p>
        </w:tc>
        <w:tc>
          <w:tcPr>
            <w:tcW w:w="440" w:type="dxa"/>
            <w:vAlign w:val="bottom"/>
          </w:tcPr>
          <w:p>
            <w:pPr>
              <w:spacing w:after="0"/>
              <w:rPr>
                <w:sz w:val="16"/>
                <w:szCs w:val="16"/>
                <w:color w:val="auto"/>
              </w:rPr>
            </w:pPr>
          </w:p>
        </w:tc>
        <w:tc>
          <w:tcPr>
            <w:tcW w:w="1100" w:type="dxa"/>
            <w:vAlign w:val="bottom"/>
          </w:tcPr>
          <w:p>
            <w:pPr>
              <w:jc w:val="right"/>
              <w:ind w:right="57"/>
              <w:spacing w:after="0" w:line="189" w:lineRule="exact"/>
              <w:rPr>
                <w:sz w:val="20"/>
                <w:szCs w:val="20"/>
                <w:color w:val="auto"/>
              </w:rPr>
            </w:pPr>
            <w:r>
              <w:rPr>
                <w:rFonts w:ascii="Arial" w:cs="Arial" w:eastAsia="Arial" w:hAnsi="Arial"/>
                <w:sz w:val="18"/>
                <w:szCs w:val="18"/>
                <w:color w:val="auto"/>
              </w:rPr>
              <w:t>0</w:t>
            </w:r>
          </w:p>
        </w:tc>
        <w:tc>
          <w:tcPr>
            <w:tcW w:w="380" w:type="dxa"/>
            <w:vAlign w:val="bottom"/>
          </w:tcPr>
          <w:p>
            <w:pPr>
              <w:spacing w:after="0"/>
              <w:rPr>
                <w:sz w:val="16"/>
                <w:szCs w:val="16"/>
                <w:color w:val="auto"/>
              </w:rPr>
            </w:pPr>
          </w:p>
        </w:tc>
        <w:tc>
          <w:tcPr>
            <w:tcW w:w="1040" w:type="dxa"/>
            <w:vAlign w:val="bottom"/>
          </w:tcPr>
          <w:p>
            <w:pPr>
              <w:jc w:val="right"/>
              <w:ind w:right="16"/>
              <w:spacing w:after="0" w:line="189" w:lineRule="exact"/>
              <w:rPr>
                <w:sz w:val="20"/>
                <w:szCs w:val="20"/>
                <w:color w:val="auto"/>
              </w:rPr>
            </w:pPr>
            <w:r>
              <w:rPr>
                <w:rFonts w:ascii="Arial" w:cs="Arial" w:eastAsia="Arial" w:hAnsi="Arial"/>
                <w:sz w:val="18"/>
                <w:szCs w:val="18"/>
                <w:color w:val="auto"/>
              </w:rPr>
              <w:t>6,555</w:t>
            </w:r>
          </w:p>
        </w:tc>
        <w:tc>
          <w:tcPr>
            <w:tcW w:w="5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6,555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current and long-term assets</w:t>
            </w:r>
          </w:p>
        </w:tc>
        <w:tc>
          <w:tcPr>
            <w:tcW w:w="7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11,147</w:t>
            </w:r>
          </w:p>
        </w:tc>
        <w:tc>
          <w:tcPr>
            <w:tcW w:w="4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color w:val="auto"/>
              </w:rPr>
              <w:t>32</w:t>
            </w:r>
          </w:p>
        </w:tc>
        <w:tc>
          <w:tcPr>
            <w:tcW w:w="3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11,179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780" w:type="dxa"/>
            <w:vAlign w:val="bottom"/>
          </w:tcPr>
          <w:p>
            <w:pPr>
              <w:spacing w:after="0"/>
              <w:rPr>
                <w:sz w:val="16"/>
                <w:szCs w:val="16"/>
                <w:color w:val="auto"/>
              </w:rPr>
            </w:pPr>
          </w:p>
        </w:tc>
        <w:tc>
          <w:tcPr>
            <w:tcW w:w="1040" w:type="dxa"/>
            <w:vAlign w:val="bottom"/>
          </w:tcPr>
          <w:p>
            <w:pPr>
              <w:jc w:val="right"/>
              <w:ind w:right="36"/>
              <w:spacing w:after="0" w:line="189" w:lineRule="exact"/>
              <w:rPr>
                <w:sz w:val="20"/>
                <w:szCs w:val="20"/>
                <w:color w:val="auto"/>
              </w:rPr>
            </w:pPr>
            <w:r>
              <w:rPr>
                <w:rFonts w:ascii="Arial" w:cs="Arial" w:eastAsia="Arial" w:hAnsi="Arial"/>
                <w:sz w:val="18"/>
                <w:szCs w:val="18"/>
                <w:color w:val="auto"/>
              </w:rPr>
              <w:t>44,479</w:t>
            </w:r>
          </w:p>
        </w:tc>
        <w:tc>
          <w:tcPr>
            <w:tcW w:w="4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(17,823)</w:t>
            </w:r>
          </w:p>
        </w:tc>
        <w:tc>
          <w:tcPr>
            <w:tcW w:w="380" w:type="dxa"/>
            <w:vAlign w:val="bottom"/>
          </w:tcPr>
          <w:p>
            <w:pPr>
              <w:spacing w:after="0"/>
              <w:rPr>
                <w:sz w:val="16"/>
                <w:szCs w:val="16"/>
                <w:color w:val="auto"/>
              </w:rPr>
            </w:pPr>
          </w:p>
        </w:tc>
        <w:tc>
          <w:tcPr>
            <w:tcW w:w="1040" w:type="dxa"/>
            <w:vAlign w:val="bottom"/>
          </w:tcPr>
          <w:p>
            <w:pPr>
              <w:jc w:val="right"/>
              <w:ind w:right="16"/>
              <w:spacing w:after="0" w:line="189" w:lineRule="exact"/>
              <w:rPr>
                <w:sz w:val="20"/>
                <w:szCs w:val="20"/>
                <w:color w:val="auto"/>
              </w:rPr>
            </w:pPr>
            <w:r>
              <w:rPr>
                <w:rFonts w:ascii="Arial" w:cs="Arial" w:eastAsia="Arial" w:hAnsi="Arial"/>
                <w:sz w:val="18"/>
                <w:szCs w:val="18"/>
                <w:color w:val="auto"/>
              </w:rPr>
              <w:t>0</w:t>
            </w:r>
          </w:p>
        </w:tc>
        <w:tc>
          <w:tcPr>
            <w:tcW w:w="5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26,656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531</w:t>
            </w:r>
          </w:p>
        </w:tc>
        <w:tc>
          <w:tcPr>
            <w:tcW w:w="4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color w:val="auto"/>
              </w:rPr>
              <w:t>5,203</w:t>
            </w:r>
          </w:p>
        </w:tc>
        <w:tc>
          <w:tcPr>
            <w:tcW w:w="3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5,734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780" w:type="dxa"/>
            <w:vAlign w:val="bottom"/>
          </w:tcPr>
          <w:p>
            <w:pPr>
              <w:spacing w:after="0"/>
              <w:rPr>
                <w:sz w:val="16"/>
                <w:szCs w:val="16"/>
                <w:color w:val="auto"/>
              </w:rPr>
            </w:pPr>
          </w:p>
        </w:tc>
        <w:tc>
          <w:tcPr>
            <w:tcW w:w="1040" w:type="dxa"/>
            <w:vAlign w:val="bottom"/>
          </w:tcPr>
          <w:p>
            <w:pPr>
              <w:jc w:val="right"/>
              <w:ind w:right="36"/>
              <w:spacing w:after="0" w:line="189" w:lineRule="exact"/>
              <w:rPr>
                <w:sz w:val="20"/>
                <w:szCs w:val="20"/>
                <w:color w:val="auto"/>
              </w:rPr>
            </w:pPr>
            <w:r>
              <w:rPr>
                <w:rFonts w:ascii="Arial" w:cs="Arial" w:eastAsia="Arial" w:hAnsi="Arial"/>
                <w:sz w:val="18"/>
                <w:szCs w:val="18"/>
                <w:color w:val="auto"/>
              </w:rPr>
              <w:t>0</w:t>
            </w:r>
          </w:p>
        </w:tc>
        <w:tc>
          <w:tcPr>
            <w:tcW w:w="440" w:type="dxa"/>
            <w:vAlign w:val="bottom"/>
          </w:tcPr>
          <w:p>
            <w:pPr>
              <w:spacing w:after="0"/>
              <w:rPr>
                <w:sz w:val="16"/>
                <w:szCs w:val="16"/>
                <w:color w:val="auto"/>
              </w:rPr>
            </w:pPr>
          </w:p>
        </w:tc>
        <w:tc>
          <w:tcPr>
            <w:tcW w:w="1100" w:type="dxa"/>
            <w:vAlign w:val="bottom"/>
          </w:tcPr>
          <w:p>
            <w:pPr>
              <w:jc w:val="right"/>
              <w:ind w:right="57"/>
              <w:spacing w:after="0" w:line="189" w:lineRule="exact"/>
              <w:rPr>
                <w:sz w:val="20"/>
                <w:szCs w:val="20"/>
                <w:color w:val="auto"/>
              </w:rPr>
            </w:pPr>
            <w:r>
              <w:rPr>
                <w:rFonts w:ascii="Arial" w:cs="Arial" w:eastAsia="Arial" w:hAnsi="Arial"/>
                <w:sz w:val="18"/>
                <w:szCs w:val="18"/>
                <w:color w:val="auto"/>
              </w:rPr>
              <w:t>0</w:t>
            </w:r>
          </w:p>
        </w:tc>
        <w:tc>
          <w:tcPr>
            <w:tcW w:w="380" w:type="dxa"/>
            <w:vAlign w:val="bottom"/>
          </w:tcPr>
          <w:p>
            <w:pPr>
              <w:spacing w:after="0"/>
              <w:rPr>
                <w:sz w:val="16"/>
                <w:szCs w:val="16"/>
                <w:color w:val="auto"/>
              </w:rPr>
            </w:pPr>
          </w:p>
        </w:tc>
        <w:tc>
          <w:tcPr>
            <w:tcW w:w="1040" w:type="dxa"/>
            <w:vAlign w:val="bottom"/>
          </w:tcPr>
          <w:p>
            <w:pPr>
              <w:jc w:val="right"/>
              <w:ind w:right="16"/>
              <w:spacing w:after="0" w:line="189" w:lineRule="exact"/>
              <w:rPr>
                <w:sz w:val="20"/>
                <w:szCs w:val="20"/>
                <w:color w:val="auto"/>
              </w:rPr>
            </w:pPr>
            <w:r>
              <w:rPr>
                <w:rFonts w:ascii="Arial" w:cs="Arial" w:eastAsia="Arial" w:hAnsi="Arial"/>
                <w:sz w:val="18"/>
                <w:szCs w:val="18"/>
                <w:color w:val="auto"/>
              </w:rPr>
              <w:t>5,372</w:t>
            </w:r>
          </w:p>
        </w:tc>
        <w:tc>
          <w:tcPr>
            <w:tcW w:w="5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5,372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current and long-term liabilities</w:t>
            </w:r>
          </w:p>
        </w:tc>
        <w:tc>
          <w:tcPr>
            <w:tcW w:w="7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23,464</w:t>
            </w:r>
          </w:p>
        </w:tc>
        <w:tc>
          <w:tcPr>
            <w:tcW w:w="44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w:t>
            </w:r>
          </w:p>
        </w:tc>
        <w:tc>
          <w:tcPr>
            <w:tcW w:w="3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1,183</w:t>
            </w:r>
          </w:p>
        </w:tc>
        <w:tc>
          <w:tcPr>
            <w:tcW w:w="50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24,621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72,394</w:t>
            </w:r>
          </w:p>
        </w:tc>
        <w:tc>
          <w:tcPr>
            <w:tcW w:w="4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15,317</w:t>
            </w:r>
          </w:p>
        </w:tc>
        <w:tc>
          <w:tcPr>
            <w:tcW w:w="38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Adoption of the standards related to revenue recognition and leases had no impact to cash from or used in operating, financing, or investing in our consolidated cash flows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Targeted Improvements to Accounting for Hedging Activities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August 2017, the FASB issued new guidance related to accounting for hedging activities. This guidance expands strategies that qualify for hedge accounting, changes how many hedging relationships are presented in the financial statements, and simplifies the application of hedge accounting in certain situations. The standard will be effective for us beginning July 1, 2019, with early adoption permitted for any interim or annual period before the effective date. Adoption of the standard will be applied using a modified retrospective approach through a cumulative-effect adjustment to retained earnings as of the effective date. We are currently evaluating the impact of this standard in our consolidated financial statements, including accounting policies, processes, and systems.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Intra-Entity Asset Transfers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October 2016, the FASB issued new guidance requiring an entity to recognize the income tax consequences of an intra-entity transfer of an asset other than inventory when the transfer occurs, rather than when the asset has been sold to an outside party. This guidance is effective for us beginning July 1, 2018, with early adoption permitted beginning July 1, 2017. We plan to adopt the guidance effective July 1, 2018. Adoption of the guidance will be applied using a modified retrospective approach through a cumulative-effect adjustment to retained earnings as of the effective date. We currently expect a net cumulative-effect adjustment of approximately $550 million, which will reverse the deferral of income tax consequences from past intra-entity transfers involving assets other than inventory and new deferred tax assets for amounts not recognized under current GAAP, partially offset by a U.S. deferred tax liability related to global intangible low-taxed income (“GILTI”). Adoption of the standard is expected to result in an increase in long-term deferred tax assets of $2.8 billion, an increase in long-term deferred tax liabilities of $2.1 billion, and a reduction to other current assets of $150 million. As a result of the TCJA, we are continuing to evaluate the impact of this standard in our consolidated financial statements, including accounting policies, processes, and systems.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will be required to use a forward-looking expected credit loss model for accounts receivables, loans, and other financial instruments. Credit losses relating to available-for-sale debt securities will also be recorded through an allowance for credit losses rather than as a reduction in the amortized cost basis of the securities. The standard will be effective for us beginning July 1, 2020, with early adoption permitted beginning July 1, 2019. Adoption of the standard will be applied using a modified retrospective approach through a cumulative-effect adjustment to retained earnings as of the effective date to align our credit loss methodology with the new standard. We are currently evaluating the impact of this standard in our consolidated financial statements, including accounting policies, processes, and systems.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 w:name="page67"/>
    <w:bookmarkEnd w:id="66"/>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Recognition, Measurement, Presentation, and Disclosure</w:t>
      </w:r>
    </w:p>
    <w:p>
      <w:pPr>
        <w:spacing w:after="0" w:line="17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January 2016, the FASB issued a new standard related to certain aspects of recognition, measurement, presentation, and disclosure of financial instruments. Most prominent among the changes in the standard is the requirement for changes in the fair value of our equity investments, with certain exceptions, to be recognized through net income rather than OCI. Under the standard, equity investments that do not have a readily determinable fair value are eligible for the measurement alternative. Using the measurement alternative, investments without readily determinable fair values will be valued at cost, with adjustments for changes in price or impairments reflected through net income.</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standard will be effective for us beginning July 1, 2018. Adoption of the standard will be applied using a modified retrospective approach through a cumulative-effect adjustment from AOCI to retained earnings as of the effective date. A cumulative-effect adjustment will capture any previously held unrealized gains and losses held in AOCI related to our equity investments carried at fair value as well as the impact of</w:t>
      </w:r>
    </w:p>
    <w:p>
      <w:pPr>
        <w:spacing w:after="0" w:line="1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recording the fair value of certain equity investments carried at cost. In preparation for adoption of this standard, we have implemented internal controls to align with the new standard and have concluded that we will elect the measurement alternative for equity investments that do not have readily determinable fair values.</w:t>
      </w:r>
    </w:p>
    <w:p>
      <w:pPr>
        <w:spacing w:after="0" w:line="14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impact in our consolidated balance sheets upon adoption will not be material. Adoption of the standard will have no impact to cash from or used in operating, financing or investing in our consolidated cash flows statements.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16,571</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25,489</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257"/>
        </w:trPr>
        <w:tc>
          <w:tcPr>
            <w:tcW w:w="7440" w:type="dxa"/>
            <w:vAlign w:val="bottom"/>
            <w:gridSpan w:val="2"/>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3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7,700</w:t>
            </w:r>
          </w:p>
        </w:tc>
        <w:tc>
          <w:tcPr>
            <w:tcW w:w="3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3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86</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440" w:type="dxa"/>
            <w:vAlign w:val="bottom"/>
            <w:gridSpan w:val="2"/>
          </w:tcPr>
          <w:p>
            <w:pPr>
              <w:spacing w:after="0"/>
              <w:rPr>
                <w:sz w:val="20"/>
                <w:szCs w:val="20"/>
                <w:color w:val="auto"/>
              </w:rPr>
            </w:pPr>
            <w:r>
              <w:rPr>
                <w:rFonts w:ascii="Arial" w:cs="Arial" w:eastAsia="Arial" w:hAnsi="Arial"/>
                <w:sz w:val="18"/>
                <w:szCs w:val="18"/>
                <w:color w:val="auto"/>
              </w:rPr>
              <w:t>Common stock and common stock equivalents (C)</w:t>
            </w:r>
          </w:p>
        </w:tc>
        <w:tc>
          <w:tcPr>
            <w:tcW w:w="3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7,794</w:t>
            </w:r>
          </w:p>
        </w:tc>
        <w:tc>
          <w:tcPr>
            <w:tcW w:w="3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4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2.15</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3.29</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2.13</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3.25</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5" w:lineRule="exact"/>
        <w:rPr>
          <w:sz w:val="20"/>
          <w:szCs w:val="20"/>
          <w:color w:val="auto"/>
        </w:rPr>
      </w:pPr>
    </w:p>
    <w:p>
      <w:pPr>
        <w:ind w:right="3820" w:firstLine="3801"/>
        <w:spacing w:after="0" w:line="434"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Dividends and interest income</w:t>
            </w:r>
          </w:p>
        </w:tc>
        <w:tc>
          <w:tcPr>
            <w:tcW w:w="3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2,214</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1,387</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(2,733)</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(2,222)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27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2,399</w:t>
            </w:r>
          </w:p>
        </w:tc>
        <w:tc>
          <w:tcPr>
            <w:tcW w:w="3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2,583</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Arial" w:cs="Arial" w:eastAsia="Arial" w:hAnsi="Arial"/>
                <w:sz w:val="18"/>
                <w:szCs w:val="18"/>
                <w:color w:val="auto"/>
              </w:rPr>
              <w:t>Net losses on derivatives</w:t>
            </w:r>
          </w:p>
        </w:tc>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(187)</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(510)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27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(218)</w:t>
            </w:r>
          </w:p>
        </w:tc>
        <w:tc>
          <w:tcPr>
            <w:tcW w:w="3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(111)</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net</w:t>
            </w:r>
          </w:p>
        </w:tc>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w:t>
            </w:r>
          </w:p>
        </w:tc>
        <w:tc>
          <w:tcPr>
            <w:tcW w:w="3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720" w:type="dxa"/>
            <w:vAlign w:val="bottom"/>
            <w:tcBorders>
              <w:top w:val="single" w:sz="8" w:color="auto"/>
            </w:tcBorders>
          </w:tcPr>
          <w:p>
            <w:pPr>
              <w:spacing w:after="0"/>
              <w:rPr>
                <w:sz w:val="5"/>
                <w:szCs w:val="5"/>
                <w:color w:val="auto"/>
              </w:rPr>
            </w:pPr>
          </w:p>
        </w:tc>
        <w:tc>
          <w:tcPr>
            <w:tcW w:w="27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1,416</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876</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720" w:type="dxa"/>
            <w:vAlign w:val="bottom"/>
          </w:tcPr>
          <w:p>
            <w:pPr>
              <w:spacing w:after="0"/>
              <w:rPr>
                <w:sz w:val="6"/>
                <w:szCs w:val="6"/>
                <w:color w:val="auto"/>
              </w:rPr>
            </w:pPr>
          </w:p>
        </w:tc>
        <w:tc>
          <w:tcPr>
            <w:tcW w:w="2700" w:type="dxa"/>
            <w:vAlign w:val="bottom"/>
            <w:vMerge w:val="restart"/>
          </w:tcPr>
          <w:p>
            <w:pPr>
              <w:jc w:val="right"/>
              <w:ind w:right="1556"/>
              <w:spacing w:after="0"/>
              <w:rPr>
                <w:sz w:val="20"/>
                <w:szCs w:val="20"/>
                <w:color w:val="auto"/>
              </w:rPr>
            </w:pPr>
            <w:r>
              <w:rPr>
                <w:rFonts w:ascii="Arial" w:cs="Arial" w:eastAsia="Arial" w:hAnsi="Arial"/>
                <w:sz w:val="14"/>
                <w:szCs w:val="14"/>
                <w:color w:val="auto"/>
              </w:rPr>
              <w:t>67</w:t>
            </w:r>
          </w:p>
        </w:tc>
        <w:tc>
          <w:tcPr>
            <w:tcW w:w="3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67" w:name="page68"/>
    <w:bookmarkEnd w:id="67"/>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net recognized gains (losses) on investments during the periods reported: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48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gridSpan w:val="4"/>
            <w:shd w:val="clear" w:color="auto" w:fill="E5E5E5"/>
          </w:tcPr>
          <w:p>
            <w:pPr>
              <w:spacing w:after="0" w:line="189" w:lineRule="exact"/>
              <w:rPr>
                <w:sz w:val="20"/>
                <w:szCs w:val="20"/>
                <w:color w:val="auto"/>
              </w:rPr>
            </w:pPr>
            <w:r>
              <w:rPr>
                <w:rFonts w:ascii="Arial" w:cs="Arial" w:eastAsia="Arial" w:hAnsi="Arial"/>
                <w:sz w:val="18"/>
                <w:szCs w:val="18"/>
                <w:color w:val="auto"/>
              </w:rPr>
              <w:t>Other-than-temporary impairments of investments</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332"/>
              <w:spacing w:after="0" w:line="189"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(47)</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(55)</w:t>
            </w:r>
          </w:p>
        </w:tc>
        <w:tc>
          <w:tcPr>
            <w:tcW w:w="28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4"/>
          </w:tcPr>
          <w:p>
            <w:pPr>
              <w:jc w:val="right"/>
              <w:ind w:right="100"/>
              <w:spacing w:after="0" w:line="189" w:lineRule="exact"/>
              <w:rPr>
                <w:sz w:val="20"/>
                <w:szCs w:val="20"/>
                <w:color w:val="auto"/>
              </w:rPr>
            </w:pPr>
            <w:r>
              <w:rPr>
                <w:rFonts w:ascii="Arial" w:cs="Arial" w:eastAsia="Arial" w:hAnsi="Arial"/>
                <w:sz w:val="18"/>
                <w:szCs w:val="18"/>
                <w:b w:val="1"/>
                <w:bCs w:val="1"/>
                <w:color w:val="auto"/>
              </w:rPr>
              <w:t>3,478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3,064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1,376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shd w:val="clear" w:color="auto" w:fill="E5E5E5"/>
          </w:tcPr>
          <w:p>
            <w:pPr>
              <w:spacing w:after="0" w:line="189" w:lineRule="exact"/>
              <w:rPr>
                <w:sz w:val="20"/>
                <w:szCs w:val="20"/>
                <w:color w:val="auto"/>
              </w:rPr>
            </w:pPr>
            <w:r>
              <w:rPr>
                <w:rFonts w:ascii="Arial" w:cs="Arial" w:eastAsia="Arial" w:hAnsi="Arial"/>
                <w:sz w:val="18"/>
                <w:szCs w:val="18"/>
                <w:color w:val="auto"/>
                <w:w w:val="99"/>
              </w:rPr>
              <w:t>Realized losses from sales of available-for-sale securities</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gridSpan w:val="4"/>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(1,032)</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(426)</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2,399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gridSpan w:val="8"/>
            <w:vMerge w:val="restart"/>
          </w:tcPr>
          <w:p>
            <w:pPr>
              <w:jc w:val="right"/>
              <w:ind w:right="140"/>
              <w:spacing w:after="0"/>
              <w:rPr>
                <w:sz w:val="20"/>
                <w:szCs w:val="20"/>
                <w:color w:val="auto"/>
              </w:rPr>
            </w:pPr>
            <w:r>
              <w:rPr>
                <w:rFonts w:ascii="Arial" w:cs="Arial" w:eastAsia="Arial" w:hAnsi="Arial"/>
                <w:sz w:val="18"/>
                <w:szCs w:val="18"/>
                <w:color w:val="auto"/>
                <w:w w:val="99"/>
              </w:rPr>
              <w:t>NOTE 4 — INVESTMENTS</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 Components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60" w:type="dxa"/>
            <w:vAlign w:val="bottom"/>
            <w:gridSpan w:val="13"/>
          </w:tcPr>
          <w:p>
            <w:pPr>
              <w:spacing w:after="0"/>
              <w:rPr>
                <w:sz w:val="20"/>
                <w:szCs w:val="20"/>
                <w:color w:val="auto"/>
              </w:rPr>
            </w:pPr>
            <w:r>
              <w:rPr>
                <w:rFonts w:ascii="Arial" w:cs="Arial" w:eastAsia="Arial" w:hAnsi="Arial"/>
                <w:sz w:val="18"/>
                <w:szCs w:val="18"/>
                <w:color w:val="auto"/>
              </w:rPr>
              <w:t>The components of investments, including associated derivatives, were as follows: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Recorded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and Cash</w:t>
            </w:r>
          </w:p>
        </w:tc>
        <w:tc>
          <w:tcPr>
            <w:tcW w:w="120" w:type="dxa"/>
            <w:vAlign w:val="bottom"/>
          </w:tcPr>
          <w:p>
            <w:pPr>
              <w:spacing w:after="0"/>
              <w:rPr>
                <w:sz w:val="12"/>
                <w:szCs w:val="12"/>
                <w:color w:val="auto"/>
              </w:rPr>
            </w:pPr>
          </w:p>
        </w:tc>
        <w:tc>
          <w:tcPr>
            <w:tcW w:w="940" w:type="dxa"/>
            <w:vAlign w:val="bottom"/>
            <w:gridSpan w:val="5"/>
          </w:tcPr>
          <w:p>
            <w:pPr>
              <w:jc w:val="right"/>
              <w:ind w:right="140"/>
              <w:spacing w:after="0" w:line="149"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Basis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9"/>
              </w:rPr>
              <w:t>Equivalents</w:t>
            </w:r>
          </w:p>
        </w:tc>
        <w:tc>
          <w:tcPr>
            <w:tcW w:w="120" w:type="dxa"/>
            <w:vAlign w:val="bottom"/>
          </w:tcPr>
          <w:p>
            <w:pPr>
              <w:spacing w:after="0"/>
              <w:rPr>
                <w:sz w:val="15"/>
                <w:szCs w:val="15"/>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5"/>
              </w:rPr>
              <w:t>Investments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Investments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4"/>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3,942</w:t>
            </w:r>
          </w:p>
        </w:tc>
        <w:tc>
          <w:tcPr>
            <w:tcW w:w="3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3,942</w:t>
            </w:r>
          </w:p>
        </w:tc>
        <w:tc>
          <w:tcPr>
            <w:tcW w:w="2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5"/>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3,942</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246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246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246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2,513</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2,513</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5"/>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2,215</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298</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2,058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2,058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5"/>
          </w:tcPr>
          <w:p>
            <w:pPr>
              <w:jc w:val="right"/>
              <w:ind w:right="200"/>
              <w:spacing w:after="0" w:line="189" w:lineRule="exact"/>
              <w:rPr>
                <w:sz w:val="20"/>
                <w:szCs w:val="20"/>
                <w:color w:val="auto"/>
              </w:rPr>
            </w:pPr>
            <w:r>
              <w:rPr>
                <w:rFonts w:ascii="Arial" w:cs="Arial" w:eastAsia="Arial" w:hAnsi="Arial"/>
                <w:sz w:val="18"/>
                <w:szCs w:val="18"/>
                <w:b w:val="1"/>
                <w:bCs w:val="1"/>
                <w:color w:val="auto"/>
              </w:rPr>
              <w:t>1,865</w:t>
            </w:r>
          </w:p>
        </w:tc>
        <w:tc>
          <w:tcPr>
            <w:tcW w:w="120" w:type="dxa"/>
            <w:vAlign w:val="bottom"/>
          </w:tcPr>
          <w:p>
            <w:pPr>
              <w:spacing w:after="0"/>
              <w:rPr>
                <w:sz w:val="16"/>
                <w:szCs w:val="16"/>
                <w:color w:val="auto"/>
              </w:rPr>
            </w:pPr>
          </w:p>
        </w:tc>
        <w:tc>
          <w:tcPr>
            <w:tcW w:w="940" w:type="dxa"/>
            <w:vAlign w:val="bottom"/>
            <w:gridSpan w:val="5"/>
          </w:tcPr>
          <w:p>
            <w:pPr>
              <w:jc w:val="right"/>
              <w:ind w:right="140"/>
              <w:spacing w:after="0" w:line="189" w:lineRule="exact"/>
              <w:rPr>
                <w:sz w:val="20"/>
                <w:szCs w:val="20"/>
                <w:color w:val="auto"/>
              </w:rPr>
            </w:pPr>
            <w:r>
              <w:rPr>
                <w:rFonts w:ascii="Arial" w:cs="Arial" w:eastAsia="Arial" w:hAnsi="Arial"/>
                <w:sz w:val="18"/>
                <w:szCs w:val="18"/>
                <w:b w:val="1"/>
                <w:bCs w:val="1"/>
                <w:color w:val="auto"/>
              </w:rPr>
              <w:t>193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109,862</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62</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(1,167)</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108,757</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5"/>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3,678</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105,079</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5,182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5,173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940" w:type="dxa"/>
            <w:vAlign w:val="bottom"/>
            <w:gridSpan w:val="5"/>
          </w:tcPr>
          <w:p>
            <w:pPr>
              <w:jc w:val="right"/>
              <w:ind w:right="140"/>
              <w:spacing w:after="0" w:line="189" w:lineRule="exact"/>
              <w:rPr>
                <w:sz w:val="20"/>
                <w:szCs w:val="20"/>
                <w:color w:val="auto"/>
              </w:rPr>
            </w:pPr>
            <w:r>
              <w:rPr>
                <w:rFonts w:ascii="Arial" w:cs="Arial" w:eastAsia="Arial" w:hAnsi="Arial"/>
                <w:sz w:val="18"/>
                <w:szCs w:val="18"/>
                <w:b w:val="1"/>
                <w:bCs w:val="1"/>
                <w:color w:val="auto"/>
              </w:rPr>
              <w:t>5,173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3,868</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3,859</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3,859</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6,947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6,912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940" w:type="dxa"/>
            <w:vAlign w:val="bottom"/>
            <w:gridSpan w:val="5"/>
          </w:tcPr>
          <w:p>
            <w:pPr>
              <w:jc w:val="right"/>
              <w:ind w:right="140"/>
              <w:spacing w:after="0" w:line="189" w:lineRule="exact"/>
              <w:rPr>
                <w:sz w:val="20"/>
                <w:szCs w:val="20"/>
                <w:color w:val="auto"/>
              </w:rPr>
            </w:pPr>
            <w:r>
              <w:rPr>
                <w:rFonts w:ascii="Arial" w:cs="Arial" w:eastAsia="Arial" w:hAnsi="Arial"/>
                <w:sz w:val="18"/>
                <w:szCs w:val="18"/>
                <w:b w:val="1"/>
                <w:bCs w:val="1"/>
                <w:color w:val="auto"/>
              </w:rPr>
              <w:t>6,912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271</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37</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307</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307</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Common and preferred stock</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1,220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95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1,305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investments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558</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558</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557</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4"/>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4"/>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136,667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135,630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11,946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121,822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1,862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Recorded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and Cash</w:t>
            </w:r>
          </w:p>
        </w:tc>
        <w:tc>
          <w:tcPr>
            <w:tcW w:w="120" w:type="dxa"/>
            <w:vAlign w:val="bottom"/>
          </w:tcPr>
          <w:p>
            <w:pPr>
              <w:spacing w:after="0"/>
              <w:rPr>
                <w:sz w:val="12"/>
                <w:szCs w:val="12"/>
                <w:color w:val="auto"/>
              </w:rPr>
            </w:pPr>
          </w:p>
        </w:tc>
        <w:tc>
          <w:tcPr>
            <w:tcW w:w="940" w:type="dxa"/>
            <w:vAlign w:val="bottom"/>
            <w:gridSpan w:val="5"/>
          </w:tcPr>
          <w:p>
            <w:pPr>
              <w:jc w:val="right"/>
              <w:ind w:right="140"/>
              <w:spacing w:after="0" w:line="149"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Basis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9"/>
              </w:rPr>
              <w:t>Equivalents</w:t>
            </w:r>
          </w:p>
        </w:tc>
        <w:tc>
          <w:tcPr>
            <w:tcW w:w="120" w:type="dxa"/>
            <w:vAlign w:val="bottom"/>
          </w:tcPr>
          <w:p>
            <w:pPr>
              <w:spacing w:after="0"/>
              <w:rPr>
                <w:sz w:val="15"/>
                <w:szCs w:val="15"/>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5"/>
              </w:rPr>
              <w:t>Investments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Investments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30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00" w:type="dxa"/>
            <w:vAlign w:val="bottom"/>
            <w:gridSpan w:val="3"/>
          </w:tcPr>
          <w:p>
            <w:pPr>
              <w:spacing w:after="0"/>
              <w:rPr>
                <w:sz w:val="4"/>
                <w:szCs w:val="4"/>
                <w:color w:val="auto"/>
              </w:rPr>
            </w:pPr>
          </w:p>
        </w:tc>
        <w:tc>
          <w:tcPr>
            <w:tcW w:w="260" w:type="dxa"/>
            <w:vAlign w:val="bottom"/>
            <w:gridSpan w:val="2"/>
          </w:tcPr>
          <w:p>
            <w:pPr>
              <w:spacing w:after="0"/>
              <w:rPr>
                <w:sz w:val="4"/>
                <w:szCs w:val="4"/>
                <w:color w:val="auto"/>
              </w:rPr>
            </w:pPr>
          </w:p>
        </w:tc>
        <w:tc>
          <w:tcPr>
            <w:tcW w:w="1000" w:type="dxa"/>
            <w:vAlign w:val="bottom"/>
            <w:gridSpan w:val="5"/>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3"/>
          </w:tcPr>
          <w:p>
            <w:pPr>
              <w:spacing w:after="0"/>
              <w:rPr>
                <w:sz w:val="4"/>
                <w:szCs w:val="4"/>
                <w:color w:val="auto"/>
              </w:rPr>
            </w:pPr>
          </w:p>
        </w:tc>
        <w:tc>
          <w:tcPr>
            <w:tcW w:w="18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3,624</w:t>
            </w:r>
          </w:p>
        </w:tc>
        <w:tc>
          <w:tcPr>
            <w:tcW w:w="3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3,624</w:t>
            </w:r>
          </w:p>
        </w:tc>
        <w:tc>
          <w:tcPr>
            <w:tcW w:w="2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5"/>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3,624</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1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1,478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1,478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5"/>
          </w:tcPr>
          <w:p>
            <w:pPr>
              <w:jc w:val="right"/>
              <w:ind w:right="200"/>
              <w:spacing w:after="0" w:line="189" w:lineRule="exact"/>
              <w:rPr>
                <w:sz w:val="20"/>
                <w:szCs w:val="20"/>
                <w:color w:val="auto"/>
              </w:rPr>
            </w:pPr>
            <w:r>
              <w:rPr>
                <w:rFonts w:ascii="Arial" w:cs="Arial" w:eastAsia="Arial" w:hAnsi="Arial"/>
                <w:sz w:val="18"/>
                <w:szCs w:val="18"/>
                <w:color w:val="auto"/>
              </w:rPr>
              <w:t>1,478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319</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319</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69</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250</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1,358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5"/>
          </w:tcPr>
          <w:p>
            <w:pPr>
              <w:jc w:val="right"/>
              <w:ind w:right="140"/>
              <w:spacing w:after="0" w:line="189" w:lineRule="exact"/>
              <w:rPr>
                <w:sz w:val="20"/>
                <w:szCs w:val="20"/>
                <w:color w:val="auto"/>
              </w:rPr>
            </w:pPr>
            <w:r>
              <w:rPr>
                <w:rFonts w:ascii="Arial" w:cs="Arial" w:eastAsia="Arial" w:hAnsi="Arial"/>
                <w:sz w:val="18"/>
                <w:szCs w:val="18"/>
                <w:color w:val="auto"/>
              </w:rPr>
              <w:t>386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112,119</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85</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(360)</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111,844</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16</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111,828</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5,276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5,265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5"/>
          </w:tcPr>
          <w:p>
            <w:pPr>
              <w:jc w:val="right"/>
              <w:ind w:right="200"/>
              <w:spacing w:after="0" w:line="189" w:lineRule="exact"/>
              <w:rPr>
                <w:sz w:val="20"/>
                <w:szCs w:val="20"/>
                <w:color w:val="auto"/>
              </w:rPr>
            </w:pPr>
            <w:r>
              <w:rPr>
                <w:rFonts w:ascii="Arial" w:cs="Arial" w:eastAsia="Arial" w:hAnsi="Arial"/>
                <w:sz w:val="18"/>
                <w:szCs w:val="18"/>
                <w:color w:val="auto"/>
              </w:rPr>
              <w:t>1,504</w:t>
            </w:r>
          </w:p>
        </w:tc>
        <w:tc>
          <w:tcPr>
            <w:tcW w:w="120" w:type="dxa"/>
            <w:vAlign w:val="bottom"/>
          </w:tcPr>
          <w:p>
            <w:pPr>
              <w:spacing w:after="0"/>
              <w:rPr>
                <w:sz w:val="16"/>
                <w:szCs w:val="16"/>
                <w:color w:val="auto"/>
              </w:rPr>
            </w:pPr>
          </w:p>
        </w:tc>
        <w:tc>
          <w:tcPr>
            <w:tcW w:w="940" w:type="dxa"/>
            <w:vAlign w:val="bottom"/>
            <w:gridSpan w:val="5"/>
          </w:tcPr>
          <w:p>
            <w:pPr>
              <w:jc w:val="right"/>
              <w:ind w:right="140"/>
              <w:spacing w:after="0" w:line="189" w:lineRule="exact"/>
              <w:rPr>
                <w:sz w:val="20"/>
                <w:szCs w:val="20"/>
                <w:color w:val="auto"/>
              </w:rPr>
            </w:pPr>
            <w:r>
              <w:rPr>
                <w:rFonts w:ascii="Arial" w:cs="Arial" w:eastAsia="Arial" w:hAnsi="Arial"/>
                <w:sz w:val="18"/>
                <w:szCs w:val="18"/>
                <w:color w:val="auto"/>
              </w:rPr>
              <w:t>3,761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3,921</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3,931</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3,931</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4,786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4,835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940" w:type="dxa"/>
            <w:vAlign w:val="bottom"/>
            <w:gridSpan w:val="5"/>
          </w:tcPr>
          <w:p>
            <w:pPr>
              <w:jc w:val="right"/>
              <w:ind w:right="140"/>
              <w:spacing w:after="0" w:line="189" w:lineRule="exact"/>
              <w:rPr>
                <w:sz w:val="20"/>
                <w:szCs w:val="20"/>
                <w:color w:val="auto"/>
              </w:rPr>
            </w:pPr>
            <w:r>
              <w:rPr>
                <w:rFonts w:ascii="Arial" w:cs="Arial" w:eastAsia="Arial" w:hAnsi="Arial"/>
                <w:sz w:val="18"/>
                <w:szCs w:val="18"/>
                <w:color w:val="auto"/>
              </w:rPr>
              <w:t>4,835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284</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43</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327</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940" w:type="dxa"/>
            <w:vAlign w:val="bottom"/>
            <w:gridSpan w:val="5"/>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327</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Common and preferred stock</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2,472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3,062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5,500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5,500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investments</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523</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523</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523</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4"/>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4"/>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136,160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3,267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139,004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200"/>
              <w:spacing w:after="0"/>
              <w:rPr>
                <w:sz w:val="20"/>
                <w:szCs w:val="20"/>
                <w:color w:val="auto"/>
              </w:rPr>
            </w:pPr>
            <w:r>
              <w:rPr>
                <w:rFonts w:ascii="Arial" w:cs="Arial" w:eastAsia="Arial" w:hAnsi="Arial"/>
                <w:sz w:val="18"/>
                <w:szCs w:val="18"/>
                <w:color w:val="auto"/>
              </w:rPr>
              <w:t>7,663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5"/>
          </w:tcPr>
          <w:p>
            <w:pPr>
              <w:jc w:val="right"/>
              <w:ind w:right="140"/>
              <w:spacing w:after="0"/>
              <w:rPr>
                <w:sz w:val="20"/>
                <w:szCs w:val="20"/>
                <w:color w:val="auto"/>
              </w:rPr>
            </w:pPr>
            <w:r>
              <w:rPr>
                <w:rFonts w:ascii="Arial" w:cs="Arial" w:eastAsia="Arial" w:hAnsi="Arial"/>
                <w:sz w:val="18"/>
                <w:szCs w:val="18"/>
                <w:color w:val="auto"/>
              </w:rPr>
              <w:t>125,318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68" w:name="page69"/>
    <w:bookmarkEnd w:id="68"/>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9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of June 30, 2018 and 2017, the recorded bases of common and preferred stock that are restricted for more than one year or are not publicly traded were $999 million and $1.1 billion, respectively. These investments are carried at cost and are reviewed quarterly for indicators of other-than-temporary impairment. It is not practicable for us to reliably estimate the fair value of these investments.</w:t>
      </w:r>
    </w:p>
    <w:p>
      <w:pPr>
        <w:spacing w:after="0" w:line="1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June 30, 2018 and 2017, collateral received under agreements for loaned securities was $1.8 billion and $3.7 billion, respectively, and primarily comprised U.S. government and agency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Investments with continuous unrealized losses for less than 12 months and 12 months or greater and their related fair values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12 Months or Greater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120"/>
              <w:spacing w:after="0" w:line="125"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00" w:type="dxa"/>
            <w:vAlign w:val="bottom"/>
            <w:gridSpan w:val="2"/>
          </w:tcPr>
          <w:p>
            <w:pPr>
              <w:jc w:val="right"/>
              <w:ind w:right="80"/>
              <w:spacing w:after="0" w:line="125"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78"/>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55"/>
        </w:trPr>
        <w:tc>
          <w:tcPr>
            <w:tcW w:w="53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82,352</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(1,064)</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4,459</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(103)</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86,811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3,457</w:t>
            </w:r>
          </w:p>
        </w:tc>
        <w:tc>
          <w:tcPr>
            <w:tcW w:w="1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3,470</w:t>
            </w: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2,072</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96</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2,168</w:t>
            </w: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3,111</w:t>
            </w:r>
          </w:p>
        </w:tc>
        <w:tc>
          <w:tcPr>
            <w:tcW w:w="1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(43)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301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3,412</w:t>
            </w: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45</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45</w:t>
            </w: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Common and preferred stock</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w:t>
            </w: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91,112</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(1,130)</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4,877</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(127)</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95,989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(1,257)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3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86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12 Months or Greater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120"/>
              <w:spacing w:after="0" w:line="125"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00" w:type="dxa"/>
            <w:vAlign w:val="bottom"/>
            <w:gridSpan w:val="2"/>
          </w:tcPr>
          <w:p>
            <w:pPr>
              <w:jc w:val="right"/>
              <w:ind w:right="80"/>
              <w:spacing w:after="0" w:line="125"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78"/>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55"/>
        </w:trPr>
        <w:tc>
          <w:tcPr>
            <w:tcW w:w="53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24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87,558</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(348)</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371</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87,929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4,006</w:t>
            </w:r>
          </w:p>
        </w:tc>
        <w:tc>
          <w:tcPr>
            <w:tcW w:w="1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4,029</w:t>
            </w: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1,068</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198</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1,266</w:t>
            </w: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669</w:t>
            </w:r>
          </w:p>
        </w:tc>
        <w:tc>
          <w:tcPr>
            <w:tcW w:w="14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177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846</w:t>
            </w: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69</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148</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(28)</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217</w:t>
            </w: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93,370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94,287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Unrealized losses from fixed-income securities are primarily attributable to changes in interest rates. Unrealized losses from domestic and international equities are due to market price movements. Management does not believe any remaining unrealized losses represent other-than-temporary impairments based on our evaluation of available evidence.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 Basis</w:t>
            </w:r>
          </w:p>
        </w:tc>
        <w:tc>
          <w:tcPr>
            <w:tcW w:w="4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300" w:type="dxa"/>
            <w:vAlign w:val="bottom"/>
            <w:tcBorders>
              <w:bottom w:val="single" w:sz="8" w:color="auto"/>
            </w:tcBorders>
            <w:gridSpan w:val="2"/>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2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31,590</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31,451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3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76,422</w:t>
            </w:r>
          </w:p>
        </w:tc>
        <w:tc>
          <w:tcPr>
            <w:tcW w:w="4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75,810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21,765</w:t>
            </w: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21,396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Due after 10 years</w:t>
            </w:r>
          </w:p>
        </w:tc>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130,701</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129,579</w:t>
            </w:r>
          </w:p>
        </w:tc>
        <w:tc>
          <w:tcPr>
            <w:tcW w:w="1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3820" w:type="dxa"/>
            <w:vAlign w:val="bottom"/>
            <w:vMerge w:val="restart"/>
          </w:tcPr>
          <w:p>
            <w:pPr>
              <w:jc w:val="right"/>
              <w:ind w:right="2236"/>
              <w:spacing w:after="0"/>
              <w:rPr>
                <w:sz w:val="20"/>
                <w:szCs w:val="20"/>
                <w:color w:val="auto"/>
              </w:rPr>
            </w:pPr>
            <w:r>
              <w:rPr>
                <w:rFonts w:ascii="Arial" w:cs="Arial" w:eastAsia="Arial" w:hAnsi="Arial"/>
                <w:sz w:val="14"/>
                <w:szCs w:val="14"/>
                <w:color w:val="auto"/>
              </w:rPr>
              <w:t>69</w:t>
            </w:r>
          </w:p>
        </w:tc>
        <w:tc>
          <w:tcPr>
            <w:tcW w:w="4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69" w:name="page70"/>
    <w:bookmarkEnd w:id="69"/>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to enhance investment returns; and to facilitate portfolio diversification. Our objectives for holding derivatives include reducing, eliminating, and efficiently managing the economic impact of these exposures as effectively as possible.</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derivative programs include strategies that both qualify and do not qualify for hedge accounting treatment. All notional amounts presented below are measured in U.S. dollar equivalents.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 Option and forward contracts are used to hedge a portion of forecasted international revenue for up to three years in the future and are designated as cash flow hedging instruments. Principal currencies hedged include the euro, Japanese yen, British pound, Canadian dollar, and Australian dollar. As of June 30, 2018 and 2017, the total notional amounts of these foreign exchange contracts sold were $6.1 billion and $8.9 billion, respectively.</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risks related to certain non-U.S. dollar denominated securities are hedged using foreign exchange forward contracts that are designated as fair value hedging instruments. As of June 30, 2018 and 2017, the total notional amounts of these foreign exchange contracts sold were $5.0 billion and $5.1 billion, respectively.</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 As of June 30, 2018, the total notional amounts of these foreign exchange contracts purchased and sold were $9.4 billion and $13.4 billion, respectively. As of June 30, 2017, the total notional amounts of these foreign exchange contracts purchased and sold were $8.8 billion and $10.6 billion,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Securities held in our equity and other investments portfolio are subject to market price risk. Market price risk is managed relative to broad-based global and domestic equity indices using certain convertible preferred investments, options, futures, and swap contracts not designated as hedging instruments. From time to time, to hedge our price risk, we may use and designate equity derivatives as hedging instruments, including puts, calls, swaps, and forwards. As of June 30, 2018, the total notional amounts of equity contracts purchased and sold for managing market price risk were $49 million and $5 million, respectively. As of June 30, 2017, the total notional amounts of equity contracts purchased and sold for managing market price risk were $1.9 billion and $2.4 billion, respectively, of which $1.6 billion and $1.8 billion, respectively, were designated as hedging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none of which are designated as hedging instruments. As of June 30, 2018, the total notional amounts of fixed-interest rate contracts purchased and sold were $306 million and $390 million, respectively. As of June 30, 2017, the total notional amounts of fixed-interest rate contracts purchased and sold were $233 million and $352 million, respectively.</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 use “To Be Announced” forward purchase commitments of mortgage-backed assets to gain exposure to agency mortgage-backed securities. These meet the definition of a derivative instrument in cases where physical delivery of the assets is not taken at the earliest available delivery date. As of June 30, 2018 and 2017, the total notional derivative amounts of mortgage contracts purchased were $568 million and $567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0" w:name="page71"/>
    <w:bookmarkEnd w:id="70"/>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not designated as hedging instruments, to manage credit exposures relative to broad-based indices and to facilitate portfolio diversification. We use credit default swaps as they are a low-cost method of managing exposure to individual credit risks or groups of credit risks. As of June 30, 2018, the total notional amounts of credit contracts purchased and sold were $ 4 million and $82 million, respectively. As of June 30, 2017, the total notional amounts of credit contracts purchased and sold were $267 million and $63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June 30, 2018, our long-term unsecured debt rating was AAA, and cash investments were in excess of $1.0 billion. As a result, no collateral was required to be posted.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table presents the fair values of derivative instruments designated as hedging instruments (“designated hedge derivatives”) and not designated as hedging instruments (“non-designated hedge derivatives”). The fair values exclude the impact of netting derivative assets and liabilities when a legally enforceable master netting agreement exists and fair value adjustments related to our own credit risk and counterparty credit risk: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Equity and</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Short-term</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Investments</w:t>
            </w: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Long-term Assets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0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Non-designated Hedge Derivatives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221</w:t>
            </w:r>
          </w:p>
        </w:tc>
        <w:tc>
          <w:tcPr>
            <w:tcW w:w="1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(193)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Credit contracts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221</w:t>
            </w:r>
          </w:p>
        </w:tc>
        <w:tc>
          <w:tcPr>
            <w:tcW w:w="1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(203)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Designated Hedge Derivatives</w:t>
            </w: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95</w:t>
            </w: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174</w:t>
            </w:r>
          </w:p>
        </w:tc>
        <w:tc>
          <w:tcPr>
            <w:tcW w:w="1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contracts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95</w:t>
            </w: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174</w:t>
            </w:r>
          </w:p>
        </w:tc>
        <w:tc>
          <w:tcPr>
            <w:tcW w:w="1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Total gross amounts of derivatives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14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0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Gross derivatives either offset or subject to an</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113</w:t>
            </w:r>
          </w:p>
        </w:tc>
        <w:tc>
          <w:tcPr>
            <w:tcW w:w="200" w:type="dxa"/>
            <w:vAlign w:val="bottom"/>
            <w:shd w:val="clear" w:color="auto" w:fill="E5E5E5"/>
          </w:tcPr>
          <w:p>
            <w:pPr>
              <w:spacing w:after="0"/>
              <w:rPr>
                <w:sz w:val="15"/>
                <w:szCs w:val="15"/>
                <w:color w:val="auto"/>
              </w:rPr>
            </w:pPr>
          </w:p>
        </w:tc>
        <w:tc>
          <w:tcPr>
            <w:tcW w:w="240" w:type="dxa"/>
            <w:vAlign w:val="bottom"/>
            <w:vMerge w:val="restart"/>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395</w:t>
            </w:r>
          </w:p>
        </w:tc>
        <w:tc>
          <w:tcPr>
            <w:tcW w:w="140" w:type="dxa"/>
            <w:vAlign w:val="bottom"/>
            <w:shd w:val="clear" w:color="auto" w:fill="E5E5E5"/>
          </w:tcPr>
          <w:p>
            <w:pPr>
              <w:spacing w:after="0"/>
              <w:rPr>
                <w:sz w:val="15"/>
                <w:szCs w:val="15"/>
                <w:color w:val="auto"/>
              </w:rPr>
            </w:pPr>
          </w:p>
        </w:tc>
        <w:tc>
          <w:tcPr>
            <w:tcW w:w="26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5"/>
                <w:szCs w:val="15"/>
                <w:color w:val="auto"/>
              </w:rPr>
            </w:pPr>
          </w:p>
        </w:tc>
        <w:tc>
          <w:tcPr>
            <w:tcW w:w="50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E5E5E5"/>
          </w:tcPr>
          <w:p>
            <w:pPr>
              <w:spacing w:after="0"/>
              <w:rPr>
                <w:sz w:val="15"/>
                <w:szCs w:val="15"/>
                <w:color w:val="auto"/>
              </w:rPr>
            </w:pPr>
          </w:p>
        </w:tc>
        <w:tc>
          <w:tcPr>
            <w:tcW w:w="3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(203)</w:t>
            </w:r>
          </w:p>
        </w:tc>
        <w:tc>
          <w:tcPr>
            <w:tcW w:w="240" w:type="dxa"/>
            <w:vAlign w:val="bottom"/>
            <w:vMerge w:val="restart"/>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vMerge w:val="restart"/>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enforceable master netting agreement</w:t>
            </w:r>
          </w:p>
        </w:tc>
        <w:tc>
          <w:tcPr>
            <w:tcW w:w="180" w:type="dxa"/>
            <w:vAlign w:val="bottom"/>
            <w:vMerge w:val="continue"/>
            <w:shd w:val="clear" w:color="auto" w:fill="E5E5E5"/>
          </w:tcPr>
          <w:p>
            <w:pPr>
              <w:spacing w:after="0"/>
              <w:rPr>
                <w:sz w:val="17"/>
                <w:szCs w:val="17"/>
                <w:color w:val="auto"/>
              </w:rPr>
            </w:pPr>
          </w:p>
        </w:tc>
        <w:tc>
          <w:tcPr>
            <w:tcW w:w="860" w:type="dxa"/>
            <w:vAlign w:val="bottom"/>
            <w:vMerge w:val="continue"/>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40" w:type="dxa"/>
            <w:vAlign w:val="bottom"/>
            <w:vMerge w:val="continue"/>
            <w:shd w:val="clear" w:color="auto" w:fill="E5E5E5"/>
          </w:tcPr>
          <w:p>
            <w:pPr>
              <w:spacing w:after="0"/>
              <w:rPr>
                <w:sz w:val="17"/>
                <w:szCs w:val="17"/>
                <w:color w:val="auto"/>
              </w:rPr>
            </w:pPr>
          </w:p>
        </w:tc>
        <w:tc>
          <w:tcPr>
            <w:tcW w:w="800" w:type="dxa"/>
            <w:vAlign w:val="bottom"/>
            <w:vMerge w:val="continue"/>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60" w:type="dxa"/>
            <w:vAlign w:val="bottom"/>
            <w:gridSpan w:val="2"/>
            <w:vMerge w:val="continue"/>
            <w:shd w:val="clear" w:color="auto" w:fill="E5E5E5"/>
          </w:tcPr>
          <w:p>
            <w:pPr>
              <w:spacing w:after="0"/>
              <w:rPr>
                <w:sz w:val="17"/>
                <w:szCs w:val="17"/>
                <w:color w:val="auto"/>
              </w:rPr>
            </w:pPr>
          </w:p>
        </w:tc>
        <w:tc>
          <w:tcPr>
            <w:tcW w:w="840" w:type="dxa"/>
            <w:vAlign w:val="bottom"/>
            <w:vMerge w:val="continue"/>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00" w:type="dxa"/>
            <w:vAlign w:val="bottom"/>
            <w:gridSpan w:val="2"/>
            <w:vMerge w:val="continue"/>
            <w:shd w:val="clear" w:color="auto" w:fill="E5E5E5"/>
          </w:tcPr>
          <w:p>
            <w:pPr>
              <w:spacing w:after="0"/>
              <w:rPr>
                <w:sz w:val="17"/>
                <w:szCs w:val="17"/>
                <w:color w:val="auto"/>
              </w:rPr>
            </w:pPr>
          </w:p>
        </w:tc>
        <w:tc>
          <w:tcPr>
            <w:tcW w:w="680" w:type="dxa"/>
            <w:vAlign w:val="bottom"/>
            <w:vMerge w:val="continue"/>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40" w:type="dxa"/>
            <w:vAlign w:val="bottom"/>
            <w:gridSpan w:val="2"/>
            <w:vMerge w:val="continue"/>
            <w:shd w:val="clear" w:color="auto" w:fill="E5E5E5"/>
          </w:tcPr>
          <w:p>
            <w:pPr>
              <w:spacing w:after="0"/>
              <w:rPr>
                <w:sz w:val="17"/>
                <w:szCs w:val="17"/>
                <w:color w:val="auto"/>
              </w:rPr>
            </w:pPr>
          </w:p>
        </w:tc>
        <w:tc>
          <w:tcPr>
            <w:tcW w:w="980" w:type="dxa"/>
            <w:vAlign w:val="bottom"/>
            <w:gridSpan w:val="2"/>
            <w:vMerge w:val="continue"/>
            <w:shd w:val="clear" w:color="auto" w:fill="E5E5E5"/>
          </w:tcPr>
          <w:p>
            <w:pPr>
              <w:spacing w:after="0"/>
              <w:rPr>
                <w:sz w:val="17"/>
                <w:szCs w:val="17"/>
                <w:color w:val="auto"/>
              </w:rPr>
            </w:pPr>
          </w:p>
        </w:tc>
        <w:tc>
          <w:tcPr>
            <w:tcW w:w="240" w:type="dxa"/>
            <w:vAlign w:val="bottom"/>
            <w:vMerge w:val="continue"/>
            <w:shd w:val="clear" w:color="auto" w:fill="E5E5E5"/>
          </w:tcPr>
          <w:p>
            <w:pPr>
              <w:spacing w:after="0"/>
              <w:rPr>
                <w:sz w:val="17"/>
                <w:szCs w:val="17"/>
                <w:color w:val="auto"/>
              </w:rPr>
            </w:pPr>
          </w:p>
        </w:tc>
        <w:tc>
          <w:tcPr>
            <w:tcW w:w="920" w:type="dxa"/>
            <w:vAlign w:val="bottom"/>
            <w:gridSpan w:val="2"/>
            <w:vMerge w:val="continue"/>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line="175" w:lineRule="exact"/>
              <w:rPr>
                <w:sz w:val="20"/>
                <w:szCs w:val="20"/>
                <w:color w:val="auto"/>
              </w:rPr>
            </w:pPr>
            <w:r>
              <w:rPr>
                <w:rFonts w:ascii="Arial" w:cs="Arial" w:eastAsia="Arial" w:hAnsi="Arial"/>
                <w:sz w:val="18"/>
                <w:szCs w:val="18"/>
                <w:color w:val="auto"/>
              </w:rPr>
              <w:t>Gross amounts of derivatives offset on the</w:t>
            </w:r>
          </w:p>
        </w:tc>
        <w:tc>
          <w:tcPr>
            <w:tcW w:w="18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5"/>
                <w:szCs w:val="15"/>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180"/>
              <w:spacing w:after="0" w:line="189" w:lineRule="exact"/>
              <w:rPr>
                <w:sz w:val="20"/>
                <w:szCs w:val="20"/>
                <w:color w:val="auto"/>
              </w:rPr>
            </w:pPr>
            <w:r>
              <w:rPr>
                <w:rFonts w:ascii="Arial" w:cs="Arial" w:eastAsia="Arial" w:hAnsi="Arial"/>
                <w:sz w:val="18"/>
                <w:szCs w:val="18"/>
                <w:color w:val="auto"/>
              </w:rPr>
              <w:t>Net amounts presented on the balance sheet</w:t>
            </w: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99</w:t>
            </w: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(53)</w:t>
            </w: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ind w:left="180"/>
              <w:spacing w:after="0" w:line="175" w:lineRule="exact"/>
              <w:rPr>
                <w:sz w:val="20"/>
                <w:szCs w:val="20"/>
                <w:color w:val="auto"/>
              </w:rPr>
            </w:pPr>
            <w:r>
              <w:rPr>
                <w:rFonts w:ascii="Arial" w:cs="Arial" w:eastAsia="Arial" w:hAnsi="Arial"/>
                <w:sz w:val="18"/>
                <w:szCs w:val="18"/>
                <w:color w:val="auto"/>
              </w:rPr>
              <w:t>Gross amounts of derivatives not offset on the</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400"/>
              <w:spacing w:after="0" w:line="203" w:lineRule="exact"/>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180"/>
              <w:spacing w:after="0" w:line="189" w:lineRule="exact"/>
              <w:rPr>
                <w:sz w:val="20"/>
                <w:szCs w:val="20"/>
                <w:color w:val="auto"/>
              </w:rPr>
            </w:pPr>
            <w:r>
              <w:rPr>
                <w:rFonts w:ascii="Arial" w:cs="Arial" w:eastAsia="Arial" w:hAnsi="Arial"/>
                <w:sz w:val="18"/>
                <w:szCs w:val="18"/>
                <w:color w:val="auto"/>
              </w:rPr>
              <w:t>Cash collateral received</w:t>
            </w: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(235)</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Net amount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14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34"/>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1" w:name="page72"/>
    <w:bookmarkEnd w:id="71"/>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Equity and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Short-term</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8"/>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Investments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Investments</w:t>
            </w:r>
          </w:p>
        </w:tc>
        <w:tc>
          <w:tcPr>
            <w:tcW w:w="13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Long-term Assets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5"/>
        </w:trPr>
        <w:tc>
          <w:tcPr>
            <w:tcW w:w="40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Non-designated Hedge Derivatives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6"/>
                <w:szCs w:val="16"/>
                <w:color w:val="auto"/>
              </w:rPr>
            </w:pP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203</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(134)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Credit contracts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w:t>
            </w:r>
          </w:p>
        </w:tc>
        <w:tc>
          <w:tcPr>
            <w:tcW w:w="140" w:type="dxa"/>
            <w:vAlign w:val="bottom"/>
            <w:shd w:val="clear" w:color="auto" w:fill="E5E5E5"/>
          </w:tcPr>
          <w:p>
            <w:pPr>
              <w:spacing w:after="0"/>
              <w:rPr>
                <w:sz w:val="16"/>
                <w:szCs w:val="16"/>
                <w:color w:val="auto"/>
              </w:rPr>
            </w:pP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203</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(148)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Designated Hedge Derivatives</w:t>
            </w: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w:t>
            </w:r>
          </w:p>
        </w:tc>
        <w:tc>
          <w:tcPr>
            <w:tcW w:w="140" w:type="dxa"/>
            <w:vAlign w:val="bottom"/>
            <w:shd w:val="clear" w:color="auto" w:fill="E5E5E5"/>
          </w:tcPr>
          <w:p>
            <w:pPr>
              <w:spacing w:after="0"/>
              <w:rPr>
                <w:sz w:val="16"/>
                <w:szCs w:val="16"/>
                <w:color w:val="auto"/>
              </w:rPr>
            </w:pP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133</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w:t>
            </w:r>
          </w:p>
        </w:tc>
        <w:tc>
          <w:tcPr>
            <w:tcW w:w="140" w:type="dxa"/>
            <w:vAlign w:val="bottom"/>
            <w:shd w:val="clear" w:color="auto" w:fill="E5E5E5"/>
          </w:tcPr>
          <w:p>
            <w:pPr>
              <w:spacing w:after="0"/>
              <w:rPr>
                <w:sz w:val="16"/>
                <w:szCs w:val="16"/>
                <w:color w:val="auto"/>
              </w:rPr>
            </w:pP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133</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67</w:t>
            </w:r>
          </w:p>
        </w:tc>
        <w:tc>
          <w:tcPr>
            <w:tcW w:w="100" w:type="dxa"/>
            <w:vAlign w:val="bottom"/>
            <w:shd w:val="clear" w:color="auto" w:fill="E5E5E5"/>
          </w:tcPr>
          <w:p>
            <w:pPr>
              <w:spacing w:after="0"/>
              <w:rPr>
                <w:sz w:val="16"/>
                <w:szCs w:val="16"/>
                <w:color w:val="auto"/>
              </w:rPr>
            </w:pP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Total gross amounts of derivatives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0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Gross derivatives either offset or subject to an</w:t>
            </w: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enforceable master netting agreement</w:t>
            </w:r>
          </w:p>
        </w:tc>
        <w:tc>
          <w:tcPr>
            <w:tcW w:w="1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100</w:t>
            </w:r>
          </w:p>
        </w:tc>
        <w:tc>
          <w:tcPr>
            <w:tcW w:w="14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336</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67</w:t>
            </w:r>
          </w:p>
        </w:tc>
        <w:tc>
          <w:tcPr>
            <w:tcW w:w="100" w:type="dxa"/>
            <w:vAlign w:val="bottom"/>
            <w:shd w:val="clear" w:color="auto" w:fill="E5E5E5"/>
          </w:tcPr>
          <w:p>
            <w:pPr>
              <w:spacing w:after="0"/>
              <w:rPr>
                <w:sz w:val="17"/>
                <w:szCs w:val="17"/>
                <w:color w:val="auto"/>
              </w:rPr>
            </w:pPr>
          </w:p>
        </w:tc>
        <w:tc>
          <w:tcPr>
            <w:tcW w:w="46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(334)</w:t>
            </w:r>
          </w:p>
        </w:tc>
        <w:tc>
          <w:tcPr>
            <w:tcW w:w="240" w:type="dxa"/>
            <w:vAlign w:val="bottom"/>
            <w:shd w:val="clear" w:color="auto" w:fill="E5E5E5"/>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line="175" w:lineRule="exact"/>
              <w:rPr>
                <w:sz w:val="20"/>
                <w:szCs w:val="20"/>
                <w:color w:val="auto"/>
              </w:rPr>
            </w:pPr>
            <w:r>
              <w:rPr>
                <w:rFonts w:ascii="Arial" w:cs="Arial" w:eastAsia="Arial" w:hAnsi="Arial"/>
                <w:sz w:val="18"/>
                <w:szCs w:val="18"/>
                <w:color w:val="auto"/>
              </w:rPr>
              <w:t>Gross amounts of derivatives offset on the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180"/>
              <w:spacing w:after="0" w:line="189" w:lineRule="exact"/>
              <w:rPr>
                <w:sz w:val="20"/>
                <w:szCs w:val="20"/>
                <w:color w:val="auto"/>
              </w:rPr>
            </w:pPr>
            <w:r>
              <w:rPr>
                <w:rFonts w:ascii="Arial" w:cs="Arial" w:eastAsia="Arial" w:hAnsi="Arial"/>
                <w:sz w:val="18"/>
                <w:szCs w:val="18"/>
                <w:color w:val="auto"/>
              </w:rPr>
              <w:t>Net amounts presented on the balance sheet</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204</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(113)</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ind w:left="180"/>
              <w:spacing w:after="0" w:line="175" w:lineRule="exact"/>
              <w:rPr>
                <w:sz w:val="20"/>
                <w:szCs w:val="20"/>
                <w:color w:val="auto"/>
              </w:rPr>
            </w:pPr>
            <w:r>
              <w:rPr>
                <w:rFonts w:ascii="Arial" w:cs="Arial" w:eastAsia="Arial" w:hAnsi="Arial"/>
                <w:sz w:val="18"/>
                <w:szCs w:val="18"/>
                <w:color w:val="auto"/>
              </w:rPr>
              <w:t>Gross amounts of derivatives not offset on the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400"/>
              <w:spacing w:after="0" w:line="203" w:lineRule="exact"/>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180"/>
              <w:spacing w:after="0" w:line="189" w:lineRule="exact"/>
              <w:rPr>
                <w:sz w:val="20"/>
                <w:szCs w:val="20"/>
                <w:color w:val="auto"/>
              </w:rPr>
            </w:pPr>
            <w:r>
              <w:rPr>
                <w:rFonts w:ascii="Arial" w:cs="Arial" w:eastAsia="Arial" w:hAnsi="Arial"/>
                <w:sz w:val="18"/>
                <w:szCs w:val="18"/>
                <w:color w:val="auto"/>
              </w:rPr>
              <w:t>Cash collateral received</w:t>
            </w: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(228)</w:t>
            </w: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Net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 Investments and Note 6 – Fair Value Measurements for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 Gains (Losses)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in other income (expense), net the following gains (losses) on contracts designated as fair value hedges and their related hedged items: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Foreign Exchange Contracts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17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441</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Hedged items</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8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17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55</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Contracts</w:t>
            </w:r>
          </w:p>
        </w:tc>
        <w:tc>
          <w:tcPr>
            <w:tcW w:w="15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30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17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(324)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(74)</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Hedged items</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324</w:t>
            </w:r>
          </w:p>
        </w:tc>
        <w:tc>
          <w:tcPr>
            <w:tcW w:w="22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8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17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Amount of equity contracts excluded from effectiveness assessment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3"/>
        </w:trPr>
        <w:tc>
          <w:tcPr>
            <w:tcW w:w="7300" w:type="dxa"/>
            <w:vAlign w:val="bottom"/>
            <w:gridSpan w:val="2"/>
          </w:tcPr>
          <w:p>
            <w:pPr>
              <w:jc w:val="right"/>
              <w:ind w:right="1410"/>
              <w:spacing w:after="0"/>
              <w:rPr>
                <w:sz w:val="20"/>
                <w:szCs w:val="20"/>
                <w:color w:val="auto"/>
              </w:rPr>
            </w:pPr>
            <w:r>
              <w:rPr>
                <w:rFonts w:ascii="Arial" w:cs="Arial" w:eastAsia="Arial" w:hAnsi="Arial"/>
                <w:sz w:val="14"/>
                <w:szCs w:val="14"/>
                <w:color w:val="auto"/>
              </w:rPr>
              <w:t>72</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2" w:name="page73"/>
    <w:bookmarkEnd w:id="72"/>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 Gains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gains (losses) on foreign exchange contracts designated as cash flow hedges: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24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Effective Portion</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Gains recognized in other comprehensive income (net of tax of </w:t>
            </w:r>
            <w:r>
              <w:rPr>
                <w:rFonts w:ascii="Arial" w:cs="Arial" w:eastAsia="Arial" w:hAnsi="Arial"/>
                <w:sz w:val="18"/>
                <w:szCs w:val="18"/>
                <w:b w:val="1"/>
                <w:bCs w:val="1"/>
                <w:color w:val="auto"/>
              </w:rPr>
              <w:t>$11</w:t>
            </w:r>
            <w:r>
              <w:rPr>
                <w:rFonts w:ascii="Arial" w:cs="Arial" w:eastAsia="Arial" w:hAnsi="Arial"/>
                <w:sz w:val="18"/>
                <w:szCs w:val="18"/>
                <w:color w:val="auto"/>
              </w:rPr>
              <w:t>, $4, and $24)</w:t>
            </w:r>
          </w:p>
        </w:tc>
        <w:tc>
          <w:tcPr>
            <w:tcW w:w="12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5E5E5"/>
          </w:tcPr>
          <w:p>
            <w:pPr>
              <w:jc w:val="right"/>
              <w:ind w:right="56"/>
              <w:spacing w:after="0" w:line="189" w:lineRule="exact"/>
              <w:rPr>
                <w:sz w:val="20"/>
                <w:szCs w:val="20"/>
                <w:color w:val="auto"/>
              </w:rPr>
            </w:pPr>
            <w:r>
              <w:rPr>
                <w:rFonts w:ascii="Arial" w:cs="Arial" w:eastAsia="Arial" w:hAnsi="Arial"/>
                <w:sz w:val="18"/>
                <w:szCs w:val="18"/>
                <w:b w:val="1"/>
                <w:bCs w:val="1"/>
                <w:color w:val="auto"/>
              </w:rPr>
              <w:t>219</w:t>
            </w:r>
          </w:p>
        </w:tc>
        <w:tc>
          <w:tcPr>
            <w:tcW w:w="30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56"/>
              <w:spacing w:after="0" w:line="189" w:lineRule="exact"/>
              <w:rPr>
                <w:sz w:val="20"/>
                <w:szCs w:val="20"/>
                <w:color w:val="auto"/>
              </w:rPr>
            </w:pPr>
            <w:r>
              <w:rPr>
                <w:rFonts w:ascii="Arial" w:cs="Arial" w:eastAsia="Arial" w:hAnsi="Arial"/>
                <w:sz w:val="18"/>
                <w:szCs w:val="18"/>
                <w:color w:val="auto"/>
              </w:rPr>
              <w:t>328</w:t>
            </w:r>
          </w:p>
        </w:tc>
        <w:tc>
          <w:tcPr>
            <w:tcW w:w="28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Gains reclassified from accumulated other comprehensive income (loss) into revenue</w:t>
            </w:r>
          </w:p>
        </w:tc>
        <w:tc>
          <w:tcPr>
            <w:tcW w:w="124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b w:val="1"/>
                <w:bCs w:val="1"/>
                <w:color w:val="auto"/>
              </w:rPr>
              <w:t>185</w:t>
            </w:r>
          </w:p>
        </w:tc>
        <w:tc>
          <w:tcPr>
            <w:tcW w:w="30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79"/>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Amount Excluded from Effectiveness Assessment and Ineffective Portion</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Losses recognized in other income (expense), net</w:t>
            </w:r>
          </w:p>
        </w:tc>
        <w:tc>
          <w:tcPr>
            <w:tcW w:w="1240" w:type="dxa"/>
            <w:vAlign w:val="bottom"/>
            <w:shd w:val="clear" w:color="auto" w:fill="E5E5E5"/>
          </w:tcPr>
          <w:p>
            <w:pPr>
              <w:spacing w:after="0"/>
              <w:rPr>
                <w:sz w:val="16"/>
                <w:szCs w:val="16"/>
                <w:color w:val="auto"/>
              </w:rPr>
            </w:pPr>
          </w:p>
        </w:tc>
        <w:tc>
          <w:tcPr>
            <w:tcW w:w="6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(255)</w:t>
            </w: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(389)</w:t>
            </w:r>
          </w:p>
        </w:tc>
        <w:tc>
          <w:tcPr>
            <w:tcW w:w="28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estimate that $179 million of net derivative gains included in AOCI as of June 30, 2018 will be reclassified into earnings within the following 12 months. No significant amounts of gains (losses) were reclassified from AOCI into earnings as a result of forecasted transactions that failed to occur during fiscal year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Gains (Losses)</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Gains (losses) from changes in fair values of derivatives that are not designated as hedges are primarily recognized in other income (expense), net. These amounts are shown in the table below, with the exception of gains (losses) on derivatives presented in income statement line items other than other income (expense), net, which were immaterial for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5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(117)</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(87)</w:t>
            </w:r>
          </w:p>
        </w:tc>
        <w:tc>
          <w:tcPr>
            <w:tcW w:w="220" w:type="dxa"/>
            <w:vAlign w:val="bottom"/>
          </w:tcPr>
          <w:p>
            <w:pPr>
              <w:spacing w:after="0"/>
              <w:rPr>
                <w:sz w:val="16"/>
                <w:szCs w:val="16"/>
                <w:color w:val="auto"/>
              </w:rPr>
            </w:pPr>
          </w:p>
        </w:tc>
        <w:tc>
          <w:tcPr>
            <w:tcW w:w="6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4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8"/>
                <w:szCs w:val="18"/>
                <w:color w:val="auto"/>
              </w:rPr>
              <w:t>Credit contracts</w:t>
            </w:r>
          </w:p>
        </w:tc>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6"/>
                <w:szCs w:val="16"/>
                <w:color w:val="auto"/>
              </w:rPr>
            </w:pPr>
          </w:p>
        </w:tc>
        <w:tc>
          <w:tcPr>
            <w:tcW w:w="6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w:t>
            </w:r>
          </w:p>
        </w:tc>
        <w:tc>
          <w:tcPr>
            <w:tcW w:w="4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510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Total</w:t>
            </w:r>
          </w:p>
        </w:tc>
        <w:tc>
          <w:tcPr>
            <w:tcW w:w="5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4880" w:type="dxa"/>
            <w:vAlign w:val="bottom"/>
            <w:vMerge w:val="restart"/>
          </w:tcPr>
          <w:p>
            <w:pPr>
              <w:jc w:val="right"/>
              <w:ind w:right="2936"/>
              <w:spacing w:after="0"/>
              <w:rPr>
                <w:sz w:val="20"/>
                <w:szCs w:val="20"/>
                <w:color w:val="auto"/>
              </w:rPr>
            </w:pPr>
            <w:r>
              <w:rPr>
                <w:rFonts w:ascii="Arial" w:cs="Arial" w:eastAsia="Arial" w:hAnsi="Arial"/>
                <w:sz w:val="14"/>
                <w:szCs w:val="14"/>
                <w:color w:val="auto"/>
              </w:rPr>
              <w:t>73</w:t>
            </w: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3" w:name="page74"/>
    <w:bookmarkEnd w:id="73"/>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NOTE 6 — FAIR VALUE MEASUREMENTS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Measured at Fair Value on a Recurring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our financial instruments that are measured at fair value on a recurring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Gross Fair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Netting</w:t>
            </w:r>
            <w:r>
              <w:rPr>
                <w:rFonts w:ascii="Arial" w:cs="Arial" w:eastAsia="Arial" w:hAnsi="Arial"/>
                <w:sz w:val="22"/>
                <w:szCs w:val="22"/>
                <w:b w:val="1"/>
                <w:bCs w:val="1"/>
                <w:color w:val="auto"/>
                <w:vertAlign w:val="superscript"/>
              </w:rPr>
              <w:t>(a)</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Net Fair</w:t>
            </w:r>
          </w:p>
        </w:tc>
        <w:tc>
          <w:tcPr>
            <w:tcW w:w="0" w:type="dxa"/>
            <w:vAlign w:val="bottom"/>
          </w:tcPr>
          <w:p>
            <w:pPr>
              <w:spacing w:after="0"/>
              <w:rPr>
                <w:sz w:val="1"/>
                <w:szCs w:val="1"/>
                <w:color w:val="auto"/>
              </w:rPr>
            </w:pPr>
          </w:p>
        </w:tc>
      </w:tr>
      <w:tr>
        <w:trPr>
          <w:trHeight w:val="23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2018</w:t>
            </w:r>
          </w:p>
        </w:tc>
        <w:tc>
          <w:tcPr>
            <w:tcW w:w="4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Mutual funds</w:t>
            </w:r>
          </w:p>
        </w:tc>
        <w:tc>
          <w:tcPr>
            <w:tcW w:w="7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246</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246</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2,513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2,058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2,058</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2,058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107,015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1,742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108,757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108,757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5,054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5,076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5,076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3,855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3,855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3,855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6,894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6,909</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6,909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Municipal securities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305</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Derivatives</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107,571</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22,958</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130,564</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(152)</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130,412</w:t>
            </w:r>
          </w:p>
        </w:tc>
        <w:tc>
          <w:tcPr>
            <w:tcW w:w="0" w:type="dxa"/>
            <w:vAlign w:val="bottom"/>
          </w:tcPr>
          <w:p>
            <w:pPr>
              <w:spacing w:after="0"/>
              <w:rPr>
                <w:sz w:val="1"/>
                <w:szCs w:val="1"/>
                <w:color w:val="auto"/>
              </w:rPr>
            </w:pPr>
          </w:p>
        </w:tc>
      </w:tr>
      <w:tr>
        <w:trPr>
          <w:trHeight w:val="75"/>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5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 and other</w:t>
            </w:r>
          </w:p>
        </w:tc>
        <w:tc>
          <w:tcPr>
            <w:tcW w:w="7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206</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207</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(153)</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Gross Fair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Netting</w:t>
            </w:r>
            <w:r>
              <w:rPr>
                <w:rFonts w:ascii="Arial" w:cs="Arial" w:eastAsia="Arial" w:hAnsi="Arial"/>
                <w:sz w:val="22"/>
                <w:szCs w:val="22"/>
                <w:b w:val="1"/>
                <w:bCs w:val="1"/>
                <w:color w:val="auto"/>
                <w:vertAlign w:val="superscript"/>
              </w:rPr>
              <w:t>(a)</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Net Fair</w:t>
            </w:r>
          </w:p>
        </w:tc>
        <w:tc>
          <w:tcPr>
            <w:tcW w:w="0" w:type="dxa"/>
            <w:vAlign w:val="bottom"/>
          </w:tcPr>
          <w:p>
            <w:pPr>
              <w:spacing w:after="0"/>
              <w:rPr>
                <w:sz w:val="1"/>
                <w:szCs w:val="1"/>
                <w:color w:val="auto"/>
              </w:rPr>
            </w:pPr>
          </w:p>
        </w:tc>
      </w:tr>
      <w:tr>
        <w:trPr>
          <w:trHeight w:val="23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2017</w:t>
            </w:r>
          </w:p>
        </w:tc>
        <w:tc>
          <w:tcPr>
            <w:tcW w:w="4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420" w:type="dxa"/>
            <w:vAlign w:val="bottom"/>
            <w:gridSpan w:val="2"/>
          </w:tcPr>
          <w:p>
            <w:pPr>
              <w:spacing w:after="0"/>
              <w:rPr>
                <w:sz w:val="4"/>
                <w:szCs w:val="4"/>
                <w:color w:val="auto"/>
              </w:rPr>
            </w:pPr>
          </w:p>
        </w:tc>
        <w:tc>
          <w:tcPr>
            <w:tcW w:w="860" w:type="dxa"/>
            <w:vAlign w:val="bottom"/>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8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320" w:type="dxa"/>
            <w:vAlign w:val="bottom"/>
            <w:gridSpan w:val="2"/>
          </w:tcPr>
          <w:p>
            <w:pPr>
              <w:spacing w:after="0"/>
              <w:rPr>
                <w:sz w:val="4"/>
                <w:szCs w:val="4"/>
                <w:color w:val="auto"/>
              </w:rPr>
            </w:pPr>
          </w:p>
        </w:tc>
        <w:tc>
          <w:tcPr>
            <w:tcW w:w="800" w:type="dxa"/>
            <w:vAlign w:val="bottom"/>
            <w:gridSpan w:val="2"/>
          </w:tcPr>
          <w:p>
            <w:pPr>
              <w:spacing w:after="0"/>
              <w:rPr>
                <w:sz w:val="4"/>
                <w:szCs w:val="4"/>
                <w:color w:val="auto"/>
              </w:rPr>
            </w:pPr>
          </w:p>
        </w:tc>
        <w:tc>
          <w:tcPr>
            <w:tcW w:w="38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Mutual funds</w:t>
            </w:r>
          </w:p>
        </w:tc>
        <w:tc>
          <w:tcPr>
            <w:tcW w:w="7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1,478</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1,478</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1,358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1,358</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109,228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2,616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111,844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111,844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5,187</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5,187</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3,934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4,829</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4,830</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8"/>
                <w:szCs w:val="18"/>
                <w:color w:val="auto"/>
              </w:rPr>
              <w:t>Municipal securities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w:t>
            </w: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2,414</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1,994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4,426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Derivatives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420" w:type="dxa"/>
            <w:vAlign w:val="bottom"/>
            <w:gridSpan w:val="2"/>
          </w:tcPr>
          <w:p>
            <w:pPr>
              <w:spacing w:after="0"/>
              <w:rPr>
                <w:sz w:val="3"/>
                <w:szCs w:val="3"/>
                <w:color w:val="auto"/>
              </w:rPr>
            </w:pPr>
          </w:p>
        </w:tc>
        <w:tc>
          <w:tcPr>
            <w:tcW w:w="860" w:type="dxa"/>
            <w:vAlign w:val="bottom"/>
            <w:gridSpan w:val="2"/>
          </w:tcPr>
          <w:p>
            <w:pPr>
              <w:spacing w:after="0"/>
              <w:rPr>
                <w:sz w:val="3"/>
                <w:szCs w:val="3"/>
                <w:color w:val="auto"/>
              </w:rPr>
            </w:pPr>
          </w:p>
        </w:tc>
        <w:tc>
          <w:tcPr>
            <w:tcW w:w="340" w:type="dxa"/>
            <w:vAlign w:val="bottom"/>
            <w:gridSpan w:val="2"/>
          </w:tcPr>
          <w:p>
            <w:pPr>
              <w:spacing w:after="0"/>
              <w:rPr>
                <w:sz w:val="3"/>
                <w:szCs w:val="3"/>
                <w:color w:val="auto"/>
              </w:rPr>
            </w:pPr>
          </w:p>
        </w:tc>
        <w:tc>
          <w:tcPr>
            <w:tcW w:w="8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320" w:type="dxa"/>
            <w:vAlign w:val="bottom"/>
            <w:gridSpan w:val="2"/>
          </w:tcPr>
          <w:p>
            <w:pPr>
              <w:spacing w:after="0"/>
              <w:rPr>
                <w:sz w:val="3"/>
                <w:szCs w:val="3"/>
                <w:color w:val="auto"/>
              </w:rPr>
            </w:pPr>
          </w:p>
        </w:tc>
        <w:tc>
          <w:tcPr>
            <w:tcW w:w="800" w:type="dxa"/>
            <w:vAlign w:val="bottom"/>
            <w:gridSpan w:val="2"/>
          </w:tcPr>
          <w:p>
            <w:pPr>
              <w:spacing w:after="0"/>
              <w:rPr>
                <w:sz w:val="3"/>
                <w:szCs w:val="3"/>
                <w:color w:val="auto"/>
              </w:rPr>
            </w:pPr>
          </w:p>
        </w:tc>
        <w:tc>
          <w:tcPr>
            <w:tcW w:w="38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113,121</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21,072</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134,212</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(227)</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133,985</w:t>
            </w:r>
          </w:p>
        </w:tc>
        <w:tc>
          <w:tcPr>
            <w:tcW w:w="0" w:type="dxa"/>
            <w:vAlign w:val="bottom"/>
          </w:tcPr>
          <w:p>
            <w:pPr>
              <w:spacing w:after="0"/>
              <w:rPr>
                <w:sz w:val="1"/>
                <w:szCs w:val="1"/>
                <w:color w:val="auto"/>
              </w:rPr>
            </w:pPr>
          </w:p>
        </w:tc>
      </w:tr>
      <w:tr>
        <w:trPr>
          <w:trHeight w:val="75"/>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5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420" w:type="dxa"/>
            <w:vAlign w:val="bottom"/>
            <w:gridSpan w:val="2"/>
          </w:tcPr>
          <w:p>
            <w:pPr>
              <w:spacing w:after="0"/>
              <w:rPr>
                <w:sz w:val="4"/>
                <w:szCs w:val="4"/>
                <w:color w:val="auto"/>
              </w:rPr>
            </w:pPr>
          </w:p>
        </w:tc>
        <w:tc>
          <w:tcPr>
            <w:tcW w:w="860" w:type="dxa"/>
            <w:vAlign w:val="bottom"/>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8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320" w:type="dxa"/>
            <w:vAlign w:val="bottom"/>
            <w:gridSpan w:val="2"/>
          </w:tcPr>
          <w:p>
            <w:pPr>
              <w:spacing w:after="0"/>
              <w:rPr>
                <w:sz w:val="4"/>
                <w:szCs w:val="4"/>
                <w:color w:val="auto"/>
              </w:rPr>
            </w:pPr>
          </w:p>
        </w:tc>
        <w:tc>
          <w:tcPr>
            <w:tcW w:w="800" w:type="dxa"/>
            <w:vAlign w:val="bottom"/>
            <w:gridSpan w:val="2"/>
          </w:tcPr>
          <w:p>
            <w:pPr>
              <w:spacing w:after="0"/>
              <w:rPr>
                <w:sz w:val="4"/>
                <w:szCs w:val="4"/>
                <w:color w:val="auto"/>
              </w:rPr>
            </w:pPr>
          </w:p>
        </w:tc>
        <w:tc>
          <w:tcPr>
            <w:tcW w:w="38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 and other</w:t>
            </w:r>
          </w:p>
        </w:tc>
        <w:tc>
          <w:tcPr>
            <w:tcW w:w="7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345</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384</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(228)</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532"/>
        <w:spacing w:after="0" w:line="26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These amounts represent the impact of netting derivative assets and derivative liabilities when a legally enforceable master netting agreement exists and fair value adjustments related to our own credit risk and counterparty credit risk.</w:t>
      </w:r>
    </w:p>
    <w:p>
      <w:pPr>
        <w:spacing w:after="0" w:line="12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changes in our Level 3 financial instruments that are measured at fair value on a recurring basis were immaterial during the periods presented.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4" w:name="page75"/>
    <w:bookmarkEnd w:id="74"/>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reconciles the total “Net Fair Value” of assets above to the balance sheet presentation of these same assets in Note 4 –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fair value of assets measured at fair value on a recurring basis</w:t>
            </w:r>
          </w:p>
        </w:tc>
        <w:tc>
          <w:tcPr>
            <w:tcW w:w="16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130,412</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133,985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line="189" w:lineRule="exact"/>
              <w:rPr>
                <w:sz w:val="20"/>
                <w:szCs w:val="20"/>
                <w:color w:val="auto"/>
              </w:rPr>
            </w:pPr>
            <w:r>
              <w:rPr>
                <w:rFonts w:ascii="Arial" w:cs="Arial" w:eastAsia="Arial" w:hAnsi="Arial"/>
                <w:sz w:val="18"/>
                <w:szCs w:val="18"/>
                <w:color w:val="auto"/>
              </w:rPr>
              <w:t>Cash</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3,942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and preferred stock measured at fair value on a nonrecurring basis</w:t>
            </w:r>
          </w:p>
        </w:tc>
        <w:tc>
          <w:tcPr>
            <w:tcW w:w="13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999</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line="189" w:lineRule="exact"/>
              <w:rPr>
                <w:sz w:val="20"/>
                <w:szCs w:val="20"/>
                <w:color w:val="auto"/>
              </w:rPr>
            </w:pPr>
            <w:r>
              <w:rPr>
                <w:rFonts w:ascii="Arial" w:cs="Arial" w:eastAsia="Arial" w:hAnsi="Arial"/>
                <w:sz w:val="18"/>
                <w:szCs w:val="18"/>
                <w:color w:val="auto"/>
              </w:rPr>
              <w:t>Other investments measured at fair value on a nonrecurring basis</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557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Less derivative net assets classified as other current and long-term assets</w:t>
            </w:r>
          </w:p>
        </w:tc>
        <w:tc>
          <w:tcPr>
            <w:tcW w:w="13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4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Recorded basis of investment components</w:t>
            </w:r>
          </w:p>
        </w:tc>
        <w:tc>
          <w:tcPr>
            <w:tcW w:w="16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135,630</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139,004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Measured at Fair Value on a Nonrecurring Basis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fiscal year 2018 and 2017, we did not record any material other-than-temporary impairments on financial assets required to be measured at fair value on a nonrecurring basis.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4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126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655</w:t>
            </w:r>
          </w:p>
        </w:tc>
        <w:tc>
          <w:tcPr>
            <w:tcW w:w="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797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tcPr>
          <w:p>
            <w:pPr>
              <w:spacing w:after="0" w:line="189" w:lineRule="exact"/>
              <w:rPr>
                <w:sz w:val="20"/>
                <w:szCs w:val="20"/>
                <w:color w:val="auto"/>
              </w:rPr>
            </w:pPr>
            <w:r>
              <w:rPr>
                <w:rFonts w:ascii="Arial" w:cs="Arial" w:eastAsia="Arial" w:hAnsi="Arial"/>
                <w:sz w:val="18"/>
                <w:szCs w:val="18"/>
                <w:color w:val="auto"/>
              </w:rPr>
              <w:t>Work in process</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jc w:val="right"/>
              <w:ind w:right="140"/>
              <w:spacing w:after="0" w:line="189" w:lineRule="exact"/>
              <w:rPr>
                <w:sz w:val="20"/>
                <w:szCs w:val="20"/>
                <w:color w:val="auto"/>
              </w:rPr>
            </w:pPr>
            <w:r>
              <w:rPr>
                <w:rFonts w:ascii="Arial" w:cs="Arial" w:eastAsia="Arial" w:hAnsi="Arial"/>
                <w:sz w:val="18"/>
                <w:szCs w:val="18"/>
                <w:b w:val="1"/>
                <w:bCs w:val="1"/>
                <w:color w:val="auto"/>
              </w:rPr>
              <w:t>54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6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gridSpan w:val="4"/>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1,953</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2,662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vMerge w:val="restart"/>
          </w:tcPr>
          <w:p>
            <w:pPr>
              <w:spacing w:after="0"/>
              <w:rPr>
                <w:sz w:val="5"/>
                <w:szCs w:val="5"/>
                <w:color w:val="auto"/>
              </w:rPr>
            </w:pPr>
          </w:p>
        </w:tc>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NOTE 8 — PROPERTY AND EQUIPMENT</w:t>
            </w: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41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140" w:type="dxa"/>
            <w:vAlign w:val="bottom"/>
            <w:gridSpan w:val="4"/>
          </w:tcPr>
          <w:p>
            <w:pPr>
              <w:spacing w:after="0"/>
              <w:rPr>
                <w:sz w:val="20"/>
                <w:szCs w:val="20"/>
                <w:color w:val="auto"/>
              </w:rPr>
            </w:pPr>
            <w:r>
              <w:rPr>
                <w:rFonts w:ascii="Arial" w:cs="Arial" w:eastAsia="Arial" w:hAnsi="Arial"/>
                <w:sz w:val="18"/>
                <w:szCs w:val="18"/>
                <w:color w:val="auto"/>
              </w:rPr>
              <w:t>The components of property and equipment were as follows: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980" w:type="dxa"/>
            <w:vAlign w:val="bottom"/>
            <w:tcBorders>
              <w:bottom w:val="single" w:sz="8" w:color="auto"/>
            </w:tcBorders>
            <w:gridSpan w:val="2"/>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14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Land</w:t>
            </w:r>
          </w:p>
        </w:tc>
        <w:tc>
          <w:tcPr>
            <w:tcW w:w="11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1,254</w:t>
            </w:r>
          </w:p>
        </w:tc>
        <w:tc>
          <w:tcPr>
            <w:tcW w:w="1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1,107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tcPr>
          <w:p>
            <w:pPr>
              <w:spacing w:after="0" w:line="189" w:lineRule="exact"/>
              <w:rPr>
                <w:sz w:val="20"/>
                <w:szCs w:val="20"/>
                <w:color w:val="auto"/>
              </w:rPr>
            </w:pPr>
            <w:r>
              <w:rPr>
                <w:rFonts w:ascii="Arial" w:cs="Arial" w:eastAsia="Arial" w:hAnsi="Arial"/>
                <w:sz w:val="18"/>
                <w:szCs w:val="18"/>
                <w:color w:val="auto"/>
              </w:rPr>
              <w:t>Buildings and improvements</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w w:val="98"/>
              </w:rPr>
              <w:t>20,604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16,284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4,735</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5,064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w w:val="98"/>
              </w:rPr>
              <w:t>27,633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21,414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Furniture and equipment</w:t>
            </w:r>
          </w:p>
        </w:tc>
        <w:tc>
          <w:tcPr>
            <w:tcW w:w="6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4,457</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4,044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Total, at cost</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58,683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Accumulated depreciation</w:t>
            </w:r>
          </w:p>
        </w:tc>
        <w:tc>
          <w:tcPr>
            <w:tcW w:w="2040" w:type="dxa"/>
            <w:vAlign w:val="bottom"/>
            <w:gridSpan w:val="5"/>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(29,223)</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(24,179)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Total, net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29,460</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23,734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3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fiscal years 2018, 2017, and 2016, depreciation expense was $7.7 billion, $6.1 billion, and $4.9 billion, respectively. We have committed $1.9 billion for the construction of new buildings, building improvements, and leasehold improvements as of June 30,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5" w:name="page76"/>
    <w:bookmarkEnd w:id="75"/>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9 — BUSINESS COMBINATIONS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LinkedIn Corporation</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On December 8, 2016, we completed our acquisition of all issued and outstanding shares of LinkedIn Corporation, the world’s largest professional network on the Internet, for a total purchase price of $27.0 billion. The purchase price consisted primarily of cash of $ 26.9 billion. The acquisition is expected to accelerate the growth of LinkedIn, Office 365, and Dynamics 365. The financial results of LinkedIn have been included in our consolidated financial statements since the date of the acquisition.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goodwill was completed as of June 30,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to which we allocated the purchase price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4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1,328</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Short-term investments</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2,110</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current assets</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697</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Property and equipment</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1,529</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7,887</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(a)</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16,803</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15"/>
                <w:szCs w:val="15"/>
                <w:color w:val="auto"/>
              </w:rPr>
              <w:t>(b)</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(1,323)</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(1,117)</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(774)</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40"/>
        </w:trPr>
        <w:tc>
          <w:tcPr>
            <w:tcW w:w="628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61"/>
        </w:trPr>
        <w:tc>
          <w:tcPr>
            <w:tcW w:w="62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62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purchase price</w:t>
            </w:r>
          </w:p>
        </w:tc>
        <w:tc>
          <w:tcPr>
            <w:tcW w:w="4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27,009</w:t>
            </w:r>
          </w:p>
        </w:tc>
      </w:tr>
      <w:tr>
        <w:trPr>
          <w:trHeight w:val="75"/>
        </w:trPr>
        <w:tc>
          <w:tcPr>
            <w:tcW w:w="628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2" w:lineRule="exact"/>
        <w:rPr>
          <w:sz w:val="20"/>
          <w:szCs w:val="20"/>
          <w:color w:val="auto"/>
        </w:rPr>
      </w:pPr>
    </w:p>
    <w:p>
      <w:pPr>
        <w:jc w:val="both"/>
        <w:ind w:left="540" w:right="20" w:hanging="532"/>
        <w:spacing w:after="0" w:line="241"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Goodwill was assigned to our Productivity and Business Processes segment. The goodwill was primarily attributed to increased synergies that are expected to be achieved from the integration of LinkedIn. None of the goodwill is expected to be deductible for income tax purposes.</w:t>
      </w:r>
    </w:p>
    <w:p>
      <w:pPr>
        <w:spacing w:after="0" w:line="2" w:lineRule="exact"/>
        <w:rPr>
          <w:rFonts w:ascii="Arial" w:cs="Arial" w:eastAsia="Arial" w:hAnsi="Arial"/>
          <w:sz w:val="18"/>
          <w:szCs w:val="18"/>
          <w:color w:val="auto"/>
        </w:rPr>
      </w:pPr>
    </w:p>
    <w:p>
      <w:pPr>
        <w:jc w:val="both"/>
        <w:ind w:left="540" w:right="2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Convertible senior notes issued by LinkedIn on November 12, 2014, substantially all of which were redeemed after our acquisition of LinkedIn. The remaining $18 million of notes are not redeemable and are included in long-term debt in our consolidated balance sheets. Refer to Note 12 – Debt for further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8"/>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Average Life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Customer-related</w:t>
            </w:r>
          </w:p>
        </w:tc>
        <w:tc>
          <w:tcPr>
            <w:tcW w:w="3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3,607</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Arial" w:cs="Arial" w:eastAsia="Arial" w:hAnsi="Arial"/>
                <w:sz w:val="18"/>
                <w:szCs w:val="18"/>
                <w:color w:val="auto"/>
              </w:rPr>
              <w:t>Marketing-related (trade names)</w:t>
            </w:r>
          </w:p>
        </w:tc>
        <w:tc>
          <w:tcPr>
            <w:tcW w:w="2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2,148</w:t>
            </w: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2,109</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Contract-based</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Fair value of intangible assets acquired</w:t>
            </w:r>
          </w:p>
        </w:tc>
        <w:tc>
          <w:tcPr>
            <w:tcW w:w="3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7,887</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1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income statements include the following revenue and operating loss attributable to LinkedIn since the date of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72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460" w:type="dxa"/>
            <w:vAlign w:val="bottom"/>
          </w:tcPr>
          <w:p>
            <w:pPr>
              <w:spacing w:after="0"/>
              <w:rPr>
                <w:sz w:val="4"/>
                <w:szCs w:val="4"/>
                <w:color w:val="auto"/>
              </w:rPr>
            </w:pPr>
          </w:p>
        </w:tc>
        <w:tc>
          <w:tcPr>
            <w:tcW w:w="7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7200" w:type="dxa"/>
            <w:vAlign w:val="bottom"/>
            <w:shd w:val="clear" w:color="auto" w:fill="E5E5E5"/>
          </w:tcPr>
          <w:p>
            <w:pPr>
              <w:jc w:val="right"/>
              <w:ind w:right="99"/>
              <w:spacing w:after="0" w:line="189"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Operating loss</w:t>
            </w:r>
          </w:p>
        </w:tc>
        <w:tc>
          <w:tcPr>
            <w:tcW w:w="7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7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00" w:type="dxa"/>
            <w:vAlign w:val="bottom"/>
          </w:tcPr>
          <w:p>
            <w:pPr>
              <w:jc w:val="right"/>
              <w:ind w:right="4799"/>
              <w:spacing w:after="0"/>
              <w:rPr>
                <w:sz w:val="20"/>
                <w:szCs w:val="20"/>
                <w:color w:val="auto"/>
              </w:rPr>
            </w:pPr>
            <w:r>
              <w:rPr>
                <w:rFonts w:ascii="Arial" w:cs="Arial" w:eastAsia="Arial" w:hAnsi="Arial"/>
                <w:sz w:val="14"/>
                <w:szCs w:val="14"/>
                <w:color w:val="auto"/>
              </w:rPr>
              <w:t>76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72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6" w:name="page77"/>
    <w:bookmarkEnd w:id="76"/>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Following are the supplemental consolidated financial results of Microsoft Corporation on an unaudited pro forma basis, as if the acquisition had been consummated on July 1, 2015:</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74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5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374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98,291</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3740" w:type="dxa"/>
            <w:vAlign w:val="bottom"/>
          </w:tcPr>
          <w:p>
            <w:pPr>
              <w:spacing w:after="0"/>
              <w:rPr>
                <w:sz w:val="16"/>
                <w:szCs w:val="16"/>
                <w:color w:val="auto"/>
              </w:rPr>
            </w:pPr>
          </w:p>
        </w:tc>
        <w:tc>
          <w:tcPr>
            <w:tcW w:w="860" w:type="dxa"/>
            <w:vAlign w:val="bottom"/>
          </w:tcPr>
          <w:p>
            <w:pPr>
              <w:jc w:val="right"/>
              <w:ind w:right="36"/>
              <w:spacing w:after="0" w:line="189" w:lineRule="exact"/>
              <w:rPr>
                <w:sz w:val="20"/>
                <w:szCs w:val="20"/>
                <w:color w:val="auto"/>
              </w:rPr>
            </w:pPr>
            <w:r>
              <w:rPr>
                <w:rFonts w:ascii="Arial" w:cs="Arial" w:eastAsia="Arial" w:hAnsi="Arial"/>
                <w:sz w:val="18"/>
                <w:szCs w:val="18"/>
                <w:color w:val="auto"/>
              </w:rPr>
              <w:t>25,179</w:t>
            </w:r>
          </w:p>
        </w:tc>
        <w:tc>
          <w:tcPr>
            <w:tcW w:w="3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37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3.21</w:t>
            </w:r>
          </w:p>
        </w:tc>
        <w:tc>
          <w:tcPr>
            <w:tcW w:w="3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GitHub Inc.</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June 4, 2018, we entered into a definitive agreement to acquire GitHub Inc. (“GitHub”) for $7.5 billion in an all-stock transaction. We expect the acquisition will close by the end of the calendar year, subject to approval by GitHub’s shareholders, satisfaction of certain regulatory approvals, and other customary closing conditions. GitHub will be included in our consolidated results of operations as of the date of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fiscal year 2018, we completed nine acquisitions for total consideration of $948 million, substantially all of which was paid in cash. These entities have been included in our consolidated results of operations since their respective acquisition dates. Pro forma results of operations for these acquisitions have not been presented because the effects of these business combinations, individually and in aggregate, were not material to our consolidated results of operations.</w:t>
      </w:r>
    </w:p>
    <w:p>
      <w:pPr>
        <w:spacing w:after="0" w:line="215" w:lineRule="exact"/>
        <w:rPr>
          <w:sz w:val="20"/>
          <w:szCs w:val="20"/>
          <w:color w:val="auto"/>
        </w:rPr>
      </w:pPr>
    </w:p>
    <w:p>
      <w:pPr>
        <w:ind w:left="4720"/>
        <w:spacing w:after="0"/>
        <w:rPr>
          <w:sz w:val="20"/>
          <w:szCs w:val="20"/>
          <w:color w:val="auto"/>
        </w:rPr>
      </w:pPr>
      <w:r>
        <w:rPr>
          <w:rFonts w:ascii="Arial" w:cs="Arial" w:eastAsia="Arial" w:hAnsi="Arial"/>
          <w:sz w:val="18"/>
          <w:szCs w:val="18"/>
          <w:u w:val="single" w:color="auto"/>
          <w:color w:val="auto"/>
        </w:rPr>
        <w:t>NOTE 10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Acquisitions</w:t>
            </w:r>
          </w:p>
        </w:tc>
        <w:tc>
          <w:tcPr>
            <w:tcW w:w="3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Acquisitions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4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Productivity and Business</w:t>
            </w:r>
          </w:p>
        </w:tc>
        <w:tc>
          <w:tcPr>
            <w:tcW w:w="6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60" w:type="dxa"/>
            <w:vAlign w:val="bottom"/>
            <w:gridSpan w:val="2"/>
            <w:vMerge w:val="restart"/>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72</w:t>
            </w:r>
          </w:p>
        </w:tc>
        <w:tc>
          <w:tcPr>
            <w:tcW w:w="480" w:type="dxa"/>
            <w:vAlign w:val="bottom"/>
            <w:gridSpan w:val="2"/>
            <w:vMerge w:val="restart"/>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12</w:t>
            </w:r>
          </w:p>
        </w:tc>
        <w:tc>
          <w:tcPr>
            <w:tcW w:w="36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23,823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Processes</w:t>
            </w:r>
          </w:p>
        </w:tc>
        <w:tc>
          <w:tcPr>
            <w:tcW w:w="640" w:type="dxa"/>
            <w:vAlign w:val="bottom"/>
            <w:shd w:val="clear" w:color="auto" w:fill="E5E5E5"/>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40"/>
              <w:spacing w:after="0" w:line="203" w:lineRule="exact"/>
              <w:rPr>
                <w:sz w:val="20"/>
                <w:szCs w:val="20"/>
                <w:color w:val="auto"/>
              </w:rPr>
            </w:pPr>
            <w:r>
              <w:rPr>
                <w:rFonts w:ascii="Arial" w:cs="Arial" w:eastAsia="Arial" w:hAnsi="Arial"/>
                <w:sz w:val="18"/>
                <w:szCs w:val="18"/>
                <w:color w:val="auto"/>
              </w:rPr>
              <w:t>6,678</w:t>
            </w:r>
          </w:p>
        </w:tc>
        <w:tc>
          <w:tcPr>
            <w:tcW w:w="1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17,072</w:t>
            </w:r>
            <w:r>
              <w:rPr>
                <w:rFonts w:ascii="Arial" w:cs="Arial" w:eastAsia="Arial" w:hAnsi="Arial"/>
                <w:sz w:val="15"/>
                <w:szCs w:val="15"/>
                <w:color w:val="auto"/>
              </w:rPr>
              <w:t>(a)</w:t>
            </w:r>
          </w:p>
        </w:tc>
        <w:tc>
          <w:tcPr>
            <w:tcW w:w="380" w:type="dxa"/>
            <w:vAlign w:val="bottom"/>
            <w:shd w:val="clear" w:color="auto" w:fill="E5E5E5"/>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40"/>
              <w:spacing w:after="0" w:line="203" w:lineRule="exact"/>
              <w:rPr>
                <w:sz w:val="20"/>
                <w:szCs w:val="20"/>
                <w:color w:val="auto"/>
              </w:rPr>
            </w:pPr>
            <w:r>
              <w:rPr>
                <w:rFonts w:ascii="Arial" w:cs="Arial" w:eastAsia="Arial" w:hAnsi="Arial"/>
                <w:sz w:val="18"/>
                <w:szCs w:val="18"/>
                <w:color w:val="auto"/>
              </w:rPr>
              <w:t>(11)</w:t>
            </w:r>
          </w:p>
        </w:tc>
        <w:tc>
          <w:tcPr>
            <w:tcW w:w="280" w:type="dxa"/>
            <w:vAlign w:val="bottom"/>
            <w:shd w:val="clear" w:color="auto" w:fill="E5E5E5"/>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23,739</w:t>
            </w:r>
          </w:p>
        </w:tc>
        <w:tc>
          <w:tcPr>
            <w:tcW w:w="260" w:type="dxa"/>
            <w:vAlign w:val="bottom"/>
            <w:gridSpan w:val="2"/>
            <w:vMerge w:val="continue"/>
            <w:shd w:val="clear" w:color="auto" w:fill="E5E5E5"/>
          </w:tcPr>
          <w:p>
            <w:pPr>
              <w:spacing w:after="0"/>
              <w:rPr>
                <w:sz w:val="17"/>
                <w:szCs w:val="17"/>
                <w:color w:val="auto"/>
              </w:rPr>
            </w:pPr>
          </w:p>
        </w:tc>
        <w:tc>
          <w:tcPr>
            <w:tcW w:w="980" w:type="dxa"/>
            <w:vAlign w:val="bottom"/>
            <w:gridSpan w:val="2"/>
            <w:vMerge w:val="continue"/>
            <w:shd w:val="clear" w:color="auto" w:fill="E5E5E5"/>
          </w:tcPr>
          <w:p>
            <w:pPr>
              <w:spacing w:after="0"/>
              <w:rPr>
                <w:sz w:val="17"/>
                <w:szCs w:val="17"/>
                <w:color w:val="auto"/>
              </w:rPr>
            </w:pPr>
          </w:p>
        </w:tc>
        <w:tc>
          <w:tcPr>
            <w:tcW w:w="480" w:type="dxa"/>
            <w:vAlign w:val="bottom"/>
            <w:gridSpan w:val="2"/>
            <w:vMerge w:val="continue"/>
            <w:shd w:val="clear" w:color="auto" w:fill="E5E5E5"/>
          </w:tcPr>
          <w:p>
            <w:pPr>
              <w:spacing w:after="0"/>
              <w:rPr>
                <w:sz w:val="17"/>
                <w:szCs w:val="17"/>
                <w:color w:val="auto"/>
              </w:rPr>
            </w:pPr>
          </w:p>
        </w:tc>
        <w:tc>
          <w:tcPr>
            <w:tcW w:w="780" w:type="dxa"/>
            <w:vAlign w:val="bottom"/>
            <w:gridSpan w:val="2"/>
            <w:vMerge w:val="continue"/>
            <w:shd w:val="clear" w:color="auto" w:fill="E5E5E5"/>
          </w:tcPr>
          <w:p>
            <w:pPr>
              <w:spacing w:after="0"/>
              <w:rPr>
                <w:sz w:val="17"/>
                <w:szCs w:val="17"/>
                <w:color w:val="auto"/>
              </w:rPr>
            </w:pPr>
          </w:p>
        </w:tc>
        <w:tc>
          <w:tcPr>
            <w:tcW w:w="360" w:type="dxa"/>
            <w:vAlign w:val="bottom"/>
            <w:gridSpan w:val="2"/>
            <w:vMerge w:val="continue"/>
            <w:shd w:val="clear" w:color="auto" w:fill="E5E5E5"/>
          </w:tcPr>
          <w:p>
            <w:pPr>
              <w:spacing w:after="0"/>
              <w:rPr>
                <w:sz w:val="17"/>
                <w:szCs w:val="17"/>
                <w:color w:val="auto"/>
              </w:rPr>
            </w:pPr>
          </w:p>
        </w:tc>
        <w:tc>
          <w:tcPr>
            <w:tcW w:w="780" w:type="dxa"/>
            <w:vAlign w:val="bottom"/>
            <w:gridSpan w:val="2"/>
            <w:vMerge w:val="continue"/>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64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5,467</w:t>
            </w:r>
          </w:p>
        </w:tc>
        <w:tc>
          <w:tcPr>
            <w:tcW w:w="180" w:type="dxa"/>
            <w:vAlign w:val="bottom"/>
          </w:tcPr>
          <w:p>
            <w:pPr>
              <w:spacing w:after="0"/>
              <w:rPr>
                <w:sz w:val="16"/>
                <w:szCs w:val="16"/>
                <w:color w:val="auto"/>
              </w:rPr>
            </w:pPr>
          </w:p>
        </w:tc>
        <w:tc>
          <w:tcPr>
            <w:tcW w:w="122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49</w:t>
            </w:r>
          </w:p>
        </w:tc>
        <w:tc>
          <w:tcPr>
            <w:tcW w:w="380" w:type="dxa"/>
            <w:vAlign w:val="bottom"/>
          </w:tcPr>
          <w:p>
            <w:pPr>
              <w:spacing w:after="0"/>
              <w:rPr>
                <w:sz w:val="16"/>
                <w:szCs w:val="16"/>
                <w:color w:val="auto"/>
              </w:rPr>
            </w:pP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39</w:t>
            </w: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5,555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5,703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6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5,727</w:t>
            </w: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115</w:t>
            </w:r>
          </w:p>
        </w:tc>
        <w:tc>
          <w:tcPr>
            <w:tcW w:w="3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w:t>
            </w: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5,828</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394</w:t>
            </w:r>
          </w:p>
        </w:tc>
        <w:tc>
          <w:tcPr>
            <w:tcW w:w="1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6,157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17,872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17,236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35,122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35,683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34290</wp:posOffset>
            </wp:positionV>
            <wp:extent cx="546290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62905"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Includes goodwill related to LinkedIn and other acquisitions. Refer to Note 9 – Business Combinations for further information.</w:t>
      </w:r>
    </w:p>
    <w:p>
      <w:pPr>
        <w:spacing w:after="0" w:line="17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above table. Also included in “Other” are business dispositions and transfers between segments due to reorganizations, as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and 2017, accumulated goodwill impairment was $11.3 billion.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7" w:name="page78"/>
    <w:bookmarkEnd w:id="77"/>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 instances of impairment were identified in our May 1, 2018, May 1, 2017, or May 1, 2016 tests.</w:t>
      </w:r>
    </w:p>
    <w:p>
      <w:pPr>
        <w:spacing w:after="0" w:line="239"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NOTE 11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78"/>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5"/>
        </w:trPr>
        <w:tc>
          <w:tcPr>
            <w:tcW w:w="33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7,220</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(5,018)</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2,202</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7,765</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(4,318)</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340" w:type="dxa"/>
            <w:vAlign w:val="bottom"/>
          </w:tcPr>
          <w:p>
            <w:pPr>
              <w:spacing w:after="0"/>
              <w:rPr>
                <w:sz w:val="16"/>
                <w:szCs w:val="16"/>
                <w:color w:val="auto"/>
              </w:rPr>
            </w:pP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4,031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(1,205)</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2,826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4,045</w:t>
            </w:r>
          </w:p>
        </w:tc>
        <w:tc>
          <w:tcPr>
            <w:tcW w:w="20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4,006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(1,071)</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2,935</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4,016</w:t>
            </w:r>
          </w:p>
        </w:tc>
        <w:tc>
          <w:tcPr>
            <w:tcW w:w="2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(829)</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Contract-based</w:t>
            </w:r>
          </w:p>
        </w:tc>
        <w:tc>
          <w:tcPr>
            <w:tcW w:w="3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(589)</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15,936</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(7,883)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8,053</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16,667</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(6,561)</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material impairments of intangible assets were identified during fiscal year 2018 or 2017.</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fiscal year 2016, we recorded impairment charges of $480 million related to intangible assets in the Devices reporting unit within our More Personal Computing segment. In the fourth quarter of fiscal year 2016, we tested these intangible assets for recoverability due to changes in facts and circumstances associated with the shift in strategic direction and reduced profitability expectations for our Phone business. Based on the results of our testing, we determined that the carrying value of the intangible assets was not recoverable, and an impairment charge was recorded to the extent that estimated fair value exceeded carrying value. We primarily used the income approach to determine the fair value of the intangible assets and determine the amount of impairment.</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intangible assets impairment charges were included in impairment and restructuring expenses in our consolidated income statement and reflected in Corporate and Other in our table of operating income (loss) by segment in Note 21 – Segment Information and Geographic Data.</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we have no significant residual value related to our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acquired during the periods presented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8"/>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ind w:left="240"/>
              <w:spacing w:after="0"/>
              <w:rPr>
                <w:sz w:val="20"/>
                <w:szCs w:val="20"/>
                <w:color w:val="auto"/>
              </w:rPr>
            </w:pPr>
            <w:r>
              <w:rPr>
                <w:rFonts w:ascii="Arial" w:cs="Arial" w:eastAsia="Arial" w:hAnsi="Arial"/>
                <w:sz w:val="14"/>
                <w:szCs w:val="14"/>
                <w:b w:val="1"/>
                <w:bCs w:val="1"/>
                <w:color w:val="auto"/>
              </w:rPr>
              <w:t>Average Life</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Average Life</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gridSpan w:val="2"/>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8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178</w:t>
            </w:r>
          </w:p>
        </w:tc>
        <w:tc>
          <w:tcPr>
            <w:tcW w:w="116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b w:val="1"/>
                <w:bCs w:val="1"/>
                <w:color w:val="auto"/>
              </w:rPr>
              <w:t>4 years</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2,265</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Marketing-related</w:t>
            </w: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14</w:t>
            </w:r>
          </w:p>
        </w:tc>
        <w:tc>
          <w:tcPr>
            <w:tcW w:w="1160" w:type="dxa"/>
            <w:vAlign w:val="bottom"/>
          </w:tcPr>
          <w:p>
            <w:pPr>
              <w:ind w:left="440"/>
              <w:spacing w:after="0" w:line="189" w:lineRule="exact"/>
              <w:rPr>
                <w:sz w:val="20"/>
                <w:szCs w:val="20"/>
                <w:color w:val="auto"/>
              </w:rPr>
            </w:pPr>
            <w:r>
              <w:rPr>
                <w:rFonts w:ascii="Arial" w:cs="Arial" w:eastAsia="Arial" w:hAnsi="Arial"/>
                <w:sz w:val="18"/>
                <w:szCs w:val="18"/>
                <w:b w:val="1"/>
                <w:bCs w:val="1"/>
                <w:color w:val="auto"/>
              </w:rPr>
              <w:t>5 years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2,148</w:t>
            </w: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Contract-based</w:t>
            </w:r>
          </w:p>
        </w:tc>
        <w:tc>
          <w:tcPr>
            <w:tcW w:w="25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14</w:t>
            </w:r>
          </w:p>
        </w:tc>
        <w:tc>
          <w:tcPr>
            <w:tcW w:w="116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b w:val="1"/>
                <w:bCs w:val="1"/>
                <w:color w:val="auto"/>
              </w:rPr>
              <w:t>4 years</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63</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Customer-related</w:t>
            </w:r>
          </w:p>
        </w:tc>
        <w:tc>
          <w:tcPr>
            <w:tcW w:w="2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5 years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3,607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tcBorders>
              <w:top w:val="single" w:sz="8" w:color="auto"/>
            </w:tcBorders>
          </w:tcPr>
          <w:p>
            <w:pPr>
              <w:spacing w:after="0"/>
              <w:rPr>
                <w:sz w:val="5"/>
                <w:szCs w:val="5"/>
                <w:color w:val="auto"/>
              </w:rPr>
            </w:pPr>
          </w:p>
        </w:tc>
        <w:tc>
          <w:tcPr>
            <w:tcW w:w="25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219</w:t>
            </w:r>
          </w:p>
        </w:tc>
        <w:tc>
          <w:tcPr>
            <w:tcW w:w="116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b w:val="1"/>
                <w:bCs w:val="1"/>
                <w:color w:val="auto"/>
              </w:rPr>
              <w:t>5 years</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8,083</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980" w:type="dxa"/>
            <w:vAlign w:val="bottom"/>
          </w:tcPr>
          <w:p>
            <w:pPr>
              <w:spacing w:after="0"/>
              <w:rPr>
                <w:sz w:val="6"/>
                <w:szCs w:val="6"/>
                <w:color w:val="auto"/>
              </w:rPr>
            </w:pPr>
          </w:p>
        </w:tc>
        <w:tc>
          <w:tcPr>
            <w:tcW w:w="25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expense was $2.2 billion, $1.7 billion, and $978 million for fiscal years 2018, 2017, and 2016, respectively.</w:t>
      </w:r>
    </w:p>
    <w:p>
      <w:pPr>
        <w:spacing w:after="0"/>
        <w:rPr>
          <w:sz w:val="20"/>
          <w:szCs w:val="20"/>
          <w:color w:val="auto"/>
        </w:rPr>
      </w:pPr>
      <w:r>
        <w:rPr>
          <w:rFonts w:ascii="Arial" w:cs="Arial" w:eastAsia="Arial" w:hAnsi="Arial"/>
          <w:sz w:val="18"/>
          <w:szCs w:val="18"/>
          <w:color w:val="auto"/>
        </w:rPr>
        <w:t>Amortization of capitalized software was $54 million, $55 million, and $69 million for fiscal years 2018, 2017, and 2016,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640" w:type="dxa"/>
            <w:vAlign w:val="bottom"/>
            <w:gridSpan w:val="2"/>
          </w:tcPr>
          <w:p>
            <w:pPr>
              <w:jc w:val="center"/>
              <w:ind w:right="4180"/>
              <w:spacing w:after="0"/>
              <w:rPr>
                <w:sz w:val="20"/>
                <w:szCs w:val="20"/>
                <w:color w:val="auto"/>
              </w:rPr>
            </w:pPr>
            <w:r>
              <w:rPr>
                <w:rFonts w:ascii="Arial" w:cs="Arial" w:eastAsia="Arial" w:hAnsi="Arial"/>
                <w:sz w:val="14"/>
                <w:szCs w:val="14"/>
                <w:color w:val="auto"/>
                <w:w w:val="93"/>
              </w:rPr>
              <w:t>PART II</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4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Item 8</w:t>
            </w:r>
          </w:p>
        </w:tc>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7"/>
        </w:trPr>
        <w:tc>
          <w:tcPr>
            <w:tcW w:w="10120" w:type="dxa"/>
            <w:vAlign w:val="bottom"/>
            <w:gridSpan w:val="4"/>
          </w:tcPr>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June 30, 2018: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1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548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120" w:type="dxa"/>
            <w:vAlign w:val="bottom"/>
            <w:gridSpan w:val="4"/>
          </w:tcPr>
          <w:p>
            <w:pPr>
              <w:spacing w:after="0"/>
              <w:rPr>
                <w:sz w:val="20"/>
                <w:szCs w:val="20"/>
                <w:color w:val="auto"/>
              </w:rPr>
            </w:pPr>
            <w:r>
              <w:rPr>
                <w:rFonts w:ascii="Arial" w:cs="Arial" w:eastAsia="Arial" w:hAnsi="Arial"/>
                <w:sz w:val="14"/>
                <w:szCs w:val="14"/>
                <w:b w:val="1"/>
                <w:bCs w:val="1"/>
                <w:color w:val="auto"/>
              </w:rPr>
              <w:t>Year Ending June 30,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2019</w:t>
            </w:r>
          </w:p>
        </w:tc>
        <w:tc>
          <w:tcPr>
            <w:tcW w:w="460" w:type="dxa"/>
            <w:vAlign w:val="bottom"/>
            <w:shd w:val="clear" w:color="auto" w:fill="E5E5E5"/>
          </w:tcPr>
          <w:p>
            <w:pPr>
              <w:spacing w:after="0"/>
              <w:rPr>
                <w:sz w:val="16"/>
                <w:szCs w:val="16"/>
                <w:color w:val="auto"/>
              </w:rPr>
            </w:pPr>
          </w:p>
        </w:tc>
        <w:tc>
          <w:tcPr>
            <w:tcW w:w="418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Arial" w:cs="Arial" w:eastAsia="Arial" w:hAnsi="Arial"/>
                <w:sz w:val="18"/>
                <w:szCs w:val="18"/>
                <w:color w:val="auto"/>
              </w:rPr>
              <w:t>2020</w:t>
            </w:r>
          </w:p>
        </w:tc>
        <w:tc>
          <w:tcPr>
            <w:tcW w:w="4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460" w:type="dxa"/>
            <w:vAlign w:val="bottom"/>
            <w:shd w:val="clear" w:color="auto" w:fill="E5E5E5"/>
          </w:tcPr>
          <w:p>
            <w:pPr>
              <w:spacing w:after="0"/>
              <w:rPr>
                <w:sz w:val="16"/>
                <w:szCs w:val="16"/>
                <w:color w:val="auto"/>
              </w:rPr>
            </w:pPr>
          </w:p>
        </w:tc>
        <w:tc>
          <w:tcPr>
            <w:tcW w:w="4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4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949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460" w:type="dxa"/>
            <w:vAlign w:val="bottom"/>
            <w:shd w:val="clear" w:color="auto" w:fill="E5E5E5"/>
          </w:tcPr>
          <w:p>
            <w:pPr>
              <w:spacing w:after="0"/>
              <w:rPr>
                <w:sz w:val="16"/>
                <w:szCs w:val="16"/>
                <w:color w:val="auto"/>
              </w:rPr>
            </w:pPr>
          </w:p>
        </w:tc>
        <w:tc>
          <w:tcPr>
            <w:tcW w:w="4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806</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3"/>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DEBT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June 30, 2018, we had no commercial paper issued and outstanding. As of June 30, 2017, we had $9.1 billion of commercial paper issued and outstanding, with a weighted average interest rate of 1.01% and maturities ranging from 25 days to 264 days. The estimated fair value of this commercial paper approximates its carrying value.</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two $5.0 billion credit facilities that expire on October 30, 2018 and October 31, 2022, respectively. These credit facilities serve as a back-up for our commercial paper program. As of June 30, 2018, we were in compliance with the only financial covenant in both credit agreements, which requires us to maintain a coverage ratio of at least three times earnings before interest, taxes, depreciation, and amortization to interest expense, as defined in the credit agreements. No amounts were drawn against these credit facilities during any of the periods presented.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June 30, 2018, the total carrying value and estimated fair value of our long-term debt, including the current portion, were $76.2 billion and $77.5 billion, respectively. As of June 30, 2017, the total carrying value and estimated fair value of our long-term debt, including the current portion, were $77.1 billion and $80.3 billion, respectively. These estimated fair values are based on Level 2 inputs.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9" w:name="page80"/>
    <w:bookmarkEnd w:id="79"/>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long-term debt, including the current portion, and the associated interest rates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Face Value</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Face Value</w:t>
            </w:r>
          </w:p>
        </w:tc>
        <w:tc>
          <w:tcPr>
            <w:tcW w:w="1060" w:type="dxa"/>
            <w:vAlign w:val="bottom"/>
          </w:tcPr>
          <w:p>
            <w:pPr>
              <w:jc w:val="right"/>
              <w:ind w:right="151"/>
              <w:spacing w:after="0"/>
              <w:rPr>
                <w:sz w:val="20"/>
                <w:szCs w:val="20"/>
                <w:color w:val="auto"/>
              </w:rPr>
            </w:pPr>
            <w:r>
              <w:rPr>
                <w:rFonts w:ascii="Arial" w:cs="Arial" w:eastAsia="Arial" w:hAnsi="Arial"/>
                <w:sz w:val="14"/>
                <w:szCs w:val="14"/>
                <w:b w:val="1"/>
                <w:bCs w:val="1"/>
                <w:color w:val="auto"/>
              </w:rPr>
              <w:t>Stated</w:t>
            </w:r>
          </w:p>
        </w:tc>
        <w:tc>
          <w:tcPr>
            <w:tcW w:w="90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June 30,</w:t>
            </w:r>
          </w:p>
        </w:tc>
        <w:tc>
          <w:tcPr>
            <w:tcW w:w="1060" w:type="dxa"/>
            <w:vAlign w:val="bottom"/>
          </w:tcPr>
          <w:p>
            <w:pPr>
              <w:jc w:val="right"/>
              <w:ind w:right="151"/>
              <w:spacing w:after="0" w:line="149" w:lineRule="exact"/>
              <w:rPr>
                <w:sz w:val="20"/>
                <w:szCs w:val="20"/>
                <w:color w:val="auto"/>
              </w:rPr>
            </w:pPr>
            <w:r>
              <w:rPr>
                <w:rFonts w:ascii="Arial" w:cs="Arial" w:eastAsia="Arial" w:hAnsi="Arial"/>
                <w:sz w:val="14"/>
                <w:szCs w:val="14"/>
                <w:b w:val="1"/>
                <w:bCs w:val="1"/>
                <w:color w:val="auto"/>
              </w:rPr>
              <w:t>Interest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78"/>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60" w:type="dxa"/>
            <w:vAlign w:val="bottom"/>
          </w:tcPr>
          <w:p>
            <w:pPr>
              <w:jc w:val="right"/>
              <w:ind w:right="151"/>
              <w:spacing w:after="0"/>
              <w:rPr>
                <w:sz w:val="20"/>
                <w:szCs w:val="20"/>
                <w:color w:val="auto"/>
              </w:rPr>
            </w:pPr>
            <w:r>
              <w:rPr>
                <w:rFonts w:ascii="Arial" w:cs="Arial" w:eastAsia="Arial" w:hAnsi="Arial"/>
                <w:sz w:val="14"/>
                <w:szCs w:val="14"/>
                <w:b w:val="1"/>
                <w:bCs w:val="1"/>
                <w:color w:val="auto"/>
              </w:rPr>
              <w:t>Rate</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55"/>
        </w:trPr>
        <w:tc>
          <w:tcPr>
            <w:tcW w:w="7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15, 2017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0.875%</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1.084%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May 1, 2018</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450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1.000%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2018</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1.300%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1.396%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December 6, 2018</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1,250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1,250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1.625%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1.824%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2019</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4.200%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4.379%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August 8, 2019</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1.100%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1.203%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1, 2019</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0.500%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0.500%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February 6, 2020</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1.850%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1.952%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2020</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1.850%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1.935%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October 1, 2020</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3.000%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3.137%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2020</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2.000%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2.093%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February 8, 2021</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4.000%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2021</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2,750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1.550%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1.642%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 xml:space="preserve">December 6, 2021 </w:t>
            </w:r>
            <w:r>
              <w:rPr>
                <w:rFonts w:ascii="Arial" w:cs="Arial" w:eastAsia="Arial" w:hAnsi="Arial"/>
                <w:sz w:val="15"/>
                <w:szCs w:val="15"/>
                <w:color w:val="auto"/>
              </w:rPr>
              <w:t>(a)</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2,044</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1,996</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2.125%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2.233%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6, 2022</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2.400%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February 12, 2022</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2.375%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2.466%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2022</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2.650%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November 15, 2022</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750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750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2.125%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2023</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2.375%</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2.465%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August 8, 2023</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2.000%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15, 2023</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3.625%</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3.726%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February 6, 2024</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2.875%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3.041%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2025</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2.700%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2.772%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November 3, 2025</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3.125%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3.176%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2026</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2.400%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2.464%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February 6, 2027</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3.300%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3.383%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December 6, 2028 </w:t>
            </w:r>
            <w:r>
              <w:rPr>
                <w:rFonts w:ascii="Arial" w:cs="Arial" w:eastAsia="Arial" w:hAnsi="Arial"/>
                <w:sz w:val="15"/>
                <w:szCs w:val="15"/>
                <w:color w:val="auto"/>
              </w:rPr>
              <w:t>(a)</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2,044</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1,996</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3.125%</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 xml:space="preserve">May 2, 2033 </w:t>
            </w:r>
            <w:r>
              <w:rPr>
                <w:rFonts w:ascii="Arial" w:cs="Arial" w:eastAsia="Arial" w:hAnsi="Arial"/>
                <w:sz w:val="15"/>
                <w:szCs w:val="15"/>
                <w:color w:val="auto"/>
              </w:rPr>
              <w:t>(a)</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642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627</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2.625%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2.690%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2035</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3.500%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3.604%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November 3, 2035</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4.200%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4.260%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2036</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3.450%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February 6, 2037</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4.100%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2039</w:t>
            </w:r>
          </w:p>
        </w:tc>
        <w:tc>
          <w:tcPr>
            <w:tcW w:w="2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750</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5.200%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5.240%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October 1, 2040</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4.500%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8, 2041</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5.300%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5.361%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November 15, 2042</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900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3.500%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2043</w:t>
            </w:r>
          </w:p>
        </w:tc>
        <w:tc>
          <w:tcPr>
            <w:tcW w:w="2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500</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3.750%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December 15, 2043</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4.875%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4.918%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2045</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3.750%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3.800%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November 3, 2045</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4.450%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2046</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3.700%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February 6, 2047</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4.250%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4.287%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2055</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4.000%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4.063%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8"/>
                <w:szCs w:val="18"/>
                <w:color w:val="auto"/>
              </w:rPr>
              <w:t>November 3, 2055</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4.750%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4.782%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2056</w:t>
            </w: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3.950%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4.033%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February 6, 2057</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2,000</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rPr>
              <w:t>4.500%</w:t>
            </w:r>
          </w:p>
        </w:tc>
        <w:tc>
          <w:tcPr>
            <w:tcW w:w="900" w:type="dxa"/>
            <w:vAlign w:val="bottom"/>
            <w:gridSpan w:val="2"/>
          </w:tcPr>
          <w:p>
            <w:pPr>
              <w:jc w:val="center"/>
              <w:ind w:left="91"/>
              <w:spacing w:after="0"/>
              <w:rPr>
                <w:sz w:val="20"/>
                <w:szCs w:val="20"/>
                <w:color w:val="auto"/>
              </w:rPr>
            </w:pPr>
            <w:r>
              <w:rPr>
                <w:rFonts w:ascii="Arial" w:cs="Arial" w:eastAsia="Arial" w:hAnsi="Arial"/>
                <w:sz w:val="18"/>
                <w:szCs w:val="18"/>
                <w:b w:val="1"/>
                <w:bCs w:val="1"/>
                <w:color w:val="auto"/>
                <w:w w:val="98"/>
              </w:rPr>
              <w:t>4.528%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76,898</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77,837</w:t>
            </w:r>
          </w:p>
        </w:tc>
        <w:tc>
          <w:tcPr>
            <w:tcW w:w="10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Euro-denominated debt securities.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0" w:name="page81"/>
    <w:bookmarkEnd w:id="80"/>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notes in the table above are senior unsecured obligations and rank equally with our other senior unsecured debt outstanding. Interest on these notes is paid semi-annually, except for the euro-denominated debt securities on which interest is paid annually. Cash paid for interest on our debt for fiscal years 2018, 2017, and 2016 was $2.4 billion, $1.6 billion, and $1.1 billion, respectively. As of June 30, 2018 and 2017, the aggregate debt issuance costs and unamortized discount associated with our long-term debt, including the current portion, were $658 million and $715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for each of the next five years and thereafter are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123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9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2019</w:t>
            </w:r>
          </w:p>
        </w:tc>
        <w:tc>
          <w:tcPr>
            <w:tcW w:w="4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spacing w:after="0" w:line="189" w:lineRule="exact"/>
              <w:rPr>
                <w:sz w:val="20"/>
                <w:szCs w:val="20"/>
                <w:color w:val="auto"/>
              </w:rPr>
            </w:pPr>
            <w:r>
              <w:rPr>
                <w:rFonts w:ascii="Arial" w:cs="Arial" w:eastAsia="Arial" w:hAnsi="Arial"/>
                <w:sz w:val="18"/>
                <w:szCs w:val="18"/>
                <w:color w:val="auto"/>
              </w:rPr>
              <w:t>2020</w:t>
            </w:r>
          </w:p>
        </w:tc>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45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8,044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45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52,836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4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76,898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90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22, 2017, the TCJA was enacted into law, which significantly changes existing U.S. tax law and includes numerous provisions that affect our business, such as imposing a one-time transition tax on deemed repatriation of deferred foreign income, reducing the U.S. federal statutory tax rate, and adopting a territorial tax system. The TCJA required us to incur a one-time transition tax on deferred foreign income not previously subject to U.S. income tax at a rate of 15.5% for foreign cash and certain other net current assets, and 8% on the remaining income. The TCJA also reduced the U.S. federal statutory tax rate from 35% to 21% effective January 1, 2018. For fiscal year 2018, our blended U.S. federal statutory tax rate is 28.1%. This is the result of using the tax rate of 35% for the first and second quarter of fiscal year 2018 and the reduced tax rate of 21% for the third and fourth quarter of fiscal year 2018. The TCJA includes a provision to tax global intangible low-taxed income (“GILTI”) of foreign subsidiaries and a base erosion anti-abuse tax (“BEAT”) measure that taxes certain payments between a U.S. corporation and its foreign subsidiaries. The GILTI and BEAT provisions of the TCJA will be effective for us beginning July 1, 2018.</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TCJA was effective in the second quarter of fiscal year 2018. As of June 30, 2018, we have not completed our accounting for the estimated tax effects of the TCJA. During fiscal year 2018, we recorded a provisional net charge of $ 13.7 billion related to the TCJA based on reasonable estimates for those tax effects. Due to the timing of the enactment and the complexity in applying the provisions of the TCJA, the provisional net charge is subject to revisions as we continue to complete our analysis of the TCJA, collect and prepare necessary data, and interpret any additional guidance issued by the U.S. Treasury Department, Internal Revenue Service (“IRS”), FASB, and other standard-setting and regulatory bodies. Adjustments may materially impact our provision for income taxes and effective tax rate in the period in which the adjustments are made. Our accounting for the estimated tax effects of the TCJA will be completed during the measurement period, which is not expected to extend beyond one year from the enactment date. The impacts of our estimates are described further below.</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fiscal year 2018, we recorded an estimated net charge of $13.7 billion related to the TCJA, due to the impact of the one-time transition tax on the deemed repatriation of deferred foreign income of $17.9 billion, offset in part by the impact of changes in the tax rate of $4.2 billion, primarily on deferred tax assets and liabilities.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recorded an estimated $17.9 billion charge in fiscal year 2018 related to the transition tax, which was included in the provision for income taxes in our consolidated income statements and income taxes in our consolidated balance sheets. We have not yet completed our accounting for the transition tax as our analysis of deferred foreign income is not complete. To calculate the transition tax, we estimated our deferred foreign income for fiscal year 2018 because these tax returns are not complete or due. Fiscal year 2018 taxable income will be known once the respective tax returns are completed and filed. In addition, U.S. and foreign audit settlements may significantly impact the estimated transition tax. The impact of the U.S. and foreign audits on the transition tax will be known as the audits are concluded.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1" w:name="page82"/>
    <w:bookmarkEnd w:id="81"/>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addition, we recorded an estimated $4.2 billion benefit in fiscal year 2018 from the impact of changes in the tax rate, primarily on deferred tax assets and liabilities, which was included in provision for income taxes in our consolidated income statements and deferred income taxes and long-term income taxes in our consolidated balance sheets. We remeasured our deferred taxes to reflect the reduced rate that will apply when these deferred taxes are settled or realized in future periods.</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TCJA subjects a U.S. corporation to tax on its GILTI. Due to the complexity of the new GILTI tax rules, we are continuing to evaluate this provision of the TCJA and the application of GAAP. Under GAAP, we can make an accounting policy election to either treat taxes due on the GILTI inclusion as a current period expense or factor such amounts into our measurement of deferred taxes. We elected the deferred method, and the corresponding deferred tax assets and liabilities are included in the table of deferred income tax assets and liabilities below.</w:t>
      </w:r>
    </w:p>
    <w:p>
      <w:pPr>
        <w:spacing w:after="0" w:line="14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On August 1, 2018, the Internal Revenue Service published on its website proposed regulations relating to the transition tax imposed by the TCJA. Once published in the Federal Register, the proposed regulations are subject to a 60-day comment period. Final regulations are expected to be issued after consideration of comments. We are currently evaluating the impact of the proposed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094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Current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0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19,764</w:t>
            </w:r>
          </w:p>
        </w:tc>
        <w:tc>
          <w:tcPr>
            <w:tcW w:w="50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2,739</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right"/>
              <w:ind w:right="240"/>
              <w:spacing w:after="0" w:line="189" w:lineRule="exact"/>
              <w:rPr>
                <w:sz w:val="20"/>
                <w:szCs w:val="20"/>
                <w:color w:val="auto"/>
              </w:rPr>
            </w:pPr>
            <w:r>
              <w:rPr>
                <w:rFonts w:ascii="Arial" w:cs="Arial" w:eastAsia="Arial" w:hAnsi="Arial"/>
                <w:sz w:val="18"/>
                <w:szCs w:val="18"/>
                <w:b w:val="1"/>
                <w:bCs w:val="1"/>
                <w:color w:val="auto"/>
              </w:rPr>
              <w:t>934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3"/>
          </w:tcPr>
          <w:p>
            <w:pPr>
              <w:jc w:val="right"/>
              <w:ind w:right="400"/>
              <w:spacing w:after="0" w:line="189"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20" w:type="dxa"/>
            <w:vAlign w:val="bottom"/>
            <w:gridSpan w:val="3"/>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4,348</w:t>
            </w:r>
          </w:p>
        </w:tc>
        <w:tc>
          <w:tcPr>
            <w:tcW w:w="1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1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2,472</w:t>
            </w:r>
          </w:p>
        </w:tc>
        <w:tc>
          <w:tcPr>
            <w:tcW w:w="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Current taxes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25,046</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5,241</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Deferred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0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(4,292)</w:t>
            </w:r>
          </w:p>
        </w:tc>
        <w:tc>
          <w:tcPr>
            <w:tcW w:w="50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(554)</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right"/>
              <w:ind w:right="180"/>
              <w:spacing w:after="0" w:line="189" w:lineRule="exact"/>
              <w:rPr>
                <w:sz w:val="20"/>
                <w:szCs w:val="20"/>
                <w:color w:val="auto"/>
              </w:rPr>
            </w:pPr>
            <w:r>
              <w:rPr>
                <w:rFonts w:ascii="Arial" w:cs="Arial" w:eastAsia="Arial" w:hAnsi="Arial"/>
                <w:sz w:val="18"/>
                <w:szCs w:val="18"/>
                <w:b w:val="1"/>
                <w:bCs w:val="1"/>
                <w:color w:val="auto"/>
              </w:rPr>
              <w:t>(458)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3"/>
          </w:tcPr>
          <w:p>
            <w:pPr>
              <w:jc w:val="right"/>
              <w:ind w:right="400"/>
              <w:spacing w:after="0" w:line="189" w:lineRule="exact"/>
              <w:rPr>
                <w:sz w:val="20"/>
                <w:szCs w:val="20"/>
                <w:color w:val="auto"/>
              </w:rPr>
            </w:pPr>
            <w:r>
              <w:rPr>
                <w:rFonts w:ascii="Arial" w:cs="Arial" w:eastAsia="Arial" w:hAnsi="Arial"/>
                <w:sz w:val="18"/>
                <w:szCs w:val="18"/>
                <w:color w:val="auto"/>
              </w:rPr>
              <w:t>269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20" w:type="dxa"/>
            <w:vAlign w:val="bottom"/>
            <w:gridSpan w:val="3"/>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(393)</w:t>
            </w:r>
          </w:p>
        </w:tc>
        <w:tc>
          <w:tcPr>
            <w:tcW w:w="1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180" w:type="dxa"/>
            <w:vAlign w:val="bottom"/>
            <w:gridSpan w:val="3"/>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(544)</w:t>
            </w:r>
          </w:p>
        </w:tc>
        <w:tc>
          <w:tcPr>
            <w:tcW w:w="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(5,143)</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(829)</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Provision for income taxes</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19,903</w:t>
            </w:r>
          </w:p>
        </w:tc>
        <w:tc>
          <w:tcPr>
            <w:tcW w:w="50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4,412</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U.S. and foreign components of income before income taxes were as follows:</w:t>
            </w:r>
          </w:p>
        </w:tc>
        <w:tc>
          <w:tcPr>
            <w:tcW w:w="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7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04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3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11,527</w:t>
            </w:r>
          </w:p>
        </w:tc>
        <w:tc>
          <w:tcPr>
            <w:tcW w:w="240" w:type="dxa"/>
            <w:vAlign w:val="bottom"/>
            <w:shd w:val="clear" w:color="auto" w:fill="E5E5E5"/>
          </w:tcPr>
          <w:p>
            <w:pPr>
              <w:spacing w:after="0"/>
              <w:rPr>
                <w:sz w:val="16"/>
                <w:szCs w:val="16"/>
                <w:color w:val="auto"/>
              </w:rPr>
            </w:pPr>
          </w:p>
        </w:tc>
        <w:tc>
          <w:tcPr>
            <w:tcW w:w="500" w:type="dxa"/>
            <w:vAlign w:val="bottom"/>
            <w:gridSpan w:val="3"/>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6,843</w:t>
            </w:r>
          </w:p>
        </w:tc>
        <w:tc>
          <w:tcPr>
            <w:tcW w:w="4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24,947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23,058</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Income before income taxes</w:t>
            </w:r>
          </w:p>
        </w:tc>
        <w:tc>
          <w:tcPr>
            <w:tcW w:w="3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36,474</w:t>
            </w:r>
          </w:p>
        </w:tc>
        <w:tc>
          <w:tcPr>
            <w:tcW w:w="240" w:type="dxa"/>
            <w:vAlign w:val="bottom"/>
            <w:shd w:val="clear" w:color="auto" w:fill="E5E5E5"/>
          </w:tcPr>
          <w:p>
            <w:pPr>
              <w:spacing w:after="0"/>
              <w:rPr>
                <w:sz w:val="16"/>
                <w:szCs w:val="16"/>
                <w:color w:val="auto"/>
              </w:rPr>
            </w:pPr>
          </w:p>
        </w:tc>
        <w:tc>
          <w:tcPr>
            <w:tcW w:w="500" w:type="dxa"/>
            <w:vAlign w:val="bottom"/>
            <w:gridSpan w:val="3"/>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29,901</w:t>
            </w:r>
          </w:p>
        </w:tc>
        <w:tc>
          <w:tcPr>
            <w:tcW w:w="4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25,639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7060" w:type="dxa"/>
            <w:vAlign w:val="bottom"/>
            <w:gridSpan w:val="2"/>
            <w:vMerge w:val="restart"/>
          </w:tcPr>
          <w:p>
            <w:pPr>
              <w:ind w:left="5640"/>
              <w:spacing w:after="0"/>
              <w:rPr>
                <w:sz w:val="20"/>
                <w:szCs w:val="20"/>
                <w:color w:val="auto"/>
              </w:rPr>
            </w:pPr>
            <w:r>
              <w:rPr>
                <w:rFonts w:ascii="Arial" w:cs="Arial" w:eastAsia="Arial" w:hAnsi="Arial"/>
                <w:sz w:val="14"/>
                <w:szCs w:val="14"/>
                <w:color w:val="auto"/>
              </w:rPr>
              <w:t>82</w:t>
            </w: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9"/>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2" w:name="page83"/>
    <w:bookmarkEnd w:id="82"/>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780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Federal statutory rate</w:t>
            </w:r>
          </w:p>
        </w:tc>
        <w:tc>
          <w:tcPr>
            <w:tcW w:w="13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28.1%</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line="189" w:lineRule="exact"/>
              <w:rPr>
                <w:sz w:val="20"/>
                <w:szCs w:val="20"/>
                <w:color w:val="auto"/>
              </w:rPr>
            </w:pPr>
            <w:r>
              <w:rPr>
                <w:rFonts w:ascii="Arial" w:cs="Arial" w:eastAsia="Arial" w:hAnsi="Arial"/>
                <w:sz w:val="18"/>
                <w:szCs w:val="18"/>
                <w:color w:val="auto"/>
              </w:rPr>
              <w:t>Effect of:</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Foreign earnings taxed at lower rates</w:t>
            </w:r>
          </w:p>
        </w:tc>
        <w:tc>
          <w:tcPr>
            <w:tcW w:w="13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(7.8)%</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(11.6)%</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00"/>
              <w:spacing w:after="0" w:line="189" w:lineRule="exact"/>
              <w:rPr>
                <w:sz w:val="20"/>
                <w:szCs w:val="20"/>
                <w:color w:val="auto"/>
              </w:rPr>
            </w:pPr>
            <w:r>
              <w:rPr>
                <w:rFonts w:ascii="Arial" w:cs="Arial" w:eastAsia="Arial" w:hAnsi="Arial"/>
                <w:sz w:val="18"/>
                <w:szCs w:val="18"/>
                <w:color w:val="auto"/>
              </w:rPr>
              <w:t>Impacts of TCJA</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37.7%</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Phone business losses</w:t>
            </w:r>
          </w:p>
        </w:tc>
        <w:tc>
          <w:tcPr>
            <w:tcW w:w="13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(5.7)%</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00"/>
              <w:spacing w:after="0" w:line="189" w:lineRule="exact"/>
              <w:rPr>
                <w:sz w:val="20"/>
                <w:szCs w:val="20"/>
                <w:color w:val="auto"/>
              </w:rPr>
            </w:pPr>
            <w:r>
              <w:rPr>
                <w:rFonts w:ascii="Arial" w:cs="Arial" w:eastAsia="Arial" w:hAnsi="Arial"/>
                <w:sz w:val="18"/>
                <w:szCs w:val="18"/>
                <w:color w:val="auto"/>
              </w:rPr>
              <w:t>Excess tax benefits relating to stock-based compensation</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(2.5)%</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Interest, net</w:t>
            </w:r>
          </w:p>
        </w:tc>
        <w:tc>
          <w:tcPr>
            <w:tcW w:w="13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1.2%</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Other reconciling items, net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76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Effective rate</w:t>
            </w:r>
          </w:p>
        </w:tc>
        <w:tc>
          <w:tcPr>
            <w:tcW w:w="13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54.6%</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14.8%</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increase from the federal statutory rate in fiscal year 2018 is primarily due to the net charge related to the enactment of the TCJA in the second quarter of fiscal year 2018, offset in part by earnings taxed at lower rates in foreign jurisdictions. The decrease from the federal statutory rate in fiscal year 2017 and 2016 is primarily due to earnings taxed at lower rates in foreign jurisdictions. Our foreign regional operating centers in Ireland, Singapore and Puerto Rico, which are taxed at rates lower than the U.S. rate, generated 87%, 76%, and 91% of our foreign income before tax in fiscal years 2018, 2017, and 2016, respectively. Other reconciling items, net consists primarily of tax credits, U.S. state income taxes, and domestic production activities deduction. In fiscal years 2018, 2017, and 2016, there were no individually significant other reconciling items.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our effective tax rate for fiscal year 2018 compared to fiscal year 2017 was primarily due to the net charge related to the enactment of the TCJA and the realization of tax benefits attributable to previous Phone business losses in fiscal year 2017. The decrease in our effective tax rate for fiscal year 2017 compared to fiscal year 2016 was primarily due to the realization of tax benefits attributable to previous Phone business losses, offset in part by changes in the mix of our income before income taxes between the U.S. and foreign countries.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3" w:name="page84"/>
    <w:bookmarkEnd w:id="83"/>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income tax assets and liabilities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034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Deferred Income Tax Assets</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7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460</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777</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Accruals, reserves, and other expenses</w:t>
            </w: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1,832</w:t>
            </w:r>
          </w:p>
        </w:tc>
        <w:tc>
          <w:tcPr>
            <w:tcW w:w="34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 and credit carryforwards</w:t>
            </w:r>
          </w:p>
        </w:tc>
        <w:tc>
          <w:tcPr>
            <w:tcW w:w="2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3,369</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351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56</w:t>
            </w:r>
          </w:p>
        </w:tc>
        <w:tc>
          <w:tcPr>
            <w:tcW w:w="34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255</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Deferred income tax assets</w:t>
            </w:r>
          </w:p>
        </w:tc>
        <w:tc>
          <w:tcPr>
            <w:tcW w:w="2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6,068</w:t>
            </w:r>
          </w:p>
        </w:tc>
        <w:tc>
          <w:tcPr>
            <w:tcW w:w="3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Less valuation allowance</w:t>
            </w:r>
          </w:p>
        </w:tc>
        <w:tc>
          <w:tcPr>
            <w:tcW w:w="2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(3,186)</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Deferred income tax assets, net of valuation allowance</w:t>
            </w:r>
          </w:p>
        </w:tc>
        <w:tc>
          <w:tcPr>
            <w:tcW w:w="2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Deferred Income Tax Liabilities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7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earnings</w:t>
            </w:r>
          </w:p>
        </w:tc>
        <w:tc>
          <w:tcPr>
            <w:tcW w:w="2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Unrealized gain on investments and debt</w:t>
            </w: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Unearned revenue</w:t>
            </w:r>
          </w:p>
        </w:tc>
        <w:tc>
          <w:tcPr>
            <w:tcW w:w="2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(639)</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(1,103)</w:t>
            </w:r>
          </w:p>
        </w:tc>
        <w:tc>
          <w:tcPr>
            <w:tcW w:w="34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(312)</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Deferred income tax liabilities</w:t>
            </w:r>
          </w:p>
        </w:tc>
        <w:tc>
          <w:tcPr>
            <w:tcW w:w="2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(2,054)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Net deferred income tax assets (liabilities)</w:t>
            </w:r>
          </w:p>
        </w:tc>
        <w:tc>
          <w:tcPr>
            <w:tcW w:w="2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828</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75"/>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 As</w:t>
            </w:r>
          </w:p>
        </w:tc>
        <w:tc>
          <w:tcPr>
            <w:tcW w:w="2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760" w:type="dxa"/>
            <w:vAlign w:val="bottom"/>
            <w:gridSpan w:val="2"/>
            <w:vMerge w:val="continue"/>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7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1,369</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248</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(541)</w:t>
            </w:r>
          </w:p>
        </w:tc>
        <w:tc>
          <w:tcPr>
            <w:tcW w:w="3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40" w:type="dxa"/>
            <w:vAlign w:val="bottom"/>
            <w:tcBorders>
              <w:top w:val="single" w:sz="8" w:color="auto"/>
            </w:tcBorders>
          </w:tcPr>
          <w:p>
            <w:pPr>
              <w:spacing w:after="0"/>
              <w:rPr>
                <w:sz w:val="5"/>
                <w:szCs w:val="5"/>
                <w:color w:val="auto"/>
              </w:rPr>
            </w:pPr>
          </w:p>
        </w:tc>
        <w:tc>
          <w:tcPr>
            <w:tcW w:w="21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Net deferred income tax assets (liabilities)</w:t>
            </w:r>
          </w:p>
        </w:tc>
        <w:tc>
          <w:tcPr>
            <w:tcW w:w="2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828</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recorded a deferred tax liability of $7.4 billion related to the recognition of revenue as part of the adoption of the new revenue standard.</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2018, we had federal, state and foreign net operating loss carryforwards of $257 million, $ 1.4 billion and $ 11.4 billion, respectively. The federal and state net operating loss carryforwards will expire in various years from fiscal 2019 through 2038, if not utilized. The majority of our foreign net operating loss carryforwards do not expire. Certain acquired net operating loss carryforwards are subject to an annual limitation, but are expected to be realized with the exception of those which have a valuation allowance.</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valuation allowance disclosed in the table above relates to the foreign net operating loss carryforwards and other net deferred tax assets that may not be realized.</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$5.5 billion, $2.4 billion, and $3.9 billion in fiscal years 2018, 2017, and 2016,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Unrecognized tax benefits as of June 30, 2018, 2017, and 2016, were $12.0 billion, $11.7 billion, and $10.2 billion, respectively, and were included in long-term income taxes in our consolidated balance sheets. If recognized, these tax benefits would affect our effective tax rates for fiscal years 2018, 2017, and 2016, by $11.3 billion, $10.2 billion, and $8.8 billion,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4" w:name="page85"/>
    <w:bookmarkEnd w:id="84"/>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June 30, 2018, 2017, and 2016, we had accrued interest expense related to uncertain tax positions of $3.0 billion, $2.3 billion, and $1.9 billion, respectively, net of income tax benefits. Interest expense on unrecognized tax benefits, net of tax effects, was $688 million, $399 million, and $163 million in fiscal years 2018, 2017, and 2016, respectively, and was included in provision for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balance of unrecognized tax benefits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year</w:t>
            </w:r>
          </w:p>
        </w:tc>
        <w:tc>
          <w:tcPr>
            <w:tcW w:w="1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11,737</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10,164</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200"/>
              <w:spacing w:after="0" w:line="189" w:lineRule="exact"/>
              <w:rPr>
                <w:sz w:val="20"/>
                <w:szCs w:val="20"/>
                <w:color w:val="auto"/>
              </w:rPr>
            </w:pPr>
            <w:r>
              <w:rPr>
                <w:rFonts w:ascii="Arial" w:cs="Arial" w:eastAsia="Arial" w:hAnsi="Arial"/>
                <w:sz w:val="18"/>
                <w:szCs w:val="18"/>
                <w:color w:val="auto"/>
              </w:rPr>
              <w:t>Decreases related to settlements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Increases for tax positions related to the current year</w:t>
            </w:r>
          </w:p>
        </w:tc>
        <w:tc>
          <w:tcPr>
            <w:tcW w:w="16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1,445</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1,277</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200"/>
              <w:spacing w:after="0" w:line="189" w:lineRule="exact"/>
              <w:rPr>
                <w:sz w:val="20"/>
                <w:szCs w:val="20"/>
                <w:color w:val="auto"/>
              </w:rPr>
            </w:pPr>
            <w:r>
              <w:rPr>
                <w:rFonts w:ascii="Arial" w:cs="Arial" w:eastAsia="Arial" w:hAnsi="Arial"/>
                <w:sz w:val="18"/>
                <w:szCs w:val="18"/>
                <w:color w:val="auto"/>
              </w:rPr>
              <w:t>Increases for tax positions related to prior years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Decreases for tax positions related to prior years</w:t>
            </w:r>
          </w:p>
        </w:tc>
        <w:tc>
          <w:tcPr>
            <w:tcW w:w="16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(1,176)</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(49)</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Decreases due to lapsed statutes of limitations</w:t>
            </w: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080" w:type="dxa"/>
            <w:vAlign w:val="bottom"/>
            <w:tcBorders>
              <w:top w:val="single" w:sz="8" w:color="auto"/>
            </w:tcBorders>
          </w:tcPr>
          <w:p>
            <w:pPr>
              <w:spacing w:after="0"/>
              <w:rPr>
                <w:sz w:val="5"/>
                <w:szCs w:val="5"/>
                <w:color w:val="auto"/>
              </w:rPr>
            </w:pPr>
          </w:p>
        </w:tc>
        <w:tc>
          <w:tcPr>
            <w:tcW w:w="1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year</w:t>
            </w:r>
          </w:p>
        </w:tc>
        <w:tc>
          <w:tcPr>
            <w:tcW w:w="1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11,961</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11,737</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we settled a portion of the IRS audit for tax years 2004 to 2006 during the third quarter of fiscal year 2011, and a portion of the IRS audit for tax years 2007 to 2009 during the first quarter of fiscal year 2016, we remain under audit for those years. In the second quarter of fiscal year 2018, we settled a portion of the IRS audit for tax years 2010 to 2013. We continue to be subject to examination by the IRS for tax years 2010 to 2017. In February 2012, the IRS withdrew its 2011 Revenue Agents Report for tax years 2004 to 2006 and reopened the audit phase of the examination. As of June 30, 2018, the primary unresolved issue relates to transfer pricing, which could have a significant impact in our consolidated financial statements if not resolved favorably.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2017, some of which are currently under audit by local tax authorities. The resolution of each of these audits is not expected to be material to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RESTRUCTURING CHARGES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Restructuring</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fourth quarter of fiscal year 2016, management approved restructuring plans that resulted in approximately 4,700 job eliminations in fiscal year 2017, primarily across our smartphone hardware business and global sales. In fiscal year 2016, we incurred restructuring charges of $501 million in connection with the 2016 restructuring plans, including severance expenses and other reorganization costs. The actions associated with these restructuring plans were completed as of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Restructuring</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2017, management approved a sales and marketing restructuring plan. In fiscal year 2017, we recorded employee severance expenses of $306 million primarily related to this sales and marketing restructuring plan. The actions associated with this restructuring plan were completed as of June 30, 2018.</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5" w:name="page86"/>
    <w:bookmarkEnd w:id="85"/>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15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6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14,864</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12,692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14,706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3,150</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32,720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26,656</w:t>
            </w:r>
          </w:p>
        </w:tc>
        <w:tc>
          <w:tcPr>
            <w:tcW w:w="0" w:type="dxa"/>
            <w:vAlign w:val="bottom"/>
          </w:tcPr>
          <w:p>
            <w:pPr>
              <w:spacing w:after="0"/>
              <w:rPr>
                <w:sz w:val="1"/>
                <w:szCs w:val="1"/>
                <w:color w:val="auto"/>
              </w:rPr>
            </w:pPr>
          </w:p>
        </w:tc>
      </w:tr>
      <w:tr>
        <w:trPr>
          <w:trHeight w:val="61"/>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The opening balance of unearned revenue was $22.2 billion as of July 1, 2016.</w:t>
            </w:r>
          </w:p>
        </w:tc>
        <w:tc>
          <w:tcPr>
            <w:tcW w:w="12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75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560" w:type="dxa"/>
            <w:vAlign w:val="bottom"/>
            <w:gridSpan w:val="2"/>
          </w:tcPr>
          <w:p>
            <w:pPr>
              <w:spacing w:after="0"/>
              <w:rPr>
                <w:sz w:val="20"/>
                <w:szCs w:val="20"/>
                <w:color w:val="auto"/>
              </w:rPr>
            </w:pPr>
            <w:r>
              <w:rPr>
                <w:rFonts w:ascii="Arial" w:cs="Arial" w:eastAsia="Arial" w:hAnsi="Arial"/>
                <w:sz w:val="18"/>
                <w:szCs w:val="18"/>
                <w:color w:val="auto"/>
              </w:rPr>
              <w:t>Changes in unearned revenue were as follows: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756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2018</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26,656</w:t>
            </w:r>
          </w:p>
        </w:tc>
        <w:tc>
          <w:tcPr>
            <w:tcW w:w="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200"/>
              <w:spacing w:after="0" w:line="189" w:lineRule="exact"/>
              <w:rPr>
                <w:sz w:val="20"/>
                <w:szCs w:val="20"/>
                <w:color w:val="auto"/>
              </w:rPr>
            </w:pPr>
            <w:r>
              <w:rPr>
                <w:rFonts w:ascii="Arial" w:cs="Arial" w:eastAsia="Arial" w:hAnsi="Arial"/>
                <w:sz w:val="18"/>
                <w:szCs w:val="18"/>
                <w:color w:val="auto"/>
              </w:rPr>
              <w:t>Deferral of revenue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61,142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Recognition of unearned revenue</w:t>
            </w:r>
          </w:p>
        </w:tc>
        <w:tc>
          <w:tcPr>
            <w:tcW w:w="12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(55,078)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56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32,720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Revenue allocated to remaining performance obligations represents contracted revenue that has not yet been recognized (“contracted not recognized revenue”), which includes unearned revenue and amounts that will be invoiced and recognized as revenue in future periods. Contracted not recognized revenue was $73 billion as of June 30, 2018, of which we expect to recognize approximately 60% of the revenue over the next 12 months and the remainder thereafter.</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16 — LEASES</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have operating and finance leases for datacenters, corporate offices, research and development facilities, retail stores, and certain equipment. Our leases have remaining lease terms of 1 year to 20 years, some of which include options to extend the leases for up to 5 years, and some of which include options to terminate the leases within 1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862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8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4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1,585</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1,412</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936</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Finance lease cost:</w:t>
            </w:r>
          </w:p>
        </w:tc>
        <w:tc>
          <w:tcPr>
            <w:tcW w:w="42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300" w:type="dxa"/>
            <w:vAlign w:val="bottom"/>
            <w:gridSpan w:val="2"/>
            <w:vMerge w:val="continue"/>
          </w:tcPr>
          <w:p>
            <w:pPr>
              <w:spacing w:after="0"/>
              <w:rPr>
                <w:sz w:val="22"/>
                <w:szCs w:val="22"/>
                <w:color w:val="auto"/>
              </w:rPr>
            </w:pPr>
          </w:p>
        </w:tc>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Amortization of right-of-use assets</w:t>
            </w:r>
          </w:p>
        </w:tc>
        <w:tc>
          <w:tcPr>
            <w:tcW w:w="4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243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104</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w:t>
            </w:r>
          </w:p>
        </w:tc>
        <w:tc>
          <w:tcPr>
            <w:tcW w:w="2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80" w:type="dxa"/>
            <w:vAlign w:val="bottom"/>
            <w:tcBorders>
              <w:top w:val="single" w:sz="8" w:color="auto"/>
            </w:tcBorders>
          </w:tcPr>
          <w:p>
            <w:pPr>
              <w:spacing w:after="0"/>
              <w:rPr>
                <w:sz w:val="5"/>
                <w:szCs w:val="5"/>
                <w:color w:val="auto"/>
              </w:rPr>
            </w:pPr>
          </w:p>
        </w:tc>
        <w:tc>
          <w:tcPr>
            <w:tcW w:w="42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finance lease cost</w:t>
            </w:r>
          </w:p>
        </w:tc>
        <w:tc>
          <w:tcPr>
            <w:tcW w:w="4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418</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172</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4240" w:type="dxa"/>
            <w:vAlign w:val="bottom"/>
            <w:vMerge w:val="restart"/>
          </w:tcPr>
          <w:p>
            <w:pPr>
              <w:jc w:val="right"/>
              <w:ind w:right="2654"/>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6" w:name="page87"/>
    <w:bookmarkEnd w:id="86"/>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862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360" w:type="dxa"/>
            <w:vAlign w:val="bottom"/>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0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3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20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2360" w:type="dxa"/>
            <w:vAlign w:val="bottom"/>
          </w:tcPr>
          <w:p>
            <w:pPr>
              <w:jc w:val="right"/>
              <w:ind w:right="34"/>
              <w:spacing w:after="0" w:line="189" w:lineRule="exact"/>
              <w:rPr>
                <w:sz w:val="20"/>
                <w:szCs w:val="20"/>
                <w:color w:val="auto"/>
              </w:rPr>
            </w:pPr>
            <w:r>
              <w:rPr>
                <w:rFonts w:ascii="Arial" w:cs="Arial" w:eastAsia="Arial" w:hAnsi="Arial"/>
                <w:sz w:val="18"/>
                <w:szCs w:val="18"/>
                <w:b w:val="1"/>
                <w:bCs w:val="1"/>
                <w:color w:val="auto"/>
              </w:rPr>
              <w:t>$   1,522</w:t>
            </w:r>
          </w:p>
        </w:tc>
        <w:tc>
          <w:tcPr>
            <w:tcW w:w="980" w:type="dxa"/>
            <w:vAlign w:val="bottom"/>
          </w:tcPr>
          <w:p>
            <w:pPr>
              <w:jc w:val="right"/>
              <w:ind w:right="14"/>
              <w:spacing w:after="0" w:line="189" w:lineRule="exact"/>
              <w:rPr>
                <w:sz w:val="20"/>
                <w:szCs w:val="20"/>
                <w:color w:val="auto"/>
              </w:rPr>
            </w:pPr>
            <w:r>
              <w:rPr>
                <w:rFonts w:ascii="Arial" w:cs="Arial" w:eastAsia="Arial" w:hAnsi="Arial"/>
                <w:sz w:val="18"/>
                <w:szCs w:val="18"/>
                <w:color w:val="auto"/>
              </w:rPr>
              <w:t>$  1,157</w:t>
            </w:r>
          </w:p>
        </w:tc>
        <w:tc>
          <w:tcPr>
            <w:tcW w:w="3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936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cash flows from finance leases</w:t>
            </w:r>
          </w:p>
        </w:tc>
        <w:tc>
          <w:tcPr>
            <w:tcW w:w="23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175</w:t>
            </w:r>
          </w:p>
        </w:tc>
        <w:tc>
          <w:tcPr>
            <w:tcW w:w="98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68</w:t>
            </w:r>
          </w:p>
        </w:tc>
        <w:tc>
          <w:tcPr>
            <w:tcW w:w="3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2360" w:type="dxa"/>
            <w:vAlign w:val="bottom"/>
          </w:tcPr>
          <w:p>
            <w:pPr>
              <w:jc w:val="right"/>
              <w:ind w:right="34"/>
              <w:spacing w:after="0"/>
              <w:rPr>
                <w:sz w:val="20"/>
                <w:szCs w:val="20"/>
                <w:color w:val="auto"/>
              </w:rPr>
            </w:pPr>
            <w:r>
              <w:rPr>
                <w:rFonts w:ascii="Arial" w:cs="Arial" w:eastAsia="Arial" w:hAnsi="Arial"/>
                <w:sz w:val="18"/>
                <w:szCs w:val="18"/>
                <w:b w:val="1"/>
                <w:bCs w:val="1"/>
                <w:color w:val="auto"/>
              </w:rPr>
              <w:t>144</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3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2360" w:type="dxa"/>
            <w:vAlign w:val="bottom"/>
          </w:tcPr>
          <w:p>
            <w:pPr>
              <w:jc w:val="right"/>
              <w:ind w:right="34"/>
              <w:spacing w:after="0" w:line="189" w:lineRule="exact"/>
              <w:rPr>
                <w:sz w:val="20"/>
                <w:szCs w:val="20"/>
                <w:color w:val="auto"/>
              </w:rPr>
            </w:pPr>
            <w:r>
              <w:rPr>
                <w:rFonts w:ascii="Arial" w:cs="Arial" w:eastAsia="Arial" w:hAnsi="Arial"/>
                <w:sz w:val="18"/>
                <w:szCs w:val="18"/>
                <w:b w:val="1"/>
                <w:bCs w:val="1"/>
                <w:color w:val="auto"/>
              </w:rPr>
              <w:t>1,571</w:t>
            </w:r>
          </w:p>
        </w:tc>
        <w:tc>
          <w:tcPr>
            <w:tcW w:w="980" w:type="dxa"/>
            <w:vAlign w:val="bottom"/>
          </w:tcPr>
          <w:p>
            <w:pPr>
              <w:jc w:val="right"/>
              <w:ind w:right="14"/>
              <w:spacing w:after="0" w:line="189" w:lineRule="exact"/>
              <w:rPr>
                <w:sz w:val="20"/>
                <w:szCs w:val="20"/>
                <w:color w:val="auto"/>
              </w:rPr>
            </w:pPr>
            <w:r>
              <w:rPr>
                <w:rFonts w:ascii="Arial" w:cs="Arial" w:eastAsia="Arial" w:hAnsi="Arial"/>
                <w:sz w:val="18"/>
                <w:szCs w:val="18"/>
                <w:color w:val="auto"/>
              </w:rPr>
              <w:t>1,270</w:t>
            </w:r>
          </w:p>
        </w:tc>
        <w:tc>
          <w:tcPr>
            <w:tcW w:w="320" w:type="dxa"/>
            <w:vAlign w:val="bottom"/>
          </w:tcPr>
          <w:p>
            <w:pPr>
              <w:spacing w:after="0"/>
              <w:rPr>
                <w:sz w:val="16"/>
                <w:szCs w:val="16"/>
                <w:color w:val="auto"/>
              </w:rPr>
            </w:pP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Finance leases</w:t>
            </w:r>
          </w:p>
        </w:tc>
        <w:tc>
          <w:tcPr>
            <w:tcW w:w="23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1,933</w:t>
            </w:r>
          </w:p>
        </w:tc>
        <w:tc>
          <w:tcPr>
            <w:tcW w:w="98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1,773</w:t>
            </w:r>
          </w:p>
        </w:tc>
        <w:tc>
          <w:tcPr>
            <w:tcW w:w="32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413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8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June 30,</w:t>
            </w:r>
          </w:p>
        </w:tc>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6,686</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580" w:type="dxa"/>
            <w:vAlign w:val="bottom"/>
            <w:gridSpan w:val="2"/>
          </w:tcPr>
          <w:p>
            <w:pPr>
              <w:spacing w:after="0"/>
              <w:rPr>
                <w:sz w:val="6"/>
                <w:szCs w:val="6"/>
                <w:color w:val="auto"/>
              </w:rPr>
            </w:pPr>
          </w:p>
        </w:tc>
        <w:tc>
          <w:tcPr>
            <w:tcW w:w="44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5,568</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5,372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6,967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Leases</w:t>
            </w:r>
          </w:p>
        </w:tc>
        <w:tc>
          <w:tcPr>
            <w:tcW w:w="44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580" w:type="dxa"/>
            <w:vAlign w:val="bottom"/>
            <w:gridSpan w:val="2"/>
            <w:vMerge w:val="continue"/>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gross</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4,543</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4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Property and equipment, net</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4,139</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580" w:type="dxa"/>
            <w:vAlign w:val="bottom"/>
            <w:gridSpan w:val="2"/>
          </w:tcPr>
          <w:p>
            <w:pPr>
              <w:spacing w:after="0"/>
              <w:rPr>
                <w:sz w:val="6"/>
                <w:szCs w:val="6"/>
                <w:color w:val="auto"/>
              </w:rPr>
            </w:pPr>
          </w:p>
        </w:tc>
        <w:tc>
          <w:tcPr>
            <w:tcW w:w="44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4,125</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4,301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 Remaining Lease Term</w:t>
            </w:r>
          </w:p>
        </w:tc>
        <w:tc>
          <w:tcPr>
            <w:tcW w:w="44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80" w:type="dxa"/>
            <w:vAlign w:val="bottom"/>
            <w:gridSpan w:val="2"/>
            <w:vMerge w:val="continue"/>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 years</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 years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Discount Rate</w:t>
            </w:r>
          </w:p>
        </w:tc>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Finance leases</w:t>
            </w:r>
          </w:p>
        </w:tc>
        <w:tc>
          <w:tcPr>
            <w:tcW w:w="4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5.2%</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458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w:t>
            </w: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Finance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Leases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468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30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2019</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1,492</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2020</w:t>
            </w: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1,347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1,086</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721</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4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lease payments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7,705</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6,034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68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300" w:type="dxa"/>
            <w:vAlign w:val="bottom"/>
            <w:gridSpan w:val="2"/>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4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6,967</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460" w:type="dxa"/>
            <w:vAlign w:val="bottom"/>
            <w:vMerge w:val="restart"/>
          </w:tcPr>
          <w:p>
            <w:pPr>
              <w:jc w:val="right"/>
              <w:ind w:right="3152"/>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7" w:name="page88"/>
    <w:bookmarkEnd w:id="87"/>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we have additional operating and finance leases, primarily for datacenters, that have not yet commenced of $594 million and $2.4 billion, respectively. These operating and finance leases will commence between fiscal year 2019 and fiscal year 2020 with lease terms of 1 year to 20 years.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34 patent infringement cases pending against Microsoft as of June 30, 2018, none of which are material individually or in aggregate.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have submitted the proposed settlement agreement to the courts in all three jurisdictions for approval. The courts will likely reach a decision on approval in September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w:t>
      </w:r>
      <w:r>
        <w:rPr>
          <w:rFonts w:ascii="Arial" w:cs="Arial" w:eastAsia="Arial" w:hAnsi="Arial"/>
          <w:sz w:val="18"/>
          <w:szCs w:val="18"/>
          <w:b w:val="1"/>
          <w:bCs w:val="1"/>
          <w:color w:val="auto"/>
        </w:rPr>
        <w:t>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SAMR has stated the investigation relates to compatibility, bundle sales, file verification issues related to Windows and Office software, and potentially other issues.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35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challenging the standard for evaluating expert scientific evidence, which the District of Columbia Court of Appeals heard </w:t>
      </w:r>
      <w:r>
        <w:rPr>
          <w:rFonts w:ascii="Arial" w:cs="Arial" w:eastAsia="Arial" w:hAnsi="Arial"/>
          <w:sz w:val="18"/>
          <w:szCs w:val="18"/>
          <w:i w:val="1"/>
          <w:iCs w:val="1"/>
          <w:color w:val="auto"/>
        </w:rPr>
        <w:t>en banc</w:t>
      </w:r>
      <w:r>
        <w:rPr>
          <w:rFonts w:ascii="Arial" w:cs="Arial" w:eastAsia="Arial" w:hAnsi="Arial"/>
          <w:sz w:val="18"/>
          <w:szCs w:val="18"/>
          <w:color w:val="auto"/>
        </w:rPr>
        <w:t>.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8" w:name="page89"/>
    <w:bookmarkEnd w:id="88"/>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Cell Phone Class Action</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Microsoft Mobile Oy, along with other handset manufacturers and network operators, is a defendant in a 2013 class action lawsuit filed in the Supreme Court of British Columbia by a purported class of Canadians who have used cellular phones for at least 1,600 hours, including a subclass of users with brain tumors, alleging adverse health effects from cellular phone use. Microsoft was served with the complaint in June 2014 and has been substituted for the Nokia defendants. The litigation has been dormant for more than three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Moussouris v. Microsoft</w:t>
      </w:r>
    </w:p>
    <w:p>
      <w:pPr>
        <w:spacing w:after="0" w:line="18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Current and former female Microsoft employees in certain engineering and information technology roles brought this class action in federal court in Seattle in 2015, alleging systemic gender discrimination in pay and promotions. The plaintiffs moved to certify the class in October 2017. Microsoft filed an opposition in January 2018, attaching an expert report showing no statistically significant disparity in pay and promotions between similarly situated men and women. In June 2018, the court denied the plaintiffs’ motion for class certification. The plaintiffs have appealed to the U.S. Court of Appeals for the Ninth Circuit. In July, the court denied Microsoft’s motion for summary judgment with respect to the named plaintiffs.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of June 30, 2018, we accrued aggregate legal liabilities of $323 million. While we intend to defend these matters vigorously, adverse outcomes that we estimate could reach approximately $1.1 billion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80"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18 —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5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860" w:type="dxa"/>
            <w:vAlign w:val="bottom"/>
          </w:tcPr>
          <w:p>
            <w:pPr>
              <w:spacing w:after="0"/>
              <w:rPr>
                <w:sz w:val="4"/>
                <w:szCs w:val="4"/>
                <w:color w:val="auto"/>
              </w:rPr>
            </w:pPr>
          </w:p>
        </w:tc>
        <w:tc>
          <w:tcPr>
            <w:tcW w:w="4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year</w:t>
            </w:r>
          </w:p>
        </w:tc>
        <w:tc>
          <w:tcPr>
            <w:tcW w:w="5760" w:type="dxa"/>
            <w:vAlign w:val="bottom"/>
            <w:gridSpan w:val="3"/>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7,708</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7,808</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8,027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tcPr>
          <w:p>
            <w:pPr>
              <w:ind w:left="200"/>
              <w:spacing w:after="0" w:line="189" w:lineRule="exact"/>
              <w:rPr>
                <w:sz w:val="20"/>
                <w:szCs w:val="20"/>
                <w:color w:val="auto"/>
              </w:rPr>
            </w:pPr>
            <w:r>
              <w:rPr>
                <w:rFonts w:ascii="Arial" w:cs="Arial" w:eastAsia="Arial" w:hAnsi="Arial"/>
                <w:sz w:val="18"/>
                <w:szCs w:val="18"/>
                <w:color w:val="auto"/>
              </w:rPr>
              <w:t>Issued</w:t>
            </w:r>
          </w:p>
        </w:tc>
        <w:tc>
          <w:tcPr>
            <w:tcW w:w="5760" w:type="dxa"/>
            <w:vAlign w:val="bottom"/>
            <w:gridSpan w:val="3"/>
          </w:tcPr>
          <w:p>
            <w:pPr>
              <w:jc w:val="right"/>
              <w:ind w:right="360"/>
              <w:spacing w:after="0" w:line="189" w:lineRule="exact"/>
              <w:rPr>
                <w:sz w:val="20"/>
                <w:szCs w:val="20"/>
                <w:color w:val="auto"/>
              </w:rPr>
            </w:pPr>
            <w:r>
              <w:rPr>
                <w:rFonts w:ascii="Arial" w:cs="Arial" w:eastAsia="Arial" w:hAnsi="Arial"/>
                <w:sz w:val="18"/>
                <w:szCs w:val="18"/>
                <w:b w:val="1"/>
                <w:bCs w:val="1"/>
                <w:color w:val="auto"/>
              </w:rPr>
              <w:t>68</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70</w:t>
            </w: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Repurchased</w:t>
            </w:r>
          </w:p>
        </w:tc>
        <w:tc>
          <w:tcPr>
            <w:tcW w:w="5760" w:type="dxa"/>
            <w:vAlign w:val="bottom"/>
            <w:gridSpan w:val="3"/>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(99)</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(170)</w:t>
            </w: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gridSpan w:val="2"/>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88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57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7,677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7,708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4700" w:type="dxa"/>
            <w:vAlign w:val="bottom"/>
            <w:vMerge w:val="restart"/>
          </w:tcPr>
          <w:p>
            <w:pPr>
              <w:jc w:val="right"/>
              <w:ind w:right="2697"/>
              <w:spacing w:after="0"/>
              <w:rPr>
                <w:sz w:val="20"/>
                <w:szCs w:val="20"/>
                <w:color w:val="auto"/>
              </w:rPr>
            </w:pPr>
            <w:r>
              <w:rPr>
                <w:rFonts w:ascii="Arial" w:cs="Arial" w:eastAsia="Arial" w:hAnsi="Arial"/>
                <w:sz w:val="14"/>
                <w:szCs w:val="14"/>
                <w:color w:val="auto"/>
              </w:rPr>
              <w:t>89</w:t>
            </w:r>
          </w:p>
        </w:tc>
        <w:tc>
          <w:tcPr>
            <w:tcW w:w="70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9" w:name="page90"/>
    <w:bookmarkEnd w:id="89"/>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2013,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became effective on October 1, 2013, and was completed on December 22, 2016.</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September 20, 2016, our Board of Directors approved a share repurchase program authorizing up to an additional $40.0 billion in share repurchases. This share repurchase program commenced on December 22, 2016 following completion of the prior program approved on September 16, 2013, has no expiration date, and may be suspended or discontinued at any time without notice. As of June 30, 2018, $28.2 billion remained of this $40.0 billion share repurchase program.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5"/>
        </w:trPr>
        <w:tc>
          <w:tcPr>
            <w:tcW w:w="482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1,600</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3,550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89</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4,000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340"/>
              <w:spacing w:after="0" w:line="189" w:lineRule="exact"/>
              <w:rPr>
                <w:sz w:val="20"/>
                <w:szCs w:val="20"/>
                <w:color w:val="auto"/>
              </w:rPr>
            </w:pPr>
            <w:r>
              <w:rPr>
                <w:rFonts w:ascii="Arial" w:cs="Arial" w:eastAsia="Arial" w:hAnsi="Arial"/>
                <w:sz w:val="18"/>
                <w:szCs w:val="18"/>
                <w:b w:val="1"/>
                <w:bCs w:val="1"/>
                <w:color w:val="auto"/>
              </w:rPr>
              <w:t>1,800</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59</w:t>
            </w:r>
          </w:p>
        </w:tc>
        <w:tc>
          <w:tcPr>
            <w:tcW w:w="24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3,533</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3,600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3,100</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1,600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3,600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Fourth Quarter</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2,100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99</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8,600</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10,283</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294</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Shares repurchased beginning in the third quarter of fiscal year 2017 were under the share repurchase program approved September 20, 2016. All other shares repurchased were under the share repurchase program approved September 16, 2013. The above table excludes shares repurchased to settle employee tax withholding related to the vesting of stock awards. All repurchases were made using cash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Dividend</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1640" w:type="dxa"/>
            <w:vAlign w:val="bottom"/>
          </w:tcPr>
          <w:p>
            <w:pPr>
              <w:spacing w:after="0"/>
              <w:rPr>
                <w:sz w:val="15"/>
                <w:szCs w:val="15"/>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Per Share</w:t>
            </w:r>
          </w:p>
        </w:tc>
        <w:tc>
          <w:tcPr>
            <w:tcW w:w="2120" w:type="dxa"/>
            <w:vAlign w:val="bottom"/>
          </w:tcPr>
          <w:p>
            <w:pPr>
              <w:jc w:val="right"/>
              <w:ind w:right="32"/>
              <w:spacing w:after="0"/>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2140" w:type="dxa"/>
            <w:vAlign w:val="bottom"/>
            <w:gridSpan w:val="2"/>
          </w:tcPr>
          <w:p>
            <w:pPr>
              <w:ind w:left="11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55"/>
        </w:trPr>
        <w:tc>
          <w:tcPr>
            <w:tcW w:w="3200" w:type="dxa"/>
            <w:vAlign w:val="bottom"/>
            <w:tcBorders>
              <w:bottom w:val="single" w:sz="8" w:color="auto"/>
            </w:tcBorders>
            <w:gridSpan w:val="2"/>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Fiscal Year 2018</w:t>
            </w: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(in millions)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19, 2017</w:t>
            </w:r>
          </w:p>
        </w:tc>
        <w:tc>
          <w:tcPr>
            <w:tcW w:w="1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314"/>
              <w:spacing w:after="0" w:line="189" w:lineRule="exact"/>
              <w:rPr>
                <w:sz w:val="20"/>
                <w:szCs w:val="20"/>
                <w:color w:val="auto"/>
              </w:rPr>
            </w:pPr>
            <w:r>
              <w:rPr>
                <w:rFonts w:ascii="Arial" w:cs="Arial" w:eastAsia="Arial" w:hAnsi="Arial"/>
                <w:sz w:val="18"/>
                <w:szCs w:val="18"/>
                <w:b w:val="1"/>
                <w:bCs w:val="1"/>
                <w:color w:val="auto"/>
              </w:rPr>
              <w:t>0.42</w:t>
            </w:r>
          </w:p>
        </w:tc>
        <w:tc>
          <w:tcPr>
            <w:tcW w:w="21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November 16, 2017</w:t>
            </w:r>
          </w:p>
        </w:tc>
        <w:tc>
          <w:tcPr>
            <w:tcW w:w="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52"/>
              <w:spacing w:after="0" w:line="189" w:lineRule="exact"/>
              <w:rPr>
                <w:sz w:val="20"/>
                <w:szCs w:val="20"/>
                <w:color w:val="auto"/>
              </w:rPr>
            </w:pPr>
            <w:r>
              <w:rPr>
                <w:rFonts w:ascii="Arial" w:cs="Arial" w:eastAsia="Arial" w:hAnsi="Arial"/>
                <w:sz w:val="18"/>
                <w:szCs w:val="18"/>
                <w:b w:val="1"/>
                <w:bCs w:val="1"/>
                <w:color w:val="auto"/>
              </w:rPr>
              <w:t>3,238</w:t>
            </w:r>
          </w:p>
        </w:tc>
        <w:tc>
          <w:tcPr>
            <w:tcW w:w="2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December 14, 2017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line="189" w:lineRule="exact"/>
              <w:rPr>
                <w:sz w:val="20"/>
                <w:szCs w:val="20"/>
                <w:color w:val="auto"/>
              </w:rPr>
            </w:pPr>
            <w:r>
              <w:rPr>
                <w:rFonts w:ascii="Arial" w:cs="Arial" w:eastAsia="Arial" w:hAnsi="Arial"/>
                <w:sz w:val="18"/>
                <w:szCs w:val="18"/>
                <w:b w:val="1"/>
                <w:bCs w:val="1"/>
                <w:color w:val="auto"/>
              </w:rPr>
              <w:t>November 29, 2017</w:t>
            </w:r>
          </w:p>
        </w:tc>
        <w:tc>
          <w:tcPr>
            <w:tcW w:w="1640" w:type="dxa"/>
            <w:vAlign w:val="bottom"/>
          </w:tcPr>
          <w:p>
            <w:pPr>
              <w:spacing w:after="0"/>
              <w:rPr>
                <w:sz w:val="16"/>
                <w:szCs w:val="16"/>
                <w:color w:val="auto"/>
              </w:rPr>
            </w:pPr>
          </w:p>
        </w:tc>
        <w:tc>
          <w:tcPr>
            <w:tcW w:w="1080" w:type="dxa"/>
            <w:vAlign w:val="bottom"/>
          </w:tcPr>
          <w:p>
            <w:pPr>
              <w:jc w:val="right"/>
              <w:ind w:right="314"/>
              <w:spacing w:after="0" w:line="189" w:lineRule="exact"/>
              <w:rPr>
                <w:sz w:val="20"/>
                <w:szCs w:val="20"/>
                <w:color w:val="auto"/>
              </w:rPr>
            </w:pPr>
            <w:r>
              <w:rPr>
                <w:rFonts w:ascii="Arial" w:cs="Arial" w:eastAsia="Arial" w:hAnsi="Arial"/>
                <w:sz w:val="18"/>
                <w:szCs w:val="18"/>
                <w:b w:val="1"/>
                <w:bCs w:val="1"/>
                <w:color w:val="auto"/>
              </w:rPr>
              <w:t>0.42</w:t>
            </w:r>
          </w:p>
        </w:tc>
        <w:tc>
          <w:tcPr>
            <w:tcW w:w="21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February 15, 2018</w:t>
            </w:r>
          </w:p>
        </w:tc>
        <w:tc>
          <w:tcPr>
            <w:tcW w:w="300" w:type="dxa"/>
            <w:vAlign w:val="bottom"/>
          </w:tcPr>
          <w:p>
            <w:pPr>
              <w:spacing w:after="0"/>
              <w:rPr>
                <w:sz w:val="16"/>
                <w:szCs w:val="16"/>
                <w:color w:val="auto"/>
              </w:rPr>
            </w:pPr>
          </w:p>
        </w:tc>
        <w:tc>
          <w:tcPr>
            <w:tcW w:w="940" w:type="dxa"/>
            <w:vAlign w:val="bottom"/>
          </w:tcPr>
          <w:p>
            <w:pPr>
              <w:jc w:val="right"/>
              <w:ind w:right="252"/>
              <w:spacing w:after="0" w:line="189" w:lineRule="exact"/>
              <w:rPr>
                <w:sz w:val="20"/>
                <w:szCs w:val="20"/>
                <w:color w:val="auto"/>
              </w:rPr>
            </w:pPr>
            <w:r>
              <w:rPr>
                <w:rFonts w:ascii="Arial" w:cs="Arial" w:eastAsia="Arial" w:hAnsi="Arial"/>
                <w:sz w:val="18"/>
                <w:szCs w:val="18"/>
                <w:b w:val="1"/>
                <w:bCs w:val="1"/>
                <w:color w:val="auto"/>
              </w:rPr>
              <w:t>3,232</w:t>
            </w:r>
          </w:p>
        </w:tc>
        <w:tc>
          <w:tcPr>
            <w:tcW w:w="21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March 8,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12, 2018</w:t>
            </w:r>
          </w:p>
        </w:tc>
        <w:tc>
          <w:tcPr>
            <w:tcW w:w="164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14"/>
              <w:spacing w:after="0" w:line="189" w:lineRule="exact"/>
              <w:rPr>
                <w:sz w:val="20"/>
                <w:szCs w:val="20"/>
                <w:color w:val="auto"/>
              </w:rPr>
            </w:pPr>
            <w:r>
              <w:rPr>
                <w:rFonts w:ascii="Arial" w:cs="Arial" w:eastAsia="Arial" w:hAnsi="Arial"/>
                <w:sz w:val="18"/>
                <w:szCs w:val="18"/>
                <w:b w:val="1"/>
                <w:bCs w:val="1"/>
                <w:color w:val="auto"/>
              </w:rPr>
              <w:t>0.42</w:t>
            </w:r>
          </w:p>
        </w:tc>
        <w:tc>
          <w:tcPr>
            <w:tcW w:w="21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May 17, 2018</w:t>
            </w:r>
          </w:p>
        </w:tc>
        <w:tc>
          <w:tcPr>
            <w:tcW w:w="30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252"/>
              <w:spacing w:after="0" w:line="189" w:lineRule="exact"/>
              <w:rPr>
                <w:sz w:val="20"/>
                <w:szCs w:val="20"/>
                <w:color w:val="auto"/>
              </w:rPr>
            </w:pPr>
            <w:r>
              <w:rPr>
                <w:rFonts w:ascii="Arial" w:cs="Arial" w:eastAsia="Arial" w:hAnsi="Arial"/>
                <w:sz w:val="18"/>
                <w:szCs w:val="18"/>
                <w:b w:val="1"/>
                <w:bCs w:val="1"/>
                <w:color w:val="auto"/>
              </w:rPr>
              <w:t>3,226</w:t>
            </w:r>
          </w:p>
        </w:tc>
        <w:tc>
          <w:tcPr>
            <w:tcW w:w="2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June 14, 2018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June 13, 2018</w:t>
            </w:r>
          </w:p>
        </w:tc>
        <w:tc>
          <w:tcPr>
            <w:tcW w:w="1640" w:type="dxa"/>
            <w:vAlign w:val="bottom"/>
          </w:tcPr>
          <w:p>
            <w:pPr>
              <w:spacing w:after="0"/>
              <w:rPr>
                <w:sz w:val="20"/>
                <w:szCs w:val="20"/>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b w:val="1"/>
                <w:bCs w:val="1"/>
                <w:color w:val="auto"/>
              </w:rPr>
              <w:t>0.42</w:t>
            </w:r>
          </w:p>
        </w:tc>
        <w:tc>
          <w:tcPr>
            <w:tcW w:w="2120" w:type="dxa"/>
            <w:vAlign w:val="bottom"/>
          </w:tcPr>
          <w:p>
            <w:pPr>
              <w:jc w:val="right"/>
              <w:ind w:right="12"/>
              <w:spacing w:after="0"/>
              <w:rPr>
                <w:sz w:val="20"/>
                <w:szCs w:val="20"/>
                <w:color w:val="auto"/>
              </w:rPr>
            </w:pPr>
            <w:r>
              <w:rPr>
                <w:rFonts w:ascii="Arial" w:cs="Arial" w:eastAsia="Arial" w:hAnsi="Arial"/>
                <w:sz w:val="18"/>
                <w:szCs w:val="18"/>
                <w:b w:val="1"/>
                <w:bCs w:val="1"/>
                <w:color w:val="auto"/>
              </w:rPr>
              <w:t>August 16, 2018</w:t>
            </w:r>
          </w:p>
        </w:tc>
        <w:tc>
          <w:tcPr>
            <w:tcW w:w="300" w:type="dxa"/>
            <w:vAlign w:val="bottom"/>
          </w:tcPr>
          <w:p>
            <w:pPr>
              <w:spacing w:after="0"/>
              <w:rPr>
                <w:sz w:val="20"/>
                <w:szCs w:val="20"/>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3,224</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September 13, 2018</w:t>
            </w:r>
          </w:p>
        </w:tc>
        <w:tc>
          <w:tcPr>
            <w:tcW w:w="0" w:type="dxa"/>
            <w:vAlign w:val="bottom"/>
          </w:tcPr>
          <w:p>
            <w:pPr>
              <w:spacing w:after="0"/>
              <w:rPr>
                <w:sz w:val="1"/>
                <w:szCs w:val="1"/>
                <w:color w:val="auto"/>
              </w:rPr>
            </w:pPr>
          </w:p>
        </w:tc>
      </w:tr>
      <w:tr>
        <w:trPr>
          <w:trHeight w:val="17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Fiscal Year 2017</w:t>
            </w: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20, 2016</w:t>
            </w:r>
          </w:p>
        </w:tc>
        <w:tc>
          <w:tcPr>
            <w:tcW w:w="1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14"/>
              <w:spacing w:after="0" w:line="189" w:lineRule="exact"/>
              <w:rPr>
                <w:sz w:val="20"/>
                <w:szCs w:val="20"/>
                <w:color w:val="auto"/>
              </w:rPr>
            </w:pPr>
            <w:r>
              <w:rPr>
                <w:rFonts w:ascii="Arial" w:cs="Arial" w:eastAsia="Arial" w:hAnsi="Arial"/>
                <w:sz w:val="18"/>
                <w:szCs w:val="18"/>
                <w:color w:val="auto"/>
              </w:rPr>
              <w:t>0.39</w:t>
            </w:r>
          </w:p>
        </w:tc>
        <w:tc>
          <w:tcPr>
            <w:tcW w:w="21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November 17, 2016</w:t>
            </w:r>
          </w:p>
        </w:tc>
        <w:tc>
          <w:tcPr>
            <w:tcW w:w="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252"/>
              <w:spacing w:after="0" w:line="189" w:lineRule="exact"/>
              <w:rPr>
                <w:sz w:val="20"/>
                <w:szCs w:val="20"/>
                <w:color w:val="auto"/>
              </w:rPr>
            </w:pPr>
            <w:r>
              <w:rPr>
                <w:rFonts w:ascii="Arial" w:cs="Arial" w:eastAsia="Arial" w:hAnsi="Arial"/>
                <w:sz w:val="18"/>
                <w:szCs w:val="18"/>
                <w:color w:val="auto"/>
              </w:rPr>
              <w:t>3,024</w:t>
            </w:r>
          </w:p>
        </w:tc>
        <w:tc>
          <w:tcPr>
            <w:tcW w:w="2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December 8, 2016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line="189" w:lineRule="exact"/>
              <w:rPr>
                <w:sz w:val="20"/>
                <w:szCs w:val="20"/>
                <w:color w:val="auto"/>
              </w:rPr>
            </w:pPr>
            <w:r>
              <w:rPr>
                <w:rFonts w:ascii="Arial" w:cs="Arial" w:eastAsia="Arial" w:hAnsi="Arial"/>
                <w:sz w:val="18"/>
                <w:szCs w:val="18"/>
                <w:color w:val="auto"/>
              </w:rPr>
              <w:t>November 30, 2016</w:t>
            </w:r>
          </w:p>
        </w:tc>
        <w:tc>
          <w:tcPr>
            <w:tcW w:w="1640" w:type="dxa"/>
            <w:vAlign w:val="bottom"/>
          </w:tcPr>
          <w:p>
            <w:pPr>
              <w:spacing w:after="0"/>
              <w:rPr>
                <w:sz w:val="16"/>
                <w:szCs w:val="16"/>
                <w:color w:val="auto"/>
              </w:rPr>
            </w:pPr>
          </w:p>
        </w:tc>
        <w:tc>
          <w:tcPr>
            <w:tcW w:w="1080" w:type="dxa"/>
            <w:vAlign w:val="bottom"/>
          </w:tcPr>
          <w:p>
            <w:pPr>
              <w:jc w:val="right"/>
              <w:ind w:right="314"/>
              <w:spacing w:after="0" w:line="189" w:lineRule="exact"/>
              <w:rPr>
                <w:sz w:val="20"/>
                <w:szCs w:val="20"/>
                <w:color w:val="auto"/>
              </w:rPr>
            </w:pPr>
            <w:r>
              <w:rPr>
                <w:rFonts w:ascii="Arial" w:cs="Arial" w:eastAsia="Arial" w:hAnsi="Arial"/>
                <w:sz w:val="18"/>
                <w:szCs w:val="18"/>
                <w:color w:val="auto"/>
              </w:rPr>
              <w:t>0.39</w:t>
            </w:r>
          </w:p>
        </w:tc>
        <w:tc>
          <w:tcPr>
            <w:tcW w:w="2120" w:type="dxa"/>
            <w:vAlign w:val="bottom"/>
          </w:tcPr>
          <w:p>
            <w:pPr>
              <w:jc w:val="right"/>
              <w:ind w:right="12"/>
              <w:spacing w:after="0" w:line="189" w:lineRule="exact"/>
              <w:rPr>
                <w:sz w:val="20"/>
                <w:szCs w:val="20"/>
                <w:color w:val="auto"/>
              </w:rPr>
            </w:pPr>
            <w:r>
              <w:rPr>
                <w:rFonts w:ascii="Arial" w:cs="Arial" w:eastAsia="Arial" w:hAnsi="Arial"/>
                <w:sz w:val="18"/>
                <w:szCs w:val="18"/>
                <w:color w:val="auto"/>
              </w:rPr>
              <w:t>February 16, 2017</w:t>
            </w:r>
          </w:p>
        </w:tc>
        <w:tc>
          <w:tcPr>
            <w:tcW w:w="300" w:type="dxa"/>
            <w:vAlign w:val="bottom"/>
          </w:tcPr>
          <w:p>
            <w:pPr>
              <w:spacing w:after="0"/>
              <w:rPr>
                <w:sz w:val="16"/>
                <w:szCs w:val="16"/>
                <w:color w:val="auto"/>
              </w:rPr>
            </w:pPr>
          </w:p>
        </w:tc>
        <w:tc>
          <w:tcPr>
            <w:tcW w:w="94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3,012</w:t>
            </w:r>
          </w:p>
        </w:tc>
        <w:tc>
          <w:tcPr>
            <w:tcW w:w="21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March 9, 2017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14, 2017</w:t>
            </w:r>
          </w:p>
        </w:tc>
        <w:tc>
          <w:tcPr>
            <w:tcW w:w="164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14"/>
              <w:spacing w:after="0" w:line="189" w:lineRule="exact"/>
              <w:rPr>
                <w:sz w:val="20"/>
                <w:szCs w:val="20"/>
                <w:color w:val="auto"/>
              </w:rPr>
            </w:pPr>
            <w:r>
              <w:rPr>
                <w:rFonts w:ascii="Arial" w:cs="Arial" w:eastAsia="Arial" w:hAnsi="Arial"/>
                <w:sz w:val="18"/>
                <w:szCs w:val="18"/>
                <w:color w:val="auto"/>
              </w:rPr>
              <w:t>0.39</w:t>
            </w:r>
          </w:p>
        </w:tc>
        <w:tc>
          <w:tcPr>
            <w:tcW w:w="21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May 18, 2017</w:t>
            </w:r>
          </w:p>
        </w:tc>
        <w:tc>
          <w:tcPr>
            <w:tcW w:w="30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252"/>
              <w:spacing w:after="0" w:line="189" w:lineRule="exact"/>
              <w:rPr>
                <w:sz w:val="20"/>
                <w:szCs w:val="20"/>
                <w:color w:val="auto"/>
              </w:rPr>
            </w:pPr>
            <w:r>
              <w:rPr>
                <w:rFonts w:ascii="Arial" w:cs="Arial" w:eastAsia="Arial" w:hAnsi="Arial"/>
                <w:sz w:val="18"/>
                <w:szCs w:val="18"/>
                <w:color w:val="auto"/>
              </w:rPr>
              <w:t>3,009</w:t>
            </w:r>
          </w:p>
        </w:tc>
        <w:tc>
          <w:tcPr>
            <w:tcW w:w="2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June 8, 2017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June 13, 2017</w:t>
            </w:r>
          </w:p>
        </w:tc>
        <w:tc>
          <w:tcPr>
            <w:tcW w:w="1640" w:type="dxa"/>
            <w:vAlign w:val="bottom"/>
          </w:tcPr>
          <w:p>
            <w:pPr>
              <w:spacing w:after="0"/>
              <w:rPr>
                <w:sz w:val="18"/>
                <w:szCs w:val="18"/>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color w:val="auto"/>
              </w:rPr>
              <w:t>0.39</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August 17, 2017</w:t>
            </w:r>
          </w:p>
        </w:tc>
        <w:tc>
          <w:tcPr>
            <w:tcW w:w="3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3,003</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14, 2017</w:t>
            </w: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June 13, 2018 was included in other current liabilities as of June 30, 2018.</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0" w:name="page91"/>
    <w:bookmarkEnd w:id="90"/>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66" w:lineRule="exact"/>
        <w:rPr>
          <w:sz w:val="20"/>
          <w:szCs w:val="20"/>
          <w:color w:val="auto"/>
        </w:rPr>
      </w:pPr>
    </w:p>
    <w:p>
      <w:pPr>
        <w:ind w:left="2660"/>
        <w:spacing w:after="0"/>
        <w:rPr>
          <w:sz w:val="20"/>
          <w:szCs w:val="20"/>
          <w:color w:val="auto"/>
        </w:rPr>
      </w:pPr>
      <w:r>
        <w:rPr>
          <w:rFonts w:ascii="Arial" w:cs="Arial" w:eastAsia="Arial" w:hAnsi="Arial"/>
          <w:sz w:val="18"/>
          <w:szCs w:val="18"/>
          <w:u w:val="single" w:color="auto"/>
          <w:color w:val="auto"/>
        </w:rPr>
        <w:t>NOTE 19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352</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net of tax of </w:t>
            </w:r>
            <w:r>
              <w:rPr>
                <w:rFonts w:ascii="Arial" w:cs="Arial" w:eastAsia="Arial" w:hAnsi="Arial"/>
                <w:sz w:val="18"/>
                <w:szCs w:val="18"/>
                <w:b w:val="1"/>
                <w:bCs w:val="1"/>
                <w:color w:val="auto"/>
              </w:rPr>
              <w:t>$ 11</w:t>
            </w:r>
            <w:r>
              <w:rPr>
                <w:rFonts w:ascii="Arial" w:cs="Arial" w:eastAsia="Arial" w:hAnsi="Arial"/>
                <w:sz w:val="18"/>
                <w:szCs w:val="18"/>
                <w:color w:val="auto"/>
              </w:rPr>
              <w:t>, $4, and $24</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included in revenue</w:t>
            </w:r>
          </w:p>
        </w:tc>
        <w:tc>
          <w:tcPr>
            <w:tcW w:w="9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(555)</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9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(546)</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18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$5,</w:t>
            </w:r>
            <w:r>
              <w:rPr>
                <w:rFonts w:ascii="Arial" w:cs="Arial" w:eastAsia="Arial" w:hAnsi="Arial"/>
                <w:sz w:val="18"/>
                <w:szCs w:val="18"/>
                <w:color w:val="auto"/>
              </w:rPr>
              <w:t xml:space="preserve"> $(5), and $(12)</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134</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1,825</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2,941</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$(427)</w:t>
            </w:r>
            <w:r>
              <w:rPr>
                <w:rFonts w:ascii="Arial" w:cs="Arial" w:eastAsia="Arial" w:hAnsi="Arial"/>
                <w:sz w:val="18"/>
                <w:szCs w:val="18"/>
                <w:color w:val="auto"/>
              </w:rPr>
              <w:t>, $267, and $120</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(1,146)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included in other income (expense), net</w:t>
            </w:r>
          </w:p>
        </w:tc>
        <w:tc>
          <w:tcPr>
            <w:tcW w:w="9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(2,309)</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(2,513)</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9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(1,571)</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(1,633)</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18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$(1,165)</w:t>
            </w:r>
            <w:r>
              <w:rPr>
                <w:rFonts w:ascii="Arial" w:cs="Arial" w:eastAsia="Arial" w:hAnsi="Arial"/>
                <w:sz w:val="18"/>
                <w:szCs w:val="18"/>
                <w:color w:val="auto"/>
              </w:rPr>
              <w:t>, $(613), and $(121)</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(892)</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1,825</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Translation Adjustments and Other</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(1,332)</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(1,499)</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effects of </w:t>
            </w:r>
            <w:r>
              <w:rPr>
                <w:rFonts w:ascii="Arial" w:cs="Arial" w:eastAsia="Arial" w:hAnsi="Arial"/>
                <w:sz w:val="18"/>
                <w:szCs w:val="18"/>
                <w:b w:val="1"/>
                <w:bCs w:val="1"/>
                <w:color w:val="auto"/>
              </w:rPr>
              <w:t>$0</w:t>
            </w:r>
            <w:r>
              <w:rPr>
                <w:rFonts w:ascii="Arial" w:cs="Arial" w:eastAsia="Arial" w:hAnsi="Arial"/>
                <w:sz w:val="18"/>
                <w:szCs w:val="18"/>
                <w:color w:val="auto"/>
              </w:rPr>
              <w:t>, $9, and $(33)</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1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(1,510)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(1,332)</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w:t>
            </w: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Accumulated other comprehensive income (loss), end of period</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(2,187)</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627</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20 — EMPLOYEE STOCK AND SAVINGS PLANS</w:t>
      </w:r>
    </w:p>
    <w:p>
      <w:pPr>
        <w:spacing w:after="0" w:line="15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grant stock-based compensation to employees and directors. As of June 30, 2018, an aggregate of 381 million shares were authorized for future grant under our stock plans. In fiscal year 2018, our Board of Directors approved the 2017 Stock Plan, which authorized an additional 308 million shares for future grant under our stock plans.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income tax benefits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220" w:type="dxa"/>
            <w:vAlign w:val="bottom"/>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80" w:type="dxa"/>
            <w:vAlign w:val="bottom"/>
          </w:tcPr>
          <w:p>
            <w:pPr>
              <w:spacing w:after="0"/>
              <w:rPr>
                <w:sz w:val="4"/>
                <w:szCs w:val="4"/>
                <w:color w:val="auto"/>
              </w:rPr>
            </w:pPr>
          </w:p>
        </w:tc>
        <w:tc>
          <w:tcPr>
            <w:tcW w:w="4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4220" w:type="dxa"/>
            <w:vAlign w:val="bottom"/>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   3,940</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37"/>
              <w:spacing w:after="0" w:line="202" w:lineRule="exact"/>
              <w:rPr>
                <w:sz w:val="20"/>
                <w:szCs w:val="20"/>
                <w:color w:val="auto"/>
              </w:rPr>
            </w:pPr>
            <w:r>
              <w:rPr>
                <w:rFonts w:ascii="Arial" w:cs="Arial" w:eastAsia="Arial" w:hAnsi="Arial"/>
                <w:sz w:val="18"/>
                <w:szCs w:val="18"/>
                <w:color w:val="auto"/>
              </w:rPr>
              <w:t>3,266</w:t>
            </w:r>
          </w:p>
        </w:tc>
        <w:tc>
          <w:tcPr>
            <w:tcW w:w="3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2,668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benefits related to stock-based compensation</w:t>
            </w:r>
          </w:p>
        </w:tc>
        <w:tc>
          <w:tcPr>
            <w:tcW w:w="4220" w:type="dxa"/>
            <w:vAlign w:val="bottom"/>
          </w:tcPr>
          <w:p>
            <w:pPr>
              <w:jc w:val="right"/>
              <w:ind w:right="20"/>
              <w:spacing w:after="0"/>
              <w:rPr>
                <w:sz w:val="20"/>
                <w:szCs w:val="20"/>
                <w:color w:val="auto"/>
              </w:rPr>
            </w:pPr>
            <w:r>
              <w:rPr>
                <w:rFonts w:ascii="Arial" w:cs="Arial" w:eastAsia="Arial" w:hAnsi="Arial"/>
                <w:sz w:val="18"/>
                <w:szCs w:val="18"/>
                <w:b w:val="1"/>
                <w:bCs w:val="1"/>
                <w:color w:val="auto"/>
              </w:rPr>
              <w:t>823</w:t>
            </w:r>
          </w:p>
        </w:tc>
        <w:tc>
          <w:tcPr>
            <w:tcW w:w="340" w:type="dxa"/>
            <w:vAlign w:val="bottom"/>
          </w:tcPr>
          <w:p>
            <w:pPr>
              <w:spacing w:after="0"/>
              <w:rPr>
                <w:sz w:val="20"/>
                <w:szCs w:val="20"/>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1,066</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20" w:type="dxa"/>
            <w:vAlign w:val="bottom"/>
          </w:tcPr>
          <w:p>
            <w:pPr>
              <w:jc w:val="right"/>
              <w:ind w:right="3440"/>
              <w:spacing w:after="0"/>
              <w:rPr>
                <w:sz w:val="20"/>
                <w:szCs w:val="20"/>
                <w:color w:val="auto"/>
              </w:rPr>
            </w:pPr>
            <w:r>
              <w:rPr>
                <w:rFonts w:ascii="Arial" w:cs="Arial" w:eastAsia="Arial" w:hAnsi="Arial"/>
                <w:sz w:val="14"/>
                <w:szCs w:val="14"/>
                <w:color w:val="auto"/>
              </w:rPr>
              <w:t>91</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91" w:name="page92"/>
    <w:bookmarkEnd w:id="91"/>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Stock awards entitle the holder to receive shares of Microsoft common stock as the award vests. Stock awards generally vest over a four or five-year service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Executive Incentive Plan, the Compensation Committee approves stock awards to executive officers and certain senior executives. RSUs generally vest ratably over a four-year service period. PSUs generally vest over a three-year performance period. The number of shares the PSU holder receives is based on the extent to which the corresponding performance goals have been achieved.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for All Stock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was estimated on the date of grant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123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5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Dividends per share (quarterly amounts)</w:t>
            </w:r>
          </w:p>
        </w:tc>
        <w:tc>
          <w:tcPr>
            <w:tcW w:w="1800" w:type="dxa"/>
            <w:vAlign w:val="bottom"/>
            <w:shd w:val="clear" w:color="auto" w:fill="E5E5E5"/>
          </w:tcPr>
          <w:p>
            <w:pPr>
              <w:jc w:val="right"/>
              <w:ind w:right="217"/>
              <w:spacing w:after="0" w:line="202" w:lineRule="exact"/>
              <w:rPr>
                <w:sz w:val="20"/>
                <w:szCs w:val="20"/>
                <w:color w:val="auto"/>
              </w:rPr>
            </w:pPr>
            <w:r>
              <w:rPr>
                <w:rFonts w:ascii="Arial" w:cs="Arial" w:eastAsia="Arial" w:hAnsi="Arial"/>
                <w:sz w:val="18"/>
                <w:szCs w:val="18"/>
                <w:b w:val="1"/>
                <w:bCs w:val="1"/>
                <w:color w:val="auto"/>
              </w:rPr>
              <w:t>$0.39 - $0.42</w:t>
            </w:r>
          </w:p>
        </w:tc>
        <w:tc>
          <w:tcPr>
            <w:tcW w:w="1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$0.36 - $0.39</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8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$0.31 - $0.36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rates</w:t>
            </w:r>
          </w:p>
        </w:tc>
        <w:tc>
          <w:tcPr>
            <w:tcW w:w="1800" w:type="dxa"/>
            <w:vAlign w:val="bottom"/>
          </w:tcPr>
          <w:p>
            <w:pPr>
              <w:jc w:val="right"/>
              <w:ind w:right="217"/>
              <w:spacing w:after="0"/>
              <w:rPr>
                <w:sz w:val="20"/>
                <w:szCs w:val="20"/>
                <w:color w:val="auto"/>
              </w:rPr>
            </w:pPr>
            <w:r>
              <w:rPr>
                <w:rFonts w:ascii="Arial" w:cs="Arial" w:eastAsia="Arial" w:hAnsi="Arial"/>
                <w:sz w:val="18"/>
                <w:szCs w:val="18"/>
                <w:b w:val="1"/>
                <w:bCs w:val="1"/>
                <w:color w:val="auto"/>
              </w:rPr>
              <w:t>1.7% - 2.9%</w:t>
            </w:r>
          </w:p>
        </w:tc>
        <w:tc>
          <w:tcPr>
            <w:tcW w:w="1400" w:type="dxa"/>
            <w:vAlign w:val="bottom"/>
          </w:tcPr>
          <w:p>
            <w:pPr>
              <w:jc w:val="right"/>
              <w:spacing w:after="0"/>
              <w:rPr>
                <w:sz w:val="20"/>
                <w:szCs w:val="20"/>
                <w:color w:val="auto"/>
              </w:rPr>
            </w:pPr>
            <w:r>
              <w:rPr>
                <w:rFonts w:ascii="Arial" w:cs="Arial" w:eastAsia="Arial" w:hAnsi="Arial"/>
                <w:sz w:val="18"/>
                <w:szCs w:val="18"/>
                <w:color w:val="auto"/>
              </w:rPr>
              <w:t>1.2% - 2.2%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 - 1.8%</w:t>
            </w:r>
          </w:p>
        </w:tc>
        <w:tc>
          <w:tcPr>
            <w:tcW w:w="0" w:type="dxa"/>
            <w:vAlign w:val="bottom"/>
          </w:tcPr>
          <w:p>
            <w:pPr>
              <w:spacing w:after="0"/>
              <w:rPr>
                <w:sz w:val="1"/>
                <w:szCs w:val="1"/>
                <w:color w:val="auto"/>
              </w:rPr>
            </w:pPr>
          </w:p>
        </w:tc>
      </w:tr>
      <w:tr>
        <w:trPr>
          <w:trHeight w:val="31"/>
        </w:trPr>
        <w:tc>
          <w:tcPr>
            <w:tcW w:w="6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6580" w:type="dxa"/>
            <w:vAlign w:val="bottom"/>
            <w:gridSpan w:val="2"/>
          </w:tcPr>
          <w:p>
            <w:pPr>
              <w:spacing w:after="0"/>
              <w:rPr>
                <w:sz w:val="20"/>
                <w:szCs w:val="20"/>
                <w:color w:val="auto"/>
              </w:rPr>
            </w:pPr>
            <w:r>
              <w:rPr>
                <w:rFonts w:ascii="Arial" w:cs="Arial" w:eastAsia="Arial" w:hAnsi="Arial"/>
                <w:sz w:val="18"/>
                <w:szCs w:val="18"/>
                <w:color w:val="auto"/>
              </w:rPr>
              <w:t>During fiscal year 2018, the following activity occurred under our stock plans:</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5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Stock Awards</w:t>
            </w:r>
          </w:p>
        </w:tc>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5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Nonvested balance, beginning of year</w:t>
            </w:r>
          </w:p>
        </w:tc>
        <w:tc>
          <w:tcPr>
            <w:tcW w:w="1800" w:type="dxa"/>
            <w:vAlign w:val="bottom"/>
            <w:shd w:val="clear" w:color="auto" w:fill="E5E5E5"/>
          </w:tcPr>
          <w:p>
            <w:pPr>
              <w:spacing w:after="0"/>
              <w:rPr>
                <w:sz w:val="17"/>
                <w:szCs w:val="17"/>
                <w:color w:val="auto"/>
              </w:rPr>
            </w:pPr>
          </w:p>
        </w:tc>
        <w:tc>
          <w:tcPr>
            <w:tcW w:w="1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46.32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(a)</w:t>
            </w:r>
          </w:p>
        </w:tc>
        <w:tc>
          <w:tcPr>
            <w:tcW w:w="1800" w:type="dxa"/>
            <w:vAlign w:val="bottom"/>
          </w:tcPr>
          <w:p>
            <w:pPr>
              <w:spacing w:after="0"/>
              <w:rPr>
                <w:sz w:val="17"/>
                <w:szCs w:val="17"/>
                <w:color w:val="auto"/>
              </w:rPr>
            </w:pP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Vested</w:t>
            </w:r>
          </w:p>
        </w:tc>
        <w:tc>
          <w:tcPr>
            <w:tcW w:w="1800" w:type="dxa"/>
            <w:vAlign w:val="bottom"/>
            <w:shd w:val="clear" w:color="auto" w:fill="E5E5E5"/>
          </w:tcPr>
          <w:p>
            <w:pPr>
              <w:spacing w:after="0"/>
              <w:rPr>
                <w:sz w:val="17"/>
                <w:szCs w:val="17"/>
                <w:color w:val="auto"/>
              </w:rPr>
            </w:pPr>
          </w:p>
        </w:tc>
        <w:tc>
          <w:tcPr>
            <w:tcW w:w="15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(80)</w:t>
            </w:r>
          </w:p>
        </w:tc>
        <w:tc>
          <w:tcPr>
            <w:tcW w:w="28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45.74</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8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5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Nonvested balance, end of year</w:t>
            </w:r>
          </w:p>
        </w:tc>
        <w:tc>
          <w:tcPr>
            <w:tcW w:w="1800" w:type="dxa"/>
            <w:vAlign w:val="bottom"/>
            <w:shd w:val="clear" w:color="auto" w:fill="E5E5E5"/>
          </w:tcPr>
          <w:p>
            <w:pPr>
              <w:spacing w:after="0"/>
              <w:rPr>
                <w:sz w:val="17"/>
                <w:szCs w:val="17"/>
                <w:color w:val="auto"/>
              </w:rPr>
            </w:pPr>
          </w:p>
        </w:tc>
        <w:tc>
          <w:tcPr>
            <w:tcW w:w="1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174</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57.85</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right="20" w:hanging="532"/>
        <w:spacing w:after="0" w:line="26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Includes 3 million, 2 million, and 1 million of PSUs granted at target and performance adjustments above target levels for fiscal years 2018, 2017, and 2016, respectively.</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2018, there was approximately $7.0 billion of total unrecognized compensation costs related to stock awards. These costs are expected to be recognized over a weighted average period of 3 years. The weighted average grant-date fair value of stock awards granted was $75.88, $55.64, and $41.51 for fiscal years 2018, 2017, and 2016, respectively. The fair value of stock awards vested was $6.6 billion, $4.8 billion, and $3.9 billion, for fiscal years 2018,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 Employees purchased the following shares during the periods presented: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0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14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40" w:type="dxa"/>
            <w:vAlign w:val="bottom"/>
          </w:tcPr>
          <w:p>
            <w:pPr>
              <w:spacing w:after="0"/>
              <w:rPr>
                <w:sz w:val="4"/>
                <w:szCs w:val="4"/>
                <w:color w:val="auto"/>
              </w:rPr>
            </w:pPr>
          </w:p>
        </w:tc>
        <w:tc>
          <w:tcPr>
            <w:tcW w:w="4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Shares purchased</w:t>
            </w:r>
          </w:p>
        </w:tc>
        <w:tc>
          <w:tcPr>
            <w:tcW w:w="414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color w:val="auto"/>
              </w:rPr>
              <w:t>13</w:t>
            </w:r>
          </w:p>
        </w:tc>
        <w:tc>
          <w:tcPr>
            <w:tcW w:w="360" w:type="dxa"/>
            <w:vAlign w:val="bottom"/>
            <w:shd w:val="clear" w:color="auto" w:fill="E5E5E5"/>
          </w:tcPr>
          <w:p>
            <w:pPr>
              <w:spacing w:after="0"/>
              <w:rPr>
                <w:sz w:val="16"/>
                <w:szCs w:val="16"/>
                <w:color w:val="auto"/>
              </w:rPr>
            </w:pPr>
          </w:p>
        </w:tc>
        <w:tc>
          <w:tcPr>
            <w:tcW w:w="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share</w:t>
            </w:r>
          </w:p>
        </w:tc>
        <w:tc>
          <w:tcPr>
            <w:tcW w:w="4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   76.40</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56.36</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116 million shares of our common stock were reserved for future issuance through the ESPP.</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2" w:name="page93"/>
    <w:bookmarkEnd w:id="92"/>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 savings plan in the U.S. that qualifies under Section 401(k) of the Internal Revenue Code, and a number of savings plans in international locations. Participating U.S. employees may contribute a portion of their salary, subject to certain limitations. We contribute fifty cents for each dollar a participant contributes in this plan, with a maximum employer contribution of 50% of the IRS contribution limit for the calendar year. Matching contributions for all plans were $807 million, $734 million, and $549 million in fiscal years 2018, 2017, and 2016, respectively, and were expensed as contributed.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21 — SEGMENT INFORMATION AND GEOGRAPHIC DATA</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8" w:lineRule="exact"/>
        <w:rPr>
          <w:sz w:val="20"/>
          <w:szCs w:val="20"/>
          <w:color w:val="auto"/>
        </w:rPr>
      </w:pPr>
    </w:p>
    <w:p>
      <w:pPr>
        <w:ind w:left="1060" w:hanging="390"/>
        <w:spacing w:after="0" w:line="246"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and Office licensed on-premises, comprising Office, Exchange, SharePoint, Skype for Business, and Microsoft Teams, and related Client Access Licenses (“CALs”).</w:t>
      </w:r>
    </w:p>
    <w:p>
      <w:pPr>
        <w:spacing w:after="0" w:line="48"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Office Consumer, including Office 365 subscriptions and Office licensed on-premises, and Office Consumer Services, including Skype, Outlook.com, and OneDrive.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and Premium Subscriptions.</w:t>
      </w:r>
    </w:p>
    <w:p>
      <w:pPr>
        <w:spacing w:after="0" w:line="63" w:lineRule="exact"/>
        <w:rPr>
          <w:rFonts w:ascii="Arial" w:cs="Arial" w:eastAsia="Arial" w:hAnsi="Arial"/>
          <w:sz w:val="18"/>
          <w:szCs w:val="18"/>
          <w:color w:val="auto"/>
        </w:rPr>
      </w:pPr>
    </w:p>
    <w:p>
      <w:pPr>
        <w:ind w:left="1060" w:hanging="390"/>
        <w:spacing w:after="0" w:line="246"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Dynamics business solutions, including Dynamics ERP on-premises, Dynamics CRM on-premises, and Dynamics 365, a set of cloud-based applications across ERP and CRM.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w:t>
      </w:r>
    </w:p>
    <w:p>
      <w:pPr>
        <w:spacing w:after="0"/>
        <w:rPr>
          <w:sz w:val="20"/>
          <w:szCs w:val="20"/>
          <w:color w:val="auto"/>
        </w:rPr>
      </w:pPr>
      <w:r>
        <w:rPr>
          <w:rFonts w:ascii="Arial" w:cs="Arial" w:eastAsia="Arial" w:hAnsi="Arial"/>
          <w:sz w:val="18"/>
          <w:szCs w:val="18"/>
          <w:color w:val="auto"/>
        </w:rPr>
        <w:t>This segment primarily comprises:</w:t>
      </w:r>
    </w:p>
    <w:p>
      <w:pPr>
        <w:spacing w:after="0" w:line="77" w:lineRule="exact"/>
        <w:rPr>
          <w:sz w:val="20"/>
          <w:szCs w:val="20"/>
          <w:color w:val="auto"/>
        </w:rPr>
      </w:pPr>
    </w:p>
    <w:p>
      <w:pPr>
        <w:ind w:left="1060" w:right="20" w:hanging="390"/>
        <w:spacing w:after="0" w:line="246"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Server products and cloud services, including Microsoft SQL Server, Windows Server, Visual Studio, System Center, and related CALs, and Azure.</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geared towards harmonizing the interests of end users, developers, and IT professionals across all devices. This segment primarily comprises:</w:t>
      </w:r>
    </w:p>
    <w:p>
      <w:pPr>
        <w:spacing w:after="0" w:line="48" w:lineRule="exact"/>
        <w:rPr>
          <w:sz w:val="20"/>
          <w:szCs w:val="20"/>
          <w:color w:val="auto"/>
        </w:rPr>
      </w:pPr>
    </w:p>
    <w:p>
      <w:pPr>
        <w:jc w:val="both"/>
        <w:ind w:left="1060" w:hanging="390"/>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Windows Internet of Things (“IoT”); and MSN advertising.</w:t>
      </w:r>
    </w:p>
    <w:p>
      <w:pPr>
        <w:spacing w:after="0" w:line="54" w:lineRule="exact"/>
        <w:rPr>
          <w:rFonts w:ascii="Arial" w:cs="Arial" w:eastAsia="Arial" w:hAnsi="Arial"/>
          <w:sz w:val="18"/>
          <w:szCs w:val="18"/>
          <w:color w:val="auto"/>
        </w:rPr>
      </w:pPr>
    </w:p>
    <w:p>
      <w:pPr>
        <w:ind w:left="1060" w:hanging="390"/>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Devices, including Microsoft Surface, PC accessories, and other intelligent devices.</w:t>
      </w:r>
    </w:p>
    <w:p>
      <w:pPr>
        <w:spacing w:after="0" w:line="63" w:lineRule="exact"/>
        <w:rPr>
          <w:rFonts w:ascii="Arial" w:cs="Arial" w:eastAsia="Arial" w:hAnsi="Arial"/>
          <w:sz w:val="18"/>
          <w:szCs w:val="18"/>
          <w:color w:val="auto"/>
        </w:rPr>
      </w:pPr>
    </w:p>
    <w:p>
      <w:pPr>
        <w:ind w:left="1060" w:right="20" w:hanging="390"/>
        <w:spacing w:after="0" w:line="246"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Gaming, including Xbox hardware and Xbox software and services, comprising Xbox Live transactions, subscriptions, and advertising (“Xbox Live”), video games, and third-party video game royalties.</w:t>
      </w:r>
    </w:p>
    <w:p>
      <w:pPr>
        <w:spacing w:after="0" w:line="48" w:lineRule="exact"/>
        <w:rPr>
          <w:rFonts w:ascii="Arial" w:cs="Arial" w:eastAsia="Arial" w:hAnsi="Arial"/>
          <w:sz w:val="18"/>
          <w:szCs w:val="18"/>
          <w:color w:val="auto"/>
        </w:rPr>
      </w:pPr>
    </w:p>
    <w:p>
      <w:pPr>
        <w:ind w:left="1060" w:hanging="390"/>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Search.</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3" w:name="page94"/>
    <w:bookmarkEnd w:id="93"/>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 including impairment and restructuring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35,865</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29,870</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32,219</w:t>
            </w:r>
          </w:p>
        </w:tc>
        <w:tc>
          <w:tcPr>
            <w:tcW w:w="34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27,407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24,952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42,276</w:t>
            </w:r>
          </w:p>
        </w:tc>
        <w:tc>
          <w:tcPr>
            <w:tcW w:w="3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39,294</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40,410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110,360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96,571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91,154</w:t>
            </w:r>
          </w:p>
        </w:tc>
        <w:tc>
          <w:tcPr>
            <w:tcW w:w="0" w:type="dxa"/>
            <w:vAlign w:val="bottom"/>
          </w:tcPr>
          <w:p>
            <w:pPr>
              <w:spacing w:after="0"/>
              <w:rPr>
                <w:sz w:val="1"/>
                <w:szCs w:val="1"/>
                <w:color w:val="auto"/>
              </w:rPr>
            </w:pPr>
          </w:p>
        </w:tc>
      </w:tr>
      <w:tr>
        <w:trPr>
          <w:trHeight w:val="61"/>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12,924</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11,389</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11,524</w:t>
            </w:r>
          </w:p>
        </w:tc>
        <w:tc>
          <w:tcPr>
            <w:tcW w:w="34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9,127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10,610</w:t>
            </w:r>
          </w:p>
        </w:tc>
        <w:tc>
          <w:tcPr>
            <w:tcW w:w="3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8,815</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35,058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29,025</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26,078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operating loss comprised impairment and restructuring expenses.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fiscal years 2018, 2017, or 2016. Revenue, classified by the major geographic areas in which our customers are located, was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55,926</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51,078</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46,416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54,434</w:t>
            </w: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45,493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44,738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110,360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96,571</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91,154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40" w:right="20" w:hanging="532"/>
        <w:spacing w:after="0" w:line="26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4" w:name="page95"/>
    <w:bookmarkEnd w:id="94"/>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28,316</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25,573</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23,868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26,129</w:t>
            </w:r>
          </w:p>
        </w:tc>
        <w:tc>
          <w:tcPr>
            <w:tcW w:w="34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21,649</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19,062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19,518</w:t>
            </w:r>
          </w:p>
        </w:tc>
        <w:tc>
          <w:tcPr>
            <w:tcW w:w="3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18,593</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17,548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10,353</w:t>
            </w:r>
          </w:p>
        </w:tc>
        <w:tc>
          <w:tcPr>
            <w:tcW w:w="34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9,051</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9,202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Search advertising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7,012</w:t>
            </w:r>
          </w:p>
        </w:tc>
        <w:tc>
          <w:tcPr>
            <w:tcW w:w="3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6,219</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5,428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Enterprise Services</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5,846</w:t>
            </w:r>
          </w:p>
        </w:tc>
        <w:tc>
          <w:tcPr>
            <w:tcW w:w="34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5,542</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5,659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Devices</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5,134</w:t>
            </w:r>
          </w:p>
        </w:tc>
        <w:tc>
          <w:tcPr>
            <w:tcW w:w="3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5,062</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7,888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LinkedIn</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5,259</w:t>
            </w:r>
          </w:p>
        </w:tc>
        <w:tc>
          <w:tcPr>
            <w:tcW w:w="34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2,271</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2,793</w:t>
            </w:r>
          </w:p>
        </w:tc>
        <w:tc>
          <w:tcPr>
            <w:tcW w:w="3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2,611</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2,499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110,360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96,571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91,154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commercial cloud revenue, which primarily comprises Office 365 commercial, Azure, Dynamics 365, and other cloud properties, was $23.2 billion, $14.9 billion, and $9.5 billion in fiscal years 2018, 2017, and 2016, respectively. These amounts are primarily included in Office products and services and server products and cloud services in the table above.</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Long-lived assets, excluding financial instruments and tax assets, classified by the location of the controlling statutory company and with countries over 10% of the total shown separately, were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780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4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4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United States</w:t>
            </w:r>
          </w:p>
        </w:tc>
        <w:tc>
          <w:tcPr>
            <w:tcW w:w="43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44,501</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42,730</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25,145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8"/>
                <w:szCs w:val="18"/>
                <w:color w:val="auto"/>
              </w:rPr>
              <w:t>Ireland</w:t>
            </w:r>
          </w:p>
        </w:tc>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12,843</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12,889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Luxembourg</w:t>
            </w:r>
          </w:p>
        </w:tc>
        <w:tc>
          <w:tcPr>
            <w:tcW w:w="40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6,856</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6,854</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6,868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countries</w:t>
            </w: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15,682</w:t>
            </w: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20" w:type="dxa"/>
            <w:vAlign w:val="bottom"/>
            <w:tcBorders>
              <w:top w:val="single" w:sz="8" w:color="auto"/>
            </w:tcBorders>
          </w:tcPr>
          <w:p>
            <w:pPr>
              <w:spacing w:after="0"/>
              <w:rPr>
                <w:sz w:val="5"/>
                <w:szCs w:val="5"/>
                <w:color w:val="auto"/>
              </w:rPr>
            </w:pPr>
          </w:p>
        </w:tc>
        <w:tc>
          <w:tcPr>
            <w:tcW w:w="40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3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79,882</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75,517</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20" w:type="dxa"/>
            <w:vAlign w:val="bottom"/>
          </w:tcPr>
          <w:p>
            <w:pPr>
              <w:spacing w:after="0"/>
              <w:rPr>
                <w:sz w:val="6"/>
                <w:szCs w:val="6"/>
                <w:color w:val="auto"/>
              </w:rPr>
            </w:pPr>
          </w:p>
        </w:tc>
        <w:tc>
          <w:tcPr>
            <w:tcW w:w="4000" w:type="dxa"/>
            <w:vAlign w:val="bottom"/>
            <w:vMerge w:val="restart"/>
          </w:tcPr>
          <w:p>
            <w:pPr>
              <w:jc w:val="right"/>
              <w:ind w:right="1556"/>
              <w:spacing w:after="0"/>
              <w:rPr>
                <w:sz w:val="20"/>
                <w:szCs w:val="20"/>
                <w:color w:val="auto"/>
              </w:rPr>
            </w:pPr>
            <w:r>
              <w:rPr>
                <w:rFonts w:ascii="Arial" w:cs="Arial" w:eastAsia="Arial" w:hAnsi="Arial"/>
                <w:sz w:val="14"/>
                <w:szCs w:val="14"/>
                <w:color w:val="auto"/>
              </w:rPr>
              <w:t>95</w:t>
            </w: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95" w:name="page96"/>
    <w:bookmarkEnd w:id="95"/>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22 — QUARTERLY INFORMATION (UNAUDITED)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094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5"/>
                <w:szCs w:val="15"/>
                <w:color w:val="auto"/>
              </w:rPr>
            </w:pPr>
          </w:p>
        </w:tc>
        <w:tc>
          <w:tcPr>
            <w:tcW w:w="1060" w:type="dxa"/>
            <w:vAlign w:val="bottom"/>
          </w:tcPr>
          <w:p>
            <w:pPr>
              <w:jc w:val="right"/>
              <w:ind w:right="172"/>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Fiscal Year 2018</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24,538</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b w:val="1"/>
                <w:bCs w:val="1"/>
                <w:color w:val="auto"/>
              </w:rPr>
              <w:t>28,918</w:t>
            </w:r>
          </w:p>
        </w:tc>
        <w:tc>
          <w:tcPr>
            <w:tcW w:w="4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26,819</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b w:val="1"/>
                <w:bCs w:val="1"/>
                <w:color w:val="auto"/>
              </w:rPr>
              <w:t>30,085</w:t>
            </w:r>
          </w:p>
        </w:tc>
        <w:tc>
          <w:tcPr>
            <w:tcW w:w="36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110,360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16,260</w:t>
            </w:r>
          </w:p>
        </w:tc>
        <w:tc>
          <w:tcPr>
            <w:tcW w:w="340" w:type="dxa"/>
            <w:vAlign w:val="bottom"/>
          </w:tcPr>
          <w:p>
            <w:pPr>
              <w:spacing w:after="0"/>
              <w:rPr>
                <w:sz w:val="16"/>
                <w:szCs w:val="16"/>
                <w:color w:val="auto"/>
              </w:rPr>
            </w:pPr>
          </w:p>
        </w:tc>
        <w:tc>
          <w:tcPr>
            <w:tcW w:w="1140" w:type="dxa"/>
            <w:vAlign w:val="bottom"/>
          </w:tcPr>
          <w:p>
            <w:pPr>
              <w:jc w:val="right"/>
              <w:ind w:right="112"/>
              <w:spacing w:after="0" w:line="189" w:lineRule="exact"/>
              <w:rPr>
                <w:sz w:val="20"/>
                <w:szCs w:val="20"/>
                <w:color w:val="auto"/>
              </w:rPr>
            </w:pPr>
            <w:r>
              <w:rPr>
                <w:rFonts w:ascii="Arial" w:cs="Arial" w:eastAsia="Arial" w:hAnsi="Arial"/>
                <w:sz w:val="18"/>
                <w:szCs w:val="18"/>
                <w:b w:val="1"/>
                <w:bCs w:val="1"/>
                <w:color w:val="auto"/>
              </w:rPr>
              <w:t>17,854</w:t>
            </w:r>
          </w:p>
        </w:tc>
        <w:tc>
          <w:tcPr>
            <w:tcW w:w="460" w:type="dxa"/>
            <w:vAlign w:val="bottom"/>
          </w:tcPr>
          <w:p>
            <w:pPr>
              <w:spacing w:after="0"/>
              <w:rPr>
                <w:sz w:val="16"/>
                <w:szCs w:val="16"/>
                <w:color w:val="auto"/>
              </w:rPr>
            </w:pPr>
          </w:p>
        </w:tc>
        <w:tc>
          <w:tcPr>
            <w:tcW w:w="9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17,550</w:t>
            </w:r>
          </w:p>
        </w:tc>
        <w:tc>
          <w:tcPr>
            <w:tcW w:w="440" w:type="dxa"/>
            <w:vAlign w:val="bottom"/>
          </w:tcPr>
          <w:p>
            <w:pPr>
              <w:spacing w:after="0"/>
              <w:rPr>
                <w:sz w:val="16"/>
                <w:szCs w:val="16"/>
                <w:color w:val="auto"/>
              </w:rPr>
            </w:pPr>
          </w:p>
        </w:tc>
        <w:tc>
          <w:tcPr>
            <w:tcW w:w="1060" w:type="dxa"/>
            <w:vAlign w:val="bottom"/>
          </w:tcPr>
          <w:p>
            <w:pPr>
              <w:jc w:val="right"/>
              <w:ind w:right="172"/>
              <w:spacing w:after="0" w:line="189" w:lineRule="exact"/>
              <w:rPr>
                <w:sz w:val="20"/>
                <w:szCs w:val="20"/>
                <w:color w:val="auto"/>
              </w:rPr>
            </w:pPr>
            <w:r>
              <w:rPr>
                <w:rFonts w:ascii="Arial" w:cs="Arial" w:eastAsia="Arial" w:hAnsi="Arial"/>
                <w:sz w:val="18"/>
                <w:szCs w:val="18"/>
                <w:b w:val="1"/>
                <w:bCs w:val="1"/>
                <w:color w:val="auto"/>
              </w:rPr>
              <w:t>20,343</w:t>
            </w:r>
          </w:p>
        </w:tc>
        <w:tc>
          <w:tcPr>
            <w:tcW w:w="3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72,007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7,708</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b w:val="1"/>
                <w:bCs w:val="1"/>
                <w:color w:val="auto"/>
              </w:rPr>
              <w:t>8,679</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8,292</w:t>
            </w:r>
          </w:p>
        </w:tc>
        <w:tc>
          <w:tcPr>
            <w:tcW w:w="4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b w:val="1"/>
                <w:bCs w:val="1"/>
                <w:color w:val="auto"/>
              </w:rPr>
              <w:t>10,379</w:t>
            </w: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35,058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(a)</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6,576</w:t>
            </w:r>
          </w:p>
        </w:tc>
        <w:tc>
          <w:tcPr>
            <w:tcW w:w="340" w:type="dxa"/>
            <w:vAlign w:val="bottom"/>
          </w:tcPr>
          <w:p>
            <w:pPr>
              <w:spacing w:after="0"/>
              <w:rPr>
                <w:sz w:val="16"/>
                <w:szCs w:val="16"/>
                <w:color w:val="auto"/>
              </w:rPr>
            </w:pPr>
          </w:p>
        </w:tc>
        <w:tc>
          <w:tcPr>
            <w:tcW w:w="1140" w:type="dxa"/>
            <w:vAlign w:val="bottom"/>
          </w:tcPr>
          <w:p>
            <w:pPr>
              <w:jc w:val="right"/>
              <w:ind w:right="52"/>
              <w:spacing w:after="0" w:line="189" w:lineRule="exact"/>
              <w:rPr>
                <w:sz w:val="20"/>
                <w:szCs w:val="20"/>
                <w:color w:val="auto"/>
              </w:rPr>
            </w:pPr>
            <w:r>
              <w:rPr>
                <w:rFonts w:ascii="Arial" w:cs="Arial" w:eastAsia="Arial" w:hAnsi="Arial"/>
                <w:sz w:val="18"/>
                <w:szCs w:val="18"/>
                <w:b w:val="1"/>
                <w:bCs w:val="1"/>
                <w:color w:val="auto"/>
              </w:rPr>
              <w:t>(6,302)</w:t>
            </w:r>
          </w:p>
        </w:tc>
        <w:tc>
          <w:tcPr>
            <w:tcW w:w="460" w:type="dxa"/>
            <w:vAlign w:val="bottom"/>
          </w:tcPr>
          <w:p>
            <w:pPr>
              <w:spacing w:after="0"/>
              <w:rPr>
                <w:sz w:val="16"/>
                <w:szCs w:val="16"/>
                <w:color w:val="auto"/>
              </w:rPr>
            </w:pPr>
          </w:p>
        </w:tc>
        <w:tc>
          <w:tcPr>
            <w:tcW w:w="9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7,424</w:t>
            </w:r>
          </w:p>
        </w:tc>
        <w:tc>
          <w:tcPr>
            <w:tcW w:w="440" w:type="dxa"/>
            <w:vAlign w:val="bottom"/>
          </w:tcPr>
          <w:p>
            <w:pPr>
              <w:spacing w:after="0"/>
              <w:rPr>
                <w:sz w:val="16"/>
                <w:szCs w:val="16"/>
                <w:color w:val="auto"/>
              </w:rPr>
            </w:pPr>
          </w:p>
        </w:tc>
        <w:tc>
          <w:tcPr>
            <w:tcW w:w="1060" w:type="dxa"/>
            <w:vAlign w:val="bottom"/>
          </w:tcPr>
          <w:p>
            <w:pPr>
              <w:jc w:val="right"/>
              <w:ind w:right="172"/>
              <w:spacing w:after="0" w:line="189" w:lineRule="exact"/>
              <w:rPr>
                <w:sz w:val="20"/>
                <w:szCs w:val="20"/>
                <w:color w:val="auto"/>
              </w:rPr>
            </w:pPr>
            <w:r>
              <w:rPr>
                <w:rFonts w:ascii="Arial" w:cs="Arial" w:eastAsia="Arial" w:hAnsi="Arial"/>
                <w:sz w:val="18"/>
                <w:szCs w:val="18"/>
                <w:b w:val="1"/>
                <w:bCs w:val="1"/>
                <w:color w:val="auto"/>
              </w:rPr>
              <w:t>8,873</w:t>
            </w:r>
          </w:p>
        </w:tc>
        <w:tc>
          <w:tcPr>
            <w:tcW w:w="3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16,571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earnings (loss) per share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0.85</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(0.82)</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0.96</w:t>
            </w:r>
          </w:p>
        </w:tc>
        <w:tc>
          <w:tcPr>
            <w:tcW w:w="4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b w:val="1"/>
                <w:bCs w:val="1"/>
                <w:color w:val="auto"/>
              </w:rPr>
              <w:t>1.15</w:t>
            </w:r>
          </w:p>
        </w:tc>
        <w:tc>
          <w:tcPr>
            <w:tcW w:w="3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2.15</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Diluted earnings (loss) per share </w:t>
            </w:r>
            <w:r>
              <w:rPr>
                <w:rFonts w:ascii="Arial" w:cs="Arial" w:eastAsia="Arial" w:hAnsi="Arial"/>
                <w:sz w:val="15"/>
                <w:szCs w:val="15"/>
                <w:color w:val="auto"/>
              </w:rPr>
              <w:t>(b)</w:t>
            </w:r>
          </w:p>
        </w:tc>
        <w:tc>
          <w:tcPr>
            <w:tcW w:w="9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0.84</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(0.82)</w:t>
            </w: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0.95</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1.14</w:t>
            </w: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Fiscal Year 2017 </w:t>
            </w:r>
            <w:r>
              <w:rPr>
                <w:rFonts w:ascii="Arial" w:cs="Arial" w:eastAsia="Arial" w:hAnsi="Arial"/>
                <w:sz w:val="15"/>
                <w:szCs w:val="15"/>
                <w:color w:val="auto"/>
              </w:rPr>
              <w:t>(c)</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3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21,928</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color w:val="auto"/>
              </w:rPr>
              <w:t>25,826</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23,212</w:t>
            </w:r>
          </w:p>
        </w:tc>
        <w:tc>
          <w:tcPr>
            <w:tcW w:w="4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color w:val="auto"/>
              </w:rPr>
              <w:t>25,605</w:t>
            </w:r>
          </w:p>
        </w:tc>
        <w:tc>
          <w:tcPr>
            <w:tcW w:w="36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96,571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14,084</w:t>
            </w:r>
          </w:p>
        </w:tc>
        <w:tc>
          <w:tcPr>
            <w:tcW w:w="340" w:type="dxa"/>
            <w:vAlign w:val="bottom"/>
          </w:tcPr>
          <w:p>
            <w:pPr>
              <w:spacing w:after="0"/>
              <w:rPr>
                <w:sz w:val="16"/>
                <w:szCs w:val="16"/>
                <w:color w:val="auto"/>
              </w:rPr>
            </w:pPr>
          </w:p>
        </w:tc>
        <w:tc>
          <w:tcPr>
            <w:tcW w:w="1140" w:type="dxa"/>
            <w:vAlign w:val="bottom"/>
          </w:tcPr>
          <w:p>
            <w:pPr>
              <w:jc w:val="right"/>
              <w:ind w:right="112"/>
              <w:spacing w:after="0" w:line="189" w:lineRule="exact"/>
              <w:rPr>
                <w:sz w:val="20"/>
                <w:szCs w:val="20"/>
                <w:color w:val="auto"/>
              </w:rPr>
            </w:pPr>
            <w:r>
              <w:rPr>
                <w:rFonts w:ascii="Arial" w:cs="Arial" w:eastAsia="Arial" w:hAnsi="Arial"/>
                <w:sz w:val="18"/>
                <w:szCs w:val="18"/>
                <w:color w:val="auto"/>
              </w:rPr>
              <w:t>15,925</w:t>
            </w:r>
          </w:p>
        </w:tc>
        <w:tc>
          <w:tcPr>
            <w:tcW w:w="4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15,152</w:t>
            </w:r>
          </w:p>
        </w:tc>
        <w:tc>
          <w:tcPr>
            <w:tcW w:w="440" w:type="dxa"/>
            <w:vAlign w:val="bottom"/>
          </w:tcPr>
          <w:p>
            <w:pPr>
              <w:spacing w:after="0"/>
              <w:rPr>
                <w:sz w:val="16"/>
                <w:szCs w:val="16"/>
                <w:color w:val="auto"/>
              </w:rPr>
            </w:pPr>
          </w:p>
        </w:tc>
        <w:tc>
          <w:tcPr>
            <w:tcW w:w="1060" w:type="dxa"/>
            <w:vAlign w:val="bottom"/>
          </w:tcPr>
          <w:p>
            <w:pPr>
              <w:jc w:val="right"/>
              <w:ind w:right="172"/>
              <w:spacing w:after="0" w:line="189" w:lineRule="exact"/>
              <w:rPr>
                <w:sz w:val="20"/>
                <w:szCs w:val="20"/>
                <w:color w:val="auto"/>
              </w:rPr>
            </w:pPr>
            <w:r>
              <w:rPr>
                <w:rFonts w:ascii="Arial" w:cs="Arial" w:eastAsia="Arial" w:hAnsi="Arial"/>
                <w:sz w:val="18"/>
                <w:szCs w:val="18"/>
                <w:color w:val="auto"/>
              </w:rPr>
              <w:t>17,149</w:t>
            </w:r>
          </w:p>
        </w:tc>
        <w:tc>
          <w:tcPr>
            <w:tcW w:w="3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62,310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6,715</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color w:val="auto"/>
              </w:rPr>
              <w:t>7,905</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6,723</w:t>
            </w:r>
          </w:p>
        </w:tc>
        <w:tc>
          <w:tcPr>
            <w:tcW w:w="4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7,682</w:t>
            </w:r>
            <w:r>
              <w:rPr>
                <w:rFonts w:ascii="Arial" w:cs="Arial" w:eastAsia="Arial" w:hAnsi="Arial"/>
                <w:sz w:val="15"/>
                <w:szCs w:val="15"/>
                <w:color w:val="auto"/>
              </w:rPr>
              <w:t>(d)</w:t>
            </w: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29,025</w:t>
            </w:r>
            <w:r>
              <w:rPr>
                <w:rFonts w:ascii="Arial" w:cs="Arial" w:eastAsia="Arial" w:hAnsi="Arial"/>
                <w:sz w:val="15"/>
                <w:szCs w:val="15"/>
                <w:color w:val="auto"/>
              </w:rPr>
              <w:t>(d)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5,667</w:t>
            </w:r>
          </w:p>
        </w:tc>
        <w:tc>
          <w:tcPr>
            <w:tcW w:w="340" w:type="dxa"/>
            <w:vAlign w:val="bottom"/>
          </w:tcPr>
          <w:p>
            <w:pPr>
              <w:spacing w:after="0"/>
              <w:rPr>
                <w:sz w:val="16"/>
                <w:szCs w:val="16"/>
                <w:color w:val="auto"/>
              </w:rPr>
            </w:pPr>
          </w:p>
        </w:tc>
        <w:tc>
          <w:tcPr>
            <w:tcW w:w="1140" w:type="dxa"/>
            <w:vAlign w:val="bottom"/>
          </w:tcPr>
          <w:p>
            <w:pPr>
              <w:jc w:val="right"/>
              <w:ind w:right="112"/>
              <w:spacing w:after="0" w:line="189" w:lineRule="exact"/>
              <w:rPr>
                <w:sz w:val="20"/>
                <w:szCs w:val="20"/>
                <w:color w:val="auto"/>
              </w:rPr>
            </w:pPr>
            <w:r>
              <w:rPr>
                <w:rFonts w:ascii="Arial" w:cs="Arial" w:eastAsia="Arial" w:hAnsi="Arial"/>
                <w:sz w:val="18"/>
                <w:szCs w:val="18"/>
                <w:color w:val="auto"/>
              </w:rPr>
              <w:t>6,267</w:t>
            </w:r>
          </w:p>
        </w:tc>
        <w:tc>
          <w:tcPr>
            <w:tcW w:w="4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5,486</w:t>
            </w: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8,069</w:t>
            </w:r>
            <w:r>
              <w:rPr>
                <w:rFonts w:ascii="Arial" w:cs="Arial" w:eastAsia="Arial" w:hAnsi="Arial"/>
                <w:sz w:val="15"/>
                <w:szCs w:val="15"/>
                <w:color w:val="auto"/>
              </w:rPr>
              <w:t>(d)</w:t>
            </w:r>
          </w:p>
        </w:tc>
        <w:tc>
          <w:tcPr>
            <w:tcW w:w="360" w:type="dxa"/>
            <w:vAlign w:val="bottom"/>
          </w:tcPr>
          <w:p>
            <w:pPr>
              <w:spacing w:after="0"/>
              <w:rPr>
                <w:sz w:val="16"/>
                <w:szCs w:val="16"/>
                <w:color w:val="auto"/>
              </w:rPr>
            </w:pP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25,489</w:t>
            </w:r>
            <w:r>
              <w:rPr>
                <w:rFonts w:ascii="Arial" w:cs="Arial" w:eastAsia="Arial" w:hAnsi="Arial"/>
                <w:sz w:val="15"/>
                <w:szCs w:val="15"/>
                <w:color w:val="auto"/>
              </w:rPr>
              <w:t>(d)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earnings per share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0.73</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color w:val="auto"/>
              </w:rPr>
              <w:t>0.81</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0.71</w:t>
            </w:r>
          </w:p>
        </w:tc>
        <w:tc>
          <w:tcPr>
            <w:tcW w:w="4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color w:val="auto"/>
              </w:rPr>
              <w:t>1.05</w:t>
            </w:r>
          </w:p>
        </w:tc>
        <w:tc>
          <w:tcPr>
            <w:tcW w:w="3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3.29</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0.72</w:t>
            </w:r>
          </w:p>
        </w:tc>
        <w:tc>
          <w:tcPr>
            <w:tcW w:w="34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0.80</w:t>
            </w:r>
          </w:p>
        </w:tc>
        <w:tc>
          <w:tcPr>
            <w:tcW w:w="4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0.70</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(d)</w:t>
            </w: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r>
              <w:rPr>
                <w:rFonts w:ascii="Arial" w:cs="Arial" w:eastAsia="Arial" w:hAnsi="Arial"/>
                <w:sz w:val="15"/>
                <w:szCs w:val="15"/>
                <w:color w:val="auto"/>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094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95" w:lineRule="exact"/>
        <w:rPr>
          <w:sz w:val="20"/>
          <w:szCs w:val="20"/>
          <w:color w:val="auto"/>
        </w:rPr>
      </w:pPr>
    </w:p>
    <w:p>
      <w:pPr>
        <w:ind w:left="540" w:hanging="532"/>
        <w:spacing w:after="0" w:line="245"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Reflects the net charge (benefit) related to the TCJA of $13.8 billion for the second quarter, $(104) million for the fourth quarter, and $13.7 billion for fiscal year 2018.</w:t>
      </w:r>
    </w:p>
    <w:p>
      <w:pPr>
        <w:ind w:left="540" w:hanging="532"/>
        <w:spacing w:after="0" w:line="234"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Reflects the net charge (benefit) related to the TCJA, which decreased (increased) diluted EPS $1.78 for the second quarter, $(0.01) for the fourth quarter, and $1.75 for fiscal year 2018.</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On December 8, 2016, we acquired LinkedIn Corporation. LinkedIn has been included in our consolidated results of operations starting on the acquisition date.</w:t>
      </w:r>
    </w:p>
    <w:p>
      <w:pPr>
        <w:spacing w:after="0" w:line="1"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Includes $306 million of employee severance expenses primarily related to our sales and marketing restructuring plan, which decreased operating income, net income, and diluted EPS by $306 million, $243 million, and $0.04,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6" w:name="page97"/>
    <w:bookmarkEnd w:id="96"/>
    <w:p>
      <w:pPr>
        <w:ind w:left="5480"/>
        <w:spacing w:after="0"/>
        <w:rPr>
          <w:sz w:val="20"/>
          <w:szCs w:val="20"/>
          <w:color w:val="auto"/>
        </w:rPr>
      </w:pPr>
      <w:r>
        <w:rPr>
          <w:rFonts w:ascii="Arial" w:cs="Arial" w:eastAsia="Arial" w:hAnsi="Arial"/>
          <w:sz w:val="14"/>
          <w:szCs w:val="14"/>
          <w:u w:val="single" w:color="auto"/>
          <w:color w:val="auto"/>
        </w:rPr>
        <w:t>PART II</w:t>
      </w: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ind w:right="532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Microsoft Corporation and subsidiaries (the “Company”) as of June 30, 2018 and 2017, the related consolidated statements of income, comprehensive income, stockholders’ equity, and cash flows, for each of the three years in the period ended June 30, 2018, and the related notes (collectively referred to as the “financial statements”). In our opinion, the financial statements present fairly, in all material respects, the financial position of the Company as of June 30, 2018 and 2017, and the results of its operations and its cash flows for each of the three years in the period ended June 30, 2018, in conformity with accounting principles generally accepted in the United States of America.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Company's internal control over financial reporting as of June 30, 2018, based on criteria established in </w:t>
      </w:r>
      <w:r>
        <w:rPr>
          <w:rFonts w:ascii="Arial" w:cs="Arial" w:eastAsia="Arial" w:hAnsi="Arial"/>
          <w:sz w:val="18"/>
          <w:szCs w:val="18"/>
          <w:i w:val="1"/>
          <w:iCs w:val="1"/>
          <w:color w:val="auto"/>
        </w:rPr>
        <w:t>Internal Control — Integrated</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August 3, 2018,</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revenue from contracts with customers and for accounting for leases in fiscal year 2018 due to the adoption of the new revenue standard and new lease standard, respectively. The Company adopted the new revenue standard using the full retrospective approach and adopted the new lease standard using a modified retrospective approach.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August 3,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u w:val="single" w:color="auto"/>
          <w:color w:val="auto"/>
        </w:rPr>
        <w:t>PART II</w:t>
      </w:r>
    </w:p>
    <w:p>
      <w:pPr>
        <w:jc w:val="center"/>
        <w:spacing w:after="0"/>
        <w:rPr>
          <w:sz w:val="20"/>
          <w:szCs w:val="20"/>
          <w:color w:val="auto"/>
        </w:rPr>
      </w:pPr>
      <w:r>
        <w:rPr>
          <w:rFonts w:ascii="Arial" w:cs="Arial" w:eastAsia="Arial" w:hAnsi="Arial"/>
          <w:sz w:val="14"/>
          <w:szCs w:val="14"/>
          <w:color w:val="auto"/>
        </w:rPr>
        <w:t>Item 9, 9A</w:t>
      </w:r>
    </w:p>
    <w:p>
      <w:pPr>
        <w:spacing w:after="0" w:line="158"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9A. CONTROLS AND PROCEDURES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the company’s internal control over financial reporting was effective as of June 30, 2018. Deloitte &amp; Touche LLP has audited our internal control over financial reporting as of June 30, 2018; their report is included in Item 9A.</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 We implemented internal controls to ensure we adequately evaluated our contracts and properly assessed the impact of the new accounting standards related to revenue recognition and leases on our financial statements to facilitate their adoption on July 1, 2017. There were no significant changes to our internal control over financial reporting due to the adoption of the new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8" w:name="page99"/>
    <w:bookmarkEnd w:id="98"/>
    <w:p>
      <w:pPr>
        <w:ind w:left="5480"/>
        <w:spacing w:after="0"/>
        <w:rPr>
          <w:sz w:val="20"/>
          <w:szCs w:val="20"/>
          <w:color w:val="auto"/>
        </w:rPr>
      </w:pPr>
      <w:r>
        <w:rPr>
          <w:rFonts w:ascii="Arial" w:cs="Arial" w:eastAsia="Arial" w:hAnsi="Arial"/>
          <w:sz w:val="14"/>
          <w:szCs w:val="14"/>
          <w:u w:val="single" w:color="auto"/>
          <w:color w:val="auto"/>
        </w:rPr>
        <w:t>PART II</w:t>
      </w:r>
    </w:p>
    <w:p>
      <w:pPr>
        <w:ind w:left="5480"/>
        <w:spacing w:after="0"/>
        <w:rPr>
          <w:sz w:val="20"/>
          <w:szCs w:val="20"/>
          <w:color w:val="auto"/>
        </w:rPr>
      </w:pPr>
      <w:r>
        <w:rPr>
          <w:rFonts w:ascii="Arial" w:cs="Arial" w:eastAsia="Arial" w:hAnsi="Arial"/>
          <w:sz w:val="14"/>
          <w:szCs w:val="14"/>
          <w:color w:val="auto"/>
        </w:rPr>
        <w:t>Item 9A</w:t>
      </w:r>
    </w:p>
    <w:p>
      <w:pPr>
        <w:spacing w:after="0" w:line="168" w:lineRule="exact"/>
        <w:rPr>
          <w:sz w:val="20"/>
          <w:szCs w:val="20"/>
          <w:color w:val="auto"/>
        </w:rPr>
      </w:pPr>
    </w:p>
    <w:p>
      <w:pPr>
        <w:ind w:right="532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have audited the internal control over financial reporting of Microsoft Corporation and subsidiaries (the "Company") as of June 30,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2018,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the related notes (collectively referred to as the “financial statements”) as of and for the year ended June 30, 2018, of the Company and our report dated August 3, 2018, expressed an unqualified opinion on those financial statements and included an explanatory paragraph related to the Company’s change in method of accounting for revenue from contracts with customers and for accounting for leases in fiscal year 2018 due to the adoption of the new revenue standard and new lease standard,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August 3, 2018</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u w:val="single" w:color="auto"/>
          <w:color w:val="auto"/>
        </w:rPr>
        <w:t>PART II, III</w:t>
      </w:r>
    </w:p>
    <w:p>
      <w:pPr>
        <w:jc w:val="center"/>
        <w:spacing w:after="0"/>
        <w:rPr>
          <w:sz w:val="20"/>
          <w:szCs w:val="20"/>
          <w:color w:val="auto"/>
        </w:rPr>
      </w:pPr>
      <w:r>
        <w:rPr>
          <w:rFonts w:ascii="Arial" w:cs="Arial" w:eastAsia="Arial" w:hAnsi="Arial"/>
          <w:sz w:val="14"/>
          <w:szCs w:val="14"/>
          <w:color w:val="auto"/>
        </w:rPr>
        <w:t>Item 9B, 10, 11, 12, 13, 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9B. OTHER INFORMATION</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quarter ended December 31, 2017, Microsoft provided software services to a person or entity identified under section 560.304 of title 31, Code of Federal Regulations. The services constituted a cloud-based spam and malware filtering service and the cloud-based provision of Office 365 software services provided to two entities associated with the Iranian bank, Bank Sepah – Bank Sepah International PLC and Banque Sepah, respectively. For the former, an annual service fee equivalent to $600 was charged for a one-year period beginning in February 2017, and for the latter, use rights were charged at a price equivalent to approximately $ 55 per month from September 2016 through November 2017, totaling $770. It is not possible to determine the precise profits, if any, attributable to these activities, though they are less than the associated revenues. Microsoft has ceased providing these software services to these entities and has no intention of doing so in the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November 28, 2018 (the “Proxy Statement”). Information about our Audit Committee may be found under the caption “Board committees” in the Proxy Statement. That information is incorporated herein by reference.</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Proxy Statement set forth under the caption “Section 16(a) beneficial ownership reporting compliance” is incorporated herein by reference.</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11. EXECUTIVE COMPENSATION</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interlocks and insider participation,” and “Compensation Committee report” is incorporated herein by reference.</w:t>
      </w:r>
    </w:p>
    <w:p>
      <w:pPr>
        <w:spacing w:after="0" w:line="179"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Proxy Statement set forth under the captions “Stock ownership information,” “Principal shareholders” and “Equity compensation plan information”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information set forth in the Proxy Statement under the captions “Director independence” and “Certain relationships and related transactions” is incorporated herein by reference.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Information concerning principal accountant fees and services appears in the Proxy Statement under the headings “Fees billed by Deloitte &amp; Touche” and “Policy on Audit Committee pre-approval of audit and permissible non-audit services of independent auditor”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0" w:name="page101"/>
    <w:bookmarkEnd w:id="100"/>
    <w:p>
      <w:pPr>
        <w:ind w:left="5460"/>
        <w:spacing w:after="0"/>
        <w:rPr>
          <w:sz w:val="20"/>
          <w:szCs w:val="20"/>
          <w:color w:val="auto"/>
        </w:rPr>
      </w:pPr>
      <w:r>
        <w:rPr>
          <w:rFonts w:ascii="Arial" w:cs="Arial" w:eastAsia="Arial" w:hAnsi="Arial"/>
          <w:sz w:val="14"/>
          <w:szCs w:val="14"/>
          <w:u w:val="single" w:color="auto"/>
          <w:color w:val="auto"/>
        </w:rPr>
        <w:t>PART IV</w:t>
      </w:r>
    </w:p>
    <w:p>
      <w:pPr>
        <w:ind w:left="5480"/>
        <w:spacing w:after="0"/>
        <w:rPr>
          <w:sz w:val="20"/>
          <w:szCs w:val="20"/>
          <w:color w:val="auto"/>
        </w:rPr>
      </w:pPr>
      <w:r>
        <w:rPr>
          <w:rFonts w:ascii="Arial" w:cs="Arial" w:eastAsia="Arial" w:hAnsi="Arial"/>
          <w:sz w:val="14"/>
          <w:szCs w:val="14"/>
          <w:color w:val="auto"/>
        </w:rPr>
        <w:t>Item 15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62"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Schedules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gridSpan w:val="7"/>
          </w:tcPr>
          <w:p>
            <w:pPr>
              <w:spacing w:after="0"/>
              <w:rPr>
                <w:sz w:val="20"/>
                <w:szCs w:val="20"/>
                <w:color w:val="auto"/>
              </w:rPr>
            </w:pPr>
            <w:r>
              <w:rPr>
                <w:rFonts w:ascii="Arial" w:cs="Arial" w:eastAsia="Arial" w:hAnsi="Arial"/>
                <w:sz w:val="14"/>
                <w:szCs w:val="14"/>
                <w:b w:val="1"/>
                <w:bCs w:val="1"/>
                <w:color w:val="auto"/>
              </w:rPr>
              <w:t>Index to Financial Statements</w:t>
            </w:r>
          </w:p>
        </w:tc>
        <w:tc>
          <w:tcPr>
            <w:tcW w:w="6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55"/>
        </w:trPr>
        <w:tc>
          <w:tcPr>
            <w:tcW w:w="1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r>
        <w:trPr>
          <w:trHeight w:val="237"/>
        </w:trPr>
        <w:tc>
          <w:tcPr>
            <w:tcW w:w="15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Income Statements</w:t>
              </w:r>
            </w:hyperlink>
          </w:p>
        </w:tc>
        <w:tc>
          <w:tcPr>
            <w:tcW w:w="3060" w:type="dxa"/>
            <w:vAlign w:val="bottom"/>
            <w:gridSpan w:val="5"/>
          </w:tcPr>
          <w:p>
            <w:pPr>
              <w:spacing w:after="0"/>
              <w:rPr>
                <w:sz w:val="20"/>
                <w:szCs w:val="20"/>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462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Comprehensive Income Statements</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2860" w:type="dxa"/>
            <w:vAlign w:val="bottom"/>
            <w:tcBorders>
              <w:top w:val="single" w:sz="8" w:color="0000EE"/>
            </w:tcBorders>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Balance Sheets</w:t>
              </w:r>
            </w:hyperlink>
          </w:p>
        </w:tc>
        <w:tc>
          <w:tcPr>
            <w:tcW w:w="1760" w:type="dxa"/>
            <w:vAlign w:val="bottom"/>
          </w:tcPr>
          <w:p>
            <w:pPr>
              <w:spacing w:after="0"/>
              <w:rPr>
                <w:sz w:val="22"/>
                <w:szCs w:val="22"/>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2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64"/>
        </w:trPr>
        <w:tc>
          <w:tcPr>
            <w:tcW w:w="46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Cash Flows Statements</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64"/>
        </w:trPr>
        <w:tc>
          <w:tcPr>
            <w:tcW w:w="26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Stockholders’ Equity Statements</w:t>
              </w:r>
            </w:hyperlink>
          </w:p>
        </w:tc>
        <w:tc>
          <w:tcPr>
            <w:tcW w:w="2020" w:type="dxa"/>
            <w:vAlign w:val="bottom"/>
            <w:gridSpan w:val="2"/>
          </w:tcPr>
          <w:p>
            <w:pPr>
              <w:spacing w:after="0"/>
              <w:rPr>
                <w:sz w:val="22"/>
                <w:szCs w:val="22"/>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46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Financial Statements</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64"/>
        </w:trPr>
        <w:tc>
          <w:tcPr>
            <w:tcW w:w="46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Report of Independent Registered Public Accounting Firm</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153"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7"/>
              </w:rPr>
              <w:t>Filed</w:t>
            </w:r>
          </w:p>
        </w:tc>
        <w:tc>
          <w:tcPr>
            <w:tcW w:w="1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46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Period</w:t>
            </w: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36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Form</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Ending</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4040" w:type="dxa"/>
            <w:vAlign w:val="bottom"/>
            <w:tcBorders>
              <w:bottom w:val="single" w:sz="8" w:color="0000EE"/>
            </w:tcBorders>
            <w:gridSpan w:val="8"/>
          </w:tcPr>
          <w:p>
            <w:pPr>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Amended and Restated Articles of Incorporation of</w:t>
              </w:r>
            </w:hyperlink>
          </w:p>
        </w:tc>
        <w:tc>
          <w:tcPr>
            <w:tcW w:w="32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3.1</w:t>
            </w:r>
          </w:p>
        </w:tc>
        <w:tc>
          <w:tcPr>
            <w:tcW w:w="940" w:type="dxa"/>
            <w:vAlign w:val="bottom"/>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7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74">
              <w:r>
                <w:rPr>
                  <w:rFonts w:ascii="Arial" w:cs="Arial" w:eastAsia="Arial" w:hAnsi="Arial"/>
                  <w:sz w:val="18"/>
                  <w:szCs w:val="18"/>
                  <w:color w:val="0000EE"/>
                  <w:w w:val="98"/>
                </w:rPr>
                <w:t>Microsoft Corporation</w:t>
              </w:r>
            </w:hyperlink>
          </w:p>
        </w:tc>
        <w:tc>
          <w:tcPr>
            <w:tcW w:w="2640" w:type="dxa"/>
            <w:vAlign w:val="bottom"/>
            <w:gridSpan w:val="10"/>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2540" w:type="dxa"/>
            <w:vAlign w:val="bottom"/>
            <w:tcBorders>
              <w:bottom w:val="single" w:sz="8" w:color="0000EE"/>
            </w:tcBorders>
            <w:gridSpan w:val="3"/>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Bylaws of Microsoft Corporation</w:t>
              </w:r>
            </w:hyperlink>
          </w:p>
        </w:tc>
        <w:tc>
          <w:tcPr>
            <w:tcW w:w="1820" w:type="dxa"/>
            <w:vAlign w:val="bottom"/>
            <w:gridSpan w:val="9"/>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3.2</w:t>
            </w:r>
          </w:p>
        </w:tc>
        <w:tc>
          <w:tcPr>
            <w:tcW w:w="940" w:type="dxa"/>
            <w:vAlign w:val="bottom"/>
          </w:tcPr>
          <w:p>
            <w:pPr>
              <w:jc w:val="right"/>
              <w:spacing w:after="0"/>
              <w:rPr>
                <w:sz w:val="20"/>
                <w:szCs w:val="20"/>
                <w:color w:val="auto"/>
              </w:rPr>
            </w:pPr>
            <w:r>
              <w:rPr>
                <w:rFonts w:ascii="Arial" w:cs="Arial" w:eastAsia="Arial" w:hAnsi="Arial"/>
                <w:sz w:val="18"/>
                <w:szCs w:val="18"/>
                <w:color w:val="auto"/>
              </w:rPr>
              <w:t>6/14/17</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4360" w:type="dxa"/>
            <w:vAlign w:val="bottom"/>
            <w:gridSpan w:val="12"/>
          </w:tcPr>
          <w:p>
            <w:pPr>
              <w:spacing w:after="0"/>
              <w:rPr>
                <w:rFonts w:ascii="Arial" w:cs="Arial" w:eastAsia="Arial" w:hAnsi="Arial"/>
                <w:sz w:val="18"/>
                <w:szCs w:val="18"/>
                <w:color w:val="0000EE"/>
              </w:rPr>
            </w:pPr>
            <w:hyperlink r:id="rId176">
              <w:r>
                <w:rPr>
                  <w:rFonts w:ascii="Arial" w:cs="Arial" w:eastAsia="Arial" w:hAnsi="Arial"/>
                  <w:sz w:val="18"/>
                  <w:szCs w:val="18"/>
                  <w:color w:val="0000EE"/>
                </w:rPr>
                <w:t>Form of Indenture between Microsoft Corporation</w:t>
              </w:r>
            </w:hyperlink>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S-3ASR</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11/20/08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r:id="rId176">
              <w:r>
                <w:rPr>
                  <w:rFonts w:ascii="Arial" w:cs="Arial" w:eastAsia="Arial" w:hAnsi="Arial"/>
                  <w:sz w:val="18"/>
                  <w:szCs w:val="18"/>
                  <w:color w:val="0000EE"/>
                  <w:w w:val="98"/>
                </w:rPr>
                <w:t>and The Bank of New York Mellon Trust Company,</w:t>
              </w:r>
            </w:hyperlink>
          </w:p>
        </w:tc>
        <w:tc>
          <w:tcPr>
            <w:tcW w:w="340" w:type="dxa"/>
            <w:vAlign w:val="bottom"/>
            <w:gridSpan w:val="5"/>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80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r:id="rId176">
              <w:r>
                <w:rPr>
                  <w:rFonts w:ascii="Arial" w:cs="Arial" w:eastAsia="Arial" w:hAnsi="Arial"/>
                  <w:sz w:val="18"/>
                  <w:szCs w:val="18"/>
                  <w:color w:val="0000EE"/>
                  <w:w w:val="98"/>
                </w:rPr>
                <w:t>N.A., as Trustee (“Base Indenture”)</w:t>
              </w:r>
            </w:hyperlink>
          </w:p>
        </w:tc>
        <w:tc>
          <w:tcPr>
            <w:tcW w:w="1560" w:type="dxa"/>
            <w:vAlign w:val="bottom"/>
            <w:gridSpan w:val="8"/>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3800" w:type="dxa"/>
            <w:vAlign w:val="bottom"/>
            <w:tcBorders>
              <w:bottom w:val="single" w:sz="8" w:color="0000EE"/>
            </w:tcBorders>
            <w:gridSpan w:val="5"/>
          </w:tcPr>
          <w:p>
            <w:pPr>
              <w:spacing w:after="0"/>
              <w:rPr>
                <w:rFonts w:ascii="Arial" w:cs="Arial" w:eastAsia="Arial" w:hAnsi="Arial"/>
                <w:sz w:val="18"/>
                <w:szCs w:val="18"/>
                <w:color w:val="0000EE"/>
                <w:w w:val="99"/>
              </w:rPr>
            </w:pPr>
            <w:hyperlink r:id="rId177">
              <w:r>
                <w:rPr>
                  <w:rFonts w:ascii="Arial" w:cs="Arial" w:eastAsia="Arial" w:hAnsi="Arial"/>
                  <w:sz w:val="18"/>
                  <w:szCs w:val="18"/>
                  <w:color w:val="0000EE"/>
                  <w:w w:val="99"/>
                </w:rPr>
                <w:t>Form of First Supplemental Indenture for 2.95%</w:t>
              </w:r>
            </w:hyperlink>
          </w:p>
        </w:tc>
        <w:tc>
          <w:tcPr>
            <w:tcW w:w="560" w:type="dxa"/>
            <w:vAlign w:val="bottom"/>
            <w:gridSpan w:val="7"/>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77">
              <w:r>
                <w:rPr>
                  <w:rFonts w:ascii="Arial" w:cs="Arial" w:eastAsia="Arial" w:hAnsi="Arial"/>
                  <w:sz w:val="18"/>
                  <w:szCs w:val="18"/>
                  <w:color w:val="0000EE"/>
                  <w:w w:val="99"/>
                </w:rPr>
                <w:t>Notes due 2014, 4.20% Notes due 2019, and 5.20%</w:t>
              </w:r>
            </w:hyperlink>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77">
              <w:r>
                <w:rPr>
                  <w:rFonts w:ascii="Arial" w:cs="Arial" w:eastAsia="Arial" w:hAnsi="Arial"/>
                  <w:sz w:val="18"/>
                  <w:szCs w:val="18"/>
                  <w:color w:val="0000EE"/>
                  <w:w w:val="99"/>
                </w:rPr>
                <w:t>Notes due 2039, dated as of May 18, 2009, between</w:t>
              </w:r>
            </w:hyperlink>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Microsoft Corporation and The Bank of New York</w:t>
              </w:r>
            </w:hyperlink>
          </w:p>
        </w:tc>
        <w:tc>
          <w:tcPr>
            <w:tcW w:w="46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60" w:type="dxa"/>
            <w:vAlign w:val="bottom"/>
            <w:gridSpan w:val="12"/>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Mellon Trust Company, N.A., as Trustee, to the Base</w:t>
              </w:r>
            </w:hyperlink>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7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77">
              <w:r>
                <w:rPr>
                  <w:rFonts w:ascii="Arial" w:cs="Arial" w:eastAsia="Arial" w:hAnsi="Arial"/>
                  <w:sz w:val="18"/>
                  <w:szCs w:val="18"/>
                  <w:color w:val="0000EE"/>
                  <w:w w:val="97"/>
                </w:rPr>
                <w:t>Indenture</w:t>
              </w:r>
            </w:hyperlink>
          </w:p>
        </w:tc>
        <w:tc>
          <w:tcPr>
            <w:tcW w:w="3420" w:type="dxa"/>
            <w:vAlign w:val="bottom"/>
            <w:tcBorders>
              <w:top w:val="single" w:sz="8" w:color="0000EE"/>
            </w:tcBorders>
            <w:gridSpan w:val="10"/>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4160" w:type="dxa"/>
            <w:vAlign w:val="bottom"/>
            <w:tcBorders>
              <w:bottom w:val="single" w:sz="8" w:color="0000EE"/>
            </w:tcBorders>
            <w:gridSpan w:val="10"/>
          </w:tcPr>
          <w:p>
            <w:pPr>
              <w:spacing w:after="0"/>
              <w:rPr>
                <w:rFonts w:ascii="Arial" w:cs="Arial" w:eastAsia="Arial" w:hAnsi="Arial"/>
                <w:sz w:val="18"/>
                <w:szCs w:val="18"/>
                <w:color w:val="0000EE"/>
                <w:w w:val="99"/>
              </w:rPr>
            </w:pPr>
            <w:hyperlink r:id="rId178">
              <w:r>
                <w:rPr>
                  <w:rFonts w:ascii="Arial" w:cs="Arial" w:eastAsia="Arial" w:hAnsi="Arial"/>
                  <w:sz w:val="18"/>
                  <w:szCs w:val="18"/>
                  <w:color w:val="0000EE"/>
                  <w:w w:val="99"/>
                </w:rPr>
                <w:t>Form of Second Supplemental Indenture for 0.875%</w:t>
              </w:r>
            </w:hyperlink>
          </w:p>
        </w:tc>
        <w:tc>
          <w:tcPr>
            <w:tcW w:w="20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9/27/10</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60" w:type="dxa"/>
            <w:vAlign w:val="bottom"/>
            <w:gridSpan w:val="12"/>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Notes due 2013, 1.625% Notes due 2015, 3.00%</w:t>
              </w:r>
            </w:hyperlink>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gridSpan w:val="6"/>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1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78">
              <w:r>
                <w:rPr>
                  <w:rFonts w:ascii="Arial" w:cs="Arial" w:eastAsia="Arial" w:hAnsi="Arial"/>
                  <w:sz w:val="18"/>
                  <w:szCs w:val="18"/>
                  <w:color w:val="0000EE"/>
                  <w:w w:val="99"/>
                </w:rPr>
                <w:t>Notes due 2020, and 4.50% Notes due 2040, dated</w:t>
              </w:r>
            </w:hyperlink>
          </w:p>
        </w:tc>
        <w:tc>
          <w:tcPr>
            <w:tcW w:w="26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260"/>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as of September 27, 2010, between Microsoft</w:t>
        </w:r>
      </w:hyperlink>
    </w:p>
    <w:p>
      <w:pPr>
        <w:ind w:left="1260"/>
        <w:spacing w:after="0" w:line="234"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Corporation and The Bank of New York Mellon Trust</w:t>
        </w:r>
      </w:hyperlink>
    </w:p>
    <w:p>
      <w:pPr>
        <w:ind w:left="1260"/>
        <w:spacing w:after="0" w:line="235"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Company, N.A., as Trustee, to the Indenture, dated</w:t>
        </w:r>
      </w:hyperlink>
    </w:p>
    <w:p>
      <w:pPr>
        <w:ind w:left="1260"/>
        <w:spacing w:after="0" w:line="235"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as of May 18, 2009, between Microsoft Corporation</w:t>
        </w:r>
      </w:hyperlink>
    </w:p>
    <w:p>
      <w:pPr>
        <w:ind w:left="1260"/>
        <w:spacing w:after="0" w:line="235"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and The Bank of New York Mellon Trust Company,</w:t>
        </w:r>
      </w:hyperlink>
    </w:p>
    <w:p>
      <w:pPr>
        <w:ind w:left="1260"/>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N.A., as Trustee</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1" w:name="page102"/>
    <w:bookmarkEnd w:id="101"/>
    <w:p>
      <w:pPr>
        <w:ind w:left="5460"/>
        <w:spacing w:after="0"/>
        <w:rPr>
          <w:sz w:val="20"/>
          <w:szCs w:val="20"/>
          <w:color w:val="auto"/>
        </w:rPr>
      </w:pPr>
      <w:r>
        <w:rPr>
          <w:rFonts w:ascii="Arial" w:cs="Arial" w:eastAsia="Arial" w:hAnsi="Arial"/>
          <w:sz w:val="14"/>
          <w:szCs w:val="14"/>
          <w:u w:val="single" w:color="auto"/>
          <w:color w:val="auto"/>
        </w:rPr>
        <w:t>PART IV</w:t>
      </w:r>
    </w:p>
    <w:p>
      <w:pPr>
        <w:ind w:left="5480"/>
        <w:spacing w:after="0"/>
        <w:rPr>
          <w:sz w:val="20"/>
          <w:szCs w:val="20"/>
          <w:color w:val="auto"/>
        </w:rPr>
      </w:pPr>
      <w:r>
        <w:rPr>
          <w:rFonts w:ascii="Arial" w:cs="Arial" w:eastAsia="Arial" w:hAnsi="Arial"/>
          <w:sz w:val="14"/>
          <w:szCs w:val="14"/>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7"/>
              </w:rPr>
              <w:t>Filed</w:t>
            </w:r>
          </w:p>
        </w:tc>
        <w:tc>
          <w:tcPr>
            <w:tcW w:w="1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46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Period</w:t>
            </w: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380" w:type="dxa"/>
            <w:vAlign w:val="bottom"/>
            <w:tcBorders>
              <w:bottom w:val="single" w:sz="8" w:color="auto"/>
            </w:tcBorders>
            <w:gridSpan w:val="22"/>
          </w:tcPr>
          <w:p>
            <w:pPr>
              <w:spacing w:after="0"/>
              <w:rPr>
                <w:sz w:val="20"/>
                <w:szCs w:val="20"/>
                <w:color w:val="auto"/>
              </w:rPr>
            </w:pPr>
            <w:r>
              <w:rPr>
                <w:rFonts w:ascii="Arial" w:cs="Arial" w:eastAsia="Arial" w:hAnsi="Arial"/>
                <w:sz w:val="14"/>
                <w:szCs w:val="14"/>
                <w:b w:val="1"/>
                <w:bCs w:val="1"/>
                <w:color w:val="auto"/>
              </w:rPr>
              <w:t>Exhibit Description</w:t>
            </w: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Herewith</w:t>
            </w:r>
          </w:p>
        </w:tc>
        <w:tc>
          <w:tcPr>
            <w:tcW w:w="12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Form</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Ending</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4180" w:type="dxa"/>
            <w:vAlign w:val="bottom"/>
            <w:tcBorders>
              <w:bottom w:val="single" w:sz="8" w:color="0000EE"/>
            </w:tcBorders>
            <w:gridSpan w:val="20"/>
          </w:tcPr>
          <w:p>
            <w:pPr>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Third Supplemental Indenture for 2.500% Notes due</w:t>
              </w:r>
            </w:hyperlink>
          </w:p>
        </w:tc>
        <w:tc>
          <w:tcPr>
            <w:tcW w:w="20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2016, 4.000% Notes due 2021, and 5.300% Notes</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180">
              <w:r>
                <w:rPr>
                  <w:rFonts w:ascii="Arial" w:cs="Arial" w:eastAsia="Arial" w:hAnsi="Arial"/>
                  <w:sz w:val="18"/>
                  <w:szCs w:val="18"/>
                  <w:color w:val="0000EE"/>
                  <w:w w:val="99"/>
                </w:rPr>
                <w:t>due 2041, dated as of February 8, 2011, between</w:t>
              </w:r>
            </w:hyperlink>
          </w:p>
        </w:tc>
        <w:tc>
          <w:tcPr>
            <w:tcW w:w="60" w:type="dxa"/>
            <w:vAlign w:val="bottom"/>
            <w:tcBorders>
              <w:top w:val="single" w:sz="8" w:color="0000EE"/>
            </w:tcBorders>
            <w:gridSpan w:val="2"/>
          </w:tcPr>
          <w:p>
            <w:pPr>
              <w:spacing w:after="0"/>
              <w:rPr>
                <w:sz w:val="15"/>
                <w:szCs w:val="15"/>
                <w:color w:val="auto"/>
              </w:rPr>
            </w:pPr>
          </w:p>
        </w:tc>
        <w:tc>
          <w:tcPr>
            <w:tcW w:w="380" w:type="dxa"/>
            <w:vAlign w:val="bottom"/>
            <w:gridSpan w:val="10"/>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r:id="rId180">
              <w:r>
                <w:rPr>
                  <w:rFonts w:ascii="Arial" w:cs="Arial" w:eastAsia="Arial" w:hAnsi="Arial"/>
                  <w:sz w:val="18"/>
                  <w:szCs w:val="18"/>
                  <w:color w:val="0000EE"/>
                  <w:w w:val="98"/>
                </w:rPr>
                <w:t>Microsoft Corporation and The Bank of New York</w:t>
              </w:r>
            </w:hyperlink>
          </w:p>
        </w:tc>
        <w:tc>
          <w:tcPr>
            <w:tcW w:w="480" w:type="dxa"/>
            <w:vAlign w:val="bottom"/>
            <w:gridSpan w:val="1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Mellon Trust Company, N.A., as Trustee, to the</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Indenture, dated as of May 18, 2009, between</w:t>
              </w:r>
            </w:hyperlink>
          </w:p>
        </w:tc>
        <w:tc>
          <w:tcPr>
            <w:tcW w:w="660" w:type="dxa"/>
            <w:vAlign w:val="bottom"/>
            <w:gridSpan w:val="17"/>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r:id="rId180">
              <w:r>
                <w:rPr>
                  <w:rFonts w:ascii="Arial" w:cs="Arial" w:eastAsia="Arial" w:hAnsi="Arial"/>
                  <w:sz w:val="18"/>
                  <w:szCs w:val="18"/>
                  <w:color w:val="0000EE"/>
                  <w:w w:val="98"/>
                </w:rPr>
                <w:t>Microsoft Corporation and The Bank of New York</w:t>
              </w:r>
            </w:hyperlink>
          </w:p>
        </w:tc>
        <w:tc>
          <w:tcPr>
            <w:tcW w:w="480" w:type="dxa"/>
            <w:vAlign w:val="bottom"/>
            <w:gridSpan w:val="1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80">
              <w:r>
                <w:rPr>
                  <w:rFonts w:ascii="Arial" w:cs="Arial" w:eastAsia="Arial" w:hAnsi="Arial"/>
                  <w:sz w:val="18"/>
                  <w:szCs w:val="18"/>
                  <w:color w:val="0000EE"/>
                  <w:w w:val="98"/>
                </w:rPr>
                <w:t>Mellon Trust Company, N.A., as Trustee</w:t>
              </w:r>
            </w:hyperlink>
          </w:p>
        </w:tc>
        <w:tc>
          <w:tcPr>
            <w:tcW w:w="1200" w:type="dxa"/>
            <w:vAlign w:val="bottom"/>
            <w:gridSpan w:val="20"/>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3920" w:type="dxa"/>
            <w:vAlign w:val="bottom"/>
            <w:tcBorders>
              <w:bottom w:val="single" w:sz="8" w:color="0000EE"/>
            </w:tcBorders>
            <w:gridSpan w:val="9"/>
          </w:tcPr>
          <w:p>
            <w:pPr>
              <w:spacing w:after="0"/>
              <w:rPr>
                <w:rFonts w:ascii="Arial" w:cs="Arial" w:eastAsia="Arial" w:hAnsi="Arial"/>
                <w:sz w:val="18"/>
                <w:szCs w:val="18"/>
                <w:color w:val="0000EE"/>
                <w:w w:val="99"/>
              </w:rPr>
            </w:pPr>
            <w:hyperlink r:id="rId181">
              <w:r>
                <w:rPr>
                  <w:rFonts w:ascii="Arial" w:cs="Arial" w:eastAsia="Arial" w:hAnsi="Arial"/>
                  <w:sz w:val="18"/>
                  <w:szCs w:val="18"/>
                  <w:color w:val="0000EE"/>
                  <w:w w:val="99"/>
                </w:rPr>
                <w:t>Fourth Supplemental Indenture for 0.875% Notes</w:t>
              </w:r>
            </w:hyperlink>
          </w:p>
        </w:tc>
        <w:tc>
          <w:tcPr>
            <w:tcW w:w="460" w:type="dxa"/>
            <w:vAlign w:val="bottom"/>
            <w:gridSpan w:val="13"/>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8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due 2017, 2.125% Notes due 2022, and 3.500%</w:t>
              </w:r>
            </w:hyperlink>
          </w:p>
        </w:tc>
        <w:tc>
          <w:tcPr>
            <w:tcW w:w="520" w:type="dxa"/>
            <w:vAlign w:val="bottom"/>
            <w:gridSpan w:val="15"/>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8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Notes due 2042, dated as of November 7, 2012,</w:t>
              </w:r>
            </w:hyperlink>
          </w:p>
        </w:tc>
        <w:tc>
          <w:tcPr>
            <w:tcW w:w="540" w:type="dxa"/>
            <w:vAlign w:val="bottom"/>
            <w:gridSpan w:val="16"/>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between Microsoft Corporation and The Bank of New</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York Mellon Trust Company, N.A., as Trustee, to the</w:t>
              </w:r>
            </w:hyperlink>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Indenture, dated as of May 18, 2009, between</w:t>
              </w:r>
            </w:hyperlink>
          </w:p>
        </w:tc>
        <w:tc>
          <w:tcPr>
            <w:tcW w:w="260" w:type="dxa"/>
            <w:vAlign w:val="bottom"/>
            <w:gridSpan w:val="5"/>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r:id="rId181">
              <w:r>
                <w:rPr>
                  <w:rFonts w:ascii="Arial" w:cs="Arial" w:eastAsia="Arial" w:hAnsi="Arial"/>
                  <w:sz w:val="18"/>
                  <w:szCs w:val="18"/>
                  <w:color w:val="0000EE"/>
                  <w:w w:val="98"/>
                </w:rPr>
                <w:t>Microsoft Corporation and The Bank of New York</w:t>
              </w:r>
            </w:hyperlink>
          </w:p>
        </w:tc>
        <w:tc>
          <w:tcPr>
            <w:tcW w:w="480" w:type="dxa"/>
            <w:vAlign w:val="bottom"/>
            <w:gridSpan w:val="1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81">
              <w:r>
                <w:rPr>
                  <w:rFonts w:ascii="Arial" w:cs="Arial" w:eastAsia="Arial" w:hAnsi="Arial"/>
                  <w:sz w:val="18"/>
                  <w:szCs w:val="18"/>
                  <w:color w:val="0000EE"/>
                  <w:w w:val="98"/>
                </w:rPr>
                <w:t>Mellon Trust Company, N.A., as Trustee</w:t>
              </w:r>
            </w:hyperlink>
          </w:p>
        </w:tc>
        <w:tc>
          <w:tcPr>
            <w:tcW w:w="1200" w:type="dxa"/>
            <w:vAlign w:val="bottom"/>
            <w:gridSpan w:val="20"/>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4100" w:type="dxa"/>
            <w:vAlign w:val="bottom"/>
            <w:tcBorders>
              <w:bottom w:val="single" w:sz="8" w:color="0000EE"/>
            </w:tcBorders>
            <w:gridSpan w:val="16"/>
          </w:tcPr>
          <w:p>
            <w:pPr>
              <w:spacing w:after="0"/>
              <w:rPr>
                <w:rFonts w:ascii="Arial" w:cs="Arial" w:eastAsia="Arial" w:hAnsi="Arial"/>
                <w:sz w:val="18"/>
                <w:szCs w:val="18"/>
                <w:color w:val="0000EE"/>
                <w:w w:val="99"/>
              </w:rPr>
            </w:pPr>
            <w:hyperlink r:id="rId182">
              <w:r>
                <w:rPr>
                  <w:rFonts w:ascii="Arial" w:cs="Arial" w:eastAsia="Arial" w:hAnsi="Arial"/>
                  <w:sz w:val="18"/>
                  <w:szCs w:val="18"/>
                  <w:color w:val="0000EE"/>
                  <w:w w:val="99"/>
                </w:rPr>
                <w:t>Fifth Supplemental Indenture for 2.625% Notes due</w:t>
              </w:r>
            </w:hyperlink>
          </w:p>
        </w:tc>
        <w:tc>
          <w:tcPr>
            <w:tcW w:w="28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2033, dated as of May 2, 2013, between Microsoft</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160" w:type="dxa"/>
            <w:vAlign w:val="bottom"/>
            <w:tcBorders>
              <w:bottom w:val="single" w:sz="8" w:color="0000EE"/>
            </w:tcBorders>
            <w:gridSpan w:val="19"/>
          </w:tcPr>
          <w:p>
            <w:pPr>
              <w:spacing w:after="0" w:line="182"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Corporation and The Bank of New York Mellon Trust</w:t>
              </w:r>
            </w:hyperlink>
          </w:p>
        </w:tc>
        <w:tc>
          <w:tcPr>
            <w:tcW w:w="22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6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Company, N.A., as Trustee, to the Indenture, dated</w:t>
              </w:r>
            </w:hyperlink>
          </w:p>
        </w:tc>
        <w:tc>
          <w:tcPr>
            <w:tcW w:w="32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as of May 18, 2009, between Microsoft Corporation</w:t>
              </w:r>
            </w:hyperlink>
          </w:p>
        </w:tc>
        <w:tc>
          <w:tcPr>
            <w:tcW w:w="300" w:type="dxa"/>
            <w:vAlign w:val="bottom"/>
            <w:gridSpan w:val="7"/>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and The Bank of New York Mellon Trust Company,</w:t>
              </w:r>
            </w:hyperlink>
          </w:p>
        </w:tc>
        <w:tc>
          <w:tcPr>
            <w:tcW w:w="360" w:type="dxa"/>
            <w:vAlign w:val="bottom"/>
            <w:gridSpan w:val="9"/>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N.A., as Trustee</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4380" w:type="dxa"/>
            <w:vAlign w:val="bottom"/>
            <w:gridSpan w:val="22"/>
          </w:tcPr>
          <w:p>
            <w:pPr>
              <w:spacing w:after="0"/>
              <w:rPr>
                <w:rFonts w:ascii="Arial" w:cs="Arial" w:eastAsia="Arial" w:hAnsi="Arial"/>
                <w:sz w:val="18"/>
                <w:szCs w:val="18"/>
                <w:color w:val="0000EE"/>
              </w:rPr>
            </w:pPr>
            <w:hyperlink r:id="rId183">
              <w:r>
                <w:rPr>
                  <w:rFonts w:ascii="Arial" w:cs="Arial" w:eastAsia="Arial" w:hAnsi="Arial"/>
                  <w:sz w:val="18"/>
                  <w:szCs w:val="18"/>
                  <w:color w:val="0000EE"/>
                </w:rPr>
                <w:t>Sixth Supplemental Indenture for 1.000% Notes due</w:t>
              </w:r>
            </w:hyperlink>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2018, 2.375% Notes due 2023, and 3.750% Notes</w:t>
              </w:r>
            </w:hyperlink>
          </w:p>
        </w:tc>
        <w:tc>
          <w:tcPr>
            <w:tcW w:w="240" w:type="dxa"/>
            <w:vAlign w:val="bottom"/>
            <w:gridSpan w:val="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83">
              <w:r>
                <w:rPr>
                  <w:rFonts w:ascii="Arial" w:cs="Arial" w:eastAsia="Arial" w:hAnsi="Arial"/>
                  <w:sz w:val="18"/>
                  <w:szCs w:val="18"/>
                  <w:color w:val="0000EE"/>
                  <w:w w:val="99"/>
                </w:rPr>
                <w:t>due 2043, dated as of May 2, 2013, between</w:t>
              </w:r>
            </w:hyperlink>
          </w:p>
        </w:tc>
        <w:tc>
          <w:tcPr>
            <w:tcW w:w="440" w:type="dxa"/>
            <w:vAlign w:val="bottom"/>
            <w:tcBorders>
              <w:top w:val="single" w:sz="8" w:color="0000EE"/>
            </w:tcBorders>
            <w:gridSpan w:val="9"/>
          </w:tcPr>
          <w:p>
            <w:pPr>
              <w:spacing w:after="0"/>
              <w:rPr>
                <w:sz w:val="15"/>
                <w:szCs w:val="15"/>
                <w:color w:val="auto"/>
              </w:rPr>
            </w:pPr>
          </w:p>
        </w:tc>
        <w:tc>
          <w:tcPr>
            <w:tcW w:w="380" w:type="dxa"/>
            <w:vAlign w:val="bottom"/>
            <w:gridSpan w:val="10"/>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r:id="rId183">
              <w:r>
                <w:rPr>
                  <w:rFonts w:ascii="Arial" w:cs="Arial" w:eastAsia="Arial" w:hAnsi="Arial"/>
                  <w:sz w:val="18"/>
                  <w:szCs w:val="18"/>
                  <w:color w:val="0000EE"/>
                  <w:w w:val="98"/>
                </w:rPr>
                <w:t>Microsoft Corporation and The Bank of New York</w:t>
              </w:r>
            </w:hyperlink>
          </w:p>
        </w:tc>
        <w:tc>
          <w:tcPr>
            <w:tcW w:w="480" w:type="dxa"/>
            <w:vAlign w:val="bottom"/>
            <w:gridSpan w:val="1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Mellon Trust Company, N.A., as Trustee, to the</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Indenture, dated as of May 18, 2009, between</w:t>
              </w:r>
            </w:hyperlink>
          </w:p>
        </w:tc>
        <w:tc>
          <w:tcPr>
            <w:tcW w:w="660" w:type="dxa"/>
            <w:vAlign w:val="bottom"/>
            <w:gridSpan w:val="17"/>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r:id="rId183">
              <w:r>
                <w:rPr>
                  <w:rFonts w:ascii="Arial" w:cs="Arial" w:eastAsia="Arial" w:hAnsi="Arial"/>
                  <w:sz w:val="18"/>
                  <w:szCs w:val="18"/>
                  <w:color w:val="0000EE"/>
                  <w:w w:val="98"/>
                </w:rPr>
                <w:t>Microsoft Corporation and The Bank of New York</w:t>
              </w:r>
            </w:hyperlink>
          </w:p>
        </w:tc>
        <w:tc>
          <w:tcPr>
            <w:tcW w:w="480" w:type="dxa"/>
            <w:vAlign w:val="bottom"/>
            <w:gridSpan w:val="1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83">
              <w:r>
                <w:rPr>
                  <w:rFonts w:ascii="Arial" w:cs="Arial" w:eastAsia="Arial" w:hAnsi="Arial"/>
                  <w:sz w:val="18"/>
                  <w:szCs w:val="18"/>
                  <w:color w:val="0000EE"/>
                  <w:w w:val="98"/>
                </w:rPr>
                <w:t>Mellon Trust Company, N.A., as Trustee</w:t>
              </w:r>
            </w:hyperlink>
          </w:p>
        </w:tc>
        <w:tc>
          <w:tcPr>
            <w:tcW w:w="1200" w:type="dxa"/>
            <w:vAlign w:val="bottom"/>
            <w:gridSpan w:val="20"/>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4060" w:type="dxa"/>
            <w:vAlign w:val="bottom"/>
            <w:tcBorders>
              <w:bottom w:val="single" w:sz="8" w:color="0000EE"/>
            </w:tcBorders>
            <w:gridSpan w:val="14"/>
          </w:tcPr>
          <w:p>
            <w:pPr>
              <w:spacing w:after="0"/>
              <w:rPr>
                <w:rFonts w:ascii="Arial" w:cs="Arial" w:eastAsia="Arial" w:hAnsi="Arial"/>
                <w:sz w:val="18"/>
                <w:szCs w:val="18"/>
                <w:color w:val="0000EE"/>
                <w:w w:val="99"/>
              </w:rPr>
            </w:pPr>
            <w:hyperlink r:id="rId184">
              <w:r>
                <w:rPr>
                  <w:rFonts w:ascii="Arial" w:cs="Arial" w:eastAsia="Arial" w:hAnsi="Arial"/>
                  <w:sz w:val="18"/>
                  <w:szCs w:val="18"/>
                  <w:color w:val="0000EE"/>
                  <w:w w:val="99"/>
                </w:rPr>
                <w:t>Seventh Supplemental Indenture for 2.125% Notes</w:t>
              </w:r>
            </w:hyperlink>
          </w:p>
        </w:tc>
        <w:tc>
          <w:tcPr>
            <w:tcW w:w="32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due 2021 and 3.125% Notes due 2028, dated as of</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December 6, 2013, between Microsoft Corporation</w:t>
              </w:r>
            </w:hyperlink>
          </w:p>
        </w:tc>
        <w:tc>
          <w:tcPr>
            <w:tcW w:w="32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8"/>
              </w:rPr>
            </w:pPr>
            <w:hyperlink r:id="rId184">
              <w:r>
                <w:rPr>
                  <w:rFonts w:ascii="Arial" w:cs="Arial" w:eastAsia="Arial" w:hAnsi="Arial"/>
                  <w:sz w:val="18"/>
                  <w:szCs w:val="18"/>
                  <w:color w:val="0000EE"/>
                  <w:w w:val="98"/>
                </w:rPr>
                <w:t>and The Bank of New York Mellon Trust Company,</w:t>
              </w:r>
            </w:hyperlink>
          </w:p>
        </w:tc>
        <w:tc>
          <w:tcPr>
            <w:tcW w:w="360" w:type="dxa"/>
            <w:vAlign w:val="bottom"/>
            <w:gridSpan w:val="9"/>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26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N.A., as Trustee, to the Indenture, dated as of May</w:t>
        </w:r>
      </w:hyperlink>
    </w:p>
    <w:p>
      <w:pPr>
        <w:ind w:left="1260"/>
        <w:spacing w:after="0" w:line="234"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18, 2009, between Microsoft Corporation and The</w:t>
        </w:r>
      </w:hyperlink>
    </w:p>
    <w:p>
      <w:pPr>
        <w:ind w:left="1260"/>
        <w:spacing w:after="0" w:line="235"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Bank of New York Mellon Trust Company, N.A., as</w:t>
        </w:r>
      </w:hyperlink>
    </w:p>
    <w:p>
      <w:pPr>
        <w:spacing w:after="0" w:line="1" w:lineRule="exact"/>
        <w:rPr>
          <w:sz w:val="20"/>
          <w:szCs w:val="20"/>
          <w:color w:val="auto"/>
        </w:rPr>
      </w:pPr>
    </w:p>
    <w:p>
      <w:pPr>
        <w:ind w:left="126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Trustee</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02" w:name="page103"/>
    <w:bookmarkEnd w:id="102"/>
    <w:p>
      <w:pPr>
        <w:ind w:left="5460"/>
        <w:spacing w:after="0"/>
        <w:rPr>
          <w:sz w:val="20"/>
          <w:szCs w:val="20"/>
          <w:color w:val="auto"/>
        </w:rPr>
      </w:pPr>
      <w:r>
        <w:rPr>
          <w:rFonts w:ascii="Arial" w:cs="Arial" w:eastAsia="Arial" w:hAnsi="Arial"/>
          <w:sz w:val="14"/>
          <w:szCs w:val="14"/>
          <w:u w:val="single" w:color="auto"/>
          <w:color w:val="auto"/>
        </w:rPr>
        <w:t>PART IV</w:t>
      </w:r>
    </w:p>
    <w:p>
      <w:pPr>
        <w:ind w:left="5480"/>
        <w:spacing w:after="0"/>
        <w:rPr>
          <w:sz w:val="20"/>
          <w:szCs w:val="20"/>
          <w:color w:val="auto"/>
        </w:rPr>
      </w:pPr>
      <w:r>
        <w:rPr>
          <w:rFonts w:ascii="Arial" w:cs="Arial" w:eastAsia="Arial" w:hAnsi="Arial"/>
          <w:sz w:val="14"/>
          <w:szCs w:val="14"/>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7"/>
              </w:rPr>
              <w:t>Filed</w:t>
            </w:r>
          </w:p>
        </w:tc>
        <w:tc>
          <w:tcPr>
            <w:tcW w:w="1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46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Period</w:t>
            </w: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400" w:type="dxa"/>
            <w:vAlign w:val="bottom"/>
            <w:tcBorders>
              <w:bottom w:val="single" w:sz="8" w:color="auto"/>
            </w:tcBorders>
            <w:gridSpan w:val="19"/>
          </w:tcPr>
          <w:p>
            <w:pPr>
              <w:spacing w:after="0"/>
              <w:rPr>
                <w:sz w:val="20"/>
                <w:szCs w:val="20"/>
                <w:color w:val="auto"/>
              </w:rPr>
            </w:pPr>
            <w:r>
              <w:rPr>
                <w:rFonts w:ascii="Arial" w:cs="Arial" w:eastAsia="Arial" w:hAnsi="Arial"/>
                <w:sz w:val="14"/>
                <w:szCs w:val="14"/>
                <w:b w:val="1"/>
                <w:bCs w:val="1"/>
                <w:color w:val="auto"/>
              </w:rPr>
              <w:t>Exhibit Description</w:t>
            </w: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8"/>
              </w:rPr>
              <w:t>Herewith</w:t>
            </w:r>
          </w:p>
        </w:tc>
        <w:tc>
          <w:tcPr>
            <w:tcW w:w="12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Form</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Ending</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4280" w:type="dxa"/>
            <w:vAlign w:val="bottom"/>
            <w:tcBorders>
              <w:bottom w:val="single" w:sz="8" w:color="0000EE"/>
            </w:tcBorders>
            <w:gridSpan w:val="18"/>
          </w:tcPr>
          <w:p>
            <w:pPr>
              <w:spacing w:after="0"/>
              <w:rPr>
                <w:rFonts w:ascii="Arial" w:cs="Arial" w:eastAsia="Arial" w:hAnsi="Arial"/>
                <w:sz w:val="18"/>
                <w:szCs w:val="18"/>
                <w:color w:val="0000EE"/>
                <w:w w:val="99"/>
              </w:rPr>
            </w:pPr>
            <w:hyperlink r:id="rId186">
              <w:r>
                <w:rPr>
                  <w:rFonts w:ascii="Arial" w:cs="Arial" w:eastAsia="Arial" w:hAnsi="Arial"/>
                  <w:sz w:val="18"/>
                  <w:szCs w:val="18"/>
                  <w:color w:val="0000EE"/>
                  <w:w w:val="99"/>
                </w:rPr>
                <w:t>Eighth Supplemental Indenture for 1.625% Notes due</w:t>
              </w:r>
            </w:hyperlink>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19"/>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2018, 3.625% Notes due 2023, and 4.875% Notes</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19"/>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due 2043, dated as of December 6, 2013, between</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r:id="rId186">
              <w:r>
                <w:rPr>
                  <w:rFonts w:ascii="Arial" w:cs="Arial" w:eastAsia="Arial" w:hAnsi="Arial"/>
                  <w:sz w:val="18"/>
                  <w:szCs w:val="18"/>
                  <w:color w:val="0000EE"/>
                  <w:w w:val="98"/>
                </w:rPr>
                <w:t>Microsoft Corporation and The Bank of New York</w:t>
              </w:r>
            </w:hyperlink>
          </w:p>
        </w:tc>
        <w:tc>
          <w:tcPr>
            <w:tcW w:w="140" w:type="dxa"/>
            <w:vAlign w:val="bottom"/>
            <w:tcBorders>
              <w:top w:val="single" w:sz="8" w:color="0000EE"/>
            </w:tcBorders>
            <w:gridSpan w:val="6"/>
          </w:tcPr>
          <w:p>
            <w:pPr>
              <w:spacing w:after="0"/>
              <w:rPr>
                <w:sz w:val="15"/>
                <w:szCs w:val="15"/>
                <w:color w:val="auto"/>
              </w:rPr>
            </w:pPr>
          </w:p>
        </w:tc>
        <w:tc>
          <w:tcPr>
            <w:tcW w:w="36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19"/>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Mellon Trust Company, N.A., as Trustee, to the</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Indenture, dated as of May 18, 2009, between</w:t>
              </w:r>
            </w:hyperlink>
          </w:p>
        </w:tc>
        <w:tc>
          <w:tcPr>
            <w:tcW w:w="680" w:type="dxa"/>
            <w:vAlign w:val="bottom"/>
            <w:gridSpan w:val="14"/>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r:id="rId186">
              <w:r>
                <w:rPr>
                  <w:rFonts w:ascii="Arial" w:cs="Arial" w:eastAsia="Arial" w:hAnsi="Arial"/>
                  <w:sz w:val="18"/>
                  <w:szCs w:val="18"/>
                  <w:color w:val="0000EE"/>
                  <w:w w:val="98"/>
                </w:rPr>
                <w:t>Microsoft Corporation and The Bank of New York</w:t>
              </w:r>
            </w:hyperlink>
          </w:p>
        </w:tc>
        <w:tc>
          <w:tcPr>
            <w:tcW w:w="500" w:type="dxa"/>
            <w:vAlign w:val="bottom"/>
            <w:gridSpan w:val="1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86">
              <w:r>
                <w:rPr>
                  <w:rFonts w:ascii="Arial" w:cs="Arial" w:eastAsia="Arial" w:hAnsi="Arial"/>
                  <w:sz w:val="18"/>
                  <w:szCs w:val="18"/>
                  <w:color w:val="0000EE"/>
                  <w:w w:val="98"/>
                </w:rPr>
                <w:t>Mellon Trust Company, N.A., as Trustee</w:t>
              </w:r>
            </w:hyperlink>
          </w:p>
        </w:tc>
        <w:tc>
          <w:tcPr>
            <w:tcW w:w="1220" w:type="dxa"/>
            <w:vAlign w:val="bottom"/>
            <w:gridSpan w:val="17"/>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4400" w:type="dxa"/>
            <w:vAlign w:val="bottom"/>
            <w:gridSpan w:val="19"/>
          </w:tcPr>
          <w:p>
            <w:pPr>
              <w:spacing w:after="0"/>
              <w:rPr>
                <w:rFonts w:ascii="Arial" w:cs="Arial" w:eastAsia="Arial" w:hAnsi="Arial"/>
                <w:sz w:val="18"/>
                <w:szCs w:val="18"/>
                <w:color w:val="0000EE"/>
              </w:rPr>
            </w:pPr>
            <w:hyperlink r:id="rId187">
              <w:r>
                <w:rPr>
                  <w:rFonts w:ascii="Arial" w:cs="Arial" w:eastAsia="Arial" w:hAnsi="Arial"/>
                  <w:sz w:val="18"/>
                  <w:szCs w:val="18"/>
                  <w:color w:val="0000EE"/>
                </w:rPr>
                <w:t>Ninth Supplemental Indenture for 1.850% Notes due</w:t>
              </w:r>
            </w:hyperlink>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2/12/15</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2020, 2.375% Notes due 2022, 2.700% Notes due</w:t>
              </w:r>
            </w:hyperlink>
          </w:p>
        </w:tc>
        <w:tc>
          <w:tcPr>
            <w:tcW w:w="24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19"/>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2025, 3.500% Notes due 2035, 3.750% Notes due</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2045, and 4.000% Notes due 2055, dated as of</w:t>
              </w:r>
            </w:hyperlink>
          </w:p>
        </w:tc>
        <w:tc>
          <w:tcPr>
            <w:tcW w:w="400" w:type="dxa"/>
            <w:vAlign w:val="bottom"/>
            <w:gridSpan w:val="8"/>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February 12, 2015, between Microsoft Corporation</w:t>
              </w:r>
            </w:hyperlink>
          </w:p>
        </w:tc>
        <w:tc>
          <w:tcPr>
            <w:tcW w:w="380" w:type="dxa"/>
            <w:vAlign w:val="bottom"/>
            <w:gridSpan w:val="7"/>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19"/>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and U.S. Bank National Association, as Trustee, to</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the Indenture, dated as of May 18, 2009, between</w:t>
              </w:r>
            </w:hyperlink>
          </w:p>
        </w:tc>
        <w:tc>
          <w:tcPr>
            <w:tcW w:w="20" w:type="dxa"/>
            <w:vAlign w:val="bottom"/>
            <w:tcBorders>
              <w:top w:val="single" w:sz="8" w:color="0000EE"/>
            </w:tcBorders>
          </w:tcPr>
          <w:p>
            <w:pPr>
              <w:spacing w:after="0"/>
              <w:rPr>
                <w:sz w:val="15"/>
                <w:szCs w:val="15"/>
                <w:color w:val="auto"/>
              </w:rPr>
            </w:pPr>
          </w:p>
        </w:tc>
        <w:tc>
          <w:tcPr>
            <w:tcW w:w="380" w:type="dxa"/>
            <w:vAlign w:val="bottom"/>
            <w:gridSpan w:val="7"/>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r:id="rId187">
              <w:r>
                <w:rPr>
                  <w:rFonts w:ascii="Arial" w:cs="Arial" w:eastAsia="Arial" w:hAnsi="Arial"/>
                  <w:sz w:val="18"/>
                  <w:szCs w:val="18"/>
                  <w:color w:val="0000EE"/>
                  <w:w w:val="98"/>
                </w:rPr>
                <w:t>Microsoft Corporation and The Bank of New York</w:t>
              </w:r>
            </w:hyperlink>
          </w:p>
        </w:tc>
        <w:tc>
          <w:tcPr>
            <w:tcW w:w="500" w:type="dxa"/>
            <w:vAlign w:val="bottom"/>
            <w:gridSpan w:val="1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87">
              <w:r>
                <w:rPr>
                  <w:rFonts w:ascii="Arial" w:cs="Arial" w:eastAsia="Arial" w:hAnsi="Arial"/>
                  <w:sz w:val="18"/>
                  <w:szCs w:val="18"/>
                  <w:color w:val="0000EE"/>
                  <w:w w:val="98"/>
                </w:rPr>
                <w:t>Mellon Trust Company, N.A., as Trustee</w:t>
              </w:r>
            </w:hyperlink>
          </w:p>
        </w:tc>
        <w:tc>
          <w:tcPr>
            <w:tcW w:w="1220" w:type="dxa"/>
            <w:vAlign w:val="bottom"/>
            <w:gridSpan w:val="17"/>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6"/>
              </w:rPr>
            </w:pPr>
            <w:hyperlink r:id="rId188">
              <w:r>
                <w:rPr>
                  <w:rFonts w:ascii="Arial" w:cs="Arial" w:eastAsia="Arial" w:hAnsi="Arial"/>
                  <w:sz w:val="18"/>
                  <w:szCs w:val="18"/>
                  <w:color w:val="0000EE"/>
                  <w:w w:val="96"/>
                </w:rPr>
                <w:t>Tenth Supplemental Indenture for 1.300% Notes due</w:t>
              </w:r>
            </w:hyperlink>
          </w:p>
        </w:tc>
        <w:tc>
          <w:tcPr>
            <w:tcW w:w="30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2018, 2.000% Notes due 2020, 2.650% Notes due</w:t>
              </w:r>
            </w:hyperlink>
          </w:p>
        </w:tc>
        <w:tc>
          <w:tcPr>
            <w:tcW w:w="460" w:type="dxa"/>
            <w:vAlign w:val="bottom"/>
            <w:gridSpan w:val="10"/>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2022, 3.125% Notes due 2025, 4.200% Notes due</w:t>
              </w:r>
            </w:hyperlink>
          </w:p>
        </w:tc>
        <w:tc>
          <w:tcPr>
            <w:tcW w:w="460" w:type="dxa"/>
            <w:vAlign w:val="bottom"/>
            <w:gridSpan w:val="10"/>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2035, 4.450% Notes due 2045, and 4.750% Notes</w:t>
              </w:r>
            </w:hyperlink>
          </w:p>
        </w:tc>
        <w:tc>
          <w:tcPr>
            <w:tcW w:w="460" w:type="dxa"/>
            <w:vAlign w:val="bottom"/>
            <w:gridSpan w:val="10"/>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19"/>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due 2055, dated as of November 3, 2015, between</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Microsoft Corporation and U.S. Bank National</w:t>
              </w:r>
            </w:hyperlink>
          </w:p>
        </w:tc>
        <w:tc>
          <w:tcPr>
            <w:tcW w:w="400" w:type="dxa"/>
            <w:vAlign w:val="bottom"/>
            <w:tcBorders>
              <w:top w:val="single" w:sz="8" w:color="0000EE"/>
            </w:tcBorders>
            <w:gridSpan w:val="7"/>
          </w:tcPr>
          <w:p>
            <w:pPr>
              <w:spacing w:after="0"/>
              <w:rPr>
                <w:sz w:val="15"/>
                <w:szCs w:val="15"/>
                <w:color w:val="auto"/>
              </w:rPr>
            </w:pPr>
          </w:p>
        </w:tc>
        <w:tc>
          <w:tcPr>
            <w:tcW w:w="440" w:type="dxa"/>
            <w:vAlign w:val="bottom"/>
            <w:gridSpan w:val="9"/>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2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Association, as Trustee, to the Indenture, dated as of</w:t>
              </w:r>
            </w:hyperlink>
          </w:p>
        </w:tc>
        <w:tc>
          <w:tcPr>
            <w:tcW w:w="280" w:type="dxa"/>
            <w:vAlign w:val="bottom"/>
            <w:gridSpan w:val="4"/>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May 18, 2009, between Microsoft Corporation and The</w:t>
              </w:r>
            </w:hyperlink>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2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r:id="rId188">
              <w:r>
                <w:rPr>
                  <w:rFonts w:ascii="Arial" w:cs="Arial" w:eastAsia="Arial" w:hAnsi="Arial"/>
                  <w:sz w:val="18"/>
                  <w:szCs w:val="18"/>
                  <w:color w:val="0000EE"/>
                  <w:w w:val="96"/>
                </w:rPr>
                <w:t>Bank of New York Mellon Trust Company, N.A., as</w:t>
              </w:r>
            </w:hyperlink>
          </w:p>
        </w:tc>
        <w:tc>
          <w:tcPr>
            <w:tcW w:w="480" w:type="dxa"/>
            <w:vAlign w:val="bottom"/>
            <w:gridSpan w:val="11"/>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19"/>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Trustee</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4400" w:type="dxa"/>
            <w:vAlign w:val="bottom"/>
            <w:gridSpan w:val="19"/>
          </w:tcPr>
          <w:p>
            <w:pPr>
              <w:spacing w:after="0"/>
              <w:rPr>
                <w:rFonts w:ascii="Arial" w:cs="Arial" w:eastAsia="Arial" w:hAnsi="Arial"/>
                <w:sz w:val="18"/>
                <w:szCs w:val="18"/>
                <w:color w:val="0000EE"/>
              </w:rPr>
            </w:pPr>
            <w:hyperlink r:id="rId189">
              <w:r>
                <w:rPr>
                  <w:rFonts w:ascii="Arial" w:cs="Arial" w:eastAsia="Arial" w:hAnsi="Arial"/>
                  <w:sz w:val="18"/>
                  <w:szCs w:val="18"/>
                  <w:color w:val="0000EE"/>
                </w:rPr>
                <w:t>Eleventh Supplemental Indenture for 1.100% Notes</w:t>
              </w:r>
            </w:hyperlink>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r:id="rId189">
              <w:r>
                <w:rPr>
                  <w:rFonts w:ascii="Arial" w:cs="Arial" w:eastAsia="Arial" w:hAnsi="Arial"/>
                  <w:sz w:val="18"/>
                  <w:szCs w:val="18"/>
                  <w:color w:val="0000EE"/>
                  <w:w w:val="97"/>
                </w:rPr>
                <w:t>due 2019, 1.550% Notes due 2021, 2.000% Notes</w:t>
              </w:r>
            </w:hyperlink>
          </w:p>
        </w:tc>
        <w:tc>
          <w:tcPr>
            <w:tcW w:w="60" w:type="dxa"/>
            <w:vAlign w:val="bottom"/>
            <w:tcBorders>
              <w:top w:val="single" w:sz="8" w:color="0000EE"/>
            </w:tcBorders>
            <w:gridSpan w:val="2"/>
          </w:tcPr>
          <w:p>
            <w:pPr>
              <w:spacing w:after="0"/>
              <w:rPr>
                <w:sz w:val="15"/>
                <w:szCs w:val="15"/>
                <w:color w:val="auto"/>
              </w:rPr>
            </w:pPr>
          </w:p>
        </w:tc>
        <w:tc>
          <w:tcPr>
            <w:tcW w:w="400" w:type="dxa"/>
            <w:vAlign w:val="bottom"/>
            <w:gridSpan w:val="8"/>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r:id="rId189">
              <w:r>
                <w:rPr>
                  <w:rFonts w:ascii="Arial" w:cs="Arial" w:eastAsia="Arial" w:hAnsi="Arial"/>
                  <w:sz w:val="18"/>
                  <w:szCs w:val="18"/>
                  <w:color w:val="0000EE"/>
                  <w:w w:val="97"/>
                </w:rPr>
                <w:t>due 2023, 2.400% Notes due 2026, 3.450% Notes</w:t>
              </w:r>
            </w:hyperlink>
          </w:p>
        </w:tc>
        <w:tc>
          <w:tcPr>
            <w:tcW w:w="460" w:type="dxa"/>
            <w:vAlign w:val="bottom"/>
            <w:gridSpan w:val="10"/>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260"/>
        <w:spacing w:after="0"/>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due 2036, 3.700% Notes due 2046, and</w:t>
        </w:r>
      </w:hyperlink>
    </w:p>
    <w:p>
      <w:pPr>
        <w:ind w:left="1260"/>
        <w:spacing w:after="0" w:line="234"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3.950% Notes due 2056, dated as of August 8, 2016,</w:t>
        </w:r>
      </w:hyperlink>
    </w:p>
    <w:p>
      <w:pPr>
        <w:ind w:left="1260"/>
        <w:spacing w:after="0" w:line="235"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between Microsoft Corporation and U.S. Bank,</w:t>
        </w:r>
      </w:hyperlink>
    </w:p>
    <w:p>
      <w:pPr>
        <w:ind w:left="1260"/>
        <w:spacing w:after="0" w:line="235"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National Association, as trustee, to the Indenture,</w:t>
        </w:r>
      </w:hyperlink>
    </w:p>
    <w:p>
      <w:pPr>
        <w:ind w:left="1260"/>
        <w:spacing w:after="0" w:line="235"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dated as of May 18, 2009, between Microsoft</w:t>
        </w:r>
      </w:hyperlink>
    </w:p>
    <w:p>
      <w:pPr>
        <w:ind w:left="1260"/>
        <w:spacing w:after="0" w:line="235"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Corporation and The Bank of New York Mellon Trust</w:t>
        </w:r>
      </w:hyperlink>
    </w:p>
    <w:p>
      <w:pPr>
        <w:ind w:left="1260"/>
        <w:spacing w:after="0"/>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Company, N.A., as Trustee</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03" w:name="page104"/>
    <w:bookmarkEnd w:id="103"/>
    <w:p>
      <w:pPr>
        <w:ind w:left="5460"/>
        <w:spacing w:after="0"/>
        <w:rPr>
          <w:sz w:val="20"/>
          <w:szCs w:val="20"/>
          <w:color w:val="auto"/>
        </w:rPr>
      </w:pPr>
      <w:r>
        <w:rPr>
          <w:rFonts w:ascii="Arial" w:cs="Arial" w:eastAsia="Arial" w:hAnsi="Arial"/>
          <w:sz w:val="14"/>
          <w:szCs w:val="14"/>
          <w:u w:val="single" w:color="auto"/>
          <w:color w:val="auto"/>
        </w:rPr>
        <w:t>PART IV</w:t>
      </w:r>
    </w:p>
    <w:p>
      <w:pPr>
        <w:ind w:left="5480"/>
        <w:spacing w:after="0"/>
        <w:rPr>
          <w:sz w:val="20"/>
          <w:szCs w:val="20"/>
          <w:color w:val="auto"/>
        </w:rPr>
      </w:pPr>
      <w:r>
        <w:rPr>
          <w:rFonts w:ascii="Arial" w:cs="Arial" w:eastAsia="Arial" w:hAnsi="Arial"/>
          <w:sz w:val="14"/>
          <w:szCs w:val="14"/>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1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jc w:val="right"/>
              <w:ind w:right="155"/>
              <w:spacing w:after="0" w:line="125" w:lineRule="exact"/>
              <w:rPr>
                <w:sz w:val="20"/>
                <w:szCs w:val="20"/>
                <w:color w:val="auto"/>
              </w:rPr>
            </w:pPr>
            <w:r>
              <w:rPr>
                <w:rFonts w:ascii="Arial" w:cs="Arial" w:eastAsia="Arial" w:hAnsi="Arial"/>
                <w:sz w:val="14"/>
                <w:szCs w:val="14"/>
                <w:b w:val="1"/>
                <w:bCs w:val="1"/>
                <w:color w:val="auto"/>
              </w:rPr>
              <w:t>Period</w:t>
            </w: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240" w:type="dxa"/>
            <w:vAlign w:val="bottom"/>
            <w:tcBorders>
              <w:bottom w:val="single" w:sz="8" w:color="auto"/>
            </w:tcBorders>
            <w:gridSpan w:val="27"/>
          </w:tcPr>
          <w:p>
            <w:pPr>
              <w:spacing w:after="0"/>
              <w:rPr>
                <w:sz w:val="20"/>
                <w:szCs w:val="20"/>
                <w:color w:val="auto"/>
              </w:rPr>
            </w:pPr>
            <w:r>
              <w:rPr>
                <w:rFonts w:ascii="Arial" w:cs="Arial" w:eastAsia="Arial" w:hAnsi="Arial"/>
                <w:sz w:val="14"/>
                <w:szCs w:val="14"/>
                <w:b w:val="1"/>
                <w:bCs w:val="1"/>
                <w:color w:val="auto"/>
              </w:rPr>
              <w:t>Exhibit Description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Form</w:t>
            </w: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Ending</w:t>
            </w: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4"/>
              </w:rPr>
              <w:t>Filing Date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4.15</w:t>
            </w:r>
          </w:p>
        </w:tc>
        <w:tc>
          <w:tcPr>
            <w:tcW w:w="3900" w:type="dxa"/>
            <w:vAlign w:val="bottom"/>
            <w:tcBorders>
              <w:bottom w:val="single" w:sz="8" w:color="0000EE"/>
            </w:tcBorders>
            <w:gridSpan w:val="18"/>
          </w:tcPr>
          <w:p>
            <w:pPr>
              <w:spacing w:after="0"/>
              <w:rPr>
                <w:rFonts w:ascii="Arial" w:cs="Arial" w:eastAsia="Arial" w:hAnsi="Arial"/>
                <w:sz w:val="18"/>
                <w:szCs w:val="18"/>
                <w:color w:val="0000EE"/>
                <w:w w:val="97"/>
              </w:rPr>
            </w:pPr>
            <w:hyperlink r:id="rId191">
              <w:r>
                <w:rPr>
                  <w:rFonts w:ascii="Arial" w:cs="Arial" w:eastAsia="Arial" w:hAnsi="Arial"/>
                  <w:sz w:val="18"/>
                  <w:szCs w:val="18"/>
                  <w:color w:val="0000EE"/>
                  <w:w w:val="97"/>
                </w:rPr>
                <w:t>Twelfth Supplemental Indenture for 1.850% Notes</w:t>
              </w:r>
            </w:hyperlink>
          </w:p>
        </w:tc>
        <w:tc>
          <w:tcPr>
            <w:tcW w:w="34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36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due 2020, 2.400% Notes due 2022, 2.875% Notes</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due 2024, 3.300% Notes due 2027, 4.100% Notes</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5"/>
              </w:rPr>
            </w:pPr>
            <w:hyperlink r:id="rId191">
              <w:r>
                <w:rPr>
                  <w:rFonts w:ascii="Arial" w:cs="Arial" w:eastAsia="Arial" w:hAnsi="Arial"/>
                  <w:sz w:val="18"/>
                  <w:szCs w:val="18"/>
                  <w:color w:val="0000EE"/>
                  <w:w w:val="95"/>
                </w:rPr>
                <w:t>due 2037, 4.250% Notes due 2047, and 4.500%</w:t>
              </w:r>
            </w:hyperlink>
          </w:p>
        </w:tc>
        <w:tc>
          <w:tcPr>
            <w:tcW w:w="200" w:type="dxa"/>
            <w:vAlign w:val="bottom"/>
            <w:tcBorders>
              <w:top w:val="single" w:sz="8" w:color="0000EE"/>
            </w:tcBorders>
            <w:gridSpan w:val="5"/>
          </w:tcPr>
          <w:p>
            <w:pPr>
              <w:spacing w:after="0"/>
              <w:rPr>
                <w:sz w:val="15"/>
                <w:szCs w:val="15"/>
                <w:color w:val="auto"/>
              </w:rPr>
            </w:pPr>
          </w:p>
        </w:tc>
        <w:tc>
          <w:tcPr>
            <w:tcW w:w="32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Notes due 2057, dated as of February 6, 2017,</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between Microsoft Corporation and The Bank of New</w:t>
              </w:r>
            </w:hyperlink>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York Mellon Trust Company, N.A., as trustee, to the</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Indenture, dated as of May 18, 2009, between</w:t>
              </w:r>
            </w:hyperlink>
          </w:p>
        </w:tc>
        <w:tc>
          <w:tcPr>
            <w:tcW w:w="26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382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Microsoft Corporation and The Bank of New York</w:t>
              </w:r>
            </w:hyperlink>
          </w:p>
        </w:tc>
        <w:tc>
          <w:tcPr>
            <w:tcW w:w="420" w:type="dxa"/>
            <w:vAlign w:val="bottom"/>
            <w:gridSpan w:val="1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06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Mellon Trust Company, N.A., as trustee</w:t>
              </w:r>
            </w:hyperlink>
          </w:p>
        </w:tc>
        <w:tc>
          <w:tcPr>
            <w:tcW w:w="1180" w:type="dxa"/>
            <w:vAlign w:val="bottom"/>
            <w:gridSpan w:val="19"/>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99"/>
              </w:rPr>
            </w:pPr>
            <w:hyperlink r:id="rId192">
              <w:r>
                <w:rPr>
                  <w:rFonts w:ascii="Arial" w:cs="Arial" w:eastAsia="Arial" w:hAnsi="Arial"/>
                  <w:sz w:val="18"/>
                  <w:szCs w:val="18"/>
                  <w:color w:val="0000EE"/>
                  <w:w w:val="99"/>
                </w:rPr>
                <w:t>Microsoft Corporation 2001 Stock Plan</w:t>
              </w:r>
            </w:hyperlink>
          </w:p>
        </w:tc>
        <w:tc>
          <w:tcPr>
            <w:tcW w:w="1140" w:type="dxa"/>
            <w:vAlign w:val="bottom"/>
            <w:gridSpan w:val="17"/>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3880" w:type="dxa"/>
            <w:vAlign w:val="bottom"/>
            <w:tcBorders>
              <w:bottom w:val="single" w:sz="8" w:color="0000EE"/>
            </w:tcBorders>
            <w:gridSpan w:val="17"/>
          </w:tcPr>
          <w:p>
            <w:pPr>
              <w:spacing w:after="0"/>
              <w:rPr>
                <w:rFonts w:ascii="Arial" w:cs="Arial" w:eastAsia="Arial" w:hAnsi="Arial"/>
                <w:sz w:val="18"/>
                <w:szCs w:val="18"/>
                <w:color w:val="0000EE"/>
                <w:w w:val="99"/>
              </w:rPr>
            </w:pPr>
            <w:hyperlink r:id="rId193">
              <w:r>
                <w:rPr>
                  <w:rFonts w:ascii="Arial" w:cs="Arial" w:eastAsia="Arial" w:hAnsi="Arial"/>
                  <w:sz w:val="18"/>
                  <w:szCs w:val="18"/>
                  <w:color w:val="0000EE"/>
                  <w:w w:val="99"/>
                </w:rPr>
                <w:t>Microsoft Corporation Employee Stock Purchase</w:t>
              </w:r>
            </w:hyperlink>
          </w:p>
        </w:tc>
        <w:tc>
          <w:tcPr>
            <w:tcW w:w="360" w:type="dxa"/>
            <w:vAlign w:val="bottom"/>
            <w:gridSpan w:val="10"/>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6/30/12</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7/26/12</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60" w:type="dxa"/>
            <w:vAlign w:val="bottom"/>
            <w:tcBorders>
              <w:bottom w:val="single" w:sz="8" w:color="0000EE"/>
            </w:tcBorders>
          </w:tcPr>
          <w:p>
            <w:pPr>
              <w:spacing w:after="0" w:line="182"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Plan</w:t>
              </w:r>
            </w:hyperlink>
          </w:p>
        </w:tc>
        <w:tc>
          <w:tcPr>
            <w:tcW w:w="3880" w:type="dxa"/>
            <w:vAlign w:val="bottom"/>
            <w:gridSpan w:val="26"/>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4240" w:type="dxa"/>
            <w:vAlign w:val="bottom"/>
            <w:gridSpan w:val="2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Microsoft Corporation Deferred Compensation Plan</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30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r:id="rId194">
              <w:r>
                <w:rPr>
                  <w:rFonts w:ascii="Arial" w:cs="Arial" w:eastAsia="Arial" w:hAnsi="Arial"/>
                  <w:sz w:val="18"/>
                  <w:szCs w:val="18"/>
                  <w:color w:val="0000EE"/>
                  <w:w w:val="99"/>
                </w:rPr>
                <w:t>Microsoft Corporation 2017 Stock Plan</w:t>
              </w:r>
            </w:hyperlink>
          </w:p>
        </w:tc>
        <w:tc>
          <w:tcPr>
            <w:tcW w:w="1000" w:type="dxa"/>
            <w:vAlign w:val="bottom"/>
            <w:tcBorders>
              <w:top w:val="single" w:sz="8" w:color="0000EE"/>
            </w:tcBorders>
            <w:gridSpan w:val="16"/>
          </w:tcPr>
          <w:p>
            <w:pPr>
              <w:spacing w:after="0"/>
              <w:rPr>
                <w:sz w:val="24"/>
                <w:szCs w:val="24"/>
                <w:color w:val="auto"/>
              </w:rPr>
            </w:pPr>
          </w:p>
        </w:tc>
        <w:tc>
          <w:tcPr>
            <w:tcW w:w="16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DEF14A</w:t>
            </w:r>
          </w:p>
        </w:tc>
        <w:tc>
          <w:tcPr>
            <w:tcW w:w="136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Annex 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10/16/17</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4240" w:type="dxa"/>
            <w:vAlign w:val="bottom"/>
            <w:gridSpan w:val="27"/>
          </w:tcPr>
          <w:p>
            <w:pPr>
              <w:spacing w:after="0"/>
              <w:rPr>
                <w:rFonts w:ascii="Arial" w:cs="Arial" w:eastAsia="Arial" w:hAnsi="Arial"/>
                <w:sz w:val="18"/>
                <w:szCs w:val="18"/>
                <w:color w:val="0000EE"/>
                <w:w w:val="99"/>
              </w:rPr>
            </w:pPr>
            <w:hyperlink r:id="rId195">
              <w:r>
                <w:rPr>
                  <w:rFonts w:ascii="Arial" w:cs="Arial" w:eastAsia="Arial" w:hAnsi="Arial"/>
                  <w:sz w:val="18"/>
                  <w:szCs w:val="18"/>
                  <w:color w:val="0000EE"/>
                  <w:w w:val="99"/>
                </w:rPr>
                <w:t>Form of Stock Award Agreement Under the Microsoft</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3/31/2018</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Corporation 2017 Stock Plan</w:t>
              </w:r>
            </w:hyperlink>
          </w:p>
        </w:tc>
        <w:tc>
          <w:tcPr>
            <w:tcW w:w="1840" w:type="dxa"/>
            <w:vAlign w:val="bottom"/>
            <w:tcBorders>
              <w:top w:val="single" w:sz="8" w:color="0000EE"/>
            </w:tcBorders>
            <w:gridSpan w:val="20"/>
          </w:tcPr>
          <w:p>
            <w:pPr>
              <w:spacing w:after="0"/>
              <w:rPr>
                <w:sz w:val="15"/>
                <w:szCs w:val="15"/>
                <w:color w:val="auto"/>
              </w:rPr>
            </w:pPr>
          </w:p>
        </w:tc>
        <w:tc>
          <w:tcPr>
            <w:tcW w:w="2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3680" w:type="dxa"/>
            <w:vAlign w:val="bottom"/>
            <w:tcBorders>
              <w:bottom w:val="single" w:sz="8" w:color="0000EE"/>
            </w:tcBorders>
            <w:gridSpan w:val="12"/>
          </w:tcPr>
          <w:p>
            <w:pPr>
              <w:spacing w:after="0"/>
              <w:rPr>
                <w:rFonts w:ascii="Arial" w:cs="Arial" w:eastAsia="Arial" w:hAnsi="Arial"/>
                <w:sz w:val="18"/>
                <w:szCs w:val="18"/>
                <w:color w:val="0000EE"/>
                <w:w w:val="99"/>
              </w:rPr>
            </w:pPr>
            <w:hyperlink r:id="rId196">
              <w:r>
                <w:rPr>
                  <w:rFonts w:ascii="Arial" w:cs="Arial" w:eastAsia="Arial" w:hAnsi="Arial"/>
                  <w:sz w:val="18"/>
                  <w:szCs w:val="18"/>
                  <w:color w:val="0000EE"/>
                  <w:w w:val="99"/>
                </w:rPr>
                <w:t>Form of Performance Stock Award Agreement</w:t>
              </w:r>
            </w:hyperlink>
          </w:p>
        </w:tc>
        <w:tc>
          <w:tcPr>
            <w:tcW w:w="560" w:type="dxa"/>
            <w:vAlign w:val="bottom"/>
            <w:gridSpan w:val="15"/>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3/31/2018</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10.27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20" w:type="dxa"/>
            <w:vAlign w:val="bottom"/>
            <w:tcBorders>
              <w:bottom w:val="single" w:sz="8" w:color="0000EE"/>
            </w:tcBorders>
            <w:gridSpan w:val="19"/>
          </w:tcPr>
          <w:p>
            <w:pPr>
              <w:spacing w:after="0" w:line="182" w:lineRule="exact"/>
              <w:rPr>
                <w:rFonts w:ascii="Arial" w:cs="Arial" w:eastAsia="Arial" w:hAnsi="Arial"/>
                <w:sz w:val="18"/>
                <w:szCs w:val="18"/>
                <w:color w:val="0000EE"/>
                <w:w w:val="98"/>
              </w:rPr>
            </w:pPr>
            <w:hyperlink r:id="rId196">
              <w:r>
                <w:rPr>
                  <w:rFonts w:ascii="Arial" w:cs="Arial" w:eastAsia="Arial" w:hAnsi="Arial"/>
                  <w:sz w:val="18"/>
                  <w:szCs w:val="18"/>
                  <w:color w:val="0000EE"/>
                  <w:w w:val="98"/>
                </w:rPr>
                <w:t>Under the Microsoft Corporation 2017 Stock Plan</w:t>
              </w:r>
            </w:hyperlink>
          </w:p>
        </w:tc>
        <w:tc>
          <w:tcPr>
            <w:tcW w:w="32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4240" w:type="dxa"/>
            <w:vAlign w:val="bottom"/>
            <w:gridSpan w:val="27"/>
          </w:tcPr>
          <w:p>
            <w:pPr>
              <w:spacing w:after="0"/>
              <w:rPr>
                <w:rFonts w:ascii="Arial" w:cs="Arial" w:eastAsia="Arial" w:hAnsi="Arial"/>
                <w:sz w:val="18"/>
                <w:szCs w:val="18"/>
                <w:color w:val="0000EE"/>
              </w:rPr>
            </w:pPr>
            <w:hyperlink r:id="rId197">
              <w:r>
                <w:rPr>
                  <w:rFonts w:ascii="Arial" w:cs="Arial" w:eastAsia="Arial" w:hAnsi="Arial"/>
                  <w:sz w:val="18"/>
                  <w:szCs w:val="18"/>
                  <w:color w:val="0000EE"/>
                </w:rPr>
                <w:t>Amended and Restated Officers’ Indemnification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197">
              <w:r>
                <w:rPr>
                  <w:rFonts w:ascii="Arial" w:cs="Arial" w:eastAsia="Arial" w:hAnsi="Arial"/>
                  <w:sz w:val="18"/>
                  <w:szCs w:val="18"/>
                  <w:color w:val="0000EE"/>
                </w:rPr>
                <w:t>Trust Agreement between Microsoft Corporation and</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80" w:type="dxa"/>
            <w:vAlign w:val="bottom"/>
            <w:tcBorders>
              <w:top w:val="single" w:sz="8" w:color="0000EE"/>
            </w:tcBorders>
            <w:gridSpan w:val="25"/>
          </w:tcPr>
          <w:p>
            <w:pPr>
              <w:spacing w:after="0" w:line="182" w:lineRule="exact"/>
              <w:rPr>
                <w:rFonts w:ascii="Arial" w:cs="Arial" w:eastAsia="Arial" w:hAnsi="Arial"/>
                <w:sz w:val="18"/>
                <w:szCs w:val="18"/>
                <w:color w:val="0000EE"/>
                <w:w w:val="97"/>
              </w:rPr>
            </w:pPr>
            <w:hyperlink r:id="rId197">
              <w:r>
                <w:rPr>
                  <w:rFonts w:ascii="Arial" w:cs="Arial" w:eastAsia="Arial" w:hAnsi="Arial"/>
                  <w:sz w:val="18"/>
                  <w:szCs w:val="18"/>
                  <w:color w:val="0000EE"/>
                  <w:w w:val="97"/>
                </w:rPr>
                <w:t>The Bank of New York Mellon Trust Company, N.A.,</w:t>
              </w:r>
            </w:hyperlink>
          </w:p>
        </w:tc>
        <w:tc>
          <w:tcPr>
            <w:tcW w:w="1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97">
              <w:r>
                <w:rPr>
                  <w:rFonts w:ascii="Arial" w:cs="Arial" w:eastAsia="Arial" w:hAnsi="Arial"/>
                  <w:sz w:val="18"/>
                  <w:szCs w:val="18"/>
                  <w:color w:val="0000EE"/>
                </w:rPr>
                <w:t>as trustee</w:t>
              </w:r>
            </w:hyperlink>
          </w:p>
        </w:tc>
        <w:tc>
          <w:tcPr>
            <w:tcW w:w="22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4240" w:type="dxa"/>
            <w:vAlign w:val="bottom"/>
            <w:gridSpan w:val="27"/>
          </w:tcPr>
          <w:p>
            <w:pPr>
              <w:spacing w:after="0"/>
              <w:rPr>
                <w:rFonts w:ascii="Arial" w:cs="Arial" w:eastAsia="Arial" w:hAnsi="Arial"/>
                <w:sz w:val="18"/>
                <w:szCs w:val="18"/>
                <w:color w:val="0000EE"/>
              </w:rPr>
            </w:pPr>
            <w:hyperlink r:id="rId198">
              <w:r>
                <w:rPr>
                  <w:rFonts w:ascii="Arial" w:cs="Arial" w:eastAsia="Arial" w:hAnsi="Arial"/>
                  <w:sz w:val="18"/>
                  <w:szCs w:val="18"/>
                  <w:color w:val="0000EE"/>
                </w:rPr>
                <w:t>Amended and Restated Directors’ Indemnification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198">
              <w:r>
                <w:rPr>
                  <w:rFonts w:ascii="Arial" w:cs="Arial" w:eastAsia="Arial" w:hAnsi="Arial"/>
                  <w:sz w:val="18"/>
                  <w:szCs w:val="18"/>
                  <w:color w:val="0000EE"/>
                </w:rPr>
                <w:t>Trust Agreement between Microsoft Corporation and</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80" w:type="dxa"/>
            <w:vAlign w:val="bottom"/>
            <w:tcBorders>
              <w:top w:val="single" w:sz="8" w:color="0000EE"/>
            </w:tcBorders>
            <w:gridSpan w:val="25"/>
          </w:tcPr>
          <w:p>
            <w:pPr>
              <w:spacing w:after="0" w:line="182" w:lineRule="exact"/>
              <w:rPr>
                <w:rFonts w:ascii="Arial" w:cs="Arial" w:eastAsia="Arial" w:hAnsi="Arial"/>
                <w:sz w:val="18"/>
                <w:szCs w:val="18"/>
                <w:color w:val="0000EE"/>
                <w:w w:val="97"/>
              </w:rPr>
            </w:pPr>
            <w:hyperlink r:id="rId198">
              <w:r>
                <w:rPr>
                  <w:rFonts w:ascii="Arial" w:cs="Arial" w:eastAsia="Arial" w:hAnsi="Arial"/>
                  <w:sz w:val="18"/>
                  <w:szCs w:val="18"/>
                  <w:color w:val="0000EE"/>
                  <w:w w:val="97"/>
                </w:rPr>
                <w:t>The Bank of New York Mellon Trust Company, N.A.,</w:t>
              </w:r>
            </w:hyperlink>
          </w:p>
        </w:tc>
        <w:tc>
          <w:tcPr>
            <w:tcW w:w="1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98">
              <w:r>
                <w:rPr>
                  <w:rFonts w:ascii="Arial" w:cs="Arial" w:eastAsia="Arial" w:hAnsi="Arial"/>
                  <w:sz w:val="18"/>
                  <w:szCs w:val="18"/>
                  <w:color w:val="0000EE"/>
                </w:rPr>
                <w:t>as trustee</w:t>
              </w:r>
            </w:hyperlink>
          </w:p>
        </w:tc>
        <w:tc>
          <w:tcPr>
            <w:tcW w:w="22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4240" w:type="dxa"/>
            <w:vAlign w:val="bottom"/>
            <w:gridSpan w:val="27"/>
          </w:tcPr>
          <w:p>
            <w:pPr>
              <w:spacing w:after="0"/>
              <w:rPr>
                <w:rFonts w:ascii="Arial" w:cs="Arial" w:eastAsia="Arial" w:hAnsi="Arial"/>
                <w:sz w:val="18"/>
                <w:szCs w:val="18"/>
                <w:color w:val="0000EE"/>
              </w:rPr>
            </w:pPr>
            <w:hyperlink r:id="rId199">
              <w:r>
                <w:rPr>
                  <w:rFonts w:ascii="Arial" w:cs="Arial" w:eastAsia="Arial" w:hAnsi="Arial"/>
                  <w:sz w:val="18"/>
                  <w:szCs w:val="18"/>
                  <w:color w:val="0000EE"/>
                </w:rPr>
                <w:t>Microsoft Corporation Deferred Compensation Plan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12/31/17</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199">
              <w:r>
                <w:rPr>
                  <w:rFonts w:ascii="Arial" w:cs="Arial" w:eastAsia="Arial" w:hAnsi="Arial"/>
                  <w:sz w:val="18"/>
                  <w:szCs w:val="18"/>
                  <w:color w:val="0000EE"/>
                  <w:w w:val="99"/>
                </w:rPr>
                <w:t>for Non-Employee Directors</w:t>
              </w:r>
            </w:hyperlink>
          </w:p>
        </w:tc>
        <w:tc>
          <w:tcPr>
            <w:tcW w:w="1860" w:type="dxa"/>
            <w:vAlign w:val="bottom"/>
            <w:tcBorders>
              <w:top w:val="single" w:sz="8" w:color="0000EE"/>
            </w:tcBorders>
            <w:gridSpan w:val="20"/>
          </w:tcPr>
          <w:p>
            <w:pPr>
              <w:spacing w:after="0"/>
              <w:rPr>
                <w:sz w:val="15"/>
                <w:szCs w:val="15"/>
                <w:color w:val="auto"/>
              </w:rPr>
            </w:pPr>
          </w:p>
        </w:tc>
        <w:tc>
          <w:tcPr>
            <w:tcW w:w="1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4240" w:type="dxa"/>
            <w:vAlign w:val="bottom"/>
            <w:gridSpan w:val="27"/>
          </w:tcPr>
          <w:p>
            <w:pPr>
              <w:spacing w:after="0"/>
              <w:rPr>
                <w:rFonts w:ascii="Arial" w:cs="Arial" w:eastAsia="Arial" w:hAnsi="Arial"/>
                <w:sz w:val="18"/>
                <w:szCs w:val="18"/>
                <w:color w:val="0000EE"/>
              </w:rPr>
            </w:pPr>
            <w:hyperlink r:id="rId200">
              <w:r>
                <w:rPr>
                  <w:rFonts w:ascii="Arial" w:cs="Arial" w:eastAsia="Arial" w:hAnsi="Arial"/>
                  <w:sz w:val="18"/>
                  <w:szCs w:val="18"/>
                  <w:color w:val="0000EE"/>
                </w:rPr>
                <w:t>Executive Officer Incentive Plan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9/30/15</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10/22/15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3700" w:type="dxa"/>
            <w:vAlign w:val="bottom"/>
            <w:tcBorders>
              <w:bottom w:val="single" w:sz="8" w:color="0000EE"/>
            </w:tcBorders>
            <w:gridSpan w:val="13"/>
          </w:tcPr>
          <w:p>
            <w:pPr>
              <w:spacing w:after="0"/>
              <w:rPr>
                <w:rFonts w:ascii="Arial" w:cs="Arial" w:eastAsia="Arial" w:hAnsi="Arial"/>
                <w:sz w:val="18"/>
                <w:szCs w:val="18"/>
                <w:color w:val="0000EE"/>
                <w:w w:val="99"/>
              </w:rPr>
            </w:pPr>
            <w:hyperlink r:id="rId201">
              <w:r>
                <w:rPr>
                  <w:rFonts w:ascii="Arial" w:cs="Arial" w:eastAsia="Arial" w:hAnsi="Arial"/>
                  <w:sz w:val="18"/>
                  <w:szCs w:val="18"/>
                  <w:color w:val="0000EE"/>
                  <w:w w:val="99"/>
                </w:rPr>
                <w:t>Form of Executive Officer Incentive Plan Stock</w:t>
              </w:r>
            </w:hyperlink>
          </w:p>
        </w:tc>
        <w:tc>
          <w:tcPr>
            <w:tcW w:w="540" w:type="dxa"/>
            <w:vAlign w:val="bottom"/>
            <w:gridSpan w:val="14"/>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9/30/15</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10/22/15</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Award Agreement under the Microsoft Corporation</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2001 Stock Plan</w:t>
              </w:r>
            </w:hyperlink>
          </w:p>
        </w:tc>
        <w:tc>
          <w:tcPr>
            <w:tcW w:w="24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4240" w:type="dxa"/>
            <w:vAlign w:val="bottom"/>
            <w:gridSpan w:val="27"/>
          </w:tcPr>
          <w:p>
            <w:pPr>
              <w:spacing w:after="0"/>
              <w:rPr>
                <w:rFonts w:ascii="Arial" w:cs="Arial" w:eastAsia="Arial" w:hAnsi="Arial"/>
                <w:sz w:val="18"/>
                <w:szCs w:val="18"/>
                <w:color w:val="0000EE"/>
              </w:rPr>
            </w:pPr>
            <w:hyperlink r:id="rId202">
              <w:r>
                <w:rPr>
                  <w:rFonts w:ascii="Arial" w:cs="Arial" w:eastAsia="Arial" w:hAnsi="Arial"/>
                  <w:sz w:val="18"/>
                  <w:szCs w:val="18"/>
                  <w:color w:val="0000EE"/>
                </w:rPr>
                <w:t>Microsoft Corporation Executive Incentive Plan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420" w:type="dxa"/>
            <w:vAlign w:val="bottom"/>
            <w:gridSpan w:val="8"/>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4240" w:type="dxa"/>
            <w:vAlign w:val="bottom"/>
            <w:gridSpan w:val="27"/>
          </w:tcPr>
          <w:p>
            <w:pPr>
              <w:spacing w:after="0"/>
              <w:rPr>
                <w:rFonts w:ascii="Arial" w:cs="Arial" w:eastAsia="Arial" w:hAnsi="Arial"/>
                <w:sz w:val="18"/>
                <w:szCs w:val="18"/>
                <w:color w:val="0000EE"/>
              </w:rPr>
            </w:pPr>
            <w:hyperlink r:id="rId203">
              <w:r>
                <w:rPr>
                  <w:rFonts w:ascii="Arial" w:cs="Arial" w:eastAsia="Arial" w:hAnsi="Arial"/>
                  <w:sz w:val="18"/>
                  <w:szCs w:val="18"/>
                  <w:color w:val="0000EE"/>
                </w:rPr>
                <w:t>Form of Executive Incentive Plan (Executive Officer</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9"/>
              </w:rPr>
            </w:pPr>
            <w:hyperlink r:id="rId203">
              <w:r>
                <w:rPr>
                  <w:rFonts w:ascii="Arial" w:cs="Arial" w:eastAsia="Arial" w:hAnsi="Arial"/>
                  <w:sz w:val="18"/>
                  <w:szCs w:val="18"/>
                  <w:color w:val="0000EE"/>
                  <w:w w:val="99"/>
                </w:rPr>
                <w:t>SAs) Stock Award Agreement under the Microsoft</w:t>
              </w:r>
            </w:hyperlink>
          </w:p>
        </w:tc>
        <w:tc>
          <w:tcPr>
            <w:tcW w:w="120" w:type="dxa"/>
            <w:vAlign w:val="bottom"/>
            <w:tcBorders>
              <w:top w:val="single" w:sz="8" w:color="0000EE"/>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27"/>
          </w:tcPr>
          <w:p>
            <w:pPr>
              <w:spacing w:after="0" w:line="182" w:lineRule="exact"/>
              <w:rPr>
                <w:rFonts w:ascii="Arial" w:cs="Arial" w:eastAsia="Arial" w:hAnsi="Arial"/>
                <w:sz w:val="18"/>
                <w:szCs w:val="18"/>
                <w:color w:val="0000EE"/>
              </w:rPr>
            </w:pPr>
            <w:hyperlink r:id="rId203">
              <w:r>
                <w:rPr>
                  <w:rFonts w:ascii="Arial" w:cs="Arial" w:eastAsia="Arial" w:hAnsi="Arial"/>
                  <w:sz w:val="18"/>
                  <w:szCs w:val="18"/>
                  <w:color w:val="0000EE"/>
                </w:rPr>
                <w:t>Corporation 2001 Stock Plan</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5"/>
        </w:trPr>
        <w:tc>
          <w:tcPr>
            <w:tcW w:w="12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646"/>
              <w:spacing w:after="0"/>
              <w:rPr>
                <w:sz w:val="20"/>
                <w:szCs w:val="20"/>
                <w:color w:val="auto"/>
              </w:rPr>
            </w:pPr>
            <w:r>
              <w:rPr>
                <w:rFonts w:ascii="Arial" w:cs="Arial" w:eastAsia="Arial" w:hAnsi="Arial"/>
                <w:sz w:val="14"/>
                <w:szCs w:val="14"/>
                <w:color w:val="auto"/>
              </w:rPr>
              <w:t>104</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4"/>
          <w:szCs w:val="14"/>
          <w:u w:val="single" w:color="auto"/>
          <w:color w:val="auto"/>
        </w:rPr>
        <w:t>PART IV</w:t>
      </w:r>
    </w:p>
    <w:p>
      <w:pPr>
        <w:jc w:val="center"/>
        <w:ind w:right="-59"/>
        <w:spacing w:after="0"/>
        <w:rPr>
          <w:sz w:val="20"/>
          <w:szCs w:val="20"/>
          <w:color w:val="auto"/>
        </w:rPr>
      </w:pPr>
      <w:r>
        <w:rPr>
          <w:rFonts w:ascii="Arial" w:cs="Arial" w:eastAsia="Arial" w:hAnsi="Arial"/>
          <w:sz w:val="14"/>
          <w:szCs w:val="14"/>
          <w:color w:val="auto"/>
        </w:rPr>
        <w:t>Item 15, 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1"/>
              </w:rPr>
              <w:t>Filed</w:t>
            </w:r>
          </w:p>
        </w:tc>
        <w:tc>
          <w:tcPr>
            <w:tcW w:w="1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480" w:type="dxa"/>
            <w:vAlign w:val="bottom"/>
          </w:tcPr>
          <w:p>
            <w:pPr>
              <w:jc w:val="right"/>
              <w:ind w:right="280"/>
              <w:spacing w:after="0" w:line="125" w:lineRule="exact"/>
              <w:rPr>
                <w:sz w:val="20"/>
                <w:szCs w:val="20"/>
                <w:color w:val="auto"/>
              </w:rPr>
            </w:pPr>
            <w:r>
              <w:rPr>
                <w:rFonts w:ascii="Arial" w:cs="Arial" w:eastAsia="Arial" w:hAnsi="Arial"/>
                <w:sz w:val="14"/>
                <w:szCs w:val="14"/>
                <w:b w:val="1"/>
                <w:bCs w:val="1"/>
                <w:color w:val="auto"/>
              </w:rPr>
              <w:t>Period</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Borders>
              <w:bottom w:val="single" w:sz="8" w:color="auto"/>
            </w:tcBorders>
            <w:gridSpan w:val="20"/>
          </w:tcPr>
          <w:p>
            <w:pPr>
              <w:spacing w:after="0"/>
              <w:rPr>
                <w:sz w:val="20"/>
                <w:szCs w:val="20"/>
                <w:color w:val="auto"/>
              </w:rPr>
            </w:pPr>
            <w:r>
              <w:rPr>
                <w:rFonts w:ascii="Arial" w:cs="Arial" w:eastAsia="Arial" w:hAnsi="Arial"/>
                <w:sz w:val="14"/>
                <w:szCs w:val="14"/>
                <w:b w:val="1"/>
                <w:bCs w:val="1"/>
                <w:color w:val="auto"/>
              </w:rPr>
              <w:t>Exhibit Description</w:t>
            </w: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8"/>
              </w:rPr>
              <w:t>Herewith</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Form</w:t>
            </w:r>
          </w:p>
        </w:tc>
        <w:tc>
          <w:tcPr>
            <w:tcW w:w="14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Ending</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4120" w:type="dxa"/>
            <w:vAlign w:val="bottom"/>
            <w:tcBorders>
              <w:bottom w:val="single" w:sz="8" w:color="0000EE"/>
            </w:tcBorders>
            <w:gridSpan w:val="17"/>
          </w:tcPr>
          <w:p>
            <w:pPr>
              <w:spacing w:after="0"/>
              <w:rPr>
                <w:rFonts w:ascii="Arial" w:cs="Arial" w:eastAsia="Arial" w:hAnsi="Arial"/>
                <w:sz w:val="18"/>
                <w:szCs w:val="18"/>
                <w:color w:val="0000EE"/>
                <w:w w:val="97"/>
              </w:rPr>
            </w:pPr>
            <w:hyperlink r:id="rId206">
              <w:r>
                <w:rPr>
                  <w:rFonts w:ascii="Arial" w:cs="Arial" w:eastAsia="Arial" w:hAnsi="Arial"/>
                  <w:sz w:val="18"/>
                  <w:szCs w:val="18"/>
                  <w:color w:val="0000EE"/>
                  <w:w w:val="97"/>
                </w:rPr>
                <w:t>Form of Executive Incentive Plan Performance Stock</w:t>
              </w:r>
            </w:hyperlink>
          </w:p>
        </w:tc>
        <w:tc>
          <w:tcPr>
            <w:tcW w:w="22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260"/>
              <w:spacing w:after="0"/>
              <w:rPr>
                <w:sz w:val="20"/>
                <w:szCs w:val="20"/>
                <w:color w:val="auto"/>
              </w:rPr>
            </w:pPr>
            <w:r>
              <w:rPr>
                <w:rFonts w:ascii="Arial" w:cs="Arial" w:eastAsia="Arial" w:hAnsi="Arial"/>
                <w:sz w:val="18"/>
                <w:szCs w:val="18"/>
                <w:color w:val="auto"/>
              </w:rPr>
              <w:t>9/30/16</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10.25</w:t>
            </w:r>
          </w:p>
        </w:tc>
        <w:tc>
          <w:tcPr>
            <w:tcW w:w="960" w:type="dxa"/>
            <w:vAlign w:val="bottom"/>
          </w:tcPr>
          <w:p>
            <w:pPr>
              <w:jc w:val="right"/>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r:id="rId206">
              <w:r>
                <w:rPr>
                  <w:rFonts w:ascii="Arial" w:cs="Arial" w:eastAsia="Arial" w:hAnsi="Arial"/>
                  <w:sz w:val="18"/>
                  <w:szCs w:val="18"/>
                  <w:color w:val="0000EE"/>
                  <w:w w:val="97"/>
                </w:rPr>
                <w:t>Award Agreement under the Microsoft Corporation</w:t>
              </w:r>
            </w:hyperlink>
          </w:p>
        </w:tc>
        <w:tc>
          <w:tcPr>
            <w:tcW w:w="400" w:type="dxa"/>
            <w:vAlign w:val="bottom"/>
            <w:gridSpan w:val="7"/>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280" w:type="dxa"/>
            <w:vAlign w:val="bottom"/>
            <w:tcBorders>
              <w:bottom w:val="single" w:sz="8" w:color="0000EE"/>
            </w:tcBorders>
          </w:tcPr>
          <w:p>
            <w:pPr>
              <w:spacing w:after="0" w:line="182" w:lineRule="exact"/>
              <w:rPr>
                <w:rFonts w:ascii="Arial" w:cs="Arial" w:eastAsia="Arial" w:hAnsi="Arial"/>
                <w:sz w:val="18"/>
                <w:szCs w:val="18"/>
                <w:color w:val="0000EE"/>
                <w:w w:val="96"/>
              </w:rPr>
            </w:pPr>
            <w:hyperlink r:id="rId206">
              <w:r>
                <w:rPr>
                  <w:rFonts w:ascii="Arial" w:cs="Arial" w:eastAsia="Arial" w:hAnsi="Arial"/>
                  <w:sz w:val="18"/>
                  <w:szCs w:val="18"/>
                  <w:color w:val="0000EE"/>
                  <w:w w:val="96"/>
                </w:rPr>
                <w:t>2001 Stock Plan</w:t>
              </w:r>
            </w:hyperlink>
          </w:p>
        </w:tc>
        <w:tc>
          <w:tcPr>
            <w:tcW w:w="3060" w:type="dxa"/>
            <w:vAlign w:val="bottom"/>
            <w:gridSpan w:val="19"/>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3260" w:type="dxa"/>
            <w:vAlign w:val="bottom"/>
            <w:tcBorders>
              <w:bottom w:val="single" w:sz="8" w:color="0000EE"/>
            </w:tcBorders>
            <w:gridSpan w:val="6"/>
          </w:tcPr>
          <w:p>
            <w:pPr>
              <w:spacing w:after="0"/>
              <w:rPr>
                <w:rFonts w:ascii="Arial" w:cs="Arial" w:eastAsia="Arial" w:hAnsi="Arial"/>
                <w:sz w:val="18"/>
                <w:szCs w:val="18"/>
                <w:color w:val="0000EE"/>
                <w:w w:val="98"/>
              </w:rPr>
            </w:pPr>
            <w:hyperlink r:id="rId207">
              <w:r>
                <w:rPr>
                  <w:rFonts w:ascii="Arial" w:cs="Arial" w:eastAsia="Arial" w:hAnsi="Arial"/>
                  <w:sz w:val="18"/>
                  <w:szCs w:val="18"/>
                  <w:color w:val="0000EE"/>
                  <w:w w:val="98"/>
                </w:rPr>
                <w:t>Senior Executive Severance Benefit Plan</w:t>
              </w:r>
            </w:hyperlink>
          </w:p>
        </w:tc>
        <w:tc>
          <w:tcPr>
            <w:tcW w:w="1080" w:type="dxa"/>
            <w:vAlign w:val="bottom"/>
            <w:gridSpan w:val="14"/>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260"/>
              <w:spacing w:after="0"/>
              <w:rPr>
                <w:sz w:val="20"/>
                <w:szCs w:val="20"/>
                <w:color w:val="auto"/>
              </w:rPr>
            </w:pPr>
            <w:r>
              <w:rPr>
                <w:rFonts w:ascii="Arial" w:cs="Arial" w:eastAsia="Arial" w:hAnsi="Arial"/>
                <w:sz w:val="18"/>
                <w:szCs w:val="18"/>
                <w:color w:val="auto"/>
              </w:rPr>
              <w:t>9/30/16</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10.22</w:t>
            </w:r>
          </w:p>
        </w:tc>
        <w:tc>
          <w:tcPr>
            <w:tcW w:w="960" w:type="dxa"/>
            <w:vAlign w:val="bottom"/>
          </w:tcPr>
          <w:p>
            <w:pPr>
              <w:jc w:val="right"/>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4340" w:type="dxa"/>
            <w:vAlign w:val="bottom"/>
            <w:gridSpan w:val="20"/>
          </w:tcPr>
          <w:p>
            <w:pPr>
              <w:spacing w:after="0"/>
              <w:rPr>
                <w:rFonts w:ascii="Arial" w:cs="Arial" w:eastAsia="Arial" w:hAnsi="Arial"/>
                <w:sz w:val="18"/>
                <w:szCs w:val="18"/>
                <w:color w:val="0000EE"/>
              </w:rPr>
            </w:pPr>
            <w:hyperlink r:id="rId208">
              <w:r>
                <w:rPr>
                  <w:rFonts w:ascii="Arial" w:cs="Arial" w:eastAsia="Arial" w:hAnsi="Arial"/>
                  <w:sz w:val="18"/>
                  <w:szCs w:val="18"/>
                  <w:color w:val="0000EE"/>
                </w:rPr>
                <w:t>Offer Letter, dated February 3, 2014, between</w:t>
              </w:r>
            </w:hyperlink>
          </w:p>
        </w:tc>
        <w:tc>
          <w:tcPr>
            <w:tcW w:w="960" w:type="dxa"/>
            <w:vAlign w:val="bottom"/>
          </w:tcPr>
          <w:p>
            <w:pPr>
              <w:spacing w:after="0"/>
              <w:rPr>
                <w:sz w:val="24"/>
                <w:szCs w:val="24"/>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8-K</w:t>
            </w:r>
          </w:p>
        </w:tc>
        <w:tc>
          <w:tcPr>
            <w:tcW w:w="1480" w:type="dxa"/>
            <w:vAlign w:val="bottom"/>
          </w:tcPr>
          <w:p>
            <w:pPr>
              <w:spacing w:after="0"/>
              <w:rPr>
                <w:sz w:val="24"/>
                <w:szCs w:val="24"/>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10.1</w:t>
            </w:r>
          </w:p>
        </w:tc>
        <w:tc>
          <w:tcPr>
            <w:tcW w:w="960" w:type="dxa"/>
            <w:vAlign w:val="bottom"/>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5"/>
              </w:rPr>
            </w:pPr>
            <w:hyperlink r:id="rId208">
              <w:r>
                <w:rPr>
                  <w:rFonts w:ascii="Arial" w:cs="Arial" w:eastAsia="Arial" w:hAnsi="Arial"/>
                  <w:sz w:val="18"/>
                  <w:szCs w:val="18"/>
                  <w:color w:val="0000EE"/>
                  <w:w w:val="95"/>
                </w:rPr>
                <w:t>Microsoft Corporation and Satya Nadella</w:t>
              </w:r>
            </w:hyperlink>
          </w:p>
        </w:tc>
        <w:tc>
          <w:tcPr>
            <w:tcW w:w="380" w:type="dxa"/>
            <w:vAlign w:val="bottom"/>
            <w:tcBorders>
              <w:top w:val="single" w:sz="8" w:color="0000EE"/>
            </w:tcBorders>
            <w:gridSpan w:val="4"/>
          </w:tcPr>
          <w:p>
            <w:pPr>
              <w:spacing w:after="0"/>
              <w:rPr>
                <w:sz w:val="15"/>
                <w:szCs w:val="15"/>
                <w:color w:val="auto"/>
              </w:rPr>
            </w:pPr>
          </w:p>
        </w:tc>
        <w:tc>
          <w:tcPr>
            <w:tcW w:w="860" w:type="dxa"/>
            <w:vAlign w:val="bottom"/>
            <w:gridSpan w:val="11"/>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3920" w:type="dxa"/>
            <w:vAlign w:val="bottom"/>
            <w:tcBorders>
              <w:bottom w:val="single" w:sz="8" w:color="0000EE"/>
            </w:tcBorders>
            <w:gridSpan w:val="12"/>
          </w:tcPr>
          <w:p>
            <w:pPr>
              <w:spacing w:after="0"/>
              <w:rPr>
                <w:rFonts w:ascii="Arial" w:cs="Arial" w:eastAsia="Arial" w:hAnsi="Arial"/>
                <w:sz w:val="18"/>
                <w:szCs w:val="18"/>
                <w:color w:val="0000EE"/>
                <w:w w:val="98"/>
              </w:rPr>
            </w:pPr>
            <w:hyperlink r:id="rId209">
              <w:r>
                <w:rPr>
                  <w:rFonts w:ascii="Arial" w:cs="Arial" w:eastAsia="Arial" w:hAnsi="Arial"/>
                  <w:sz w:val="18"/>
                  <w:szCs w:val="18"/>
                  <w:color w:val="0000EE"/>
                  <w:w w:val="98"/>
                </w:rPr>
                <w:t>Long-Term Performance Stock Award Agreement</w:t>
              </w:r>
            </w:hyperlink>
          </w:p>
        </w:tc>
        <w:tc>
          <w:tcPr>
            <w:tcW w:w="42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260"/>
              <w:spacing w:after="0"/>
              <w:rPr>
                <w:sz w:val="20"/>
                <w:szCs w:val="20"/>
                <w:color w:val="auto"/>
              </w:rPr>
            </w:pPr>
            <w:r>
              <w:rPr>
                <w:rFonts w:ascii="Arial" w:cs="Arial" w:eastAsia="Arial" w:hAnsi="Arial"/>
                <w:sz w:val="18"/>
                <w:szCs w:val="18"/>
                <w:color w:val="auto"/>
              </w:rPr>
              <w:t>12/31/14</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10.24</w:t>
            </w:r>
          </w:p>
        </w:tc>
        <w:tc>
          <w:tcPr>
            <w:tcW w:w="960" w:type="dxa"/>
            <w:vAlign w:val="bottom"/>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40" w:type="dxa"/>
            <w:vAlign w:val="bottom"/>
            <w:gridSpan w:val="20"/>
          </w:tcPr>
          <w:p>
            <w:pPr>
              <w:spacing w:after="0" w:line="182" w:lineRule="exact"/>
              <w:rPr>
                <w:rFonts w:ascii="Arial" w:cs="Arial" w:eastAsia="Arial" w:hAnsi="Arial"/>
                <w:sz w:val="18"/>
                <w:szCs w:val="18"/>
                <w:color w:val="0000EE"/>
              </w:rPr>
            </w:pPr>
            <w:hyperlink r:id="rId209">
              <w:r>
                <w:rPr>
                  <w:rFonts w:ascii="Arial" w:cs="Arial" w:eastAsia="Arial" w:hAnsi="Arial"/>
                  <w:sz w:val="18"/>
                  <w:szCs w:val="18"/>
                  <w:color w:val="0000EE"/>
                </w:rPr>
                <w:t>between Microsoft Corporation and Satya Nadella</w:t>
              </w:r>
            </w:hyperlink>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4340" w:type="dxa"/>
            <w:vAlign w:val="bottom"/>
            <w:gridSpan w:val="20"/>
          </w:tcPr>
          <w:p>
            <w:pPr>
              <w:spacing w:after="0"/>
              <w:rPr>
                <w:rFonts w:ascii="Arial" w:cs="Arial" w:eastAsia="Arial" w:hAnsi="Arial"/>
                <w:sz w:val="18"/>
                <w:szCs w:val="18"/>
                <w:color w:val="0000EE"/>
              </w:rPr>
            </w:pPr>
            <w:hyperlink r:id="rId210">
              <w:r>
                <w:rPr>
                  <w:rFonts w:ascii="Arial" w:cs="Arial" w:eastAsia="Arial" w:hAnsi="Arial"/>
                  <w:sz w:val="18"/>
                  <w:szCs w:val="18"/>
                  <w:color w:val="0000EE"/>
                </w:rPr>
                <w:t>Form of Executive Officer Incentive Plan Performance</w:t>
              </w:r>
            </w:hyperlink>
          </w:p>
        </w:tc>
        <w:tc>
          <w:tcPr>
            <w:tcW w:w="960" w:type="dxa"/>
            <w:vAlign w:val="bottom"/>
          </w:tcPr>
          <w:p>
            <w:pPr>
              <w:spacing w:after="0"/>
              <w:rPr>
                <w:sz w:val="24"/>
                <w:szCs w:val="24"/>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260"/>
              <w:spacing w:after="0"/>
              <w:rPr>
                <w:sz w:val="20"/>
                <w:szCs w:val="20"/>
                <w:color w:val="auto"/>
              </w:rPr>
            </w:pPr>
            <w:r>
              <w:rPr>
                <w:rFonts w:ascii="Arial" w:cs="Arial" w:eastAsia="Arial" w:hAnsi="Arial"/>
                <w:sz w:val="18"/>
                <w:szCs w:val="18"/>
                <w:color w:val="auto"/>
              </w:rPr>
              <w:t>9/30/15</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10.25</w:t>
            </w:r>
          </w:p>
        </w:tc>
        <w:tc>
          <w:tcPr>
            <w:tcW w:w="960" w:type="dxa"/>
            <w:vAlign w:val="bottom"/>
          </w:tcPr>
          <w:p>
            <w:pPr>
              <w:jc w:val="right"/>
              <w:spacing w:after="0"/>
              <w:rPr>
                <w:sz w:val="20"/>
                <w:szCs w:val="20"/>
                <w:color w:val="auto"/>
              </w:rPr>
            </w:pPr>
            <w:r>
              <w:rPr>
                <w:rFonts w:ascii="Arial" w:cs="Arial" w:eastAsia="Arial" w:hAnsi="Arial"/>
                <w:sz w:val="18"/>
                <w:szCs w:val="18"/>
                <w:color w:val="auto"/>
              </w:rPr>
              <w:t>10/22/15</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210">
              <w:r>
                <w:rPr>
                  <w:rFonts w:ascii="Arial" w:cs="Arial" w:eastAsia="Arial" w:hAnsi="Arial"/>
                  <w:sz w:val="18"/>
                  <w:szCs w:val="18"/>
                  <w:color w:val="0000EE"/>
                </w:rPr>
                <w:t>Stock Award Agreement under the Microsoft</w:t>
              </w:r>
            </w:hyperlink>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4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210">
              <w:r>
                <w:rPr>
                  <w:rFonts w:ascii="Arial" w:cs="Arial" w:eastAsia="Arial" w:hAnsi="Arial"/>
                  <w:sz w:val="18"/>
                  <w:szCs w:val="18"/>
                  <w:color w:val="0000EE"/>
                </w:rPr>
                <w:t>Corporation 2001 Stock Plan</w:t>
              </w:r>
            </w:hyperlink>
          </w:p>
        </w:tc>
        <w:tc>
          <w:tcPr>
            <w:tcW w:w="900" w:type="dxa"/>
            <w:vAlign w:val="bottom"/>
            <w:gridSpan w:val="12"/>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12</w:t>
            </w:r>
          </w:p>
        </w:tc>
        <w:tc>
          <w:tcPr>
            <w:tcW w:w="416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123">
              <w:r>
                <w:rPr>
                  <w:rFonts w:ascii="Arial" w:cs="Arial" w:eastAsia="Arial" w:hAnsi="Arial"/>
                  <w:sz w:val="18"/>
                  <w:szCs w:val="18"/>
                  <w:color w:val="0000EE"/>
                  <w:w w:val="99"/>
                </w:rPr>
                <w:t>Computation of Ratios of Earnings to Fixed Charges</w:t>
              </w:r>
            </w:hyperlink>
          </w:p>
        </w:tc>
        <w:tc>
          <w:tcPr>
            <w:tcW w:w="180" w:type="dxa"/>
            <w:vAlign w:val="bottom"/>
            <w:gridSpan w:val="2"/>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4340" w:type="dxa"/>
            <w:vAlign w:val="bottom"/>
            <w:gridSpan w:val="2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Subsidiaries of Registrant</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33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25">
              <w:r>
                <w:rPr>
                  <w:rFonts w:ascii="Arial" w:cs="Arial" w:eastAsia="Arial" w:hAnsi="Arial"/>
                  <w:sz w:val="18"/>
                  <w:szCs w:val="18"/>
                  <w:color w:val="0000EE"/>
                  <w:w w:val="99"/>
                </w:rPr>
                <w:t>Consent of Independent Registered Public</w:t>
              </w:r>
            </w:hyperlink>
          </w:p>
        </w:tc>
        <w:tc>
          <w:tcPr>
            <w:tcW w:w="960" w:type="dxa"/>
            <w:vAlign w:val="bottom"/>
            <w:gridSpan w:val="13"/>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30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25">
              <w:r>
                <w:rPr>
                  <w:rFonts w:ascii="Arial" w:cs="Arial" w:eastAsia="Arial" w:hAnsi="Arial"/>
                  <w:sz w:val="18"/>
                  <w:szCs w:val="18"/>
                  <w:color w:val="0000EE"/>
                  <w:w w:val="98"/>
                </w:rPr>
                <w:t>Accounting Firm</w:t>
              </w:r>
            </w:hyperlink>
          </w:p>
        </w:tc>
        <w:tc>
          <w:tcPr>
            <w:tcW w:w="3040" w:type="dxa"/>
            <w:vAlign w:val="bottom"/>
            <w:gridSpan w:val="18"/>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4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26">
              <w:r>
                <w:rPr>
                  <w:rFonts w:ascii="Arial" w:cs="Arial" w:eastAsia="Arial" w:hAnsi="Arial"/>
                  <w:sz w:val="18"/>
                  <w:szCs w:val="18"/>
                  <w:color w:val="0000EE"/>
                  <w:w w:val="99"/>
                </w:rPr>
                <w:t>Certifications of Chief Executive Officer Pursuant to</w:t>
              </w:r>
            </w:hyperlink>
          </w:p>
        </w:tc>
        <w:tc>
          <w:tcPr>
            <w:tcW w:w="26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Section 302 of the Sarbanes-Oxley Act of 2002</w:t>
              </w:r>
            </w:hyperlink>
          </w:p>
        </w:tc>
        <w:tc>
          <w:tcPr>
            <w:tcW w:w="580" w:type="dxa"/>
            <w:vAlign w:val="bottom"/>
            <w:gridSpan w:val="9"/>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40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27">
              <w:r>
                <w:rPr>
                  <w:rFonts w:ascii="Arial" w:cs="Arial" w:eastAsia="Arial" w:hAnsi="Arial"/>
                  <w:sz w:val="18"/>
                  <w:szCs w:val="18"/>
                  <w:color w:val="0000EE"/>
                  <w:w w:val="99"/>
                </w:rPr>
                <w:t>Certifications of Chief Financial Officer Pursuant to</w:t>
              </w:r>
            </w:hyperlink>
          </w:p>
        </w:tc>
        <w:tc>
          <w:tcPr>
            <w:tcW w:w="32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27">
              <w:r>
                <w:rPr>
                  <w:rFonts w:ascii="Arial" w:cs="Arial" w:eastAsia="Arial" w:hAnsi="Arial"/>
                  <w:sz w:val="18"/>
                  <w:szCs w:val="18"/>
                  <w:color w:val="0000EE"/>
                  <w:w w:val="99"/>
                </w:rPr>
                <w:t>Section 302 of the Sarbanes-Oxley Act of 2002</w:t>
              </w:r>
            </w:hyperlink>
          </w:p>
        </w:tc>
        <w:tc>
          <w:tcPr>
            <w:tcW w:w="580" w:type="dxa"/>
            <w:vAlign w:val="bottom"/>
            <w:gridSpan w:val="9"/>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4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28">
              <w:r>
                <w:rPr>
                  <w:rFonts w:ascii="Arial" w:cs="Arial" w:eastAsia="Arial" w:hAnsi="Arial"/>
                  <w:sz w:val="18"/>
                  <w:szCs w:val="18"/>
                  <w:color w:val="0000EE"/>
                  <w:w w:val="99"/>
                </w:rPr>
                <w:t>Certifications of Chief Executive Officer Pursuant to</w:t>
              </w:r>
            </w:hyperlink>
          </w:p>
        </w:tc>
        <w:tc>
          <w:tcPr>
            <w:tcW w:w="26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Section 906 of the Sarbanes-Oxley Act of 2002</w:t>
              </w:r>
            </w:hyperlink>
          </w:p>
        </w:tc>
        <w:tc>
          <w:tcPr>
            <w:tcW w:w="580" w:type="dxa"/>
            <w:vAlign w:val="bottom"/>
            <w:gridSpan w:val="9"/>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40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29">
              <w:r>
                <w:rPr>
                  <w:rFonts w:ascii="Arial" w:cs="Arial" w:eastAsia="Arial" w:hAnsi="Arial"/>
                  <w:sz w:val="18"/>
                  <w:szCs w:val="18"/>
                  <w:color w:val="0000EE"/>
                  <w:w w:val="99"/>
                </w:rPr>
                <w:t>Certifications of Chief Financial Officer Pursuant to</w:t>
              </w:r>
            </w:hyperlink>
          </w:p>
        </w:tc>
        <w:tc>
          <w:tcPr>
            <w:tcW w:w="32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40" w:type="dxa"/>
            <w:vAlign w:val="bottom"/>
            <w:gridSpan w:val="20"/>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Section 906 of the Sarbanes-Oxley Act of 2002</w:t>
              </w:r>
            </w:hyperlink>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37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gridSpan w:val="10"/>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gridSpan w:val="20"/>
          </w:tcPr>
          <w:p>
            <w:pPr>
              <w:spacing w:after="0"/>
              <w:rPr>
                <w:sz w:val="20"/>
                <w:szCs w:val="20"/>
                <w:color w:val="auto"/>
              </w:rPr>
            </w:pPr>
            <w:r>
              <w:rPr>
                <w:rFonts w:ascii="Arial" w:cs="Arial" w:eastAsia="Arial" w:hAnsi="Arial"/>
                <w:sz w:val="18"/>
                <w:szCs w:val="18"/>
                <w:color w:val="auto"/>
              </w:rPr>
              <w:t>XBRL Taxonomy Extension Schema</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ITEM 16. FORM 10-K SUMMARY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Redmond, State of Washington, on August 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70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(Principal Accounting Officer)</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06" w:name="page107"/>
    <w:bookmarkEnd w:id="106"/>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August 3,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800" w:type="dxa"/>
            <w:vAlign w:val="bottom"/>
          </w:tcPr>
          <w:p>
            <w:pPr>
              <w:spacing w:after="0"/>
              <w:rPr>
                <w:sz w:val="15"/>
                <w:szCs w:val="15"/>
                <w:color w:val="auto"/>
              </w:rPr>
            </w:pPr>
          </w:p>
        </w:tc>
        <w:tc>
          <w:tcPr>
            <w:tcW w:w="580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r>
      <w:tr>
        <w:trPr>
          <w:trHeight w:val="55"/>
        </w:trPr>
        <w:tc>
          <w:tcPr>
            <w:tcW w:w="30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r>
        <w:trPr>
          <w:trHeight w:val="27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OHN</w:t>
            </w:r>
            <w:r>
              <w:rPr>
                <w:rFonts w:ascii="Arial" w:cs="Arial" w:eastAsia="Arial" w:hAnsi="Arial"/>
                <w:sz w:val="18"/>
                <w:szCs w:val="18"/>
                <w:color w:val="auto"/>
              </w:rPr>
              <w:t xml:space="preserve"> W. T</w:t>
            </w:r>
            <w:r>
              <w:rPr>
                <w:rFonts w:ascii="Arial" w:cs="Arial" w:eastAsia="Arial" w:hAnsi="Arial"/>
                <w:sz w:val="13"/>
                <w:szCs w:val="13"/>
                <w:color w:val="auto"/>
              </w:rPr>
              <w:t>HOMPSON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Chairman</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John W. Thompson</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Satya Nadella</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w:t>
            </w:r>
            <w:r>
              <w:rPr>
                <w:rFonts w:ascii="Arial" w:cs="Arial" w:eastAsia="Arial" w:hAnsi="Arial"/>
                <w:sz w:val="13"/>
                <w:szCs w:val="13"/>
                <w:color w:val="auto"/>
              </w:rPr>
              <w:t>ILLIAM</w:t>
            </w:r>
            <w:r>
              <w:rPr>
                <w:rFonts w:ascii="Arial" w:cs="Arial" w:eastAsia="Arial" w:hAnsi="Arial"/>
                <w:sz w:val="18"/>
                <w:szCs w:val="18"/>
                <w:color w:val="auto"/>
              </w:rPr>
              <w:t xml:space="preserve"> H. G</w:t>
            </w:r>
            <w:r>
              <w:rPr>
                <w:rFonts w:ascii="Arial" w:cs="Arial" w:eastAsia="Arial" w:hAnsi="Arial"/>
                <w:sz w:val="13"/>
                <w:szCs w:val="13"/>
                <w:color w:val="auto"/>
              </w:rPr>
              <w:t>ATES</w:t>
            </w:r>
            <w:r>
              <w:rPr>
                <w:rFonts w:ascii="Arial" w:cs="Arial" w:eastAsia="Arial" w:hAnsi="Arial"/>
                <w:sz w:val="18"/>
                <w:szCs w:val="18"/>
                <w:color w:val="auto"/>
              </w:rPr>
              <w:t xml:space="preserve"> III</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William H. Gates III</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EID</w:t>
            </w:r>
            <w:r>
              <w:rPr>
                <w:rFonts w:ascii="Arial" w:cs="Arial" w:eastAsia="Arial" w:hAnsi="Arial"/>
                <w:sz w:val="18"/>
                <w:szCs w:val="18"/>
                <w:color w:val="auto"/>
              </w:rPr>
              <w:t xml:space="preserve"> H</w:t>
            </w:r>
            <w:r>
              <w:rPr>
                <w:rFonts w:ascii="Arial" w:cs="Arial" w:eastAsia="Arial" w:hAnsi="Arial"/>
                <w:sz w:val="13"/>
                <w:szCs w:val="13"/>
                <w:color w:val="auto"/>
              </w:rPr>
              <w:t>OFFMAN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Reid Hoffman</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w:t>
            </w:r>
            <w:r>
              <w:rPr>
                <w:rFonts w:ascii="Arial" w:cs="Arial" w:eastAsia="Arial" w:hAnsi="Arial"/>
                <w:sz w:val="13"/>
                <w:szCs w:val="13"/>
                <w:color w:val="auto"/>
              </w:rPr>
              <w:t>UGH</w:t>
            </w:r>
            <w:r>
              <w:rPr>
                <w:rFonts w:ascii="Arial" w:cs="Arial" w:eastAsia="Arial" w:hAnsi="Arial"/>
                <w:sz w:val="18"/>
                <w:szCs w:val="18"/>
                <w:color w:val="auto"/>
              </w:rPr>
              <w:t xml:space="preserve"> F. J</w:t>
            </w:r>
            <w:r>
              <w:rPr>
                <w:rFonts w:ascii="Arial" w:cs="Arial" w:eastAsia="Arial" w:hAnsi="Arial"/>
                <w:sz w:val="13"/>
                <w:szCs w:val="13"/>
                <w:color w:val="auto"/>
              </w:rPr>
              <w:t>OHNSTON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Hugh F. Johnston</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3"/>
                <w:szCs w:val="13"/>
                <w:color w:val="auto"/>
              </w:rPr>
              <w:t>ERI</w:t>
            </w:r>
            <w:r>
              <w:rPr>
                <w:rFonts w:ascii="Arial" w:cs="Arial" w:eastAsia="Arial" w:hAnsi="Arial"/>
                <w:sz w:val="18"/>
                <w:szCs w:val="18"/>
                <w:color w:val="auto"/>
              </w:rPr>
              <w:t xml:space="preserve"> L. L</w:t>
            </w:r>
            <w:r>
              <w:rPr>
                <w:rFonts w:ascii="Arial" w:cs="Arial" w:eastAsia="Arial" w:hAnsi="Arial"/>
                <w:sz w:val="13"/>
                <w:szCs w:val="13"/>
                <w:color w:val="auto"/>
              </w:rPr>
              <w:t>IST</w:t>
            </w:r>
            <w:r>
              <w:rPr>
                <w:rFonts w:ascii="Arial" w:cs="Arial" w:eastAsia="Arial" w:hAnsi="Arial"/>
                <w:sz w:val="18"/>
                <w:szCs w:val="18"/>
                <w:color w:val="auto"/>
              </w:rPr>
              <w:t>-S</w:t>
            </w:r>
            <w:r>
              <w:rPr>
                <w:rFonts w:ascii="Arial" w:cs="Arial" w:eastAsia="Arial" w:hAnsi="Arial"/>
                <w:sz w:val="13"/>
                <w:szCs w:val="13"/>
                <w:color w:val="auto"/>
              </w:rPr>
              <w:t>TOLL</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Teri L. List-Stoll</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3"/>
                <w:szCs w:val="13"/>
                <w:color w:val="auto"/>
              </w:rPr>
              <w:t>HARLES</w:t>
            </w:r>
            <w:r>
              <w:rPr>
                <w:rFonts w:ascii="Arial" w:cs="Arial" w:eastAsia="Arial" w:hAnsi="Arial"/>
                <w:sz w:val="18"/>
                <w:szCs w:val="18"/>
                <w:color w:val="auto"/>
              </w:rPr>
              <w:t xml:space="preserve"> H. N</w:t>
            </w:r>
            <w:r>
              <w:rPr>
                <w:rFonts w:ascii="Arial" w:cs="Arial" w:eastAsia="Arial" w:hAnsi="Arial"/>
                <w:sz w:val="13"/>
                <w:szCs w:val="13"/>
                <w:color w:val="auto"/>
              </w:rPr>
              <w:t>OSKI</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Charles H. Noski</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w:t>
            </w:r>
            <w:r>
              <w:rPr>
                <w:rFonts w:ascii="Arial" w:cs="Arial" w:eastAsia="Arial" w:hAnsi="Arial"/>
                <w:sz w:val="13"/>
                <w:szCs w:val="13"/>
                <w:color w:val="auto"/>
              </w:rPr>
              <w:t>ELMUT</w:t>
            </w:r>
            <w:r>
              <w:rPr>
                <w:rFonts w:ascii="Arial" w:cs="Arial" w:eastAsia="Arial" w:hAnsi="Arial"/>
                <w:sz w:val="18"/>
                <w:szCs w:val="18"/>
                <w:color w:val="auto"/>
              </w:rPr>
              <w:t xml:space="preserve"> P</w:t>
            </w:r>
            <w:r>
              <w:rPr>
                <w:rFonts w:ascii="Arial" w:cs="Arial" w:eastAsia="Arial" w:hAnsi="Arial"/>
                <w:sz w:val="13"/>
                <w:szCs w:val="13"/>
                <w:color w:val="auto"/>
              </w:rPr>
              <w:t>ANKE</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Helmut Panke</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ANDRA</w:t>
            </w:r>
            <w:r>
              <w:rPr>
                <w:rFonts w:ascii="Arial" w:cs="Arial" w:eastAsia="Arial" w:hAnsi="Arial"/>
                <w:sz w:val="18"/>
                <w:szCs w:val="18"/>
                <w:color w:val="auto"/>
              </w:rPr>
              <w:t xml:space="preserve"> E. P</w:t>
            </w:r>
            <w:r>
              <w:rPr>
                <w:rFonts w:ascii="Arial" w:cs="Arial" w:eastAsia="Arial" w:hAnsi="Arial"/>
                <w:sz w:val="13"/>
                <w:szCs w:val="13"/>
                <w:color w:val="auto"/>
              </w:rPr>
              <w:t>ETERSON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Sandra E. Peterson</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ENNY</w:t>
            </w:r>
            <w:r>
              <w:rPr>
                <w:rFonts w:ascii="Arial" w:cs="Arial" w:eastAsia="Arial" w:hAnsi="Arial"/>
                <w:sz w:val="18"/>
                <w:szCs w:val="18"/>
                <w:color w:val="auto"/>
              </w:rPr>
              <w:t xml:space="preserve"> S. P</w:t>
            </w:r>
            <w:r>
              <w:rPr>
                <w:rFonts w:ascii="Arial" w:cs="Arial" w:eastAsia="Arial" w:hAnsi="Arial"/>
                <w:sz w:val="13"/>
                <w:szCs w:val="13"/>
                <w:color w:val="auto"/>
              </w:rPr>
              <w:t>RITZKER</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Penny S. Pritzker</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3"/>
                <w:szCs w:val="13"/>
                <w:color w:val="auto"/>
              </w:rPr>
              <w:t>HARLES</w:t>
            </w:r>
            <w:r>
              <w:rPr>
                <w:rFonts w:ascii="Arial" w:cs="Arial" w:eastAsia="Arial" w:hAnsi="Arial"/>
                <w:sz w:val="18"/>
                <w:szCs w:val="18"/>
                <w:color w:val="auto"/>
              </w:rPr>
              <w:t xml:space="preserve"> W. S</w:t>
            </w:r>
            <w:r>
              <w:rPr>
                <w:rFonts w:ascii="Arial" w:cs="Arial" w:eastAsia="Arial" w:hAnsi="Arial"/>
                <w:sz w:val="13"/>
                <w:szCs w:val="13"/>
                <w:color w:val="auto"/>
              </w:rPr>
              <w:t>CHARF</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Charles W. Scharf</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RNE</w:t>
            </w:r>
            <w:r>
              <w:rPr>
                <w:rFonts w:ascii="Arial" w:cs="Arial" w:eastAsia="Arial" w:hAnsi="Arial"/>
                <w:sz w:val="18"/>
                <w:szCs w:val="18"/>
                <w:color w:val="auto"/>
              </w:rPr>
              <w:t xml:space="preserve"> M. S</w:t>
            </w:r>
            <w:r>
              <w:rPr>
                <w:rFonts w:ascii="Arial" w:cs="Arial" w:eastAsia="Arial" w:hAnsi="Arial"/>
                <w:sz w:val="13"/>
                <w:szCs w:val="13"/>
                <w:color w:val="auto"/>
              </w:rPr>
              <w:t>ORENSON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Arne M. Sorenson</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OHN</w:t>
            </w:r>
            <w:r>
              <w:rPr>
                <w:rFonts w:ascii="Arial" w:cs="Arial" w:eastAsia="Arial" w:hAnsi="Arial"/>
                <w:sz w:val="18"/>
                <w:szCs w:val="18"/>
                <w:color w:val="auto"/>
              </w:rPr>
              <w:t xml:space="preserve"> W. S</w:t>
            </w:r>
            <w:r>
              <w:rPr>
                <w:rFonts w:ascii="Arial" w:cs="Arial" w:eastAsia="Arial" w:hAnsi="Arial"/>
                <w:sz w:val="13"/>
                <w:szCs w:val="13"/>
                <w:color w:val="auto"/>
              </w:rPr>
              <w:t>TANTON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John W. Stanton</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ADMASREE</w:t>
            </w:r>
            <w:r>
              <w:rPr>
                <w:rFonts w:ascii="Arial" w:cs="Arial" w:eastAsia="Arial" w:hAnsi="Arial"/>
                <w:sz w:val="18"/>
                <w:szCs w:val="18"/>
                <w:color w:val="auto"/>
              </w:rPr>
              <w:t xml:space="preserve"> W</w:t>
            </w:r>
            <w:r>
              <w:rPr>
                <w:rFonts w:ascii="Arial" w:cs="Arial" w:eastAsia="Arial" w:hAnsi="Arial"/>
                <w:sz w:val="13"/>
                <w:szCs w:val="13"/>
                <w:color w:val="auto"/>
              </w:rPr>
              <w:t>ARRIOR</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Padmasree Warrior</w:t>
            </w:r>
          </w:p>
        </w:tc>
        <w:tc>
          <w:tcPr>
            <w:tcW w:w="18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18"/>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Amy E. Hood</w:t>
            </w:r>
          </w:p>
        </w:tc>
        <w:tc>
          <w:tcPr>
            <w:tcW w:w="1800" w:type="dxa"/>
            <w:vAlign w:val="bottom"/>
          </w:tcPr>
          <w:p>
            <w:pPr>
              <w:spacing w:after="0"/>
              <w:rPr>
                <w:sz w:val="19"/>
                <w:szCs w:val="19"/>
                <w:color w:val="auto"/>
              </w:rPr>
            </w:pPr>
          </w:p>
        </w:tc>
        <w:tc>
          <w:tcPr>
            <w:tcW w:w="5800" w:type="dxa"/>
            <w:vAlign w:val="bottom"/>
          </w:tcPr>
          <w:p>
            <w:pPr>
              <w:ind w:left="100"/>
              <w:spacing w:after="0" w:line="189" w:lineRule="exact"/>
              <w:rPr>
                <w:sz w:val="20"/>
                <w:szCs w:val="20"/>
                <w:color w:val="auto"/>
              </w:rPr>
            </w:pPr>
            <w:r>
              <w:rPr>
                <w:rFonts w:ascii="Arial" w:cs="Arial" w:eastAsia="Arial" w:hAnsi="Arial"/>
                <w:sz w:val="18"/>
                <w:szCs w:val="18"/>
                <w:color w:val="auto"/>
              </w:rPr>
              <w:t>(Principal Financial Officer)</w:t>
            </w:r>
          </w:p>
        </w:tc>
      </w:tr>
      <w:tr>
        <w:trPr>
          <w:trHeight w:val="318"/>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Corporate Vice President, Finance and Administration;</w:t>
            </w:r>
          </w:p>
        </w:tc>
      </w:tr>
      <w:tr>
        <w:trPr>
          <w:trHeight w:val="175"/>
        </w:trPr>
        <w:tc>
          <w:tcPr>
            <w:tcW w:w="3820" w:type="dxa"/>
            <w:vAlign w:val="bottom"/>
            <w:gridSpan w:val="2"/>
          </w:tcPr>
          <w:p>
            <w:pPr>
              <w:spacing w:after="0" w:line="175" w:lineRule="exact"/>
              <w:rPr>
                <w:sz w:val="20"/>
                <w:szCs w:val="20"/>
                <w:color w:val="auto"/>
              </w:rPr>
            </w:pPr>
            <w:r>
              <w:rPr>
                <w:rFonts w:ascii="Arial" w:cs="Arial" w:eastAsia="Arial" w:hAnsi="Arial"/>
                <w:sz w:val="18"/>
                <w:szCs w:val="18"/>
                <w:color w:val="auto"/>
              </w:rPr>
              <w:t>Frank H. Brod</w:t>
            </w:r>
          </w:p>
        </w:tc>
        <w:tc>
          <w:tcPr>
            <w:tcW w:w="1800" w:type="dxa"/>
            <w:vAlign w:val="bottom"/>
          </w:tcPr>
          <w:p>
            <w:pPr>
              <w:spacing w:after="0"/>
              <w:rPr>
                <w:sz w:val="15"/>
                <w:szCs w:val="15"/>
                <w:color w:val="auto"/>
              </w:rPr>
            </w:pPr>
          </w:p>
        </w:tc>
        <w:tc>
          <w:tcPr>
            <w:tcW w:w="5800" w:type="dxa"/>
            <w:vAlign w:val="bottom"/>
          </w:tcPr>
          <w:p>
            <w:pPr>
              <w:ind w:left="100"/>
              <w:spacing w:after="0" w:line="175" w:lineRule="exact"/>
              <w:rPr>
                <w:sz w:val="20"/>
                <w:szCs w:val="20"/>
                <w:color w:val="auto"/>
              </w:rPr>
            </w:pPr>
            <w:r>
              <w:rPr>
                <w:rFonts w:ascii="Arial" w:cs="Arial" w:eastAsia="Arial" w:hAnsi="Arial"/>
                <w:sz w:val="18"/>
                <w:szCs w:val="18"/>
                <w:color w:val="auto"/>
              </w:rPr>
              <w:t>Chief Accounting Officer</w:t>
            </w:r>
          </w:p>
        </w:tc>
      </w:tr>
      <w:tr>
        <w:trPr>
          <w:trHeight w:val="217"/>
        </w:trPr>
        <w:tc>
          <w:tcPr>
            <w:tcW w:w="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542"/>
        </w:trPr>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600" w:type="dxa"/>
            <w:vAlign w:val="bottom"/>
            <w:gridSpan w:val="2"/>
          </w:tcPr>
          <w:p>
            <w:pPr>
              <w:jc w:val="right"/>
              <w:ind w:right="5491"/>
              <w:spacing w:after="0"/>
              <w:rPr>
                <w:sz w:val="20"/>
                <w:szCs w:val="20"/>
                <w:color w:val="auto"/>
              </w:rPr>
            </w:pPr>
            <w:r>
              <w:rPr>
                <w:rFonts w:ascii="Arial" w:cs="Arial" w:eastAsia="Arial" w:hAnsi="Arial"/>
                <w:sz w:val="14"/>
                <w:szCs w:val="14"/>
                <w:color w:val="auto"/>
              </w:rPr>
              <w:t>107</w:t>
            </w:r>
          </w:p>
        </w:tc>
      </w:tr>
    </w:tbl>
    <w:p>
      <w:pPr>
        <w:sectPr>
          <w:pgSz w:w="11900" w:h="16838" w:orient="portrait"/>
          <w:cols w:equalWidth="0" w:num="1">
            <w:col w:w="11420"/>
          </w:cols>
          <w:pgMar w:left="240" w:top="36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10.5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w:t>
      </w:r>
    </w:p>
    <w:p>
      <w:pPr>
        <w:jc w:val="center"/>
        <w:spacing w:after="0"/>
        <w:rPr>
          <w:sz w:val="20"/>
          <w:szCs w:val="20"/>
          <w:color w:val="auto"/>
        </w:rPr>
      </w:pPr>
      <w:r>
        <w:rPr>
          <w:rFonts w:ascii="Arial" w:cs="Arial" w:eastAsia="Arial" w:hAnsi="Arial"/>
          <w:sz w:val="18"/>
          <w:szCs w:val="18"/>
          <w:b w:val="1"/>
          <w:bCs w:val="1"/>
          <w:color w:val="auto"/>
        </w:rPr>
        <w:t>(Restated Effective as of May 15, 2015)</w:t>
      </w:r>
    </w:p>
    <w:p>
      <w:pPr>
        <w:spacing w:after="0" w:line="200" w:lineRule="exact"/>
        <w:rPr>
          <w:sz w:val="20"/>
          <w:szCs w:val="20"/>
          <w:color w:val="auto"/>
        </w:rPr>
      </w:pPr>
    </w:p>
    <w:p>
      <w:pPr>
        <w:spacing w:after="0" w:line="201"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w:t>
      </w:r>
    </w:p>
    <w:p>
      <w:pPr>
        <w:spacing w:after="0" w:line="198"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The purpose of the Microsoft Corporation Deferred Compensation Plan (the “Plan”) is to further the long-term growth of Microsoft Corporation (the “Company”) by allowing selected Company executives and other senior management or highly compensated employees to defer receipt of certain compensation in order to keep their financial interests aligned with the Company and provide them with a long-term incentive to continue employment with the Company.</w:t>
      </w:r>
    </w:p>
    <w:p>
      <w:pPr>
        <w:spacing w:after="0" w:line="188" w:lineRule="exact"/>
        <w:rPr>
          <w:sz w:val="20"/>
          <w:szCs w:val="20"/>
          <w:color w:val="auto"/>
        </w:rPr>
      </w:pPr>
    </w:p>
    <w:p>
      <w:pPr>
        <w:jc w:val="both"/>
        <w:ind w:right="20" w:firstLine="792"/>
        <w:spacing w:after="0" w:line="246" w:lineRule="auto"/>
        <w:rPr>
          <w:sz w:val="20"/>
          <w:szCs w:val="20"/>
          <w:color w:val="auto"/>
        </w:rPr>
      </w:pPr>
      <w:r>
        <w:rPr>
          <w:rFonts w:ascii="Arial" w:cs="Arial" w:eastAsia="Arial" w:hAnsi="Arial"/>
          <w:sz w:val="18"/>
          <w:szCs w:val="18"/>
          <w:color w:val="auto"/>
        </w:rPr>
        <w:t>The Plan was formerly known as the 1998 Microsoft Corporation Stock Option Gain and Bonus Deferral Program. The name of the Plan was changed pursuant to a restatement effective January 1, 2006.</w:t>
      </w:r>
    </w:p>
    <w:p>
      <w:pPr>
        <w:spacing w:after="0" w:line="183" w:lineRule="exact"/>
        <w:rPr>
          <w:sz w:val="20"/>
          <w:szCs w:val="20"/>
          <w:color w:val="auto"/>
        </w:rPr>
      </w:pPr>
    </w:p>
    <w:p>
      <w:pPr>
        <w:jc w:val="both"/>
        <w:ind w:firstLine="792"/>
        <w:spacing w:after="0" w:line="238" w:lineRule="auto"/>
        <w:rPr>
          <w:sz w:val="20"/>
          <w:szCs w:val="20"/>
          <w:color w:val="auto"/>
        </w:rPr>
      </w:pPr>
      <w:r>
        <w:rPr>
          <w:rFonts w:ascii="Arial" w:cs="Arial" w:eastAsia="Arial" w:hAnsi="Arial"/>
          <w:sz w:val="18"/>
          <w:szCs w:val="18"/>
          <w:color w:val="auto"/>
        </w:rPr>
        <w:t>This Plan is intended (1) to comply with section 409A of the Internal Revenue Code, as amended (the “Code”) and official guidance issued thereunder (except with respect to amounts covered by Appendix B),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189"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8" w:lineRule="exact"/>
        <w:rPr>
          <w:sz w:val="20"/>
          <w:szCs w:val="20"/>
          <w:color w:val="auto"/>
        </w:rPr>
      </w:pPr>
    </w:p>
    <w:p>
      <w:pPr>
        <w:ind w:right="20" w:firstLine="792"/>
        <w:spacing w:after="0" w:line="246" w:lineRule="auto"/>
        <w:rPr>
          <w:sz w:val="20"/>
          <w:szCs w:val="20"/>
          <w:color w:val="auto"/>
        </w:rPr>
      </w:pPr>
      <w:r>
        <w:rPr>
          <w:rFonts w:ascii="Arial" w:cs="Arial" w:eastAsia="Arial" w:hAnsi="Arial"/>
          <w:sz w:val="18"/>
          <w:szCs w:val="18"/>
          <w:color w:val="auto"/>
        </w:rPr>
        <w:t>The Plan was originally effective November 18, 1998. Except as specifically set forth below, this restatement of the Plan is effective as of May 15, 2015.</w:t>
      </w:r>
    </w:p>
    <w:p>
      <w:pPr>
        <w:spacing w:after="0" w:line="183" w:lineRule="exact"/>
        <w:rPr>
          <w:sz w:val="20"/>
          <w:szCs w:val="20"/>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98" w:lineRule="exact"/>
        <w:rPr>
          <w:sz w:val="20"/>
          <w:szCs w:val="20"/>
          <w:color w:val="auto"/>
        </w:rPr>
      </w:pPr>
    </w:p>
    <w:p>
      <w:pPr>
        <w:jc w:val="both"/>
        <w:ind w:firstLine="792"/>
        <w:spacing w:after="0"/>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 means a bookkeeping account established by the Company for each Participant electing to defer Eligible Income under the Plan, which may include sub-accounts for different types of Eligible Income deferred and for amounts payable at different times and/or payable in different forms.</w:t>
      </w:r>
    </w:p>
    <w:p>
      <w:pPr>
        <w:spacing w:after="0" w:line="176" w:lineRule="exact"/>
        <w:rPr>
          <w:sz w:val="20"/>
          <w:szCs w:val="20"/>
          <w:color w:val="auto"/>
        </w:rPr>
      </w:pPr>
    </w:p>
    <w:p>
      <w:pPr>
        <w:jc w:val="both"/>
        <w:ind w:firstLine="792"/>
        <w:spacing w:after="0"/>
        <w:rPr>
          <w:sz w:val="20"/>
          <w:szCs w:val="20"/>
          <w:color w:val="auto"/>
        </w:rPr>
      </w:pPr>
      <w:r>
        <w:rPr>
          <w:rFonts w:ascii="Arial" w:cs="Arial" w:eastAsia="Arial" w:hAnsi="Arial"/>
          <w:sz w:val="18"/>
          <w:szCs w:val="18"/>
          <w:u w:val="single" w:color="auto"/>
          <w:color w:val="auto"/>
        </w:rPr>
        <w:t>Acquisition Retention Bonus</w:t>
      </w:r>
      <w:r>
        <w:rPr>
          <w:rFonts w:ascii="Arial" w:cs="Arial" w:eastAsia="Arial" w:hAnsi="Arial"/>
          <w:sz w:val="18"/>
          <w:szCs w:val="18"/>
          <w:color w:val="auto"/>
        </w:rPr>
        <w:t xml:space="preserve"> – means a bonus provided to a Newly Hired Eligible Employee who continues employment with the Company or a Designated Subsidiary after the acquisition of a business by the Company or a Designated Subsidiary or who begins employment with the Company or a Designated Subsidiary as part of a strategic alliance.</w:t>
      </w:r>
    </w:p>
    <w:p>
      <w:pPr>
        <w:spacing w:after="0" w:line="189" w:lineRule="exact"/>
        <w:rPr>
          <w:sz w:val="20"/>
          <w:szCs w:val="20"/>
          <w:color w:val="auto"/>
        </w:rPr>
      </w:pPr>
    </w:p>
    <w:p>
      <w:pPr>
        <w:jc w:val="both"/>
        <w:ind w:firstLine="792"/>
        <w:spacing w:after="0"/>
        <w:rPr>
          <w:sz w:val="20"/>
          <w:szCs w:val="20"/>
          <w:color w:val="auto"/>
        </w:rPr>
      </w:pPr>
      <w:r>
        <w:rPr>
          <w:rFonts w:ascii="Arial" w:cs="Arial" w:eastAsia="Arial" w:hAnsi="Arial"/>
          <w:sz w:val="18"/>
          <w:szCs w:val="18"/>
          <w:u w:val="single" w:color="auto"/>
          <w:color w:val="auto"/>
        </w:rPr>
        <w:t>Acquisition Signing Bonus</w:t>
      </w:r>
      <w:r>
        <w:rPr>
          <w:rFonts w:ascii="Arial" w:cs="Arial" w:eastAsia="Arial" w:hAnsi="Arial"/>
          <w:sz w:val="18"/>
          <w:szCs w:val="18"/>
          <w:color w:val="auto"/>
        </w:rPr>
        <w:t xml:space="preserve"> – means a bonus provided to a Newly Hired Eligible Employee upon acceptance of an offer to continue employment with the Company or a Designated Subsidiary after the acquisition of a business by the Company or a Designated Subsidiary or to begin employment with the Company or Designated Subsidiary as part of a strategic alliance.</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 means any corporation or other entity that is treated as a single employer with the Company under Code section 414.</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 means the regular annual base salary paid to an Eligible Employee.</w:t>
      </w:r>
    </w:p>
    <w:p>
      <w:pPr>
        <w:spacing w:after="0" w:line="198" w:lineRule="exact"/>
        <w:rPr>
          <w:sz w:val="20"/>
          <w:szCs w:val="20"/>
          <w:color w:val="auto"/>
        </w:rPr>
      </w:pPr>
    </w:p>
    <w:p>
      <w:pPr>
        <w:jc w:val="both"/>
        <w:ind w:right="20" w:firstLine="792"/>
        <w:spacing w:after="0" w:line="246" w:lineRule="auto"/>
        <w:rPr>
          <w:sz w:val="20"/>
          <w:szCs w:val="20"/>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 means the amount payable to an Eligible Employee as an annual bonus that is awarded in connection with the Company’s annual process under the Annual Bonus Plan or the cash portion of awards under the Executive Incentive Plan.</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 means the Board of Directors of Microsoft Corporation.</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 means the Internal Revenue Code of 1986, as amended.</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means Microsoft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8" w:name="page109"/>
    <w:bookmarkEnd w:id="108"/>
    <w:p>
      <w:pPr>
        <w:ind w:left="800"/>
        <w:spacing w:after="0"/>
        <w:rPr>
          <w:sz w:val="20"/>
          <w:szCs w:val="20"/>
          <w:color w:val="auto"/>
        </w:rPr>
      </w:pPr>
      <w:r>
        <w:rPr>
          <w:rFonts w:ascii="Arial" w:cs="Arial" w:eastAsia="Arial" w:hAnsi="Arial"/>
          <w:sz w:val="18"/>
          <w:szCs w:val="18"/>
          <w:u w:val="single" w:color="auto"/>
          <w:color w:val="auto"/>
        </w:rPr>
        <w:t>Date of Hire</w:t>
      </w:r>
      <w:r>
        <w:rPr>
          <w:rFonts w:ascii="Arial" w:cs="Arial" w:eastAsia="Arial" w:hAnsi="Arial"/>
          <w:sz w:val="18"/>
          <w:szCs w:val="18"/>
          <w:color w:val="auto"/>
        </w:rPr>
        <w:t xml:space="preserve"> – means the date of a Participant’s first day of active employment with the Company and its Affiliates.</w:t>
      </w:r>
    </w:p>
    <w:p>
      <w:pPr>
        <w:spacing w:after="0" w:line="198" w:lineRule="exact"/>
        <w:rPr>
          <w:sz w:val="20"/>
          <w:szCs w:val="20"/>
          <w:color w:val="auto"/>
        </w:rPr>
      </w:pPr>
    </w:p>
    <w:p>
      <w:pPr>
        <w:ind w:firstLine="792"/>
        <w:spacing w:after="0" w:line="246" w:lineRule="auto"/>
        <w:rPr>
          <w:sz w:val="20"/>
          <w:szCs w:val="20"/>
          <w:color w:val="auto"/>
        </w:rPr>
      </w:pPr>
      <w:r>
        <w:rPr>
          <w:rFonts w:ascii="Arial" w:cs="Arial" w:eastAsia="Arial" w:hAnsi="Arial"/>
          <w:sz w:val="18"/>
          <w:szCs w:val="18"/>
          <w:u w:val="single" w:color="auto"/>
          <w:color w:val="auto"/>
        </w:rPr>
        <w:t>Designated Subsidiary</w:t>
      </w:r>
      <w:r>
        <w:rPr>
          <w:rFonts w:ascii="Arial" w:cs="Arial" w:eastAsia="Arial" w:hAnsi="Arial"/>
          <w:sz w:val="18"/>
          <w:szCs w:val="18"/>
          <w:color w:val="auto"/>
        </w:rPr>
        <w:t xml:space="preserve"> – means a subsidiary of the Company that has been approved for participation in the Plan by the Senior HR Officer. A listing of the Designated Subsidiaries is in Appendix A.</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 means:</w:t>
      </w:r>
    </w:p>
    <w:p>
      <w:pPr>
        <w:spacing w:after="0" w:line="198" w:lineRule="exact"/>
        <w:rPr>
          <w:sz w:val="20"/>
          <w:szCs w:val="20"/>
          <w:color w:val="auto"/>
        </w:rPr>
      </w:pPr>
    </w:p>
    <w:p>
      <w:pPr>
        <w:jc w:val="both"/>
        <w:ind w:firstLine="800"/>
        <w:spacing w:after="0" w:line="238" w:lineRule="auto"/>
        <w:tabs>
          <w:tab w:leader="none" w:pos="1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Participant (1) is unable to engage in any substantial gainful activity by reason of any medically determinable physical or mental impairment which can be expected to result in death or can be expected to last for a continuous period of not less than 12 months, or (2)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89" w:lineRule="exact"/>
        <w:rPr>
          <w:rFonts w:ascii="Arial" w:cs="Arial" w:eastAsia="Arial" w:hAnsi="Arial"/>
          <w:sz w:val="18"/>
          <w:szCs w:val="18"/>
          <w:color w:val="auto"/>
        </w:rPr>
      </w:pPr>
    </w:p>
    <w:p>
      <w:pPr>
        <w:jc w:val="both"/>
        <w:ind w:firstLine="800"/>
        <w:spacing w:after="0" w:line="238" w:lineRule="auto"/>
        <w:tabs>
          <w:tab w:leader="none" w:pos="1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Plan Administrator, in its complete and sole discretion, shall determine whether a Participant is Disabled. The Plan Administrator may require that the Participant submit to an examination on an annual basis, at the expense of the Company, by a competent physician or medical clinic selected by the Plan Administrator to assist in determining whether the Participant is Disabled. On the basis of such medical evidence, the determination of the Plan Administrator as to whether or not the Participant is Disabled (or whether he continues to be Disabled) shall be conclusive.</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Eligible Employee</w:t>
      </w:r>
      <w:r>
        <w:rPr>
          <w:rFonts w:ascii="Arial" w:cs="Arial" w:eastAsia="Arial" w:hAnsi="Arial"/>
          <w:sz w:val="18"/>
          <w:szCs w:val="18"/>
          <w:color w:val="auto"/>
        </w:rPr>
        <w:t xml:space="preserve"> – means:</w:t>
      </w:r>
    </w:p>
    <w:p>
      <w:pPr>
        <w:spacing w:after="0" w:line="198" w:lineRule="exact"/>
        <w:rPr>
          <w:sz w:val="20"/>
          <w:szCs w:val="20"/>
          <w:color w:val="auto"/>
        </w:rPr>
      </w:pPr>
    </w:p>
    <w:p>
      <w:pPr>
        <w:jc w:val="both"/>
        <w:ind w:firstLine="800"/>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Employee of the Company or a Designated Subsidiary working in the U.S. at the Company’s stock level 68 or above and, effective with respect to Eligible Income earned for periods beginning on or after January 1, 2012, an Employee of the Company or a Designated Subsidiary working in the U.S. at the Company’s stock level 67 or above.</w:t>
      </w:r>
    </w:p>
    <w:p>
      <w:pPr>
        <w:spacing w:after="0" w:line="189" w:lineRule="exact"/>
        <w:rPr>
          <w:rFonts w:ascii="Arial" w:cs="Arial" w:eastAsia="Arial" w:hAnsi="Arial"/>
          <w:sz w:val="18"/>
          <w:szCs w:val="18"/>
          <w:color w:val="auto"/>
        </w:rPr>
      </w:pPr>
    </w:p>
    <w:p>
      <w:pPr>
        <w:ind w:firstLine="800"/>
        <w:spacing w:after="0" w:line="246" w:lineRule="auto"/>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Employee meeting the criteria of subsection (a) will not fail to be considered an Eligible Employee solely as a result of being on paid or unpaid leave.</w:t>
      </w:r>
    </w:p>
    <w:p>
      <w:pPr>
        <w:spacing w:after="0" w:line="183"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u w:val="single" w:color="auto"/>
          <w:color w:val="auto"/>
        </w:rPr>
        <w:t>Eligible Income</w:t>
      </w:r>
      <w:r>
        <w:rPr>
          <w:rFonts w:ascii="Arial" w:cs="Arial" w:eastAsia="Arial" w:hAnsi="Arial"/>
          <w:sz w:val="18"/>
          <w:szCs w:val="18"/>
          <w:color w:val="auto"/>
        </w:rPr>
        <w:t xml:space="preserve"> – means compensation which may be deferred under the Plan, as from time to time determined by the Plan Administrator, including without limitation (1) Regular Enrollment Compensation and (2) New Hire Enrollment Compensation. Amounts will qualify as “Eligible Income” only if the Participant is on the U.S. payroll of the Company or its Affiliates at the time the amount is payable to the Participant absent deferral.</w:t>
      </w:r>
    </w:p>
    <w:p>
      <w:pPr>
        <w:spacing w:after="0" w:line="188"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 means an individual who is a regular employee on the U.S. payroll of the Company or its Affiliates. The term “Employee” shall not include a person hired as an independent contractor, leased employee, consultant, or a person otherwise designated by the Company or an Affiliate as not eligible to participate in the Plan, even if such person is determined to be a common law employee of the Company or an Affiliate by any governmental or judicial authority.</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xml:space="preserve"> – means the Employee Retirement Income Security Act of 1974, as amended.</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Fiscal Year Compensation</w:t>
      </w:r>
      <w:r>
        <w:rPr>
          <w:rFonts w:ascii="Arial" w:cs="Arial" w:eastAsia="Arial" w:hAnsi="Arial"/>
          <w:sz w:val="18"/>
          <w:szCs w:val="18"/>
          <w:color w:val="auto"/>
        </w:rPr>
        <w:t xml:space="preserve"> – means “fiscal year compensation” as defined under Treas. Reg. § 1.409A-2(a)(6) or any successor</w:t>
      </w:r>
    </w:p>
    <w:p>
      <w:pPr>
        <w:spacing w:after="0"/>
        <w:rPr>
          <w:sz w:val="20"/>
          <w:szCs w:val="20"/>
          <w:color w:val="auto"/>
        </w:rPr>
      </w:pPr>
      <w:r>
        <w:rPr>
          <w:rFonts w:ascii="Arial" w:cs="Arial" w:eastAsia="Arial" w:hAnsi="Arial"/>
          <w:sz w:val="18"/>
          <w:szCs w:val="18"/>
          <w:color w:val="auto"/>
        </w:rPr>
        <w:t>thereto.</w:t>
      </w:r>
    </w:p>
    <w:p>
      <w:pPr>
        <w:spacing w:after="0" w:line="198" w:lineRule="exact"/>
        <w:rPr>
          <w:sz w:val="20"/>
          <w:szCs w:val="20"/>
          <w:color w:val="auto"/>
        </w:rPr>
      </w:pPr>
    </w:p>
    <w:p>
      <w:pPr>
        <w:jc w:val="both"/>
        <w:ind w:firstLine="792"/>
        <w:spacing w:after="0"/>
        <w:rPr>
          <w:sz w:val="20"/>
          <w:szCs w:val="20"/>
          <w:color w:val="auto"/>
        </w:rPr>
      </w:pPr>
      <w:r>
        <w:rPr>
          <w:rFonts w:ascii="Arial" w:cs="Arial" w:eastAsia="Arial" w:hAnsi="Arial"/>
          <w:sz w:val="18"/>
          <w:szCs w:val="18"/>
          <w:u w:val="single" w:color="auto"/>
          <w:color w:val="auto"/>
        </w:rPr>
        <w:t>Hire Date</w:t>
      </w:r>
      <w:r>
        <w:rPr>
          <w:rFonts w:ascii="Arial" w:cs="Arial" w:eastAsia="Arial" w:hAnsi="Arial"/>
          <w:sz w:val="18"/>
          <w:szCs w:val="18"/>
          <w:color w:val="auto"/>
        </w:rPr>
        <w:t xml:space="preserve"> – means the date an Employee becomes employed by the Company or a Designated Subsidiary. In the case of an individual who becomes an Employee upon the acquisition of a business by the Company or a Designated Subsidiary, the Employee’s “Hire Date” shall be his transfer date.</w:t>
      </w:r>
    </w:p>
    <w:p>
      <w:pPr>
        <w:spacing w:after="0" w:line="189" w:lineRule="exact"/>
        <w:rPr>
          <w:sz w:val="20"/>
          <w:szCs w:val="20"/>
          <w:color w:val="auto"/>
        </w:rPr>
      </w:pPr>
    </w:p>
    <w:p>
      <w:pPr>
        <w:jc w:val="both"/>
        <w:ind w:right="20" w:firstLine="792"/>
        <w:spacing w:after="0" w:line="246" w:lineRule="auto"/>
        <w:rPr>
          <w:sz w:val="20"/>
          <w:szCs w:val="20"/>
          <w:color w:val="auto"/>
        </w:rPr>
      </w:pPr>
      <w:r>
        <w:rPr>
          <w:rFonts w:ascii="Arial" w:cs="Arial" w:eastAsia="Arial" w:hAnsi="Arial"/>
          <w:sz w:val="18"/>
          <w:szCs w:val="18"/>
          <w:u w:val="single" w:color="auto"/>
          <w:color w:val="auto"/>
        </w:rPr>
        <w:t>Investment Options</w:t>
      </w:r>
      <w:r>
        <w:rPr>
          <w:rFonts w:ascii="Arial" w:cs="Arial" w:eastAsia="Arial" w:hAnsi="Arial"/>
          <w:sz w:val="18"/>
          <w:szCs w:val="18"/>
          <w:color w:val="auto"/>
        </w:rPr>
        <w:t xml:space="preserve"> – means a set of investment options, which may include investment options offered under the 401(k) Plan, and which are from time to time determined by the Plan Administrator and used to credit earnings, gains, and losses on Account balances.</w:t>
      </w:r>
    </w:p>
    <w:p>
      <w:pPr>
        <w:spacing w:after="0" w:line="183" w:lineRule="exact"/>
        <w:rPr>
          <w:sz w:val="20"/>
          <w:szCs w:val="20"/>
          <w:color w:val="auto"/>
        </w:rPr>
      </w:pPr>
    </w:p>
    <w:p>
      <w:pPr>
        <w:jc w:val="both"/>
        <w:ind w:firstLine="792"/>
        <w:spacing w:after="0" w:line="238" w:lineRule="auto"/>
        <w:rPr>
          <w:sz w:val="20"/>
          <w:szCs w:val="20"/>
          <w:color w:val="auto"/>
        </w:rPr>
      </w:pPr>
      <w:r>
        <w:rPr>
          <w:rFonts w:ascii="Arial" w:cs="Arial" w:eastAsia="Arial" w:hAnsi="Arial"/>
          <w:sz w:val="18"/>
          <w:szCs w:val="18"/>
          <w:u w:val="single" w:color="auto"/>
          <w:color w:val="auto"/>
        </w:rPr>
        <w:t>Key Employee</w:t>
      </w:r>
      <w:r>
        <w:rPr>
          <w:rFonts w:ascii="Arial" w:cs="Arial" w:eastAsia="Arial" w:hAnsi="Arial"/>
          <w:sz w:val="18"/>
          <w:szCs w:val="18"/>
          <w:color w:val="auto"/>
        </w:rPr>
        <w:t xml:space="preserve"> – means an employee treated as a “specified employee” under Code section 409A(a)(2)(B)(i) as of his Separation from Service (i.e., a key employee (as defined under Code section 416(i) without regard to paragraph (5) thereof) of a corporation any stock of which is publicly traded on an established securities market or otherwise). Key Employees shall be determined in accordance with Code section 409A, using a December 31 identification date. A listing of Key Employees as of an identification date shall be effective for the 12-month period beginning on the April 1 following the identification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9" w:name="page110"/>
    <w:bookmarkEnd w:id="109"/>
    <w:p>
      <w:pPr>
        <w:jc w:val="both"/>
        <w:ind w:firstLine="792"/>
        <w:spacing w:after="0"/>
        <w:rPr>
          <w:sz w:val="20"/>
          <w:szCs w:val="20"/>
          <w:color w:val="auto"/>
        </w:rPr>
      </w:pPr>
      <w:r>
        <w:rPr>
          <w:rFonts w:ascii="Arial" w:cs="Arial" w:eastAsia="Arial" w:hAnsi="Arial"/>
          <w:sz w:val="18"/>
          <w:szCs w:val="18"/>
          <w:u w:val="single" w:color="auto"/>
          <w:color w:val="auto"/>
        </w:rPr>
        <w:t>New Hire Enrollment Compensation</w:t>
      </w:r>
      <w:r>
        <w:rPr>
          <w:rFonts w:ascii="Arial" w:cs="Arial" w:eastAsia="Arial" w:hAnsi="Arial"/>
          <w:sz w:val="18"/>
          <w:szCs w:val="18"/>
          <w:color w:val="auto"/>
        </w:rPr>
        <w:t xml:space="preserve"> – means compensation for a Newly Hired Eligible Employee which is from time to time determined by the Plan Administrator, including without limitation a (1) New Hire Signing Bonus, (2) Acquisition Retention Bonus, and (3) Acquisition Signing Bonus.</w:t>
      </w:r>
    </w:p>
    <w:p>
      <w:pPr>
        <w:spacing w:after="0" w:line="189"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u w:val="single" w:color="auto"/>
          <w:color w:val="auto"/>
        </w:rPr>
        <w:t>New Hire Signing Bonus</w:t>
      </w:r>
      <w:r>
        <w:rPr>
          <w:rFonts w:ascii="Arial" w:cs="Arial" w:eastAsia="Arial" w:hAnsi="Arial"/>
          <w:sz w:val="18"/>
          <w:szCs w:val="18"/>
          <w:color w:val="auto"/>
        </w:rPr>
        <w:t xml:space="preserve"> – means a bonus provided to a Newly Hired Eligible Employee upon acceptance of an offer of employment with the Company or a Designated Subsidiary.</w:t>
      </w:r>
    </w:p>
    <w:p>
      <w:pPr>
        <w:spacing w:after="0" w:line="183" w:lineRule="exact"/>
        <w:rPr>
          <w:sz w:val="20"/>
          <w:szCs w:val="20"/>
          <w:color w:val="auto"/>
        </w:rPr>
      </w:pPr>
    </w:p>
    <w:p>
      <w:pPr>
        <w:jc w:val="both"/>
        <w:ind w:firstLine="792"/>
        <w:spacing w:after="0" w:line="237" w:lineRule="auto"/>
        <w:rPr>
          <w:sz w:val="20"/>
          <w:szCs w:val="20"/>
          <w:color w:val="auto"/>
        </w:rPr>
      </w:pPr>
      <w:r>
        <w:rPr>
          <w:rFonts w:ascii="Arial" w:cs="Arial" w:eastAsia="Arial" w:hAnsi="Arial"/>
          <w:sz w:val="18"/>
          <w:szCs w:val="18"/>
          <w:u w:val="single" w:color="auto"/>
          <w:color w:val="auto"/>
        </w:rPr>
        <w:t>Newly Hired Eligible Employee</w:t>
      </w:r>
      <w:r>
        <w:rPr>
          <w:rFonts w:ascii="Arial" w:cs="Arial" w:eastAsia="Arial" w:hAnsi="Arial"/>
          <w:sz w:val="18"/>
          <w:szCs w:val="18"/>
          <w:color w:val="auto"/>
        </w:rPr>
        <w:t xml:space="preserve"> – means an individual hired by the Company or a Designated Subsidiary who meets the criteria for an Eligible Employee on his Hire Date, provided that an individual who has previously worked for the Company or an Affiliate will only qualify as a “Newly Hired Eligible Employee” if he meets the requirements of Treas. Reg. § 1.409A-2(a)(7) or any successor thereto. Generally, a re-hired individual will meet these requirements if (1) he has been paid any and all amounts due him under the Plan (and any plans required to be aggregated with the Plan under Code section 409A) prior to re-hire, or (2) he has not been eligible to participate, other than the accrual of earnings, in the Plan (or any other plan required to be aggregated with the Plan under Code section 409A) for at least 24 months.</w:t>
      </w:r>
    </w:p>
    <w:p>
      <w:pPr>
        <w:spacing w:after="0" w:line="192"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u w:val="single" w:color="auto"/>
          <w:color w:val="auto"/>
        </w:rPr>
        <w:t>Open Enrollment</w:t>
      </w:r>
      <w:r>
        <w:rPr>
          <w:rFonts w:ascii="Arial" w:cs="Arial" w:eastAsia="Arial" w:hAnsi="Arial"/>
          <w:sz w:val="18"/>
          <w:szCs w:val="18"/>
          <w:color w:val="auto"/>
        </w:rPr>
        <w:t xml:space="preserve"> – means the period or periods during each Plan Year when Eligible Employees may elect to defer amounts under the Plan. Open Enrollment shall be held at the time or times designated by the Plan Administrator.</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 means an Eligible Employee who elects to defer Eligible Income under the Plan.</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xml:space="preserve"> – means “performance-based compensation” as defined under Code section 409A.</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 means the Microsoft Corporation Deferred Compensation Plan, as amended from time to time.</w:t>
      </w:r>
    </w:p>
    <w:p>
      <w:pPr>
        <w:spacing w:after="0" w:line="185"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xml:space="preserve"> – means the Senior HR Officer or, with respect to the eligibility of executive officers of the Company to participate in the Plan, the Compensation Committee of the Board.</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xml:space="preserve"> – means the 12-month period from January 1 to December 31.</w:t>
      </w:r>
    </w:p>
    <w:p>
      <w:pPr>
        <w:spacing w:after="0" w:line="198"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u w:val="single" w:color="auto"/>
          <w:color w:val="auto"/>
        </w:rPr>
        <w:t>Pre-2014 Election Amount</w:t>
      </w:r>
      <w:r>
        <w:rPr>
          <w:rFonts w:ascii="Arial" w:cs="Arial" w:eastAsia="Arial" w:hAnsi="Arial"/>
          <w:sz w:val="18"/>
          <w:szCs w:val="18"/>
          <w:color w:val="auto"/>
        </w:rPr>
        <w:t xml:space="preserve"> – means an amount deferred under the Plan (and earnings thereon) pursuant to a deferral election that (1) </w:t>
      </w:r>
      <w:r>
        <w:rPr>
          <w:rFonts w:ascii="Arial" w:cs="Arial" w:eastAsia="Arial" w:hAnsi="Arial"/>
          <w:sz w:val="18"/>
          <w:szCs w:val="18"/>
          <w:u w:val="single" w:color="auto"/>
          <w:color w:val="auto"/>
        </w:rPr>
        <w:t>becomes irrevocable during an Open Enrollment period occurring before July 1, 2013, or (2) is made by a Newly Hired Eligible Employee under Section 5.1(b)(ii) and becomes irrevocable on or before December 31, 2013. Thus, Annual Base Salary amounts deferred after 2013 and Annual Bonuses deferred based on elections made after 2013 will not be considered Pre-2014 Election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-393700</wp:posOffset>
            </wp:positionV>
            <wp:extent cx="5411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541147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-376555</wp:posOffset>
            </wp:positionV>
            <wp:extent cx="5411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5411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57886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68" w:lineRule="exact"/>
        <w:rPr>
          <w:sz w:val="20"/>
          <w:szCs w:val="20"/>
          <w:color w:val="auto"/>
        </w:rPr>
      </w:pPr>
    </w:p>
    <w:p>
      <w:pPr>
        <w:jc w:val="both"/>
        <w:ind w:right="20" w:firstLine="792"/>
        <w:spacing w:after="0" w:line="246" w:lineRule="auto"/>
        <w:rPr>
          <w:sz w:val="20"/>
          <w:szCs w:val="20"/>
          <w:color w:val="auto"/>
        </w:rPr>
      </w:pPr>
      <w:r>
        <w:rPr>
          <w:rFonts w:ascii="Arial" w:cs="Arial" w:eastAsia="Arial" w:hAnsi="Arial"/>
          <w:sz w:val="18"/>
          <w:szCs w:val="18"/>
          <w:u w:val="single" w:color="auto"/>
          <w:color w:val="auto"/>
        </w:rPr>
        <w:t>Regular Enrollment Compensation</w:t>
      </w:r>
      <w:r>
        <w:rPr>
          <w:rFonts w:ascii="Arial" w:cs="Arial" w:eastAsia="Arial" w:hAnsi="Arial"/>
          <w:sz w:val="18"/>
          <w:szCs w:val="18"/>
          <w:color w:val="auto"/>
        </w:rPr>
        <w:t xml:space="preserve"> – means compensation which is from time to time determined by the Plan Administrator, including without limitation (1) Annual Base Salary, and (2) Annual Bonus.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 means a Separation from Service after attaining Retirement Age.</w:t>
      </w:r>
    </w:p>
    <w:p>
      <w:pPr>
        <w:spacing w:after="0" w:line="198"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u w:val="single" w:color="auto"/>
          <w:color w:val="auto"/>
        </w:rPr>
        <w:t>Retirement Age</w:t>
      </w:r>
      <w:r>
        <w:rPr>
          <w:rFonts w:ascii="Arial" w:cs="Arial" w:eastAsia="Arial" w:hAnsi="Arial"/>
          <w:sz w:val="18"/>
          <w:szCs w:val="18"/>
          <w:color w:val="auto"/>
        </w:rPr>
        <w:t xml:space="preserve"> – means one specified date for each Participant occurring on the earlier of: (1) Participant’s attainment of age sixty-five (65), or (2) the later of Participant’s attainment of age fifty-five (55) or the tenth (10th) anniversary of his Date of Hire. When an Employee becomes eligible to participate in the Plan, the Plan Administrator shall determine the Retirement Age for the Employee as one specified date in accordance with the foregoing.</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Senior HR Officer</w:t>
      </w:r>
      <w:r>
        <w:rPr>
          <w:rFonts w:ascii="Arial" w:cs="Arial" w:eastAsia="Arial" w:hAnsi="Arial"/>
          <w:sz w:val="18"/>
          <w:szCs w:val="18"/>
          <w:color w:val="auto"/>
        </w:rPr>
        <w:t xml:space="preserve"> – means the senior officer in charge of the Human Resources department.</w:t>
      </w:r>
    </w:p>
    <w:p>
      <w:pPr>
        <w:spacing w:after="0" w:line="198"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u w:val="single" w:color="auto"/>
          <w:color w:val="auto"/>
        </w:rPr>
        <w:t>Separation from Service or Separates from Service</w:t>
      </w:r>
      <w:r>
        <w:rPr>
          <w:rFonts w:ascii="Arial" w:cs="Arial" w:eastAsia="Arial" w:hAnsi="Arial"/>
          <w:sz w:val="18"/>
          <w:szCs w:val="18"/>
          <w:color w:val="auto"/>
        </w:rPr>
        <w:t xml:space="preserve"> – means a “separation from service” with the Company and its Affiliates within the meaning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-122555</wp:posOffset>
            </wp:positionV>
            <wp:extent cx="13893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401(k) Plan</w:t>
      </w:r>
      <w:r>
        <w:rPr>
          <w:rFonts w:ascii="Arial" w:cs="Arial" w:eastAsia="Arial" w:hAnsi="Arial"/>
          <w:sz w:val="18"/>
          <w:szCs w:val="18"/>
          <w:color w:val="auto"/>
        </w:rPr>
        <w:t xml:space="preserve"> – means the Microsoft Corporation Savings Plus 401(k) Plan.</w:t>
      </w:r>
    </w:p>
    <w:p>
      <w:pPr>
        <w:spacing w:after="0" w:line="198" w:lineRule="exact"/>
        <w:rPr>
          <w:sz w:val="20"/>
          <w:szCs w:val="20"/>
          <w:color w:val="auto"/>
        </w:rPr>
      </w:pPr>
    </w:p>
    <w:p>
      <w:pPr>
        <w:ind w:left="820" w:hanging="812"/>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98"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4. 1 An Eligible Employee becomes an active Participant in the Plan on the date he first enrolls in the Plan by electing to defer all or any portion of his Eligible Income. An Eligible Employee may enroll in the Plan during Open Enrollment in accordance with Section 5.1(b)(i) or pursuant to Section 5.1(c). A Newly Hired Eligible Employee may enroll before his Hire Date in accordance with 5.1(b)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0" w:name="page111"/>
    <w:bookmarkEnd w:id="110"/>
    <w:p>
      <w:pPr>
        <w:ind w:firstLine="792"/>
        <w:spacing w:after="0" w:line="246" w:lineRule="auto"/>
        <w:rPr>
          <w:sz w:val="20"/>
          <w:szCs w:val="20"/>
          <w:color w:val="auto"/>
        </w:rPr>
      </w:pPr>
      <w:r>
        <w:rPr>
          <w:rFonts w:ascii="Arial" w:cs="Arial" w:eastAsia="Arial" w:hAnsi="Arial"/>
          <w:sz w:val="18"/>
          <w:szCs w:val="18"/>
          <w:color w:val="auto"/>
        </w:rPr>
        <w:t>4.2 An Eligible Employee who has been an active Participant under the Plan will cease to be a Participant on the date his Account is fully distributed.</w:t>
      </w:r>
    </w:p>
    <w:p>
      <w:pPr>
        <w:spacing w:after="0" w:line="183" w:lineRule="exact"/>
        <w:rPr>
          <w:sz w:val="20"/>
          <w:szCs w:val="20"/>
          <w:color w:val="auto"/>
        </w:rPr>
      </w:pPr>
    </w:p>
    <w:p>
      <w:pPr>
        <w:ind w:left="820" w:hanging="81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Participant Accounts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Elections to Defer Eligible Income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firstLine="1593"/>
        <w:spacing w:after="0" w:line="246" w:lineRule="auto"/>
        <w:tabs>
          <w:tab w:leader="none" w:pos="245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Initial Deferral Election</w:t>
      </w:r>
      <w:r>
        <w:rPr>
          <w:rFonts w:ascii="Arial" w:cs="Arial" w:eastAsia="Arial" w:hAnsi="Arial"/>
          <w:sz w:val="18"/>
          <w:szCs w:val="18"/>
          <w:color w:val="auto"/>
        </w:rPr>
        <w:t>. An Eligible Employee may make an irrevocable election to defer the following types of Eligible Income in one (1) percent increments up to the specified maximum percentages:</w:t>
      </w:r>
    </w:p>
    <w:p>
      <w:pPr>
        <w:spacing w:after="0" w:line="183" w:lineRule="exact"/>
        <w:rPr>
          <w:rFonts w:ascii="Arial" w:cs="Arial" w:eastAsia="Arial" w:hAnsi="Arial"/>
          <w:sz w:val="18"/>
          <w:szCs w:val="18"/>
          <w:color w:val="auto"/>
        </w:rPr>
      </w:pPr>
    </w:p>
    <w:p>
      <w:pPr>
        <w:ind w:left="3200" w:hanging="815"/>
        <w:spacing w:after="0"/>
        <w:tabs>
          <w:tab w:leader="none" w:pos="32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An Eligible Employee may elect to defer up to </w:t>
      </w:r>
      <w:r>
        <w:rPr>
          <w:rFonts w:ascii="Arial" w:cs="Arial" w:eastAsia="Arial" w:hAnsi="Arial"/>
          <w:sz w:val="18"/>
          <w:szCs w:val="18"/>
          <w:u w:val="single" w:color="auto"/>
          <w:color w:val="auto"/>
        </w:rPr>
        <w:t>75</w:t>
      </w:r>
      <w:r>
        <w:rPr>
          <w:rFonts w:ascii="Arial" w:cs="Arial" w:eastAsia="Arial" w:hAnsi="Arial"/>
          <w:sz w:val="18"/>
          <w:szCs w:val="18"/>
          <w:color w:val="auto"/>
        </w:rPr>
        <w:t>% of his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128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8" w:lineRule="exact"/>
        <w:rPr>
          <w:sz w:val="20"/>
          <w:szCs w:val="20"/>
          <w:color w:val="auto"/>
        </w:rPr>
      </w:pPr>
    </w:p>
    <w:p>
      <w:pPr>
        <w:ind w:left="3220" w:hanging="857"/>
        <w:spacing w:after="0"/>
        <w:tabs>
          <w:tab w:leader="none" w:pos="3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Eligible Employee may elect to defer up to 100% of a Annual Bonus.</w:t>
      </w:r>
    </w:p>
    <w:p>
      <w:pPr>
        <w:spacing w:after="0" w:line="198" w:lineRule="exact"/>
        <w:rPr>
          <w:sz w:val="20"/>
          <w:szCs w:val="20"/>
          <w:color w:val="auto"/>
        </w:rPr>
      </w:pPr>
    </w:p>
    <w:p>
      <w:pPr>
        <w:ind w:right="980" w:firstLine="2342"/>
        <w:spacing w:after="0" w:line="469" w:lineRule="auto"/>
        <w:tabs>
          <w:tab w:leader="none" w:pos="322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Eligible Employee may elect to defer up to 90% of New Hire Enrollment Compensation. Eligible Employees are not permitted to defer gains on the exercise of a stock option under the Plan after December 31, 2004.</w:t>
      </w:r>
    </w:p>
    <w:p>
      <w:pPr>
        <w:spacing w:after="0" w:line="1" w:lineRule="exact"/>
        <w:rPr>
          <w:rFonts w:ascii="Arial" w:cs="Arial" w:eastAsia="Arial" w:hAnsi="Arial"/>
          <w:sz w:val="18"/>
          <w:szCs w:val="18"/>
          <w:color w:val="auto"/>
        </w:rPr>
      </w:pPr>
    </w:p>
    <w:p>
      <w:pPr>
        <w:ind w:left="2460" w:hanging="867"/>
        <w:spacing w:after="0"/>
        <w:tabs>
          <w:tab w:leader="none" w:pos="2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Time and Manner of Making an Initial Election</w:t>
      </w:r>
      <w:r>
        <w:rPr>
          <w:rFonts w:ascii="Arial" w:cs="Arial" w:eastAsia="Arial" w:hAnsi="Arial"/>
          <w:sz w:val="18"/>
          <w:szCs w:val="18"/>
          <w:color w:val="auto"/>
        </w:rPr>
        <w:t>.</w:t>
      </w:r>
    </w:p>
    <w:p>
      <w:pPr>
        <w:spacing w:after="0" w:line="198" w:lineRule="exact"/>
        <w:rPr>
          <w:sz w:val="20"/>
          <w:szCs w:val="20"/>
          <w:color w:val="auto"/>
        </w:rPr>
      </w:pPr>
    </w:p>
    <w:p>
      <w:pPr>
        <w:jc w:val="both"/>
        <w:ind w:firstLine="2385"/>
        <w:spacing w:after="0" w:line="238" w:lineRule="auto"/>
        <w:tabs>
          <w:tab w:leader="none" w:pos="318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 Eligible Employee may make an election to defer one or more types of Regular Enrollment Compensation during an Open Enrollment period that occurs in the Plan Year preceding the Plan Year in which the Regular Enrollment Compensation begins to be earned. A deferral election shall be made in accordance with procedures established by the Plan Administrator. An Employee’s election during such an Open Enrollment period will not be given effect if the Employee ceases to be an Eligible Employee by the last day of the month in which the Open Enrollment period occurs.</w:t>
      </w:r>
    </w:p>
    <w:p>
      <w:pPr>
        <w:spacing w:after="0" w:line="189" w:lineRule="exact"/>
        <w:rPr>
          <w:rFonts w:ascii="Arial" w:cs="Arial" w:eastAsia="Arial" w:hAnsi="Arial"/>
          <w:sz w:val="18"/>
          <w:szCs w:val="18"/>
          <w:color w:val="auto"/>
        </w:rPr>
      </w:pPr>
    </w:p>
    <w:p>
      <w:pPr>
        <w:jc w:val="both"/>
        <w:ind w:firstLine="2385"/>
        <w:spacing w:after="0" w:line="239" w:lineRule="auto"/>
        <w:tabs>
          <w:tab w:leader="none" w:pos="32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Newly Hired Eligible Employee may make an election to defer one or more types of New Hire Enrollment Compensation in accordance with procedures established by the Plan Administrator, provided such election occurs before his Hire Date and such election shall only apply to amounts earned after the election is filed. A Newly Hired Eligible Employee may make an election to defer Regular Enrollment Compensation during an Open Enrollment period that follows or coincides with his Hire Date.</w:t>
      </w:r>
    </w:p>
    <w:p>
      <w:pPr>
        <w:spacing w:after="0" w:line="188" w:lineRule="exact"/>
        <w:rPr>
          <w:rFonts w:ascii="Arial" w:cs="Arial" w:eastAsia="Arial" w:hAnsi="Arial"/>
          <w:sz w:val="18"/>
          <w:szCs w:val="18"/>
          <w:color w:val="auto"/>
        </w:rPr>
      </w:pPr>
    </w:p>
    <w:p>
      <w:pPr>
        <w:ind w:right="20" w:firstLine="1593"/>
        <w:spacing w:after="0" w:line="246" w:lineRule="auto"/>
        <w:tabs>
          <w:tab w:leader="none" w:pos="244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Alternative Election Deadlines</w:t>
      </w:r>
      <w:r>
        <w:rPr>
          <w:rFonts w:ascii="Arial" w:cs="Arial" w:eastAsia="Arial" w:hAnsi="Arial"/>
          <w:sz w:val="18"/>
          <w:szCs w:val="18"/>
          <w:color w:val="auto"/>
        </w:rPr>
        <w:t>. Notwithstanding the rules in subsection (b), if the Plan Administrator, in its sole discretion, determines that:</w:t>
      </w:r>
    </w:p>
    <w:p>
      <w:pPr>
        <w:spacing w:after="0" w:line="183" w:lineRule="exact"/>
        <w:rPr>
          <w:rFonts w:ascii="Arial" w:cs="Arial" w:eastAsia="Arial" w:hAnsi="Arial"/>
          <w:sz w:val="18"/>
          <w:szCs w:val="18"/>
          <w:color w:val="auto"/>
        </w:rPr>
      </w:pPr>
    </w:p>
    <w:p>
      <w:pPr>
        <w:jc w:val="both"/>
        <w:ind w:firstLine="2385"/>
        <w:spacing w:after="0" w:line="239" w:lineRule="auto"/>
        <w:tabs>
          <w:tab w:leader="none" w:pos="318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Eligible Income constitutes Performance-Based Compensation that is based on services performed over a performance period of at least twelve (12) months, the Plan Administrator may establish procedures, including an Open Enrollment period, under which an Eligible Employee may elect to defer such Performance-Based Compensation, but such election must be made no later than six (6) months before the end of the performance period; or</w:t>
      </w:r>
    </w:p>
    <w:p>
      <w:pPr>
        <w:spacing w:after="0" w:line="188" w:lineRule="exact"/>
        <w:rPr>
          <w:rFonts w:ascii="Arial" w:cs="Arial" w:eastAsia="Arial" w:hAnsi="Arial"/>
          <w:sz w:val="18"/>
          <w:szCs w:val="18"/>
          <w:color w:val="auto"/>
        </w:rPr>
      </w:pPr>
    </w:p>
    <w:p>
      <w:pPr>
        <w:jc w:val="both"/>
        <w:ind w:firstLine="2385"/>
        <w:spacing w:after="0" w:line="239" w:lineRule="auto"/>
        <w:tabs>
          <w:tab w:leader="none" w:pos="32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Eligible Income constitutes Fiscal Year Compensation, the Plan Administrator may establish procedures, including an Open Enrollment period, under which an Eligible Employee may elect to defer such Fiscal Year Compensation, but such election must be made no later than the last day of the Company’s fiscal year immediately preceding the first fiscal year in which services are performed related to such Eligible Income.</w:t>
      </w:r>
    </w:p>
    <w:p>
      <w:pPr>
        <w:spacing w:after="0" w:line="188" w:lineRule="exact"/>
        <w:rPr>
          <w:sz w:val="20"/>
          <w:szCs w:val="20"/>
          <w:color w:val="auto"/>
        </w:rPr>
      </w:pPr>
    </w:p>
    <w:p>
      <w:pPr>
        <w:ind w:firstLine="1585"/>
        <w:spacing w:after="0" w:line="246" w:lineRule="auto"/>
        <w:rPr>
          <w:sz w:val="20"/>
          <w:szCs w:val="20"/>
          <w:color w:val="auto"/>
        </w:rPr>
      </w:pPr>
      <w:r>
        <w:rPr>
          <w:rFonts w:ascii="Arial" w:cs="Arial" w:eastAsia="Arial" w:hAnsi="Arial"/>
          <w:sz w:val="18"/>
          <w:szCs w:val="18"/>
          <w:color w:val="auto"/>
        </w:rPr>
        <w:t>An Employee’s election under this Section will not be given effect if the Employee ceases to be an Eligible Employee by the deadline stated above for making such an election.</w:t>
      </w:r>
    </w:p>
    <w:p>
      <w:pPr>
        <w:spacing w:after="0" w:line="183" w:lineRule="exact"/>
        <w:rPr>
          <w:sz w:val="20"/>
          <w:szCs w:val="20"/>
          <w:color w:val="auto"/>
        </w:rPr>
      </w:pPr>
    </w:p>
    <w:p>
      <w:pPr>
        <w:jc w:val="both"/>
        <w:ind w:firstLine="1593"/>
        <w:spacing w:after="0"/>
        <w:tabs>
          <w:tab w:leader="none" w:pos="245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Cancellation of Election</w:t>
      </w:r>
      <w:r>
        <w:rPr>
          <w:rFonts w:ascii="Arial" w:cs="Arial" w:eastAsia="Arial" w:hAnsi="Arial"/>
          <w:sz w:val="18"/>
          <w:szCs w:val="18"/>
          <w:color w:val="auto"/>
        </w:rPr>
        <w:t>. If a Participant becomes Disabled, receives a hardship withdrawal under the 401(k) Plan, or obtains a distribution under Section 6.6 on account of an unforeseeable emergency during a Plan Year, his deferral election for such Plan Year shall be cancelled.</w:t>
      </w:r>
    </w:p>
    <w:p>
      <w:pPr>
        <w:spacing w:after="0" w:line="189" w:lineRule="exact"/>
        <w:rPr>
          <w:sz w:val="20"/>
          <w:szCs w:val="20"/>
          <w:color w:val="auto"/>
        </w:rPr>
      </w:pPr>
    </w:p>
    <w:p>
      <w:pPr>
        <w:ind w:right="20" w:firstLine="792"/>
        <w:spacing w:after="0" w:line="246" w:lineRule="auto"/>
        <w:rPr>
          <w:sz w:val="20"/>
          <w:szCs w:val="20"/>
          <w:color w:val="auto"/>
        </w:rPr>
      </w:pPr>
      <w:r>
        <w:rPr>
          <w:rFonts w:ascii="Arial" w:cs="Arial" w:eastAsia="Arial" w:hAnsi="Arial"/>
          <w:sz w:val="18"/>
          <w:szCs w:val="18"/>
          <w:color w:val="auto"/>
        </w:rPr>
        <w:t xml:space="preserve">5. 2 </w:t>
      </w:r>
      <w:r>
        <w:rPr>
          <w:rFonts w:ascii="Arial" w:cs="Arial" w:eastAsia="Arial" w:hAnsi="Arial"/>
          <w:sz w:val="18"/>
          <w:szCs w:val="18"/>
          <w:u w:val="single" w:color="auto"/>
          <w:color w:val="auto"/>
        </w:rPr>
        <w:t>Crediting of Deferrals</w:t>
      </w:r>
      <w:r>
        <w:rPr>
          <w:rFonts w:ascii="Arial" w:cs="Arial" w:eastAsia="Arial" w:hAnsi="Arial"/>
          <w:sz w:val="18"/>
          <w:szCs w:val="18"/>
          <w:color w:val="auto"/>
        </w:rPr>
        <w:t>. Eligible Income deferred by a Participant under the Plan shall be credited to the Participant’s Account as soon as practicable after the amounts would have otherwise been paid to the Participant.</w:t>
      </w:r>
    </w:p>
    <w:p>
      <w:pPr>
        <w:spacing w:after="0" w:line="18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Vesting</w:t>
      </w:r>
      <w:r>
        <w:rPr>
          <w:rFonts w:ascii="Arial" w:cs="Arial" w:eastAsia="Arial" w:hAnsi="Arial"/>
          <w:sz w:val="18"/>
          <w:szCs w:val="18"/>
          <w:color w:val="auto"/>
        </w:rPr>
        <w:t>. A Participant shall at all times be one-hundred (100) percent vested in any amounts credited to his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1" w:name="page112"/>
    <w:bookmarkEnd w:id="111"/>
    <w:p>
      <w:pPr>
        <w:jc w:val="both"/>
        <w:ind w:firstLine="792"/>
        <w:spacing w:after="0" w:line="23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Investments and Earnings</w:t>
      </w:r>
      <w:r>
        <w:rPr>
          <w:rFonts w:ascii="Arial" w:cs="Arial" w:eastAsia="Arial" w:hAnsi="Arial"/>
          <w:sz w:val="18"/>
          <w:szCs w:val="18"/>
          <w:color w:val="auto"/>
        </w:rPr>
        <w:t>. The Company shall periodically credit gains, losses and earnings to a Participant’s Account, until the full balance of the Account has been distributed. Amounts shall be credited to a Participant’s Account under this Section based on the results that would have been achieved had amounts credited to the Account been invested as soon as practicable after crediting into the Investment Options selected by the Participant. The Plan Administrator shall specify procedures to allow Participants to make elections as to the deemed investment of amounts newly credited to their Accounts, as well as the deemed investment of amounts previously credited to their Accounts. Nothing in this Section or otherwise in the Plan, however, will require the Company to actually invest any amounts in such Investment Options or otherwise.</w:t>
      </w:r>
    </w:p>
    <w:p>
      <w:pPr>
        <w:spacing w:after="0" w:line="190"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Employment Taxes</w:t>
      </w:r>
      <w:r>
        <w:rPr>
          <w:rFonts w:ascii="Arial" w:cs="Arial" w:eastAsia="Arial" w:hAnsi="Arial"/>
          <w:sz w:val="18"/>
          <w:szCs w:val="18"/>
          <w:color w:val="auto"/>
        </w:rPr>
        <w:t>. The Participant’s share of FICA and FUTA taxes owed on Eligible Income the Participant elects to defer shall be deducted from other compensation payable to the Participant.</w:t>
      </w:r>
    </w:p>
    <w:p>
      <w:pPr>
        <w:spacing w:after="0" w:line="183" w:lineRule="exact"/>
        <w:rPr>
          <w:sz w:val="20"/>
          <w:szCs w:val="20"/>
          <w:color w:val="auto"/>
        </w:rPr>
      </w:pPr>
    </w:p>
    <w:p>
      <w:pPr>
        <w:ind w:left="820" w:hanging="812"/>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Distribution of Account Balances</w:t>
      </w:r>
      <w:r>
        <w:rPr>
          <w:rFonts w:ascii="Arial" w:cs="Arial" w:eastAsia="Arial" w:hAnsi="Arial"/>
          <w:sz w:val="18"/>
          <w:szCs w:val="18"/>
          <w:color w:val="auto"/>
        </w:rPr>
        <w:t>.</w:t>
      </w:r>
    </w:p>
    <w:p>
      <w:pPr>
        <w:spacing w:after="0" w:line="198"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Distribution Form</w:t>
      </w:r>
      <w:r>
        <w:rPr>
          <w:rFonts w:ascii="Arial" w:cs="Arial" w:eastAsia="Arial" w:hAnsi="Arial"/>
          <w:sz w:val="17"/>
          <w:szCs w:val="17"/>
          <w:color w:val="auto"/>
        </w:rPr>
        <w:t>.</w:t>
      </w:r>
    </w:p>
    <w:p>
      <w:pPr>
        <w:spacing w:after="0" w:line="198" w:lineRule="exact"/>
        <w:rPr>
          <w:sz w:val="20"/>
          <w:szCs w:val="20"/>
          <w:color w:val="auto"/>
        </w:rPr>
      </w:pPr>
    </w:p>
    <w:p>
      <w:pPr>
        <w:ind w:firstLine="1593"/>
        <w:spacing w:after="0" w:line="246" w:lineRule="auto"/>
        <w:tabs>
          <w:tab w:leader="none" w:pos="24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Participant may elect to have amounts deferred under the Plan (and earnings thereon) distributed in a lump sum payment or in annual installments over a period ranging from three (3) to fifteen (15) years.</w:t>
      </w:r>
    </w:p>
    <w:p>
      <w:pPr>
        <w:spacing w:after="0" w:line="169" w:lineRule="exact"/>
        <w:rPr>
          <w:rFonts w:ascii="Arial" w:cs="Arial" w:eastAsia="Arial" w:hAnsi="Arial"/>
          <w:sz w:val="18"/>
          <w:szCs w:val="18"/>
          <w:color w:val="auto"/>
        </w:rPr>
      </w:pPr>
    </w:p>
    <w:p>
      <w:pPr>
        <w:ind w:firstLine="1593"/>
        <w:spacing w:after="0" w:line="246" w:lineRule="auto"/>
        <w:tabs>
          <w:tab w:leader="none" w:pos="24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Participant must specify the form in which a deferred amount (and earnings thereon) will be distributed at the time of making the initial deferral election under Section 5.1.</w:t>
      </w:r>
    </w:p>
    <w:p>
      <w:pPr>
        <w:spacing w:after="0" w:line="183" w:lineRule="exact"/>
        <w:rPr>
          <w:rFonts w:ascii="Arial" w:cs="Arial" w:eastAsia="Arial" w:hAnsi="Arial"/>
          <w:sz w:val="18"/>
          <w:szCs w:val="18"/>
          <w:color w:val="auto"/>
        </w:rPr>
      </w:pPr>
    </w:p>
    <w:p>
      <w:pPr>
        <w:jc w:val="both"/>
        <w:ind w:firstLine="1593"/>
        <w:spacing w:after="0" w:line="239" w:lineRule="auto"/>
        <w:tabs>
          <w:tab w:leader="none" w:pos="24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distribution form elected under subsection (a), if at the time a portion of a Participant’s Account is to be distributed, the portion of the balance to be distributed is less than $50,000, that portion shall be distributed in a lump sum payment at such time, provided that this subsection (c) shall not apply to any amounts deferred under the Plan pursuant to a deferral election that becomes irrevocable on or after June 30, 2011 (and earnings thereon).</w:t>
      </w:r>
    </w:p>
    <w:p>
      <w:pPr>
        <w:spacing w:after="0" w:line="188" w:lineRule="exact"/>
        <w:rPr>
          <w:rFonts w:ascii="Arial" w:cs="Arial" w:eastAsia="Arial" w:hAnsi="Arial"/>
          <w:sz w:val="18"/>
          <w:szCs w:val="18"/>
          <w:color w:val="auto"/>
        </w:rPr>
      </w:pPr>
    </w:p>
    <w:p>
      <w:pPr>
        <w:ind w:left="2460" w:hanging="867"/>
        <w:spacing w:after="0"/>
        <w:tabs>
          <w:tab w:leader="none" w:pos="2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Distribution of a Participant’s Account balance shall be made in cash.</w:t>
      </w:r>
    </w:p>
    <w:p>
      <w:pPr>
        <w:spacing w:after="0" w:line="198" w:lineRule="exact"/>
        <w:rPr>
          <w:sz w:val="20"/>
          <w:szCs w:val="20"/>
          <w:color w:val="auto"/>
        </w:rPr>
      </w:pPr>
    </w:p>
    <w:p>
      <w:pPr>
        <w:ind w:firstLine="792"/>
        <w:spacing w:after="0" w:line="24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Distribution Time</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rules in this Section 6.2 shall apply to amounts deferred under the Plan, excluding any portion of a</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Participant’s Account attributable to Pre-2014 Election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-122555</wp:posOffset>
            </wp:positionV>
            <wp:extent cx="52228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5222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32416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59" w:lineRule="exact"/>
        <w:rPr>
          <w:sz w:val="20"/>
          <w:szCs w:val="20"/>
          <w:color w:val="auto"/>
        </w:rPr>
      </w:pPr>
    </w:p>
    <w:p>
      <w:pPr>
        <w:ind w:left="2460" w:hanging="867"/>
        <w:spacing w:after="0"/>
        <w:tabs>
          <w:tab w:leader="none" w:pos="2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Participant may elect to have distribution of a deferred amount (and earnings thereon) commence as of the</w:t>
      </w:r>
    </w:p>
    <w:p>
      <w:pPr>
        <w:spacing w:after="0"/>
        <w:rPr>
          <w:sz w:val="20"/>
          <w:szCs w:val="20"/>
          <w:color w:val="auto"/>
        </w:rPr>
      </w:pPr>
      <w:r>
        <w:rPr>
          <w:rFonts w:ascii="Arial" w:cs="Arial" w:eastAsia="Arial" w:hAnsi="Arial"/>
          <w:sz w:val="18"/>
          <w:szCs w:val="18"/>
          <w:color w:val="auto"/>
        </w:rPr>
        <w:t>following dates:</w:t>
      </w:r>
    </w:p>
    <w:p>
      <w:pPr>
        <w:spacing w:after="0" w:line="198" w:lineRule="exact"/>
        <w:rPr>
          <w:sz w:val="20"/>
          <w:szCs w:val="20"/>
          <w:color w:val="auto"/>
        </w:rPr>
      </w:pPr>
    </w:p>
    <w:p>
      <w:pPr>
        <w:ind w:left="3200" w:hanging="815"/>
        <w:spacing w:after="0"/>
        <w:tabs>
          <w:tab w:leader="none" w:pos="32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specified time (a particular month and year); or</w:t>
      </w:r>
    </w:p>
    <w:p>
      <w:pPr>
        <w:spacing w:after="0" w:line="198" w:lineRule="exact"/>
        <w:rPr>
          <w:rFonts w:ascii="Arial" w:cs="Arial" w:eastAsia="Arial" w:hAnsi="Arial"/>
          <w:sz w:val="18"/>
          <w:szCs w:val="18"/>
          <w:color w:val="auto"/>
        </w:rPr>
      </w:pPr>
    </w:p>
    <w:p>
      <w:pPr>
        <w:ind w:firstLine="2385"/>
        <w:spacing w:after="0" w:line="246" w:lineRule="auto"/>
        <w:tabs>
          <w:tab w:leader="none" w:pos="32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Upon the Participant’s </w:t>
      </w:r>
      <w:r>
        <w:rPr>
          <w:rFonts w:ascii="Arial" w:cs="Arial" w:eastAsia="Arial" w:hAnsi="Arial"/>
          <w:sz w:val="18"/>
          <w:szCs w:val="18"/>
          <w:u w:val="single" w:color="auto"/>
          <w:color w:val="auto"/>
        </w:rPr>
        <w:t>Separation from Service (in which case distributions will commence in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month following Separation from Service)</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2460" w:hanging="867"/>
        <w:spacing w:after="0"/>
        <w:tabs>
          <w:tab w:leader="none" w:pos="2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Participant must specify their distribution commencement election at the time of making the initial deferral</w:t>
      </w:r>
    </w:p>
    <w:p>
      <w:pPr>
        <w:spacing w:after="0"/>
        <w:rPr>
          <w:rFonts w:ascii="Arial" w:cs="Arial" w:eastAsia="Arial" w:hAnsi="Arial"/>
          <w:sz w:val="18"/>
          <w:szCs w:val="18"/>
          <w:color w:val="auto"/>
        </w:rPr>
      </w:pPr>
      <w:r>
        <w:rPr>
          <w:rFonts w:ascii="Arial" w:cs="Arial" w:eastAsia="Arial" w:hAnsi="Arial"/>
          <w:sz w:val="18"/>
          <w:szCs w:val="18"/>
          <w:color w:val="auto"/>
        </w:rPr>
        <w:t>election under Section 5.1.</w:t>
      </w:r>
    </w:p>
    <w:p>
      <w:pPr>
        <w:spacing w:after="0" w:line="198" w:lineRule="exact"/>
        <w:rPr>
          <w:rFonts w:ascii="Arial" w:cs="Arial" w:eastAsia="Arial" w:hAnsi="Arial"/>
          <w:sz w:val="18"/>
          <w:szCs w:val="18"/>
          <w:color w:val="auto"/>
        </w:rPr>
      </w:pPr>
    </w:p>
    <w:p>
      <w:pPr>
        <w:jc w:val="both"/>
        <w:ind w:firstLine="1593"/>
        <w:spacing w:after="0"/>
        <w:tabs>
          <w:tab w:leader="none" w:pos="24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 Participant elects to have a deferred amount distributed as of a specified time, the specified time must be at least twelve (12) months after the date on which the final payment of the deferred amount would have been made to the Participant absent deferral.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-1019175</wp:posOffset>
            </wp:positionV>
            <wp:extent cx="39706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-890270</wp:posOffset>
            </wp:positionV>
            <wp:extent cx="2092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69" w:lineRule="exact"/>
        <w:rPr>
          <w:sz w:val="20"/>
          <w:szCs w:val="20"/>
          <w:color w:val="auto"/>
        </w:rPr>
      </w:pPr>
    </w:p>
    <w:p>
      <w:pPr>
        <w:ind w:firstLine="792"/>
        <w:spacing w:after="0" w:line="24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Distribution of Pre-2014 Election Amounts Upon Separation from Service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rules in this Section 6.3 shall only apply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Pre-2014 Election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-122555</wp:posOffset>
            </wp:positionV>
            <wp:extent cx="23666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14236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63" w:lineRule="exact"/>
        <w:rPr>
          <w:sz w:val="20"/>
          <w:szCs w:val="20"/>
          <w:color w:val="auto"/>
        </w:rPr>
      </w:pPr>
    </w:p>
    <w:p>
      <w:pPr>
        <w:ind w:firstLine="1593"/>
        <w:spacing w:after="0" w:line="246" w:lineRule="auto"/>
        <w:tabs>
          <w:tab w:leader="none" w:pos="24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If a Participant reaches Retirement Age prior to having a Separation from Service, the distribution </w:t>
      </w:r>
      <w:r>
        <w:rPr>
          <w:rFonts w:ascii="Arial" w:cs="Arial" w:eastAsia="Arial" w:hAnsi="Arial"/>
          <w:sz w:val="18"/>
          <w:szCs w:val="18"/>
          <w:u w:val="single" w:color="auto"/>
          <w:color w:val="auto"/>
        </w:rPr>
        <w:t>of a Pre-2014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 Amount</w:t>
      </w:r>
      <w:r>
        <w:rPr>
          <w:rFonts w:ascii="Arial" w:cs="Arial" w:eastAsia="Arial" w:hAnsi="Arial"/>
          <w:sz w:val="18"/>
          <w:szCs w:val="18"/>
          <w:color w:val="auto"/>
        </w:rPr>
        <w:t xml:space="preserve"> will commence as follows:</w:t>
      </w:r>
    </w:p>
    <w:p>
      <w:pPr>
        <w:spacing w:after="0" w:line="179" w:lineRule="exact"/>
        <w:rPr>
          <w:rFonts w:ascii="Arial" w:cs="Arial" w:eastAsia="Arial" w:hAnsi="Arial"/>
          <w:sz w:val="18"/>
          <w:szCs w:val="18"/>
          <w:color w:val="auto"/>
        </w:rPr>
      </w:pPr>
    </w:p>
    <w:p>
      <w:pPr>
        <w:ind w:left="3200" w:hanging="815"/>
        <w:spacing w:after="0"/>
        <w:tabs>
          <w:tab w:leader="none" w:pos="3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Participant elected commencement upon Retirement, the distribution will commence in the month</w:t>
      </w:r>
    </w:p>
    <w:p>
      <w:pPr>
        <w:spacing w:after="0"/>
        <w:rPr>
          <w:rFonts w:ascii="Arial" w:cs="Arial" w:eastAsia="Arial" w:hAnsi="Arial"/>
          <w:sz w:val="18"/>
          <w:szCs w:val="18"/>
          <w:color w:val="auto"/>
        </w:rPr>
      </w:pPr>
      <w:r>
        <w:rPr>
          <w:rFonts w:ascii="Arial" w:cs="Arial" w:eastAsia="Arial" w:hAnsi="Arial"/>
          <w:sz w:val="18"/>
          <w:szCs w:val="18"/>
          <w:color w:val="auto"/>
        </w:rPr>
        <w:t>following Retirement.</w:t>
      </w:r>
    </w:p>
    <w:p>
      <w:pPr>
        <w:spacing w:after="0" w:line="193" w:lineRule="exact"/>
        <w:rPr>
          <w:rFonts w:ascii="Arial" w:cs="Arial" w:eastAsia="Arial" w:hAnsi="Arial"/>
          <w:sz w:val="18"/>
          <w:szCs w:val="18"/>
          <w:color w:val="auto"/>
        </w:rPr>
      </w:pPr>
    </w:p>
    <w:p>
      <w:pPr>
        <w:ind w:left="3240" w:hanging="855"/>
        <w:spacing w:after="0"/>
        <w:tabs>
          <w:tab w:leader="none" w:pos="32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Participant elected commencement upon a specified time, the distribution will commence in the</w:t>
      </w:r>
    </w:p>
    <w:p>
      <w:pPr>
        <w:spacing w:after="0"/>
        <w:rPr>
          <w:rFonts w:ascii="Arial" w:cs="Arial" w:eastAsia="Arial" w:hAnsi="Arial"/>
          <w:sz w:val="18"/>
          <w:szCs w:val="18"/>
          <w:color w:val="auto"/>
        </w:rPr>
      </w:pPr>
      <w:r>
        <w:rPr>
          <w:rFonts w:ascii="Arial" w:cs="Arial" w:eastAsia="Arial" w:hAnsi="Arial"/>
          <w:sz w:val="18"/>
          <w:szCs w:val="18"/>
          <w:color w:val="auto"/>
        </w:rPr>
        <w:t>specified month and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-885190</wp:posOffset>
            </wp:positionV>
            <wp:extent cx="7029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-756285</wp:posOffset>
            </wp:positionV>
            <wp:extent cx="8318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2" w:name="page113"/>
    <w:bookmarkEnd w:id="112"/>
    <w:p>
      <w:pPr>
        <w:jc w:val="both"/>
        <w:ind w:firstLine="1593"/>
        <w:spacing w:after="0" w:line="238" w:lineRule="auto"/>
        <w:tabs>
          <w:tab w:leader="none" w:pos="24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Notwithstanding a Participant’s elections </w:t>
      </w:r>
      <w:r>
        <w:rPr>
          <w:rFonts w:ascii="Arial" w:cs="Arial" w:eastAsia="Arial" w:hAnsi="Arial"/>
          <w:sz w:val="18"/>
          <w:szCs w:val="18"/>
          <w:u w:val="single" w:color="auto"/>
          <w:color w:val="auto"/>
        </w:rPr>
        <w:t>with respect to Pre-2014 Election Amounts, (i) if</w:t>
      </w:r>
      <w:r>
        <w:rPr>
          <w:rFonts w:ascii="Arial" w:cs="Arial" w:eastAsia="Arial" w:hAnsi="Arial"/>
          <w:sz w:val="18"/>
          <w:szCs w:val="18"/>
          <w:color w:val="auto"/>
        </w:rPr>
        <w:t xml:space="preserve"> a Participant </w:t>
      </w:r>
      <w:r>
        <w:rPr>
          <w:rFonts w:ascii="Arial" w:cs="Arial" w:eastAsia="Arial" w:hAnsi="Arial"/>
          <w:sz w:val="18"/>
          <w:szCs w:val="18"/>
          <w:u w:val="single" w:color="auto"/>
          <w:color w:val="auto"/>
        </w:rPr>
        <w:t>Separates</w:t>
      </w:r>
      <w:r>
        <w:rPr>
          <w:rFonts w:ascii="Arial" w:cs="Arial" w:eastAsia="Arial" w:hAnsi="Arial"/>
          <w:sz w:val="18"/>
          <w:szCs w:val="18"/>
          <w:color w:val="auto"/>
        </w:rPr>
        <w:t xml:space="preserve"> from Service prior to reaching Retirement Age, </w:t>
      </w:r>
      <w:r>
        <w:rPr>
          <w:rFonts w:ascii="Arial" w:cs="Arial" w:eastAsia="Arial" w:hAnsi="Arial"/>
          <w:sz w:val="18"/>
          <w:szCs w:val="18"/>
          <w:u w:val="single" w:color="auto"/>
          <w:color w:val="auto"/>
        </w:rPr>
        <w:t>the portion of</w:t>
      </w:r>
      <w:r>
        <w:rPr>
          <w:rFonts w:ascii="Arial" w:cs="Arial" w:eastAsia="Arial" w:hAnsi="Arial"/>
          <w:sz w:val="18"/>
          <w:szCs w:val="18"/>
          <w:color w:val="auto"/>
        </w:rPr>
        <w:t xml:space="preserve"> his Account balance </w:t>
      </w:r>
      <w:r>
        <w:rPr>
          <w:rFonts w:ascii="Arial" w:cs="Arial" w:eastAsia="Arial" w:hAnsi="Arial"/>
          <w:sz w:val="18"/>
          <w:szCs w:val="18"/>
          <w:u w:val="single" w:color="auto"/>
          <w:color w:val="auto"/>
        </w:rPr>
        <w:t>attributable to Pre-2014 Election Amounts</w:t>
      </w:r>
      <w:r>
        <w:rPr>
          <w:rFonts w:ascii="Arial" w:cs="Arial" w:eastAsia="Arial" w:hAnsi="Arial"/>
          <w:sz w:val="18"/>
          <w:szCs w:val="18"/>
          <w:color w:val="auto"/>
        </w:rPr>
        <w:t xml:space="preserve"> shall be distributed in an immediate lump sum payment in the month following the Separation from Service</w:t>
      </w:r>
      <w:r>
        <w:rPr>
          <w:rFonts w:ascii="Arial" w:cs="Arial" w:eastAsia="Arial" w:hAnsi="Arial"/>
          <w:sz w:val="18"/>
          <w:szCs w:val="18"/>
          <w:u w:val="single" w:color="auto"/>
          <w:color w:val="auto"/>
        </w:rPr>
        <w:t>, and (ii) if a Participant becomes Disabled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prior to attaining Retirement Age while employed with the Company or an Affiliate, the portion of his Account balance attributable to Pre-2014 Election Amounts shall be distributed in an immediate lump sum payment in the month following the date the Participant becomes Disabled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-504825</wp:posOffset>
            </wp:positionV>
            <wp:extent cx="2693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5232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-375920</wp:posOffset>
            </wp:positionV>
            <wp:extent cx="694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-375920</wp:posOffset>
            </wp:positionV>
            <wp:extent cx="21437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-247650</wp:posOffset>
            </wp:positionV>
            <wp:extent cx="21951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377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0237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169" w:lineRule="exact"/>
        <w:rPr>
          <w:sz w:val="20"/>
          <w:szCs w:val="20"/>
          <w:color w:val="auto"/>
        </w:rPr>
      </w:pPr>
    </w:p>
    <w:p>
      <w:pPr>
        <w:jc w:val="both"/>
        <w:ind w:firstLine="792"/>
        <w:spacing w:after="0" w:line="238" w:lineRule="auto"/>
        <w:rPr>
          <w:sz w:val="20"/>
          <w:szCs w:val="20"/>
          <w:color w:val="auto"/>
        </w:rPr>
      </w:pPr>
      <w:r>
        <w:rPr>
          <w:rFonts w:ascii="Arial" w:cs="Arial" w:eastAsia="Arial" w:hAnsi="Arial"/>
          <w:sz w:val="18"/>
          <w:szCs w:val="18"/>
          <w:u w:val="single" w:color="auto"/>
          <w:color w:val="auto"/>
        </w:rPr>
        <w:t>6.4 Key Employee Delay</w:t>
      </w:r>
      <w:r>
        <w:rPr>
          <w:rFonts w:ascii="Arial" w:cs="Arial" w:eastAsia="Arial" w:hAnsi="Arial"/>
          <w:sz w:val="18"/>
          <w:szCs w:val="18"/>
          <w:color w:val="auto"/>
        </w:rPr>
        <w:t xml:space="preserve">. Except as otherwise permitted under IRS guidance, if a distribution is to be made upon the Separation from Service of a Key Employee, distribution may not be made before the date which is six months after the date of the Key Employee’s Separation from Service (or, if earlier, the date of death of the Key Employee). Any payments that would otherwise be made during this period of delay shall be paid in accordance with the elected distribution method and the terms of the Plan in the seventh month following Separation from Service (or, if earlier, </w:t>
      </w:r>
      <w:r>
        <w:rPr>
          <w:rFonts w:ascii="Arial" w:cs="Arial" w:eastAsia="Arial" w:hAnsi="Arial"/>
          <w:sz w:val="18"/>
          <w:szCs w:val="18"/>
          <w:u w:val="single" w:color="auto"/>
          <w:color w:val="auto"/>
        </w:rPr>
        <w:t>following</w:t>
      </w:r>
      <w:r>
        <w:rPr>
          <w:rFonts w:ascii="Arial" w:cs="Arial" w:eastAsia="Arial" w:hAnsi="Arial"/>
          <w:sz w:val="18"/>
          <w:szCs w:val="18"/>
          <w:color w:val="auto"/>
        </w:rPr>
        <w:t xml:space="preserve"> the Key Employee’s death </w:t>
      </w:r>
      <w:r>
        <w:rPr>
          <w:rFonts w:ascii="Arial" w:cs="Arial" w:eastAsia="Arial" w:hAnsi="Arial"/>
          <w:sz w:val="18"/>
          <w:szCs w:val="18"/>
          <w:u w:val="single" w:color="auto"/>
          <w:color w:val="auto"/>
        </w:rPr>
        <w:t>in accordance with Sections 6.5(a) and (b) below)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-504825</wp:posOffset>
            </wp:positionV>
            <wp:extent cx="1543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-521970</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-504825</wp:posOffset>
            </wp:positionV>
            <wp:extent cx="137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-135890</wp:posOffset>
            </wp:positionV>
            <wp:extent cx="13462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-118745</wp:posOffset>
            </wp:positionV>
            <wp:extent cx="13462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8890</wp:posOffset>
            </wp:positionV>
            <wp:extent cx="4457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-67310</wp:posOffset>
            </wp:positionV>
            <wp:extent cx="317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3175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8890</wp:posOffset>
            </wp:positionV>
            <wp:extent cx="25044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9"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u w:val="single" w:color="auto"/>
          <w:color w:val="auto"/>
        </w:rPr>
        <w:t>Distributions Upon Death</w:t>
      </w:r>
      <w:r>
        <w:rPr>
          <w:rFonts w:ascii="Arial" w:cs="Arial" w:eastAsia="Arial" w:hAnsi="Arial"/>
          <w:sz w:val="17"/>
          <w:szCs w:val="17"/>
          <w:color w:val="auto"/>
        </w:rPr>
        <w:t>.</w:t>
      </w:r>
    </w:p>
    <w:p>
      <w:pPr>
        <w:spacing w:after="0" w:line="198" w:lineRule="exact"/>
        <w:rPr>
          <w:sz w:val="20"/>
          <w:szCs w:val="20"/>
          <w:color w:val="auto"/>
        </w:rPr>
      </w:pPr>
    </w:p>
    <w:p>
      <w:pPr>
        <w:jc w:val="both"/>
        <w:ind w:firstLine="1593"/>
        <w:spacing w:after="0" w:line="239" w:lineRule="auto"/>
        <w:tabs>
          <w:tab w:leader="none" w:pos="24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Notwithstanding a Participant’s elections </w:t>
      </w:r>
      <w:r>
        <w:rPr>
          <w:rFonts w:ascii="Arial" w:cs="Arial" w:eastAsia="Arial" w:hAnsi="Arial"/>
          <w:sz w:val="18"/>
          <w:szCs w:val="18"/>
          <w:u w:val="single" w:color="auto"/>
          <w:color w:val="auto"/>
        </w:rPr>
        <w:t>with respect to Pre-2014 Election Amounts,</w:t>
      </w:r>
      <w:r>
        <w:rPr>
          <w:rFonts w:ascii="Arial" w:cs="Arial" w:eastAsia="Arial" w:hAnsi="Arial"/>
          <w:sz w:val="18"/>
          <w:szCs w:val="18"/>
          <w:color w:val="auto"/>
        </w:rPr>
        <w:t xml:space="preserve"> if a Participant dies prior to attaining Retirement Age while employed with the Company or an Affiliate, </w:t>
      </w:r>
      <w:r>
        <w:rPr>
          <w:rFonts w:ascii="Arial" w:cs="Arial" w:eastAsia="Arial" w:hAnsi="Arial"/>
          <w:sz w:val="18"/>
          <w:szCs w:val="18"/>
          <w:u w:val="single" w:color="auto"/>
          <w:color w:val="auto"/>
        </w:rPr>
        <w:t>the portion of</w:t>
      </w:r>
      <w:r>
        <w:rPr>
          <w:rFonts w:ascii="Arial" w:cs="Arial" w:eastAsia="Arial" w:hAnsi="Arial"/>
          <w:sz w:val="18"/>
          <w:szCs w:val="18"/>
          <w:color w:val="auto"/>
        </w:rPr>
        <w:t xml:space="preserve"> his Account balance </w:t>
      </w:r>
      <w:r>
        <w:rPr>
          <w:rFonts w:ascii="Arial" w:cs="Arial" w:eastAsia="Arial" w:hAnsi="Arial"/>
          <w:sz w:val="18"/>
          <w:szCs w:val="18"/>
          <w:u w:val="single" w:color="auto"/>
          <w:color w:val="auto"/>
        </w:rPr>
        <w:t>attributable to the Pre-2014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 Amounts</w:t>
      </w:r>
      <w:r>
        <w:rPr>
          <w:rFonts w:ascii="Arial" w:cs="Arial" w:eastAsia="Arial" w:hAnsi="Arial"/>
          <w:sz w:val="18"/>
          <w:szCs w:val="18"/>
          <w:color w:val="auto"/>
        </w:rPr>
        <w:t xml:space="preserve"> shall be distributed to the Participant’s beneficiary in an immediate single lump sum payment in the month following the date of the Participant’s death.</w:t>
      </w:r>
    </w:p>
    <w:p>
      <w:pPr>
        <w:spacing w:after="0" w:line="188" w:lineRule="exact"/>
        <w:rPr>
          <w:rFonts w:ascii="Arial" w:cs="Arial" w:eastAsia="Arial" w:hAnsi="Arial"/>
          <w:sz w:val="18"/>
          <w:szCs w:val="18"/>
          <w:color w:val="auto"/>
        </w:rPr>
      </w:pPr>
    </w:p>
    <w:p>
      <w:pPr>
        <w:jc w:val="both"/>
        <w:ind w:firstLine="1593"/>
        <w:spacing w:after="0"/>
        <w:tabs>
          <w:tab w:leader="none" w:pos="245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Notwithstanding a Participant’s elections under Sections 6.1 and 6.2, if a Participant dies, his Account balance, excluding any portion attributable to Pre-2014 Election Amounts, shall be distributed to the Participant’s beneficiary in a single lump sum payment on the date six months after the date of the Participant’s death.</w:t>
      </w:r>
    </w:p>
    <w:p>
      <w:pPr>
        <w:spacing w:after="0" w:line="189" w:lineRule="exact"/>
        <w:rPr>
          <w:rFonts w:ascii="Arial" w:cs="Arial" w:eastAsia="Arial" w:hAnsi="Arial"/>
          <w:sz w:val="18"/>
          <w:szCs w:val="18"/>
          <w:color w:val="auto"/>
        </w:rPr>
      </w:pPr>
    </w:p>
    <w:p>
      <w:pPr>
        <w:jc w:val="both"/>
        <w:ind w:firstLine="1593"/>
        <w:spacing w:after="0" w:line="239" w:lineRule="auto"/>
        <w:tabs>
          <w:tab w:leader="none" w:pos="24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Participant shall designate his beneficiary prior to death in accordance with procedures established by the Plan Administrator. If a Participant has not properly designated a beneficiary or if no designated beneficiary is living on the date of distribution, such amount shall be distributed to the Participant’s beneficiary designated under the 401(k) Plan, or if no designated beneficiary under the 401(k) Plan is living, in accordance with the default provisions under the 401(k) Plan.</w:t>
      </w:r>
    </w:p>
    <w:p>
      <w:pPr>
        <w:spacing w:after="0" w:line="188" w:lineRule="exact"/>
        <w:rPr>
          <w:rFonts w:ascii="Arial" w:cs="Arial" w:eastAsia="Arial" w:hAnsi="Arial"/>
          <w:sz w:val="18"/>
          <w:szCs w:val="18"/>
          <w:color w:val="auto"/>
        </w:rPr>
      </w:pPr>
    </w:p>
    <w:p>
      <w:pPr>
        <w:jc w:val="both"/>
        <w:ind w:firstLine="1593"/>
        <w:spacing w:after="0" w:line="239" w:lineRule="auto"/>
        <w:tabs>
          <w:tab w:leader="none" w:pos="24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purposes of determining the proper death beneficiary under this Plan, this Plan shall not be interpreted as preempting applicable state law regarding the ownership rights of Accounts upon a Participant’s death. For example, although this Plan states that upon a Participant’s death, Account balances will be paid to his beneficiary, the personal representative will be obligated to pay any benefits owed to a spouse or otherwise as a result of any applicable community property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-2177415</wp:posOffset>
            </wp:positionV>
            <wp:extent cx="21951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-2049145</wp:posOffset>
            </wp:positionV>
            <wp:extent cx="7461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-2049145</wp:posOffset>
            </wp:positionV>
            <wp:extent cx="14833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8921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-1534160</wp:posOffset>
            </wp:positionV>
            <wp:extent cx="56769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72377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36449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168" w:lineRule="exact"/>
        <w:rPr>
          <w:sz w:val="20"/>
          <w:szCs w:val="20"/>
          <w:color w:val="auto"/>
        </w:rPr>
      </w:pPr>
    </w:p>
    <w:p>
      <w:pPr>
        <w:jc w:val="both"/>
        <w:ind w:firstLine="792"/>
        <w:spacing w:after="0" w:line="23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Withdrawals for Unforeseeable Emergency</w:t>
      </w:r>
      <w:r>
        <w:rPr>
          <w:rFonts w:ascii="Arial" w:cs="Arial" w:eastAsia="Arial" w:hAnsi="Arial"/>
          <w:sz w:val="18"/>
          <w:szCs w:val="18"/>
          <w:color w:val="auto"/>
        </w:rPr>
        <w:t>. A Participant may withdraw all or any portion of his Account balance for an Unforeseeable Emergency. The amounts distributed with respect to an Unforeseeable Emergency may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or by cessation of deferrals under the Plan. “Unforeseeable Emergency” means for this purpose a severe financial hardship to a Participant resulting from an illness or accident of the Participant, the Participant’s spouse, or a dependent of the Participant, loss of the Participant’s property due to casualty, or other similar extraordinary and unforeseeable circumstances arising as a result of events beyond the control of the Participant.</w:t>
      </w:r>
    </w:p>
    <w:p>
      <w:pPr>
        <w:spacing w:after="0" w:line="195" w:lineRule="exact"/>
        <w:rPr>
          <w:sz w:val="20"/>
          <w:szCs w:val="20"/>
          <w:color w:val="auto"/>
        </w:rPr>
      </w:pPr>
    </w:p>
    <w:p>
      <w:pPr>
        <w:jc w:val="both"/>
        <w:ind w:right="20" w:firstLine="792"/>
        <w:spacing w:after="0" w:line="246" w:lineRule="auto"/>
        <w:rPr>
          <w:sz w:val="20"/>
          <w:szCs w:val="20"/>
          <w:color w:val="auto"/>
        </w:rPr>
      </w:pPr>
      <w:r>
        <w:rPr>
          <w:rFonts w:ascii="Arial" w:cs="Arial" w:eastAsia="Arial" w:hAnsi="Arial"/>
          <w:sz w:val="18"/>
          <w:szCs w:val="18"/>
          <w:color w:val="auto"/>
        </w:rPr>
        <w:t>Except as otherwise permitted under IRS guidance, a Participant shall be required to take any available hardship withdrawals from the 401(k) Plan before being eligible to receive a withdrawal under this section.</w:t>
      </w:r>
    </w:p>
    <w:p>
      <w:pPr>
        <w:spacing w:after="0" w:line="183"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Changes in Time or Form of Distribution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To the extent permitted in accordance with procedures established by the Plan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Administrator, a Participant</w:t>
      </w:r>
      <w:r>
        <w:rPr>
          <w:rFonts w:ascii="Arial" w:cs="Arial" w:eastAsia="Arial" w:hAnsi="Arial"/>
          <w:sz w:val="18"/>
          <w:szCs w:val="18"/>
          <w:color w:val="auto"/>
        </w:rPr>
        <w:t xml:space="preserve"> may make one or more subsequent elections to change the time or form of a distribution to be made as of a specified time or upon the occurrence of a distributable event for a deferred amount, but such an election will be effective only if the following conditions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-376555</wp:posOffset>
            </wp:positionV>
            <wp:extent cx="39960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3996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14319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68" w:lineRule="exact"/>
        <w:rPr>
          <w:sz w:val="20"/>
          <w:szCs w:val="20"/>
          <w:color w:val="auto"/>
        </w:rPr>
      </w:pPr>
    </w:p>
    <w:p>
      <w:pPr>
        <w:ind w:left="2460" w:hanging="867"/>
        <w:spacing w:after="0"/>
        <w:tabs>
          <w:tab w:leader="none" w:pos="2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election may not take effect until at least twelve (12) months after the date on which the election is made;</w:t>
      </w:r>
    </w:p>
    <w:p>
      <w:pPr>
        <w:spacing w:after="0" w:line="193" w:lineRule="exact"/>
        <w:rPr>
          <w:rFonts w:ascii="Arial" w:cs="Arial" w:eastAsia="Arial" w:hAnsi="Arial"/>
          <w:sz w:val="18"/>
          <w:szCs w:val="18"/>
          <w:color w:val="auto"/>
        </w:rPr>
      </w:pPr>
    </w:p>
    <w:p>
      <w:pPr>
        <w:ind w:left="2460" w:hanging="867"/>
        <w:spacing w:after="0"/>
        <w:tabs>
          <w:tab w:leader="none" w:pos="2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distribution may not be made earlier than at least five (5) years from the date the distribution would have</w:t>
      </w:r>
    </w:p>
    <w:p>
      <w:pPr>
        <w:spacing w:after="0"/>
        <w:rPr>
          <w:rFonts w:ascii="Arial" w:cs="Arial" w:eastAsia="Arial" w:hAnsi="Arial"/>
          <w:sz w:val="18"/>
          <w:szCs w:val="18"/>
          <w:color w:val="auto"/>
        </w:rPr>
      </w:pPr>
      <w:r>
        <w:rPr>
          <w:rFonts w:ascii="Arial" w:cs="Arial" w:eastAsia="Arial" w:hAnsi="Arial"/>
          <w:sz w:val="18"/>
          <w:szCs w:val="18"/>
          <w:color w:val="auto"/>
        </w:rPr>
        <w:t>otherwise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3" w:name="page114"/>
    <w:bookmarkEnd w:id="113"/>
    <w:p>
      <w:pPr>
        <w:ind w:right="20" w:firstLine="1593"/>
        <w:spacing w:after="0" w:line="246" w:lineRule="auto"/>
        <w:tabs>
          <w:tab w:leader="none" w:pos="24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an election to change the time or form of a distribution payable as of a specified time, the election must be made at least twelve (12) months before the date of the first scheduled distribution; and</w:t>
      </w:r>
    </w:p>
    <w:p>
      <w:pPr>
        <w:spacing w:after="0" w:line="183" w:lineRule="exact"/>
        <w:rPr>
          <w:rFonts w:ascii="Arial" w:cs="Arial" w:eastAsia="Arial" w:hAnsi="Arial"/>
          <w:sz w:val="18"/>
          <w:szCs w:val="18"/>
          <w:color w:val="auto"/>
        </w:rPr>
      </w:pPr>
    </w:p>
    <w:p>
      <w:pPr>
        <w:ind w:left="2460" w:hanging="867"/>
        <w:spacing w:after="0"/>
        <w:tabs>
          <w:tab w:leader="none" w:pos="2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election may not result in an impermissible acceleration of payment prohibited under Code section 409A.</w:t>
      </w:r>
    </w:p>
    <w:p>
      <w:pPr>
        <w:spacing w:after="0" w:line="198"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Effect of Taxation</w:t>
      </w:r>
      <w:r>
        <w:rPr>
          <w:rFonts w:ascii="Arial" w:cs="Arial" w:eastAsia="Arial" w:hAnsi="Arial"/>
          <w:sz w:val="18"/>
          <w:szCs w:val="18"/>
          <w:color w:val="auto"/>
        </w:rPr>
        <w:t>. If a portion of the Participant’s Account balance is includible in income under Code section 409A, such portion shall be distributed immediately to the Participant.</w:t>
      </w:r>
    </w:p>
    <w:p>
      <w:pPr>
        <w:spacing w:after="0" w:line="183" w:lineRule="exact"/>
        <w:rPr>
          <w:sz w:val="20"/>
          <w:szCs w:val="20"/>
          <w:color w:val="auto"/>
        </w:rPr>
      </w:pPr>
    </w:p>
    <w:p>
      <w:pPr>
        <w:jc w:val="both"/>
        <w:ind w:firstLine="792"/>
        <w:spacing w:after="0" w:line="23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Payment of Taxes</w:t>
      </w:r>
      <w:r>
        <w:rPr>
          <w:rFonts w:ascii="Arial" w:cs="Arial" w:eastAsia="Arial" w:hAnsi="Arial"/>
          <w:sz w:val="18"/>
          <w:szCs w:val="18"/>
          <w:color w:val="auto"/>
        </w:rPr>
        <w:t>. If state, local, or foreign tax obligations arise from participation in the Plan that apply to an amount deferred under the Plan before such amount is paid or made available to the Participant (the “Taxes”), the Company shall pay a portion of such deferred amount by distribution (a) to the Participant in the form of withholding pursuant to provisions of applicable state, local, or foreign law; or (b) directly to the Participant. In no event shall the total payment under this Section 6.9 exceed the aggregate amount of the Taxes, and the income tax withholding related to such Taxes.</w:t>
      </w:r>
    </w:p>
    <w:p>
      <w:pPr>
        <w:spacing w:after="0" w:line="189"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Settlement of Bona Fide Dispute</w:t>
      </w:r>
      <w:r>
        <w:rPr>
          <w:rFonts w:ascii="Arial" w:cs="Arial" w:eastAsia="Arial" w:hAnsi="Arial"/>
          <w:sz w:val="18"/>
          <w:szCs w:val="18"/>
          <w:color w:val="auto"/>
        </w:rPr>
        <w:t>. Subject to certain presumptions under Code section 409A, if an arm’s length, bona fide dispute between a Participant and the Company arises as to the Participant’s right to an amount deferred under the Plan, the payment of the deferred amount as part of a settlement of such dispute shall be distributed immediately to the Participant.</w:t>
      </w:r>
    </w:p>
    <w:p>
      <w:pPr>
        <w:spacing w:after="0" w:line="189" w:lineRule="exact"/>
        <w:rPr>
          <w:sz w:val="20"/>
          <w:szCs w:val="20"/>
          <w:color w:val="auto"/>
        </w:rPr>
      </w:pPr>
    </w:p>
    <w:p>
      <w:pPr>
        <w:jc w:val="both"/>
        <w:ind w:firstLine="792"/>
        <w:spacing w:after="0" w:line="23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Offset for Obligations to Company</w:t>
      </w:r>
      <w:r>
        <w:rPr>
          <w:rFonts w:ascii="Arial" w:cs="Arial" w:eastAsia="Arial" w:hAnsi="Arial"/>
          <w:sz w:val="18"/>
          <w:szCs w:val="18"/>
          <w:color w:val="auto"/>
        </w:rPr>
        <w:t>. If the Participant has any debt, obligation or other liability representing an amount owing to the Company (the “Debt”), incurred in the ordinary course of his employment relationship, the Company shall offset the Debt against the Participant’s Account balance. The Company shall reduce the Participant’s Account balance in satisfaction of the Debt at the same time and in the same amount as the Debt otherwise would have been due and collected from the Participant; provided however, in no event shall the amount of such offset in any of the Company’s taxable years exceed $5,000.</w:t>
      </w:r>
    </w:p>
    <w:p>
      <w:pPr>
        <w:spacing w:after="0" w:line="189"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2005 Deferred Compensation</w:t>
      </w:r>
      <w:r>
        <w:rPr>
          <w:rFonts w:ascii="Arial" w:cs="Arial" w:eastAsia="Arial" w:hAnsi="Arial"/>
          <w:sz w:val="18"/>
          <w:szCs w:val="18"/>
          <w:color w:val="auto"/>
        </w:rPr>
        <w:t>. Except as provided in Appendix C, Sections 6.1-6.11 shall govern the distribution of compensation earned and deferred under the Plan during the 2005 Plan Year.</w:t>
      </w:r>
    </w:p>
    <w:p>
      <w:pPr>
        <w:spacing w:after="0" w:line="183"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Pre-2005 Deferrals</w:t>
      </w:r>
      <w:r>
        <w:rPr>
          <w:rFonts w:ascii="Arial" w:cs="Arial" w:eastAsia="Arial" w:hAnsi="Arial"/>
          <w:sz w:val="18"/>
          <w:szCs w:val="18"/>
          <w:color w:val="auto"/>
        </w:rPr>
        <w:t>. Notwithstanding the foregoing, Appendix B governs the distribution of amounts that were earned and vested (within the meaning of Code section 409A and regulations thereunder) under the Plan prior to 2005 (and earnings thereon) and are exempt from the requirements of Code section 409A.</w:t>
      </w:r>
    </w:p>
    <w:p>
      <w:pPr>
        <w:spacing w:after="0" w:line="189" w:lineRule="exact"/>
        <w:rPr>
          <w:sz w:val="20"/>
          <w:szCs w:val="20"/>
          <w:color w:val="auto"/>
        </w:rPr>
      </w:pPr>
    </w:p>
    <w:p>
      <w:pPr>
        <w:ind w:left="800" w:hanging="792"/>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98" w:lineRule="exact"/>
        <w:rPr>
          <w:sz w:val="20"/>
          <w:szCs w:val="20"/>
          <w:color w:val="auto"/>
        </w:rPr>
      </w:pPr>
    </w:p>
    <w:p>
      <w:pPr>
        <w:jc w:val="both"/>
        <w:ind w:firstLine="792"/>
        <w:spacing w:after="0" w:line="23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 Administration</w:t>
      </w:r>
      <w:r>
        <w:rPr>
          <w:rFonts w:ascii="Arial" w:cs="Arial" w:eastAsia="Arial" w:hAnsi="Arial"/>
          <w:sz w:val="18"/>
          <w:szCs w:val="18"/>
          <w:color w:val="auto"/>
        </w:rPr>
        <w:t>. The Plan Administrator shall be responsible for the operation and administration of the Plan and for carrying out the provisions hereof. The Plan Administrator shall have the full authority and discretion to make, amend, interpret, and enforce all appropriate rules and regulations for the administration of this Plan and decide or resolve any and all questions, including interpretations of this Plan, as may arise in connection with this Plan. Except as otherwise provided in Section 7.2, any such action taken by the Plan Administrator shall be final and conclusive on any party. To the extent the Plan Administrator has been granted discretionary authority under the Plan, the Plan Administrator’s prior exercise of such authority shall not obligate it to exercise its authority in a like fashion thereafter. The Plan Administrator shall be entitled to rely conclusively upon all tables, valuations, certificates, opinions and reports furnished by any actuary, accountant, controller, counsel or other person employed or engaged by the Company with respect to the Plan. The Plan Administrator may, from time to time, employ agents and delegate to such agents, including other employees of the Company, such administrative duties as it sees fit.</w:t>
      </w:r>
    </w:p>
    <w:p>
      <w:pPr>
        <w:spacing w:after="0" w:line="19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Claims for Benefits</w:t>
      </w:r>
      <w:r>
        <w:rPr>
          <w:rFonts w:ascii="Arial" w:cs="Arial" w:eastAsia="Arial" w:hAnsi="Arial"/>
          <w:sz w:val="17"/>
          <w:szCs w:val="17"/>
          <w:color w:val="auto"/>
        </w:rPr>
        <w:t>.</w:t>
      </w:r>
    </w:p>
    <w:p>
      <w:pPr>
        <w:spacing w:after="0" w:line="198" w:lineRule="exact"/>
        <w:rPr>
          <w:sz w:val="20"/>
          <w:szCs w:val="20"/>
          <w:color w:val="auto"/>
        </w:rPr>
      </w:pPr>
    </w:p>
    <w:p>
      <w:pPr>
        <w:jc w:val="both"/>
        <w:ind w:firstLine="1593"/>
        <w:spacing w:after="0" w:line="239" w:lineRule="auto"/>
        <w:tabs>
          <w:tab w:leader="none" w:pos="245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Filing a Claim</w:t>
      </w:r>
      <w:r>
        <w:rPr>
          <w:rFonts w:ascii="Arial" w:cs="Arial" w:eastAsia="Arial" w:hAnsi="Arial"/>
          <w:sz w:val="18"/>
          <w:szCs w:val="18"/>
          <w:color w:val="auto"/>
        </w:rPr>
        <w:t>. A Participant or his authorized representative may file a claim for benefits under the Plan. Any claim must be in writing and submitted to the Senior HR Officer at such address as may be specified from time to time. Claimants will be notified in writing of approved claims, which will be processed as claimed. A claim is considered approved only if its approval is communicated in writing to a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4" w:name="page115"/>
    <w:bookmarkEnd w:id="114"/>
    <w:p>
      <w:pPr>
        <w:jc w:val="both"/>
        <w:ind w:firstLine="1593"/>
        <w:spacing w:after="0" w:line="238" w:lineRule="auto"/>
        <w:tabs>
          <w:tab w:leader="none" w:pos="245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Denial of Claim</w:t>
      </w:r>
      <w:r>
        <w:rPr>
          <w:rFonts w:ascii="Arial" w:cs="Arial" w:eastAsia="Arial" w:hAnsi="Arial"/>
          <w:sz w:val="18"/>
          <w:szCs w:val="18"/>
          <w:color w:val="auto"/>
        </w:rPr>
        <w:t>. In the case of the denial of a claim respecting benefits paid or payable with respect to a Participant, a written notice will be furnished to the claimant within 90 days of the date on which the claim is received by the Senior HR Officer. If special circumstances (such as for a hearing) require a longer period, the claimant will be notified in writing, prior to the expiration of the 90-day period, of the reasons for an extension of time; provided, however, that no extensions will be permitted beyond 90 days after the expiration of the initial 90-day period.</w:t>
      </w:r>
    </w:p>
    <w:p>
      <w:pPr>
        <w:spacing w:after="0" w:line="144" w:lineRule="exact"/>
        <w:rPr>
          <w:rFonts w:ascii="Arial" w:cs="Arial" w:eastAsia="Arial" w:hAnsi="Arial"/>
          <w:sz w:val="18"/>
          <w:szCs w:val="18"/>
          <w:color w:val="auto"/>
        </w:rPr>
      </w:pPr>
    </w:p>
    <w:p>
      <w:pPr>
        <w:ind w:left="2460" w:hanging="867"/>
        <w:spacing w:after="0"/>
        <w:tabs>
          <w:tab w:leader="none" w:pos="24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Reasons for Denial</w:t>
      </w:r>
      <w:r>
        <w:rPr>
          <w:rFonts w:ascii="Arial" w:cs="Arial" w:eastAsia="Arial" w:hAnsi="Arial"/>
          <w:sz w:val="18"/>
          <w:szCs w:val="18"/>
          <w:color w:val="auto"/>
        </w:rPr>
        <w:t>. A denial or partial denial of a claim will be dated and signed by the Senior HR Officer and</w:t>
      </w:r>
    </w:p>
    <w:p>
      <w:pPr>
        <w:spacing w:after="0"/>
        <w:rPr>
          <w:rFonts w:ascii="Arial" w:cs="Arial" w:eastAsia="Arial" w:hAnsi="Arial"/>
          <w:sz w:val="18"/>
          <w:szCs w:val="18"/>
          <w:color w:val="auto"/>
        </w:rPr>
      </w:pPr>
      <w:r>
        <w:rPr>
          <w:rFonts w:ascii="Arial" w:cs="Arial" w:eastAsia="Arial" w:hAnsi="Arial"/>
          <w:sz w:val="18"/>
          <w:szCs w:val="18"/>
          <w:color w:val="auto"/>
        </w:rPr>
        <w:t>will clearly set forth:</w:t>
      </w:r>
    </w:p>
    <w:p>
      <w:pPr>
        <w:spacing w:after="0" w:line="157" w:lineRule="exact"/>
        <w:rPr>
          <w:rFonts w:ascii="Arial" w:cs="Arial" w:eastAsia="Arial" w:hAnsi="Arial"/>
          <w:sz w:val="18"/>
          <w:szCs w:val="18"/>
          <w:color w:val="auto"/>
        </w:rPr>
      </w:pPr>
    </w:p>
    <w:p>
      <w:pPr>
        <w:ind w:left="3200" w:hanging="815"/>
        <w:spacing w:after="0"/>
        <w:tabs>
          <w:tab w:leader="none" w:pos="3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57" w:lineRule="exact"/>
        <w:rPr>
          <w:rFonts w:ascii="Arial" w:cs="Arial" w:eastAsia="Arial" w:hAnsi="Arial"/>
          <w:sz w:val="18"/>
          <w:szCs w:val="18"/>
          <w:color w:val="auto"/>
        </w:rPr>
      </w:pPr>
    </w:p>
    <w:p>
      <w:pPr>
        <w:ind w:left="3240" w:hanging="855"/>
        <w:spacing w:after="0"/>
        <w:tabs>
          <w:tab w:leader="none" w:pos="32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57" w:lineRule="exact"/>
        <w:rPr>
          <w:rFonts w:ascii="Arial" w:cs="Arial" w:eastAsia="Arial" w:hAnsi="Arial"/>
          <w:sz w:val="18"/>
          <w:szCs w:val="18"/>
          <w:color w:val="auto"/>
        </w:rPr>
      </w:pPr>
    </w:p>
    <w:p>
      <w:pPr>
        <w:ind w:firstLine="2385"/>
        <w:spacing w:after="0" w:line="246" w:lineRule="auto"/>
        <w:tabs>
          <w:tab w:leader="none" w:pos="32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142" w:lineRule="exact"/>
        <w:rPr>
          <w:rFonts w:ascii="Arial" w:cs="Arial" w:eastAsia="Arial" w:hAnsi="Arial"/>
          <w:sz w:val="18"/>
          <w:szCs w:val="18"/>
          <w:color w:val="auto"/>
        </w:rPr>
      </w:pPr>
    </w:p>
    <w:p>
      <w:pPr>
        <w:ind w:firstLine="2385"/>
        <w:spacing w:after="0" w:line="246" w:lineRule="auto"/>
        <w:tabs>
          <w:tab w:leader="none" w:pos="32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 explanation of the procedure for review of the denied or partially denied claim set forth below, including the claimant’s right to bring a civil action under ERISA section 502(a) following an adverse benefit determination on review.</w:t>
      </w:r>
    </w:p>
    <w:p>
      <w:pPr>
        <w:spacing w:after="0" w:line="142" w:lineRule="exact"/>
        <w:rPr>
          <w:rFonts w:ascii="Arial" w:cs="Arial" w:eastAsia="Arial" w:hAnsi="Arial"/>
          <w:sz w:val="18"/>
          <w:szCs w:val="18"/>
          <w:color w:val="auto"/>
        </w:rPr>
      </w:pPr>
    </w:p>
    <w:p>
      <w:pPr>
        <w:jc w:val="both"/>
        <w:ind w:firstLine="1593"/>
        <w:spacing w:after="0" w:line="237" w:lineRule="auto"/>
        <w:tabs>
          <w:tab w:leader="none" w:pos="245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Review of Denial</w:t>
      </w:r>
      <w:r>
        <w:rPr>
          <w:rFonts w:ascii="Arial" w:cs="Arial" w:eastAsia="Arial" w:hAnsi="Arial"/>
          <w:sz w:val="18"/>
          <w:szCs w:val="18"/>
          <w:color w:val="auto"/>
        </w:rPr>
        <w:t>. Upon denial of a claim, in whole or in part, a claimant or his duly authorized representative will have the right to submit a written request to the Senior HR Officer for a full and fair review of the denied claim by filing a written notice of appeal with the Senior HR Officer within 60 days of the receipt by the claimant of written notice of the denial of the claim. A claimant or the claimant’s authorized representative will have, upon request and free of charge, reasonable access to, and copies of, all documents, records, and other information relevant to the claimant’s claim for benefits and may submit issues and comments in writing. The review will take into account all comments, documents, records, and other information submitted by the claimant relating to the claim, without regard to whether such information was submitted or considered in the initial benefit determination.</w:t>
      </w:r>
    </w:p>
    <w:p>
      <w:pPr>
        <w:spacing w:after="0" w:line="149"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If the claimant fails to file a request for review within 60 days of the denial notification, the claim will be deemed abandoned and the claimant precluded from reasserting it. If the claimant does file a request for review, his request must include a description of the issues and evidence he deems relevant. Failure to raise issues or present evidence on review will preclude those issues or evidence from being presented in any subsequent proceeding or judicial review of the claim.</w:t>
      </w:r>
    </w:p>
    <w:p>
      <w:pPr>
        <w:spacing w:after="0" w:line="148" w:lineRule="exact"/>
        <w:rPr>
          <w:sz w:val="20"/>
          <w:szCs w:val="20"/>
          <w:color w:val="auto"/>
        </w:rPr>
      </w:pPr>
    </w:p>
    <w:p>
      <w:pPr>
        <w:ind w:firstLine="1593"/>
        <w:spacing w:after="0" w:line="246" w:lineRule="auto"/>
        <w:tabs>
          <w:tab w:leader="none" w:pos="245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Decision Upon Review</w:t>
      </w:r>
      <w:r>
        <w:rPr>
          <w:rFonts w:ascii="Arial" w:cs="Arial" w:eastAsia="Arial" w:hAnsi="Arial"/>
          <w:sz w:val="18"/>
          <w:szCs w:val="18"/>
          <w:color w:val="auto"/>
        </w:rPr>
        <w:t>. The Senior HR Officer will provide a prompt written decision on review. If the claim is denied on review, the decision shall set forth:</w:t>
      </w:r>
    </w:p>
    <w:p>
      <w:pPr>
        <w:spacing w:after="0" w:line="142" w:lineRule="exact"/>
        <w:rPr>
          <w:rFonts w:ascii="Arial" w:cs="Arial" w:eastAsia="Arial" w:hAnsi="Arial"/>
          <w:sz w:val="18"/>
          <w:szCs w:val="18"/>
          <w:color w:val="auto"/>
        </w:rPr>
      </w:pPr>
    </w:p>
    <w:p>
      <w:pPr>
        <w:ind w:left="3200" w:hanging="815"/>
        <w:spacing w:after="0"/>
        <w:tabs>
          <w:tab w:leader="none" w:pos="3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specific reason or reasons for the adverse determination;</w:t>
      </w:r>
    </w:p>
    <w:p>
      <w:pPr>
        <w:spacing w:after="0" w:line="157" w:lineRule="exact"/>
        <w:rPr>
          <w:rFonts w:ascii="Arial" w:cs="Arial" w:eastAsia="Arial" w:hAnsi="Arial"/>
          <w:sz w:val="18"/>
          <w:szCs w:val="18"/>
          <w:color w:val="auto"/>
        </w:rPr>
      </w:pPr>
    </w:p>
    <w:p>
      <w:pPr>
        <w:ind w:left="3240" w:hanging="855"/>
        <w:spacing w:after="0"/>
        <w:tabs>
          <w:tab w:leader="none" w:pos="3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adverse determination is based;</w:t>
      </w:r>
    </w:p>
    <w:p>
      <w:pPr>
        <w:spacing w:after="0" w:line="157" w:lineRule="exact"/>
        <w:rPr>
          <w:rFonts w:ascii="Arial" w:cs="Arial" w:eastAsia="Arial" w:hAnsi="Arial"/>
          <w:sz w:val="18"/>
          <w:szCs w:val="18"/>
          <w:color w:val="auto"/>
        </w:rPr>
      </w:pPr>
    </w:p>
    <w:p>
      <w:pPr>
        <w:ind w:firstLine="2385"/>
        <w:spacing w:after="0" w:line="246" w:lineRule="auto"/>
        <w:tabs>
          <w:tab w:leader="none" w:pos="326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 other information relevant to the claimant’s claim for benefits; and</w:t>
      </w:r>
    </w:p>
    <w:p>
      <w:pPr>
        <w:spacing w:after="0" w:line="142" w:lineRule="exact"/>
        <w:rPr>
          <w:rFonts w:ascii="Arial" w:cs="Arial" w:eastAsia="Arial" w:hAnsi="Arial"/>
          <w:sz w:val="18"/>
          <w:szCs w:val="18"/>
          <w:color w:val="auto"/>
        </w:rPr>
      </w:pPr>
    </w:p>
    <w:p>
      <w:pPr>
        <w:ind w:firstLine="2385"/>
        <w:spacing w:after="0" w:line="246" w:lineRule="auto"/>
        <w:tabs>
          <w:tab w:leader="none" w:pos="32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statement describing any voluntary appeal procedures offered by the Plan and the claimant’s right to obtain the information about such procedures, as well as a statement of the claimant’s right to bring an action under ERISA section 502(a).</w:t>
      </w:r>
    </w:p>
    <w:p>
      <w:pPr>
        <w:spacing w:after="0" w:line="143"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A decision will be rendered no more than 60 days after the Senior HR Officer’s receipt of the request for review, except that such period may be extended for an additional 60 days if the Senior HR Officer determines that special circumstances (such as for a hearing) require such extension. If an extension of time is required, written notice of the extension will be furnished to the claimant before the end of the initial 60-day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5" w:name="page116"/>
    <w:bookmarkEnd w:id="115"/>
    <w:p>
      <w:pPr>
        <w:jc w:val="both"/>
        <w:ind w:firstLine="1593"/>
        <w:spacing w:after="0" w:line="236" w:lineRule="auto"/>
        <w:tabs>
          <w:tab w:leader="none" w:pos="2408"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Finality of Determinations; Exhaustion of Remedies</w:t>
      </w:r>
      <w:r>
        <w:rPr>
          <w:rFonts w:ascii="Arial" w:cs="Arial" w:eastAsia="Arial" w:hAnsi="Arial"/>
          <w:sz w:val="18"/>
          <w:szCs w:val="18"/>
          <w:color w:val="auto"/>
        </w:rPr>
        <w:t>. To the extent permitted by law, decisions reached under the claims procedures set forth in this Section shall be final and binding on all parties. No legal action for benefits under the Plan shall be brought unless and until the claimant has exhausted his remedies under this Section. In any such legal action, the claimant may only present evidence and theories which the claimant presented during the claims procedure. Any claims which the claimant does not in good faith pursue through the review stage of the procedure shall be treated as having been irrevocably waived. Judicial review of a claimant’s denied claim shall be limited to a determination of whether the denial was an abuse of discretion based on the evidence and theories the claimant presented during the claims procedure. Any suit or legal action initiated by a claimant under the Plan must be brought by the claimant no later than one year following a final decision on the claim for benefits by the Senior HR Officer. The one-year limitation on suits for benefits will apply in any forum where a claimant initiates such suit or legal action.</w:t>
      </w:r>
    </w:p>
    <w:p>
      <w:pPr>
        <w:spacing w:after="0" w:line="193" w:lineRule="exact"/>
        <w:rPr>
          <w:rFonts w:ascii="Arial" w:cs="Arial" w:eastAsia="Arial" w:hAnsi="Arial"/>
          <w:sz w:val="18"/>
          <w:szCs w:val="18"/>
          <w:color w:val="auto"/>
        </w:rPr>
      </w:pPr>
    </w:p>
    <w:p>
      <w:pPr>
        <w:ind w:firstLine="1593"/>
        <w:spacing w:after="0" w:line="246" w:lineRule="auto"/>
        <w:tabs>
          <w:tab w:leader="none" w:pos="2453"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Disability Claims</w:t>
      </w:r>
      <w:r>
        <w:rPr>
          <w:rFonts w:ascii="Arial" w:cs="Arial" w:eastAsia="Arial" w:hAnsi="Arial"/>
          <w:sz w:val="18"/>
          <w:szCs w:val="18"/>
          <w:color w:val="auto"/>
        </w:rPr>
        <w:t>. Claims for disability benefits shall be determined under the DOL Regulation section 2560.503-1 which is hereby incorporated by reference.</w:t>
      </w:r>
    </w:p>
    <w:p>
      <w:pPr>
        <w:spacing w:after="0" w:line="169" w:lineRule="exact"/>
        <w:rPr>
          <w:rFonts w:ascii="Arial" w:cs="Arial" w:eastAsia="Arial" w:hAnsi="Arial"/>
          <w:sz w:val="18"/>
          <w:szCs w:val="18"/>
          <w:color w:val="auto"/>
        </w:rPr>
      </w:pPr>
    </w:p>
    <w:p>
      <w:pPr>
        <w:ind w:left="800" w:hanging="792"/>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w:t>
      </w:r>
    </w:p>
    <w:p>
      <w:pPr>
        <w:spacing w:after="0" w:line="198"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Company reserves the right to amend or terminate the Plan when, in the sole discretion of the Company, such amendment or termination is advisable, pursuant to a resolution or other action taken by the Plan Administrator.</w:t>
      </w:r>
    </w:p>
    <w:p>
      <w:pPr>
        <w:spacing w:after="0" w:line="183"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Notwithstanding the foregoing, no amendment of the Plan shall apply to amounts that were earned and vested (within the meaning of Code section 409A and regulations thereunder) under the Plan prior to 2005, unless the amendment specifically provides that it applies to such amounts. The purpose of this restriction is to prevent a Plan amendment from resulting in an inadvertent “material modification” to amounts that are “grandfathered” and exempt from the requirements of Code section 409A.</w:t>
      </w:r>
    </w:p>
    <w:p>
      <w:pPr>
        <w:spacing w:after="0" w:line="188"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or termination of the Plan shall decrease the amounts credited to a Participant’s Account as of such amendment or termination. Upon termination of the Plan, Participants’ Account balances shall be distributed in accordance with the terms of Section 6, unless the Company determines in its sole discretion that all such amounts shall be distributed upon termination in accordance with the requirements under Code section 409A.</w:t>
      </w:r>
    </w:p>
    <w:p>
      <w:pPr>
        <w:spacing w:after="0" w:line="188" w:lineRule="exact"/>
        <w:rPr>
          <w:sz w:val="20"/>
          <w:szCs w:val="20"/>
          <w:color w:val="auto"/>
        </w:rPr>
      </w:pPr>
    </w:p>
    <w:p>
      <w:pPr>
        <w:ind w:left="800" w:hanging="792"/>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98" w:lineRule="exact"/>
        <w:rPr>
          <w:sz w:val="20"/>
          <w:szCs w:val="20"/>
          <w:color w:val="auto"/>
        </w:rPr>
      </w:pPr>
    </w:p>
    <w:p>
      <w:pPr>
        <w:jc w:val="both"/>
        <w:ind w:firstLine="792"/>
        <w:spacing w:after="0" w:line="23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Rights Unsecured</w:t>
      </w:r>
      <w:r>
        <w:rPr>
          <w:rFonts w:ascii="Arial" w:cs="Arial" w:eastAsia="Arial" w:hAnsi="Arial"/>
          <w:sz w:val="18"/>
          <w:szCs w:val="18"/>
          <w:color w:val="auto"/>
        </w:rPr>
        <w:t>. The right of a Participant or his beneficiary to receive a distribution hereunder shall be an unsecured claim against the general assets of the Company, and neither the Participant nor his beneficiary shall have any rights in or against any amount credited to any Account or any other assets of the Company. The Plan at all times shall be considered entirely unfunded for tax purposes. Any funds set aside by the Company for the purpose of meeting its obligations under the Plan, including any amounts held by a trustee, shall continue for all purposes to be part of the general assets of the Company and shall be available to its general creditors in the event of the Company’s bankruptcy or insolvency. The Company’s obligation under this Plan shall be that of an unfunded and unsecured promise to pay money in the future.</w:t>
      </w:r>
    </w:p>
    <w:p>
      <w:pPr>
        <w:spacing w:after="0" w:line="190"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 Right to Eligible Income</w:t>
      </w:r>
      <w:r>
        <w:rPr>
          <w:rFonts w:ascii="Arial" w:cs="Arial" w:eastAsia="Arial" w:hAnsi="Arial"/>
          <w:sz w:val="18"/>
          <w:szCs w:val="18"/>
          <w:color w:val="auto"/>
        </w:rPr>
        <w:t>. Nothing in this Plan shall be construed to give any Eligible Employee any right to be granted Eligible Income or any other type of compensation.</w:t>
      </w:r>
    </w:p>
    <w:p>
      <w:pPr>
        <w:spacing w:after="0" w:line="183"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Enlargement of Rights</w:t>
      </w:r>
      <w:r>
        <w:rPr>
          <w:rFonts w:ascii="Arial" w:cs="Arial" w:eastAsia="Arial" w:hAnsi="Arial"/>
          <w:sz w:val="18"/>
          <w:szCs w:val="18"/>
          <w:color w:val="auto"/>
        </w:rPr>
        <w:t>. No Participant or beneficiary shall have any right to receive a distribution under the Plan except in accordance with the terms of the Plan. Establishment of the Plan shall not be construed to give any Participant the right to continue to be employed by or provide services to the Company or its affiliates or to employment that is not terminable at will.</w:t>
      </w:r>
    </w:p>
    <w:p>
      <w:pPr>
        <w:spacing w:after="0" w:line="189" w:lineRule="exact"/>
        <w:rPr>
          <w:sz w:val="20"/>
          <w:szCs w:val="20"/>
          <w:color w:val="auto"/>
        </w:rPr>
      </w:pPr>
    </w:p>
    <w:p>
      <w:pPr>
        <w:jc w:val="both"/>
        <w:ind w:right="20" w:firstLine="792"/>
        <w:spacing w:after="0" w:line="24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 Guarantee of Benefits</w:t>
      </w:r>
      <w:r>
        <w:rPr>
          <w:rFonts w:ascii="Arial" w:cs="Arial" w:eastAsia="Arial" w:hAnsi="Arial"/>
          <w:sz w:val="18"/>
          <w:szCs w:val="18"/>
          <w:color w:val="auto"/>
        </w:rPr>
        <w:t>. Nothing contained in the Plan shall constitute a guarantee by the Company or any other person or entity that the assets of the Company will be sufficient to pay any benefits hereunder.</w:t>
      </w:r>
    </w:p>
    <w:p>
      <w:pPr>
        <w:spacing w:after="0" w:line="183" w:lineRule="exact"/>
        <w:rPr>
          <w:sz w:val="20"/>
          <w:szCs w:val="20"/>
          <w:color w:val="auto"/>
        </w:rPr>
      </w:pPr>
    </w:p>
    <w:p>
      <w:pPr>
        <w:jc w:val="both"/>
        <w:ind w:firstLine="792"/>
        <w:spacing w:after="0" w:line="23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Nonalienation of Benefits</w:t>
      </w:r>
      <w:r>
        <w:rPr>
          <w:rFonts w:ascii="Arial" w:cs="Arial" w:eastAsia="Arial" w:hAnsi="Arial"/>
          <w:sz w:val="18"/>
          <w:szCs w:val="18"/>
          <w:color w:val="auto"/>
        </w:rPr>
        <w:t>. This Plan inures to the benefit of and is binding upon the parties hereto and their successors, heirs and assigns; provided, however, that the amounts credited to a Participant’s Account are not, except as provided in Sections 9.6 and 6.11,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any benefits payable hereunder, will be null and void and not binding on the Plan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6" w:name="page117"/>
    <w:bookmarkEnd w:id="116"/>
    <w:p>
      <w:pPr>
        <w:jc w:val="both"/>
        <w:ind w:firstLine="792"/>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Taxes</w:t>
      </w:r>
      <w:r>
        <w:rPr>
          <w:rFonts w:ascii="Arial" w:cs="Arial" w:eastAsia="Arial" w:hAnsi="Arial"/>
          <w:sz w:val="18"/>
          <w:szCs w:val="18"/>
          <w:color w:val="auto"/>
        </w:rPr>
        <w:t>. In addition to its rights under section 5.5, the Company or other payor may withhold from a benefit payment under the Plan or a Participant’s wages any federal, state, or local taxes required by law to be withheld with respect to a payment or accrual under the Plan, and shall report such payments and other Plan-related information to the appropriate governmental agencies as required under applicable law.</w:t>
      </w:r>
    </w:p>
    <w:p>
      <w:pPr>
        <w:spacing w:after="0" w:line="189"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Participant’s Cooperation</w:t>
      </w:r>
      <w:r>
        <w:rPr>
          <w:rFonts w:ascii="Arial" w:cs="Arial" w:eastAsia="Arial" w:hAnsi="Arial"/>
          <w:sz w:val="18"/>
          <w:szCs w:val="18"/>
          <w:color w:val="auto"/>
        </w:rPr>
        <w:t>. The Participant shall cooperate with the Company by furnishing any and all information requested by the Plan Administrator in order to facilitate the payment of benefits hereunder, taking such physical examinations as the Plan Administrator may deem necessary and taking such other actions as may be requested by the Plan Administrator. If the Participant refuses to cooperate, the Company shall have no further obligation to the Participant under the Plan.</w:t>
      </w:r>
    </w:p>
    <w:p>
      <w:pPr>
        <w:spacing w:after="0" w:line="188" w:lineRule="exact"/>
        <w:rPr>
          <w:sz w:val="20"/>
          <w:szCs w:val="20"/>
          <w:color w:val="auto"/>
        </w:rPr>
      </w:pPr>
    </w:p>
    <w:p>
      <w:pPr>
        <w:jc w:val="both"/>
        <w:ind w:firstLine="792"/>
        <w:spacing w:after="0" w:line="23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Incapacity of Recipient</w:t>
      </w:r>
      <w:r>
        <w:rPr>
          <w:rFonts w:ascii="Arial" w:cs="Arial" w:eastAsia="Arial" w:hAnsi="Arial"/>
          <w:sz w:val="18"/>
          <w:szCs w:val="18"/>
          <w:color w:val="auto"/>
        </w:rPr>
        <w:t>. If any person entitled to a distribution under the Plan is deemed by the Plan Administrator to be incapable of personally receiving and giving a valid receipt for such payment, then, unless and until a claim for such payment shall have been made by a duly appointed guardian or other legal representative of such person, the Plan Administrator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with respect to the payment.</w:t>
      </w:r>
    </w:p>
    <w:p>
      <w:pPr>
        <w:spacing w:after="0" w:line="192"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Legally Binding</w:t>
      </w:r>
      <w:r>
        <w:rPr>
          <w:rFonts w:ascii="Arial" w:cs="Arial" w:eastAsia="Arial" w:hAnsi="Arial"/>
          <w:sz w:val="18"/>
          <w:szCs w:val="18"/>
          <w:color w:val="auto"/>
        </w:rPr>
        <w:t>. In the event of any consolidation, merger, acquisition or reorganization, the obligations of the Company under this Plan shall continue and be binding on the Company and its successors or assigns. The rights, privileges, benefits and obligations under the Plan are intended to be legal obligations of the Company and binding upon the Company, its successors and assigns.</w:t>
      </w:r>
    </w:p>
    <w:p>
      <w:pPr>
        <w:spacing w:after="0" w:line="189"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Unclaimed Benefits</w:t>
      </w:r>
      <w:r>
        <w:rPr>
          <w:rFonts w:ascii="Arial" w:cs="Arial" w:eastAsia="Arial" w:hAnsi="Arial"/>
          <w:sz w:val="18"/>
          <w:szCs w:val="18"/>
          <w:color w:val="auto"/>
        </w:rPr>
        <w:t>. Each Participant shall keep the Plan Administrator informed of his current address and the current address of his designated beneficiary. The Plan Administrator shall not be obligated to search for the whereabouts of any person if the location of a person is not made known to the Plan Administrator.</w:t>
      </w:r>
    </w:p>
    <w:p>
      <w:pPr>
        <w:spacing w:after="0" w:line="189"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the Plan shall be held invalid or illegal for any reason, any illegality or invalidity shall not affect the remaining parts of the Plan, but the Plan shall be construed and enforced as if the illegal or invalid provision had never been inserted.</w:t>
      </w:r>
    </w:p>
    <w:p>
      <w:pPr>
        <w:spacing w:after="0" w:line="189"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Words and Headings</w:t>
      </w:r>
      <w:r>
        <w:rPr>
          <w:rFonts w:ascii="Arial" w:cs="Arial" w:eastAsia="Arial" w:hAnsi="Arial"/>
          <w:sz w:val="18"/>
          <w:szCs w:val="18"/>
          <w:color w:val="auto"/>
        </w:rPr>
        <w:t>. Words in the masculine gender shall include the feminine and the singular shall include the plural, and vice versa, unless qualified by the context. Any headings used herein are included for ease of reference only, and are not to be construed so as to alter the terms hereof.</w:t>
      </w:r>
    </w:p>
    <w:p>
      <w:pPr>
        <w:spacing w:after="0" w:line="189"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Applicable Law and Venue</w:t>
      </w:r>
      <w:r>
        <w:rPr>
          <w:rFonts w:ascii="Arial" w:cs="Arial" w:eastAsia="Arial" w:hAnsi="Arial"/>
          <w:sz w:val="18"/>
          <w:szCs w:val="18"/>
          <w:color w:val="auto"/>
        </w:rPr>
        <w:t>. To the extent not preempted by federal law, the Plan shall be governed by the laws of the State of Washington. In the event the Company or any Participant (or beneficiary) initiates litigation related to this Plan, the venue for such action will be in King County, Washington.</w:t>
      </w:r>
    </w:p>
    <w:p>
      <w:pPr>
        <w:spacing w:after="0" w:line="189" w:lineRule="exact"/>
        <w:rPr>
          <w:sz w:val="20"/>
          <w:szCs w:val="20"/>
          <w:color w:val="auto"/>
        </w:rPr>
      </w:pPr>
    </w:p>
    <w:p>
      <w:pPr>
        <w:jc w:val="both"/>
        <w:ind w:firstLine="792"/>
        <w:spacing w:after="0" w:line="246"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the Company of any breach of any provision of the Plan by the Participant shall not operate or be construed as a waiver of any subsequent breach by the Participant.</w:t>
      </w:r>
    </w:p>
    <w:p>
      <w:pPr>
        <w:spacing w:after="0" w:line="183"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Notice</w:t>
      </w:r>
      <w:r>
        <w:rPr>
          <w:rFonts w:ascii="Arial" w:cs="Arial" w:eastAsia="Arial" w:hAnsi="Arial"/>
          <w:sz w:val="18"/>
          <w:szCs w:val="18"/>
          <w:color w:val="auto"/>
        </w:rPr>
        <w:t>. Any notice or filing required or permitted to be given to the Plan Administrator under the Plan shall be sufficient if in writing and hand-delivered, or sent by first class mail to the principal office of the Company, directed to the attention of the Plan Administrator. Such notice shall be deemed given as of the date of delivery, or, if delivery is made by mail, as of the date shown on the postmark.</w:t>
      </w:r>
    </w:p>
    <w:p>
      <w:pPr>
        <w:spacing w:after="0" w:line="392" w:lineRule="exact"/>
        <w:rPr>
          <w:sz w:val="20"/>
          <w:szCs w:val="20"/>
          <w:color w:val="auto"/>
        </w:rPr>
      </w:pPr>
    </w:p>
    <w:p>
      <w:pPr>
        <w:jc w:val="both"/>
        <w:ind w:right="20" w:firstLine="792"/>
        <w:spacing w:after="0"/>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Attorneys’ Fees and Costs</w:t>
      </w:r>
      <w:r>
        <w:rPr>
          <w:rFonts w:ascii="Arial" w:cs="Arial" w:eastAsia="Arial" w:hAnsi="Arial"/>
          <w:sz w:val="18"/>
          <w:szCs w:val="18"/>
          <w:color w:val="auto"/>
        </w:rPr>
        <w:t>. In the event that a dispute regarding benefits arises between the Company or Plan Administrator and a Participant (or beneficiary) and such dispute is resolved through arbitration or litigation in court, the prevailing party(ies) shall be entitled to their reasonable attorneys’ fees and costs incurred in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The Company has caused this restated Plan to be duly adopted and executed on this _____ day of _________________, </w:t>
      </w:r>
      <w:r>
        <w:rPr>
          <w:rFonts w:ascii="Arial" w:cs="Arial" w:eastAsia="Arial" w:hAnsi="Arial"/>
          <w:sz w:val="18"/>
          <w:szCs w:val="18"/>
          <w:u w:val="single" w:color="auto"/>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14605</wp:posOffset>
            </wp:positionV>
            <wp:extent cx="2914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_________________________________</w:t>
      </w:r>
    </w:p>
    <w:p>
      <w:pPr>
        <w:spacing w:after="0" w:line="234" w:lineRule="auto"/>
        <w:rPr>
          <w:sz w:val="20"/>
          <w:szCs w:val="20"/>
          <w:color w:val="auto"/>
        </w:rPr>
      </w:pPr>
      <w:r>
        <w:rPr>
          <w:rFonts w:ascii="Arial" w:cs="Arial" w:eastAsia="Arial" w:hAnsi="Arial"/>
          <w:sz w:val="18"/>
          <w:szCs w:val="18"/>
          <w:color w:val="auto"/>
        </w:rPr>
        <w:t>Kathleen Hogan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1579880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22726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DESIGNATED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May 15,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1654: MOL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1693: Vexcel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1548: Microsoft Online,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1888: Microsoft Payments,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1899: Microsoft Open Technologies,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1988: Microsoft Technology 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542290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APPENDIX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GRANDFATHERED AMOUNTS</w:t>
      </w:r>
    </w:p>
    <w:p>
      <w:pPr>
        <w:spacing w:after="0" w:line="200" w:lineRule="exact"/>
        <w:rPr>
          <w:sz w:val="20"/>
          <w:szCs w:val="20"/>
          <w:color w:val="auto"/>
        </w:rPr>
      </w:pPr>
    </w:p>
    <w:p>
      <w:pPr>
        <w:spacing w:after="0" w:line="223"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Distribution of amounts that were earned and vested (within the meaning of Code section 409A and regulations thereunder) under the Plan prior to 2005 (and earnings thereon) and are exempt from the requirements of Code section 409A shall be made in accordance with the Plan terms as in effect on December 31, 2004 and as summarized in this Appendix B.</w:t>
      </w:r>
    </w:p>
    <w:p>
      <w:pPr>
        <w:spacing w:after="0" w:line="189" w:lineRule="exact"/>
        <w:rPr>
          <w:sz w:val="20"/>
          <w:szCs w:val="20"/>
          <w:color w:val="auto"/>
        </w:rPr>
      </w:pPr>
    </w:p>
    <w:p>
      <w:pPr>
        <w:jc w:val="both"/>
        <w:ind w:firstLine="792"/>
        <w:spacing w:after="0" w:line="236" w:lineRule="auto"/>
        <w:rPr>
          <w:sz w:val="20"/>
          <w:szCs w:val="20"/>
          <w:color w:val="auto"/>
        </w:rPr>
      </w:pPr>
      <w:r>
        <w:rPr>
          <w:rFonts w:ascii="Arial" w:cs="Arial" w:eastAsia="Arial" w:hAnsi="Arial"/>
          <w:sz w:val="18"/>
          <w:szCs w:val="18"/>
          <w:color w:val="auto"/>
        </w:rPr>
        <w:t xml:space="preserve">B.1 </w:t>
      </w:r>
      <w:r>
        <w:rPr>
          <w:rFonts w:ascii="Arial" w:cs="Arial" w:eastAsia="Arial" w:hAnsi="Arial"/>
          <w:sz w:val="18"/>
          <w:szCs w:val="18"/>
          <w:u w:val="single" w:color="auto"/>
          <w:color w:val="auto"/>
        </w:rPr>
        <w:t>Timing</w:t>
      </w:r>
      <w:r>
        <w:rPr>
          <w:rFonts w:ascii="Arial" w:cs="Arial" w:eastAsia="Arial" w:hAnsi="Arial"/>
          <w:sz w:val="18"/>
          <w:szCs w:val="18"/>
          <w:color w:val="auto"/>
        </w:rPr>
        <w:t>. As soon as practicable following the final day of the Deferral Period for a specific deferral, the Company will distribute to the Participant (or in the case of the Participant’s death, his estate), all proceeds in the Participant’s Deferred Bonus Account and will issue to the Participant (or in the event of the Participant’s death, the personal representative or beneficiaries of his estate) shares of Stock credited to the Participant’s Deferred Stock Option Gain Account, that are attributed to that deferral. With respect to a specific deferral, the final day of the Deferral Period shall be the earliest of the last day of the Deferral Period selected by the Participant or the date he has a Termination of Employment. Upon Termination of Employment, a Participant will have the same rights with respect to an unexercised Option that he would have if he had not elected to defer the Stock Option Gain relating to that Option. The portion of a Participant’s Accounts that can be attributed to a specific deferral shall be determined in the sole discretion of the Plan Administrator.</w:t>
      </w:r>
    </w:p>
    <w:p>
      <w:pPr>
        <w:spacing w:after="0" w:line="195"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 xml:space="preserve">B.2 </w:t>
      </w:r>
      <w:r>
        <w:rPr>
          <w:rFonts w:ascii="Arial" w:cs="Arial" w:eastAsia="Arial" w:hAnsi="Arial"/>
          <w:sz w:val="18"/>
          <w:szCs w:val="18"/>
          <w:u w:val="single" w:color="auto"/>
          <w:color w:val="auto"/>
        </w:rPr>
        <w:t>Extension of Deferral Period</w:t>
      </w:r>
      <w:r>
        <w:rPr>
          <w:rFonts w:ascii="Arial" w:cs="Arial" w:eastAsia="Arial" w:hAnsi="Arial"/>
          <w:sz w:val="18"/>
          <w:szCs w:val="18"/>
          <w:color w:val="auto"/>
        </w:rPr>
        <w:t>. On a one-time basis with respect to each deferral, a Participant may elect in accordance with procedures established by the Plan Administrator to extend the Deferral Period for a Bonus or Stock Option Gain for an additional five (5), seven (7), or ten (10) years, provided that such extension is elected in the calendar year prior, and at least six (6) months prior, to the expiration of the initial Deferral Period and the Participant is an Eligible Executive at the time he makes the election to extend the Deferral Period.</w:t>
      </w:r>
    </w:p>
    <w:p>
      <w:pPr>
        <w:spacing w:after="0" w:line="188"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 xml:space="preserve">B.3 </w:t>
      </w:r>
      <w:r>
        <w:rPr>
          <w:rFonts w:ascii="Arial" w:cs="Arial" w:eastAsia="Arial" w:hAnsi="Arial"/>
          <w:sz w:val="18"/>
          <w:szCs w:val="18"/>
          <w:u w:val="single" w:color="auto"/>
          <w:color w:val="auto"/>
        </w:rPr>
        <w:t>Disability</w:t>
      </w:r>
      <w:r>
        <w:rPr>
          <w:rFonts w:ascii="Arial" w:cs="Arial" w:eastAsia="Arial" w:hAnsi="Arial"/>
          <w:sz w:val="18"/>
          <w:szCs w:val="18"/>
          <w:color w:val="auto"/>
        </w:rPr>
        <w:t>. In the event of a Participant’s Disability and upon application by such Participant, the Plan Administrator may determine that payment of all, or part, of such Participant’s Accounts shall be made in a different manner, or on an earlier date than the time or times specified in Section B.1 above, but only to the extent determined by the Plan Administrator to be reasonably required to satisfy the Participant’s need.</w:t>
      </w:r>
    </w:p>
    <w:p>
      <w:pPr>
        <w:spacing w:after="0" w:line="188"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B.4 </w:t>
      </w:r>
      <w:r>
        <w:rPr>
          <w:rFonts w:ascii="Arial" w:cs="Arial" w:eastAsia="Arial" w:hAnsi="Arial"/>
          <w:sz w:val="18"/>
          <w:szCs w:val="18"/>
          <w:u w:val="single" w:color="auto"/>
          <w:color w:val="auto"/>
        </w:rPr>
        <w:t>Investment of Accounts</w:t>
      </w:r>
      <w:r>
        <w:rPr>
          <w:rFonts w:ascii="Arial" w:cs="Arial" w:eastAsia="Arial" w:hAnsi="Arial"/>
          <w:sz w:val="18"/>
          <w:szCs w:val="18"/>
          <w:color w:val="auto"/>
        </w:rPr>
        <w:t>. Notwithstanding Section 5.4, a Participant shall not have the right to select among Investment Options for amounts credited to the Participant’s Deferred Stock Option Gain Account. Such amounts shall be treated as if invested in Stock at all times.</w:t>
      </w:r>
    </w:p>
    <w:p>
      <w:pPr>
        <w:spacing w:after="0" w:line="396" w:lineRule="exact"/>
        <w:rPr>
          <w:sz w:val="20"/>
          <w:szCs w:val="20"/>
          <w:color w:val="auto"/>
        </w:rPr>
      </w:pPr>
    </w:p>
    <w:p>
      <w:pPr>
        <w:ind w:left="800"/>
        <w:spacing w:after="0"/>
        <w:tabs>
          <w:tab w:leader="none" w:pos="1700" w:val="left"/>
        </w:tabs>
        <w:rPr>
          <w:sz w:val="20"/>
          <w:szCs w:val="20"/>
          <w:color w:val="auto"/>
        </w:rPr>
      </w:pPr>
      <w:r>
        <w:rPr>
          <w:rFonts w:ascii="Arial" w:cs="Arial" w:eastAsia="Arial" w:hAnsi="Arial"/>
          <w:sz w:val="18"/>
          <w:szCs w:val="18"/>
          <w:color w:val="auto"/>
        </w:rPr>
        <w:t>B.5</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Appendix B, the following terms shall have the meanings indicated below:</w:t>
      </w:r>
    </w:p>
    <w:p>
      <w:pPr>
        <w:spacing w:after="0" w:line="198" w:lineRule="exact"/>
        <w:rPr>
          <w:sz w:val="20"/>
          <w:szCs w:val="20"/>
          <w:color w:val="auto"/>
        </w:rPr>
      </w:pPr>
    </w:p>
    <w:p>
      <w:pPr>
        <w:jc w:val="both"/>
        <w:ind w:right="20" w:firstLine="1585"/>
        <w:spacing w:after="0" w:line="246"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xml:space="preserve"> means the amount payable by the Company to an Eligible Employee as an individual performance bonus, executive bonus or any other bonus/incentive award that is approved by the Plan Administrator for deferral under the Plan.</w:t>
      </w:r>
    </w:p>
    <w:p>
      <w:pPr>
        <w:spacing w:after="0" w:line="183" w:lineRule="exact"/>
        <w:rPr>
          <w:sz w:val="20"/>
          <w:szCs w:val="20"/>
          <w:color w:val="auto"/>
        </w:rPr>
      </w:pPr>
    </w:p>
    <w:p>
      <w:pPr>
        <w:jc w:val="both"/>
        <w:ind w:firstLine="1585"/>
        <w:spacing w:after="0" w:line="239" w:lineRule="auto"/>
        <w:rPr>
          <w:sz w:val="20"/>
          <w:szCs w:val="20"/>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xml:space="preserve"> means with respect to a specific deferral of a Bonus or Stock Option Gain, the period of five (5), seven (7), or ten (10) years from the date on which the corresponding Bonus would otherwise have been paid or the date the Option was scheduled to expire had it not been exercised; provided that, in the event of the Participant’s Termination of Employment, the Deferral Period shall end on the date of Termination of Employment.</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Deferred Bonus Account</w:t>
      </w:r>
      <w:r>
        <w:rPr>
          <w:rFonts w:ascii="Arial" w:cs="Arial" w:eastAsia="Arial" w:hAnsi="Arial"/>
          <w:sz w:val="18"/>
          <w:szCs w:val="18"/>
          <w:color w:val="auto"/>
        </w:rPr>
        <w:t xml:space="preserve"> means a bookkeeping account established for Bonuses deferred under the Plan.</w:t>
      </w:r>
    </w:p>
    <w:p>
      <w:pPr>
        <w:spacing w:after="0" w:line="19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Deferred Stock Option Gain Account</w:t>
      </w:r>
      <w:r>
        <w:rPr>
          <w:rFonts w:ascii="Arial" w:cs="Arial" w:eastAsia="Arial" w:hAnsi="Arial"/>
          <w:sz w:val="18"/>
          <w:szCs w:val="18"/>
          <w:color w:val="auto"/>
        </w:rPr>
        <w:t xml:space="preserve"> means a bookkeeping account established for Stock Option Gains deferred under the</w:t>
      </w:r>
    </w:p>
    <w:p>
      <w:pPr>
        <w:spacing w:after="0"/>
        <w:rPr>
          <w:sz w:val="20"/>
          <w:szCs w:val="20"/>
          <w:color w:val="auto"/>
        </w:rPr>
      </w:pPr>
      <w:r>
        <w:rPr>
          <w:rFonts w:ascii="Arial" w:cs="Arial" w:eastAsia="Arial" w:hAnsi="Arial"/>
          <w:sz w:val="18"/>
          <w:szCs w:val="18"/>
          <w:color w:val="auto"/>
        </w:rPr>
        <w:t>Plan.</w:t>
      </w:r>
    </w:p>
    <w:p>
      <w:pPr>
        <w:spacing w:after="0" w:line="198" w:lineRule="exact"/>
        <w:rPr>
          <w:sz w:val="20"/>
          <w:szCs w:val="20"/>
          <w:color w:val="auto"/>
        </w:rPr>
      </w:pPr>
    </w:p>
    <w:p>
      <w:pPr>
        <w:jc w:val="both"/>
        <w:ind w:firstLine="1585"/>
        <w:spacing w:after="0" w:line="238"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means any long-term disability as defined under the Company’s long-term disability plan. The Plan Administrator, in its complete and sole discretion, shall determine a Participant’s Disability. The Plan Administrator may require that the Participant submit to an examination on an annual basis, at the expense of the Company, by a competent physician or medical clinic selected by the Plan Administrator to assist in the determination of Disability. On the basis of such medical evidence, the determination of the Plan Administrator as to whether or not a condition of Disability exists or continues shall be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20" w:name="page121"/>
    <w:bookmarkEnd w:id="120"/>
    <w:p>
      <w:pPr>
        <w:jc w:val="both"/>
        <w:ind w:firstLine="1585"/>
        <w:spacing w:after="0" w:line="238" w:lineRule="auto"/>
        <w:rPr>
          <w:sz w:val="20"/>
          <w:szCs w:val="20"/>
          <w:color w:val="auto"/>
        </w:rPr>
      </w:pPr>
      <w:r>
        <w:rPr>
          <w:rFonts w:ascii="Arial" w:cs="Arial" w:eastAsia="Arial" w:hAnsi="Arial"/>
          <w:sz w:val="18"/>
          <w:szCs w:val="18"/>
          <w:u w:val="single" w:color="auto"/>
          <w:color w:val="auto"/>
        </w:rPr>
        <w:t>Eligible Executive</w:t>
      </w:r>
      <w:r>
        <w:rPr>
          <w:rFonts w:ascii="Arial" w:cs="Arial" w:eastAsia="Arial" w:hAnsi="Arial"/>
          <w:sz w:val="18"/>
          <w:szCs w:val="18"/>
          <w:color w:val="auto"/>
        </w:rPr>
        <w:t xml:space="preserve"> means a full-time employee of the Company who is (i) an elected officer of the Company, (ii) at the level of Vice President or above, (iii) at Level 16 or above on the Company’s salary range, and (iv) working within the United States of America. In addition, the Plan Administrator may, in his or her discretion, extend coverage to persons who are selected by the Plan Administrator and who either (y) meet all of the foregoing requirements except that they are working outside of the United States of America, or (z) are officers of a subsidiary of the Company.</w:t>
      </w:r>
    </w:p>
    <w:p>
      <w:pPr>
        <w:spacing w:after="0" w:line="189" w:lineRule="exact"/>
        <w:rPr>
          <w:sz w:val="20"/>
          <w:szCs w:val="20"/>
          <w:color w:val="auto"/>
        </w:rPr>
      </w:pPr>
    </w:p>
    <w:p>
      <w:pPr>
        <w:jc w:val="both"/>
        <w:ind w:firstLine="1585"/>
        <w:spacing w:after="0" w:line="239" w:lineRule="auto"/>
        <w:rPr>
          <w:sz w:val="20"/>
          <w:szCs w:val="20"/>
          <w:color w:val="auto"/>
        </w:rPr>
      </w:pPr>
      <w:r>
        <w:rPr>
          <w:rFonts w:ascii="Arial" w:cs="Arial" w:eastAsia="Arial" w:hAnsi="Arial"/>
          <w:sz w:val="18"/>
          <w:szCs w:val="18"/>
          <w:u w:val="single" w:color="auto"/>
          <w:color w:val="auto"/>
        </w:rPr>
        <w:t>Mature Shares</w:t>
      </w:r>
      <w:r>
        <w:rPr>
          <w:rFonts w:ascii="Arial" w:cs="Arial" w:eastAsia="Arial" w:hAnsi="Arial"/>
          <w:sz w:val="18"/>
          <w:szCs w:val="18"/>
          <w:color w:val="auto"/>
        </w:rPr>
        <w:t xml:space="preserve"> means shares of the Company’s Stock delivered by a Participant in payment of the exercise price of an Option; provided that Mature Shares shall not include any shares of the Company’s Stock that may be received upon exercise of such Option, nor Stock that the Participant purchased pursuant to a prior stock option exercise which occurred less than six months prior to the exercise of such Option.</w:t>
      </w:r>
    </w:p>
    <w:p>
      <w:pPr>
        <w:spacing w:after="0" w:line="188" w:lineRule="exact"/>
        <w:rPr>
          <w:sz w:val="20"/>
          <w:szCs w:val="20"/>
          <w:color w:val="auto"/>
        </w:rPr>
      </w:pPr>
    </w:p>
    <w:p>
      <w:pPr>
        <w:jc w:val="both"/>
        <w:ind w:right="20" w:firstLine="1585"/>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one or more non-qualified stock options, issued to a Participant under any stock option plan of the Company, with respect to which the Participant has elected to defer the Stock Option Gain. Option shall not include any rights under the Company’s Employee Stock Purchase Plan.</w:t>
      </w:r>
    </w:p>
    <w:p>
      <w:pPr>
        <w:spacing w:after="0" w:line="189"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 xml:space="preserve"> - means Microsoft Corporation common stock.</w:t>
      </w:r>
    </w:p>
    <w:p>
      <w:pPr>
        <w:spacing w:after="0" w:line="198" w:lineRule="exact"/>
        <w:rPr>
          <w:sz w:val="20"/>
          <w:szCs w:val="20"/>
          <w:color w:val="auto"/>
        </w:rPr>
      </w:pPr>
    </w:p>
    <w:p>
      <w:pPr>
        <w:jc w:val="both"/>
        <w:ind w:firstLine="1585"/>
        <w:spacing w:after="0"/>
        <w:rPr>
          <w:sz w:val="20"/>
          <w:szCs w:val="20"/>
          <w:color w:val="auto"/>
        </w:rPr>
      </w:pPr>
      <w:r>
        <w:rPr>
          <w:rFonts w:ascii="Arial" w:cs="Arial" w:eastAsia="Arial" w:hAnsi="Arial"/>
          <w:sz w:val="18"/>
          <w:szCs w:val="18"/>
          <w:u w:val="single" w:color="auto"/>
          <w:color w:val="auto"/>
        </w:rPr>
        <w:t>Stock Option Gain</w:t>
      </w:r>
      <w:r>
        <w:rPr>
          <w:rFonts w:ascii="Arial" w:cs="Arial" w:eastAsia="Arial" w:hAnsi="Arial"/>
          <w:sz w:val="18"/>
          <w:szCs w:val="18"/>
          <w:color w:val="auto"/>
        </w:rPr>
        <w:t xml:space="preserve"> means the number of shares underlying an Option minus the number of Mature Shares required to pay the exercise price for those shares. For example, if a Participant elects to defer the gain on 100 shares and is required to deliver 10 shares of Stock as payment for the exercise price on the 100 shares, the Stock Option Gain will be 90 shares.</w:t>
      </w:r>
    </w:p>
    <w:p>
      <w:pPr>
        <w:spacing w:after="0" w:line="189" w:lineRule="exact"/>
        <w:rPr>
          <w:sz w:val="20"/>
          <w:szCs w:val="20"/>
          <w:color w:val="auto"/>
        </w:rPr>
      </w:pPr>
    </w:p>
    <w:p>
      <w:pPr>
        <w:jc w:val="both"/>
        <w:ind w:firstLine="1585"/>
        <w:spacing w:after="0" w:line="246"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means the termination of the Participant’s employment relationship with the Company for any reason including, without limitation, involuntary termination with or without cause, voluntary termination, disability, death,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t>APPENDIX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2005 DEFERRED COMPENSATION</w:t>
      </w:r>
    </w:p>
    <w:p>
      <w:pPr>
        <w:spacing w:after="0" w:line="200" w:lineRule="exact"/>
        <w:rPr>
          <w:sz w:val="20"/>
          <w:szCs w:val="20"/>
          <w:color w:val="auto"/>
        </w:rPr>
      </w:pPr>
    </w:p>
    <w:p>
      <w:pPr>
        <w:spacing w:after="0" w:line="209"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This Appendix C sets forth the special rules applicable to compensation eligible for deferral under the Plan from January 1, 2005 through December 31, 2005. Unless otherwise defined herein, capitalized terms used but not otherwise defined herein shall have the meanings given to them in the Plan and Appendix B.</w:t>
      </w:r>
    </w:p>
    <w:p>
      <w:pPr>
        <w:spacing w:after="0" w:line="189" w:lineRule="exact"/>
        <w:rPr>
          <w:sz w:val="20"/>
          <w:szCs w:val="20"/>
          <w:color w:val="auto"/>
        </w:rPr>
      </w:pPr>
    </w:p>
    <w:p>
      <w:pPr>
        <w:jc w:val="both"/>
        <w:ind w:firstLine="792"/>
        <w:spacing w:after="0" w:line="239" w:lineRule="auto"/>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u w:val="single" w:color="auto"/>
          <w:color w:val="auto"/>
        </w:rPr>
        <w:t>2005 Initial Deferral Elections</w:t>
      </w:r>
      <w:r>
        <w:rPr>
          <w:rFonts w:ascii="Arial" w:cs="Arial" w:eastAsia="Arial" w:hAnsi="Arial"/>
          <w:sz w:val="18"/>
          <w:szCs w:val="18"/>
          <w:color w:val="auto"/>
        </w:rPr>
        <w:t>. Notwithstanding anything in Section 5.1 of the Plan to the contrary and only with respect to compensation earned during the 2005 Plan Year (“2005 Income”), an Eligible Employee may make an irrevocable election to defer up to 100% of a Bonus in ten (10) percent increments. Eligible Employees are not permitted to defer gains on the exercise of a stock option under the Plan after December 31, 2004.</w:t>
      </w:r>
    </w:p>
    <w:p>
      <w:pPr>
        <w:spacing w:after="0" w:line="188"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C-2. </w:t>
      </w:r>
      <w:r>
        <w:rPr>
          <w:rFonts w:ascii="Arial" w:cs="Arial" w:eastAsia="Arial" w:hAnsi="Arial"/>
          <w:sz w:val="18"/>
          <w:szCs w:val="18"/>
          <w:u w:val="single" w:color="auto"/>
          <w:color w:val="auto"/>
        </w:rPr>
        <w:t>Time of Distribution</w:t>
      </w:r>
      <w:r>
        <w:rPr>
          <w:rFonts w:ascii="Arial" w:cs="Arial" w:eastAsia="Arial" w:hAnsi="Arial"/>
          <w:sz w:val="18"/>
          <w:szCs w:val="18"/>
          <w:color w:val="auto"/>
        </w:rPr>
        <w:t xml:space="preserve">. The Company will distribute to the Participant (or in the case of the Participant’s death, his estate) all proceeds in the Participant’s Deferred Bonus Account that are attributed to a specific deferral upon the earlier of: (1) the last day of the Deferral Period elected by the Participant; or (2) the date of the Participant's Separation from Service; provided that, if a distribution is to be made upon the Separation from Service of a Key Employee, such distribution is subject to the six month delay set forth in Section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6350</wp:posOffset>
            </wp:positionV>
            <wp:extent cx="1631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368"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For purposes of this Appendix C, “Deferral Period” means with respect to a specific deferral of a Bonus, the period, as elected by the Participant at the time of the deferral election, of five (5), seven (7), or ten (10) years from the date on which the corresponding Bonus would otherwise have been paid.</w:t>
      </w:r>
    </w:p>
    <w:p>
      <w:pPr>
        <w:spacing w:after="0" w:line="189"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C-3. </w:t>
      </w:r>
      <w:r>
        <w:rPr>
          <w:rFonts w:ascii="Arial" w:cs="Arial" w:eastAsia="Arial" w:hAnsi="Arial"/>
          <w:sz w:val="18"/>
          <w:szCs w:val="18"/>
          <w:u w:val="single" w:color="auto"/>
          <w:color w:val="auto"/>
        </w:rPr>
        <w:t>Changes in Time or Form of Distribution</w:t>
      </w:r>
      <w:r>
        <w:rPr>
          <w:rFonts w:ascii="Arial" w:cs="Arial" w:eastAsia="Arial" w:hAnsi="Arial"/>
          <w:sz w:val="18"/>
          <w:szCs w:val="18"/>
          <w:color w:val="auto"/>
        </w:rPr>
        <w:t>. To the extent the Company allows a Participant to make a subsequent election to change the time or form of distribution of 2005 Income deferred under the Plan, such election will be effective only if the conditions set forth in Section 6.7 of the Plan are satisfied.</w:t>
      </w:r>
    </w:p>
    <w:p>
      <w:pPr>
        <w:spacing w:after="0" w:line="176" w:lineRule="exact"/>
        <w:rPr>
          <w:sz w:val="20"/>
          <w:szCs w:val="20"/>
          <w:color w:val="auto"/>
        </w:rPr>
      </w:pPr>
    </w:p>
    <w:p>
      <w:pPr>
        <w:jc w:val="both"/>
        <w:ind w:firstLine="792"/>
        <w:spacing w:after="0"/>
        <w:rPr>
          <w:sz w:val="20"/>
          <w:szCs w:val="20"/>
          <w:color w:val="auto"/>
        </w:rPr>
      </w:pPr>
      <w:r>
        <w:rPr>
          <w:rFonts w:ascii="Arial" w:cs="Arial" w:eastAsia="Arial" w:hAnsi="Arial"/>
          <w:sz w:val="18"/>
          <w:szCs w:val="18"/>
          <w:color w:val="auto"/>
        </w:rPr>
        <w:t xml:space="preserve">C-4. </w:t>
      </w:r>
      <w:r>
        <w:rPr>
          <w:rFonts w:ascii="Arial" w:cs="Arial" w:eastAsia="Arial" w:hAnsi="Arial"/>
          <w:sz w:val="18"/>
          <w:szCs w:val="18"/>
          <w:u w:val="single" w:color="auto"/>
          <w:color w:val="auto"/>
        </w:rPr>
        <w:t>General Application of the Plan</w:t>
      </w:r>
      <w:r>
        <w:rPr>
          <w:rFonts w:ascii="Arial" w:cs="Arial" w:eastAsia="Arial" w:hAnsi="Arial"/>
          <w:sz w:val="18"/>
          <w:szCs w:val="18"/>
          <w:color w:val="auto"/>
        </w:rPr>
        <w:t>. Other than as set forth above, the terms of the Plan in all other respects and in compliance with Code section 409A shall govern the distribution of 2005 Income deferred under the Plan from January 1, 2005 through December 31, 2005.</w:t>
      </w:r>
    </w:p>
    <w:p>
      <w:pPr>
        <w:sectPr>
          <w:pgSz w:w="11900" w:h="16838" w:orient="portrait"/>
          <w:cols w:equalWidth="0" w:num="1">
            <w:col w:w="11420"/>
          </w:cols>
          <w:pgMar w:left="240" w:top="346"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Exhibit 12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40" w:type="dxa"/>
            <w:vAlign w:val="bottom"/>
            <w:gridSpan w:val="10"/>
          </w:tcPr>
          <w:p>
            <w:pPr>
              <w:jc w:val="right"/>
              <w:ind w:right="120"/>
              <w:spacing w:after="0"/>
              <w:rPr>
                <w:sz w:val="20"/>
                <w:szCs w:val="20"/>
                <w:color w:val="auto"/>
              </w:rPr>
            </w:pPr>
            <w:r>
              <w:rPr>
                <w:rFonts w:ascii="Arial" w:cs="Arial" w:eastAsia="Arial" w:hAnsi="Arial"/>
                <w:sz w:val="18"/>
                <w:szCs w:val="18"/>
                <w:b w:val="1"/>
                <w:bCs w:val="1"/>
                <w:color w:val="auto"/>
              </w:rPr>
              <w:t>COMPUTATION OF RATIOS OF EARNINGS TO FIXED CHARGES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ratios)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52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1"/>
                <w:szCs w:val="11"/>
                <w:b w:val="1"/>
                <w:bCs w:val="1"/>
                <w:color w:val="auto"/>
              </w:rPr>
              <w:t>(c)</w:t>
            </w:r>
          </w:p>
        </w:tc>
        <w:tc>
          <w:tcPr>
            <w:tcW w:w="3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1"/>
                <w:szCs w:val="11"/>
                <w:b w:val="1"/>
                <w:bCs w:val="1"/>
                <w:color w:val="auto"/>
              </w:rPr>
              <w:t>(c)</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5"/>
                <w:szCs w:val="15"/>
                <w:b w:val="1"/>
                <w:bCs w:val="1"/>
                <w:color w:val="auto"/>
              </w:rPr>
              <w:t>(a)</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line="175" w:lineRule="exact"/>
              <w:rPr>
                <w:sz w:val="20"/>
                <w:szCs w:val="20"/>
                <w:color w:val="auto"/>
              </w:rPr>
            </w:pPr>
            <w:r>
              <w:rPr>
                <w:rFonts w:ascii="Arial" w:cs="Arial" w:eastAsia="Arial" w:hAnsi="Arial"/>
                <w:sz w:val="18"/>
                <w:szCs w:val="18"/>
                <w:color w:val="auto"/>
              </w:rPr>
              <w:t>Earnings from continuing operations before income</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36,474</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3" w:lineRule="exact"/>
              <w:rPr>
                <w:sz w:val="20"/>
                <w:szCs w:val="20"/>
                <w:color w:val="auto"/>
              </w:rPr>
            </w:pPr>
            <w:r>
              <w:rPr>
                <w:rFonts w:ascii="Arial" w:cs="Arial" w:eastAsia="Arial" w:hAnsi="Arial"/>
                <w:sz w:val="18"/>
                <w:szCs w:val="18"/>
                <w:color w:val="auto"/>
              </w:rPr>
              <w:t>taxes</w:t>
            </w:r>
          </w:p>
        </w:tc>
        <w:tc>
          <w:tcPr>
            <w:tcW w:w="34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29,901</w:t>
            </w:r>
          </w:p>
        </w:tc>
        <w:tc>
          <w:tcPr>
            <w:tcW w:w="38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25,639</w:t>
            </w:r>
          </w:p>
        </w:tc>
        <w:tc>
          <w:tcPr>
            <w:tcW w:w="4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18,507</w:t>
            </w:r>
          </w:p>
        </w:tc>
        <w:tc>
          <w:tcPr>
            <w:tcW w:w="4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27,820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Add: Fixed charges</w:t>
            </w: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2,807</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2,324</w:t>
            </w: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1,325</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867</w:t>
            </w:r>
          </w:p>
        </w:tc>
        <w:tc>
          <w:tcPr>
            <w:tcW w:w="1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line="175" w:lineRule="exact"/>
              <w:rPr>
                <w:sz w:val="20"/>
                <w:szCs w:val="20"/>
                <w:color w:val="auto"/>
              </w:rPr>
            </w:pPr>
            <w:r>
              <w:rPr>
                <w:rFonts w:ascii="Arial" w:cs="Arial" w:eastAsia="Arial" w:hAnsi="Arial"/>
                <w:sz w:val="18"/>
                <w:szCs w:val="18"/>
                <w:color w:val="auto"/>
              </w:rPr>
              <w:t>Add: Cash distributions from equity method</w:t>
            </w:r>
          </w:p>
        </w:tc>
        <w:tc>
          <w:tcPr>
            <w:tcW w:w="34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8</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3" w:lineRule="exact"/>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10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Subtract: Gain (Loss) from equity method investments</w:t>
            </w: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31</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w:t>
            </w: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(25)</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(78)</w:t>
            </w:r>
          </w:p>
        </w:tc>
        <w:tc>
          <w:tcPr>
            <w:tcW w:w="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520" w:type="dxa"/>
            <w:vAlign w:val="bottom"/>
            <w:gridSpan w:val="2"/>
          </w:tcPr>
          <w:p>
            <w:pPr>
              <w:spacing w:after="0"/>
              <w:rPr>
                <w:sz w:val="20"/>
                <w:szCs w:val="20"/>
                <w:color w:val="auto"/>
              </w:rPr>
            </w:pPr>
            <w:r>
              <w:rPr>
                <w:rFonts w:ascii="Arial" w:cs="Arial" w:eastAsia="Arial" w:hAnsi="Arial"/>
                <w:sz w:val="18"/>
                <w:szCs w:val="18"/>
                <w:color w:val="auto"/>
              </w:rPr>
              <w:t>Total Earnings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39,258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32,251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27,001</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19,453</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15"/>
                <w:szCs w:val="15"/>
                <w:b w:val="1"/>
                <w:bCs w:val="1"/>
                <w:color w:val="auto"/>
              </w:rPr>
              <w:t>(b)</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2,674</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2,141</w:t>
            </w:r>
          </w:p>
        </w:tc>
        <w:tc>
          <w:tcPr>
            <w:tcW w:w="380" w:type="dxa"/>
            <w:vAlign w:val="bottom"/>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1,185</w:t>
            </w:r>
          </w:p>
        </w:tc>
        <w:tc>
          <w:tcPr>
            <w:tcW w:w="42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756</w:t>
            </w:r>
          </w:p>
        </w:tc>
        <w:tc>
          <w:tcPr>
            <w:tcW w:w="120" w:type="dxa"/>
            <w:vAlign w:val="bottom"/>
          </w:tcPr>
          <w:p>
            <w:pPr>
              <w:spacing w:after="0"/>
              <w:rPr>
                <w:sz w:val="16"/>
                <w:szCs w:val="16"/>
                <w:color w:val="auto"/>
              </w:rPr>
            </w:pPr>
          </w:p>
        </w:tc>
        <w:tc>
          <w:tcPr>
            <w:tcW w:w="42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Capitalized debt related expenses</w:t>
            </w: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59</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81</w:t>
            </w: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58</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25</w:t>
            </w:r>
          </w:p>
        </w:tc>
        <w:tc>
          <w:tcPr>
            <w:tcW w:w="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component of rental expense</w:t>
            </w:r>
          </w:p>
        </w:tc>
        <w:tc>
          <w:tcPr>
            <w:tcW w:w="3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w:t>
            </w:r>
          </w:p>
        </w:tc>
        <w:tc>
          <w:tcPr>
            <w:tcW w:w="3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5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Fixed Charges</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2,807</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2,324</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1,325</w:t>
            </w:r>
          </w:p>
        </w:tc>
        <w:tc>
          <w:tcPr>
            <w:tcW w:w="4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867</w:t>
            </w:r>
          </w:p>
        </w:tc>
        <w:tc>
          <w:tcPr>
            <w:tcW w:w="12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75"/>
        </w:trPr>
        <w:tc>
          <w:tcPr>
            <w:tcW w:w="4520" w:type="dxa"/>
            <w:vAlign w:val="bottom"/>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34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40" w:right="20" w:hanging="532"/>
        <w:spacing w:after="0" w:line="245"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Earnings represent earnings from continuing operations before income taxes and before income (losses) from equity method investments plus: (1) fixed charges; and (2) cash distributions from equity method investments.</w:t>
      </w:r>
    </w:p>
    <w:p>
      <w:pPr>
        <w:ind w:left="540" w:hanging="532"/>
        <w:spacing w:after="0" w:line="234"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Fixed charges include: (1) interest expense; (2) capitalized debt issuance costs; and (3) the portion of operating rental expense which management believes is representative of the interest component of rental expense.</w:t>
      </w:r>
    </w:p>
    <w:p>
      <w:pPr>
        <w:spacing w:after="0" w:line="1"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Reflects the impact of the adoption of the new accounting standard in fiscal year 2018 related to revenue recognition. Refer to Note 1 – Accounting Policies of the Notes to Financial Statements (Part II, Item 8 of this Form 10-K) for further discussion.</w:t>
      </w:r>
    </w:p>
    <w:p>
      <w:pPr>
        <w:sectPr>
          <w:pgSz w:w="11900" w:h="16838" w:orient="portrait"/>
          <w:cols w:equalWidth="0" w:num="1">
            <w:col w:w="11420"/>
          </w:cols>
          <w:pgMar w:left="240" w:top="36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is a list of subsidiaries of the company as of June 30, 2018, omitting subsidiaries which, considered in the aggregate, would not constitute a significant subsidiary.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900" w:type="dxa"/>
            <w:vAlign w:val="bottom"/>
          </w:tcPr>
          <w:p>
            <w:pPr>
              <w:ind w:left="1560"/>
              <w:spacing w:after="0"/>
              <w:rPr>
                <w:sz w:val="20"/>
                <w:szCs w:val="20"/>
                <w:color w:val="auto"/>
              </w:rPr>
            </w:pPr>
            <w:r>
              <w:rPr>
                <w:rFonts w:ascii="Arial" w:cs="Arial" w:eastAsia="Arial" w:hAnsi="Arial"/>
                <w:sz w:val="14"/>
                <w:szCs w:val="14"/>
                <w:b w:val="1"/>
                <w:bCs w:val="1"/>
                <w:color w:val="auto"/>
              </w:rPr>
              <w:t>Where Incorporated</w:t>
            </w:r>
          </w:p>
        </w:tc>
      </w:tr>
      <w:tr>
        <w:trPr>
          <w:trHeight w:val="55"/>
        </w:trPr>
        <w:tc>
          <w:tcPr>
            <w:tcW w:w="452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r>
      <w:tr>
        <w:trPr>
          <w:trHeight w:val="236"/>
        </w:trPr>
        <w:tc>
          <w:tcPr>
            <w:tcW w:w="4520" w:type="dxa"/>
            <w:vAlign w:val="bottom"/>
          </w:tcPr>
          <w:p>
            <w:pPr>
              <w:spacing w:after="0"/>
              <w:rPr>
                <w:sz w:val="20"/>
                <w:szCs w:val="20"/>
                <w:color w:val="auto"/>
              </w:rPr>
            </w:pPr>
            <w:r>
              <w:rPr>
                <w:rFonts w:ascii="Arial" w:cs="Arial" w:eastAsia="Arial" w:hAnsi="Arial"/>
                <w:sz w:val="18"/>
                <w:szCs w:val="18"/>
                <w:color w:val="auto"/>
              </w:rPr>
              <w:t>Microsoft Ireland Research</w:t>
            </w:r>
          </w:p>
        </w:tc>
        <w:tc>
          <w:tcPr>
            <w:tcW w:w="6900" w:type="dxa"/>
            <w:vAlign w:val="bottom"/>
          </w:tcPr>
          <w:p>
            <w:pPr>
              <w:ind w:left="1540"/>
              <w:spacing w:after="0"/>
              <w:rPr>
                <w:sz w:val="20"/>
                <w:szCs w:val="20"/>
                <w:color w:val="auto"/>
              </w:rPr>
            </w:pPr>
            <w:r>
              <w:rPr>
                <w:rFonts w:ascii="Arial" w:cs="Arial" w:eastAsia="Arial" w:hAnsi="Arial"/>
                <w:sz w:val="18"/>
                <w:szCs w:val="18"/>
                <w:color w:val="auto"/>
              </w:rPr>
              <w:t>Ireland</w:t>
            </w: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8"/>
                <w:szCs w:val="18"/>
                <w:color w:val="auto"/>
              </w:rPr>
              <w:t>Microsoft Global Finance</w:t>
            </w:r>
          </w:p>
        </w:tc>
        <w:tc>
          <w:tcPr>
            <w:tcW w:w="6900" w:type="dxa"/>
            <w:vAlign w:val="bottom"/>
          </w:tcPr>
          <w:p>
            <w:pPr>
              <w:ind w:left="1540"/>
              <w:spacing w:after="0" w:line="189" w:lineRule="exact"/>
              <w:rPr>
                <w:sz w:val="20"/>
                <w:szCs w:val="20"/>
                <w:color w:val="auto"/>
              </w:rPr>
            </w:pPr>
            <w:r>
              <w:rPr>
                <w:rFonts w:ascii="Arial" w:cs="Arial" w:eastAsia="Arial" w:hAnsi="Arial"/>
                <w:sz w:val="18"/>
                <w:szCs w:val="18"/>
                <w:color w:val="auto"/>
              </w:rPr>
              <w:t>Ireland</w:t>
            </w: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8"/>
                <w:szCs w:val="18"/>
                <w:color w:val="auto"/>
              </w:rPr>
              <w:t>Microsoft Ireland Operations Limited</w:t>
            </w:r>
          </w:p>
        </w:tc>
        <w:tc>
          <w:tcPr>
            <w:tcW w:w="6900" w:type="dxa"/>
            <w:vAlign w:val="bottom"/>
          </w:tcPr>
          <w:p>
            <w:pPr>
              <w:ind w:left="1540"/>
              <w:spacing w:after="0" w:line="189" w:lineRule="exact"/>
              <w:rPr>
                <w:sz w:val="20"/>
                <w:szCs w:val="20"/>
                <w:color w:val="auto"/>
              </w:rPr>
            </w:pPr>
            <w:r>
              <w:rPr>
                <w:rFonts w:ascii="Arial" w:cs="Arial" w:eastAsia="Arial" w:hAnsi="Arial"/>
                <w:sz w:val="18"/>
                <w:szCs w:val="18"/>
                <w:color w:val="auto"/>
              </w:rPr>
              <w:t>Ireland</w:t>
            </w: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8"/>
                <w:szCs w:val="18"/>
                <w:color w:val="auto"/>
              </w:rPr>
              <w:t>Microsoft Online, Inc.</w:t>
            </w:r>
          </w:p>
        </w:tc>
        <w:tc>
          <w:tcPr>
            <w:tcW w:w="6900" w:type="dxa"/>
            <w:vAlign w:val="bottom"/>
          </w:tcPr>
          <w:p>
            <w:pPr>
              <w:ind w:left="1540"/>
              <w:spacing w:after="0" w:line="189" w:lineRule="exact"/>
              <w:rPr>
                <w:sz w:val="20"/>
                <w:szCs w:val="20"/>
                <w:color w:val="auto"/>
              </w:rPr>
            </w:pPr>
            <w:r>
              <w:rPr>
                <w:rFonts w:ascii="Arial" w:cs="Arial" w:eastAsia="Arial" w:hAnsi="Arial"/>
                <w:sz w:val="18"/>
                <w:szCs w:val="18"/>
                <w:color w:val="auto"/>
              </w:rPr>
              <w:t>United States</w:t>
            </w: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8"/>
                <w:szCs w:val="18"/>
                <w:color w:val="auto"/>
              </w:rPr>
              <w:t>Microsoft Operations Pte Ltd</w:t>
            </w:r>
          </w:p>
        </w:tc>
        <w:tc>
          <w:tcPr>
            <w:tcW w:w="6900" w:type="dxa"/>
            <w:vAlign w:val="bottom"/>
          </w:tcPr>
          <w:p>
            <w:pPr>
              <w:ind w:left="1540"/>
              <w:spacing w:after="0" w:line="189" w:lineRule="exact"/>
              <w:rPr>
                <w:sz w:val="20"/>
                <w:szCs w:val="20"/>
                <w:color w:val="auto"/>
              </w:rPr>
            </w:pPr>
            <w:r>
              <w:rPr>
                <w:rFonts w:ascii="Arial" w:cs="Arial" w:eastAsia="Arial" w:hAnsi="Arial"/>
                <w:sz w:val="18"/>
                <w:szCs w:val="18"/>
                <w:color w:val="auto"/>
              </w:rPr>
              <w:t>Singapore</w:t>
            </w: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8"/>
                <w:szCs w:val="18"/>
                <w:color w:val="auto"/>
              </w:rPr>
              <w:t>Microsoft Regional Sales Corporation</w:t>
            </w:r>
          </w:p>
        </w:tc>
        <w:tc>
          <w:tcPr>
            <w:tcW w:w="6900" w:type="dxa"/>
            <w:vAlign w:val="bottom"/>
          </w:tcPr>
          <w:p>
            <w:pPr>
              <w:ind w:left="1540"/>
              <w:spacing w:after="0" w:line="189" w:lineRule="exact"/>
              <w:rPr>
                <w:sz w:val="20"/>
                <w:szCs w:val="20"/>
                <w:color w:val="auto"/>
              </w:rPr>
            </w:pPr>
            <w:r>
              <w:rPr>
                <w:rFonts w:ascii="Arial" w:cs="Arial" w:eastAsia="Arial" w:hAnsi="Arial"/>
                <w:sz w:val="18"/>
                <w:szCs w:val="18"/>
                <w:color w:val="auto"/>
              </w:rPr>
              <w:t>United States</w:t>
            </w: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8"/>
                <w:szCs w:val="18"/>
                <w:color w:val="auto"/>
              </w:rPr>
              <w:t>LinkedIn Corporation</w:t>
            </w:r>
          </w:p>
        </w:tc>
        <w:tc>
          <w:tcPr>
            <w:tcW w:w="6900" w:type="dxa"/>
            <w:vAlign w:val="bottom"/>
          </w:tcPr>
          <w:p>
            <w:pPr>
              <w:ind w:left="1540"/>
              <w:spacing w:after="0" w:line="189" w:lineRule="exact"/>
              <w:rPr>
                <w:sz w:val="20"/>
                <w:szCs w:val="20"/>
                <w:color w:val="auto"/>
              </w:rPr>
            </w:pPr>
            <w:r>
              <w:rPr>
                <w:rFonts w:ascii="Arial" w:cs="Arial" w:eastAsia="Arial" w:hAnsi="Arial"/>
                <w:sz w:val="18"/>
                <w:szCs w:val="18"/>
                <w:color w:val="auto"/>
              </w:rPr>
              <w:t>United States</w:t>
            </w:r>
          </w:p>
        </w:tc>
      </w:tr>
      <w:tr>
        <w:trPr>
          <w:trHeight w:val="217"/>
        </w:trPr>
        <w:tc>
          <w:tcPr>
            <w:tcW w:w="4520" w:type="dxa"/>
            <w:vAlign w:val="bottom"/>
          </w:tcPr>
          <w:p>
            <w:pPr>
              <w:spacing w:after="0"/>
              <w:rPr>
                <w:sz w:val="20"/>
                <w:szCs w:val="20"/>
                <w:color w:val="auto"/>
              </w:rPr>
            </w:pPr>
            <w:r>
              <w:rPr>
                <w:rFonts w:ascii="Arial" w:cs="Arial" w:eastAsia="Arial" w:hAnsi="Arial"/>
                <w:sz w:val="18"/>
                <w:szCs w:val="18"/>
                <w:color w:val="auto"/>
              </w:rPr>
              <w:t>LinkedIn Ireland Unlimited Company</w:t>
            </w:r>
          </w:p>
        </w:tc>
        <w:tc>
          <w:tcPr>
            <w:tcW w:w="6900" w:type="dxa"/>
            <w:vAlign w:val="bottom"/>
          </w:tcPr>
          <w:p>
            <w:pPr>
              <w:ind w:left="154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420"/>
          </w:cols>
          <w:pgMar w:left="240" w:top="36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23.1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 Nos. 333-109185, 333-118764, 333-52852, 333-132100, 333-161516, 333-75243, 333-185757, and 333-221833 on Form S-8 and Registration Statement No. 333-207652 on Form S-3 of our reports dated August 3, 2018, relating to the consolidated financial statements and the related notes of Microsoft Corporation and subsidiaries (the “Company”) (which report expresses an unqualified opinion and includes an explanatory paragraph related to the Company’s change in method of accounting for revenue from contracts with customers and for accounting for leases in fiscal year 2018 due to the adoption of the new revenue standard and new lease standard, respectively), and the effectiveness of the Company’s internal control over financial reporting, appearing in this Annual Report on Form 10-K of Microsoft Corporation for the year ended June 30, 2018.</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August 3, 2018</w:t>
      </w:r>
    </w:p>
    <w:p>
      <w:pPr>
        <w:sectPr>
          <w:pgSz w:w="11900" w:h="16838" w:orient="portrait"/>
          <w:cols w:equalWidth="0" w:num="1">
            <w:col w:w="11420"/>
          </w:cols>
          <w:pgMar w:left="240" w:top="36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line="234" w:lineRule="auto"/>
        <w:tabs>
          <w:tab w:leader="none" w:pos="2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58" w:lineRule="exact"/>
        <w:rPr>
          <w:sz w:val="20"/>
          <w:szCs w:val="20"/>
          <w:color w:val="auto"/>
        </w:rPr>
      </w:pPr>
    </w:p>
    <w:p>
      <w:pPr>
        <w:jc w:val="both"/>
        <w:ind w:firstLine="8"/>
        <w:spacing w:after="0"/>
        <w:tabs>
          <w:tab w:leader="none" w:pos="2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8"/>
        <w:spacing w:after="0" w:line="246" w:lineRule="auto"/>
        <w:tabs>
          <w:tab w:leader="none" w:pos="2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sz w:val="20"/>
          <w:szCs w:val="20"/>
          <w:color w:val="auto"/>
        </w:rPr>
      </w:pPr>
    </w:p>
    <w:p>
      <w:pPr>
        <w:ind w:right="20" w:firstLine="8"/>
        <w:spacing w:after="0" w:line="246" w:lineRule="auto"/>
        <w:tabs>
          <w:tab w:leader="none" w:pos="25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ectPr>
          <w:pgSz w:w="11900" w:h="16838" w:orient="portrait"/>
          <w:cols w:equalWidth="0" w:num="1">
            <w:col w:w="11420"/>
          </w:cols>
          <w:pgMar w:left="240" w:top="368"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line="234" w:lineRule="auto"/>
        <w:tabs>
          <w:tab w:leader="none" w:pos="2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58" w:lineRule="exact"/>
        <w:rPr>
          <w:sz w:val="20"/>
          <w:szCs w:val="20"/>
          <w:color w:val="auto"/>
        </w:rPr>
      </w:pPr>
    </w:p>
    <w:p>
      <w:pPr>
        <w:jc w:val="both"/>
        <w:ind w:firstLine="8"/>
        <w:spacing w:after="0"/>
        <w:tabs>
          <w:tab w:leader="none" w:pos="2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21"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8"/>
        <w:spacing w:after="0" w:line="246" w:lineRule="auto"/>
        <w:tabs>
          <w:tab w:leader="none" w:pos="2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sz w:val="20"/>
          <w:szCs w:val="20"/>
          <w:color w:val="auto"/>
        </w:rPr>
      </w:pPr>
    </w:p>
    <w:p>
      <w:pPr>
        <w:ind w:right="20" w:firstLine="8"/>
        <w:spacing w:after="0" w:line="246" w:lineRule="auto"/>
        <w:tabs>
          <w:tab w:leader="none" w:pos="25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ectPr>
          <w:pgSz w:w="11900" w:h="16838" w:orient="portrait"/>
          <w:cols w:equalWidth="0" w:num="1">
            <w:col w:w="11420"/>
          </w:cols>
          <w:pgMar w:left="240" w:top="368"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2018,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420"/>
          </w:cols>
          <w:pgMar w:left="240" w:top="36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2018,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425"/>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3"/>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lowerLetter"/>
      <w:start w:val="1"/>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1"/>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2"/>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2"/>
    </w:lvl>
  </w:abstractNum>
  <w:abstractNum w:abstractNumId="51">
    <w:nsid w:val="799D0247"/>
    <w:multiLevelType w:val="hybridMultilevel"/>
    <w:lvl w:ilvl="0">
      <w:lvlJc w:val="left"/>
      <w:lvlText w:val="%1."/>
      <w:numFmt w:val="decimal"/>
      <w:start w:val="3"/>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decimal"/>
      <w:start w:val="4"/>
    </w:lvl>
  </w:abstractNum>
  <w:abstractNum w:abstractNumId="55">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6">
    <w:nsid w:val="661E3F1E"/>
    <w:multiLevelType w:val="hybridMultilevel"/>
    <w:lvl w:ilvl="0">
      <w:lvlJc w:val="left"/>
      <w:lvlText w:val="(%1)"/>
      <w:numFmt w:val="lowerRoman"/>
      <w:start w:val="2"/>
    </w:lvl>
  </w:abstractNum>
  <w:abstractNum w:abstractNumId="57">
    <w:nsid w:val="5DC79EA8"/>
    <w:multiLevelType w:val="hybridMultilevel"/>
    <w:lvl w:ilvl="0">
      <w:lvlJc w:val="left"/>
      <w:lvlText w:val="%1"/>
      <w:numFmt w:val="lowerLetter"/>
      <w:start w:val="1"/>
    </w:lvl>
    <w:lvl w:ilvl="1">
      <w:lvlJc w:val="left"/>
      <w:lvlText w:val="(%2)"/>
      <w:numFmt w:val="lowerLetter"/>
      <w:start w:val="61"/>
    </w:lvl>
  </w:abstractNum>
  <w:abstractNum w:abstractNumId="58">
    <w:nsid w:val="540A471C"/>
    <w:multiLevelType w:val="hybridMultilevel"/>
    <w:lvl w:ilvl="0">
      <w:lvlJc w:val="left"/>
      <w:lvlText w:val="(%1)"/>
      <w:numFmt w:val="lowerLetter"/>
      <w:start w:val="2"/>
    </w:lvl>
    <w:lvl w:ilvl="1">
      <w:lvlJc w:val="left"/>
      <w:lvlText w:val="%2"/>
      <w:numFmt w:val="lowerLetter"/>
      <w:start w:val="1"/>
    </w:lvl>
  </w:abstractNum>
  <w:abstractNum w:abstractNumId="59">
    <w:nsid w:val="7BD3EE7B"/>
    <w:multiLevelType w:val="hybridMultilevel"/>
    <w:lvl w:ilvl="0">
      <w:lvlJc w:val="left"/>
      <w:lvlText w:val="%1"/>
      <w:numFmt w:val="lowerLetter"/>
      <w:start w:val="1"/>
    </w:lvl>
    <w:lvl w:ilvl="1">
      <w:lvlJc w:val="left"/>
      <w:lvlText w:val="(%2)"/>
      <w:numFmt w:val="lowerRoman"/>
      <w:start w:val="1"/>
    </w:lvl>
  </w:abstractNum>
  <w:abstractNum w:abstractNumId="60">
    <w:nsid w:val="51D9C564"/>
    <w:multiLevelType w:val="hybridMultilevel"/>
    <w:lvl w:ilvl="0">
      <w:lvlJc w:val="left"/>
      <w:lvlText w:val="(%1)"/>
      <w:numFmt w:val="lowerLetter"/>
      <w:start w:val="3"/>
    </w:lvl>
    <w:lvl w:ilvl="1">
      <w:lvlJc w:val="left"/>
      <w:lvlText w:val="(%2)"/>
      <w:numFmt w:val="lowerRoman"/>
      <w:start w:val="1"/>
    </w:lvl>
  </w:abstractNum>
  <w:abstractNum w:abstractNumId="61">
    <w:nsid w:val="613EFDC5"/>
    <w:multiLevelType w:val="hybridMultilevel"/>
    <w:lvl w:ilvl="0">
      <w:lvlJc w:val="left"/>
      <w:lvlText w:val="(%1)"/>
      <w:numFmt w:val="lowerLetter"/>
      <w:start w:val="4"/>
    </w:lvl>
  </w:abstractNum>
  <w:abstractNum w:abstractNumId="62">
    <w:nsid w:val="BF72B14"/>
    <w:multiLevelType w:val="hybridMultilevel"/>
    <w:lvl w:ilvl="0">
      <w:lvlJc w:val="left"/>
      <w:lvlText w:val="%1."/>
      <w:numFmt w:val="decimal"/>
      <w:start w:val="6"/>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lowerLetter"/>
      <w:start w:val="1"/>
    </w:lvl>
    <w:lvl w:ilvl="1">
      <w:lvlJc w:val="left"/>
      <w:lvlText w:val="(%2)"/>
      <w:numFmt w:val="lowerRoman"/>
      <w:start w:val="1"/>
    </w:lvl>
  </w:abstractNum>
  <w:abstractNum w:abstractNumId="66">
    <w:nsid w:val="8F2B15E"/>
    <w:multiLevelType w:val="hybridMultilevel"/>
    <w:lvl w:ilvl="0">
      <w:lvlJc w:val="left"/>
      <w:lvlText w:val="(%1)"/>
      <w:numFmt w:val="lowerLetter"/>
      <w:start w:val="2"/>
    </w:lvl>
    <w:lvl w:ilvl="1">
      <w:lvlJc w:val="left"/>
      <w:lvlText w:val="%2"/>
      <w:numFmt w:val="lowerRoman"/>
      <w:start w:val="1"/>
    </w:lvl>
  </w:abstractNum>
  <w:abstractNum w:abstractNumId="67">
    <w:nsid w:val="1A32234B"/>
    <w:multiLevelType w:val="hybridMultilevel"/>
    <w:lvl w:ilvl="0">
      <w:lvlJc w:val="left"/>
      <w:lvlText w:val="(%1)"/>
      <w:numFmt w:val="lowerLetter"/>
      <w:start w:val="1"/>
    </w:lvl>
    <w:lvl w:ilvl="1">
      <w:lvlJc w:val="left"/>
      <w:lvlText w:val="(%2)"/>
      <w:numFmt w:val="lowerRoman"/>
      <w:start w:val="1"/>
    </w:lvl>
  </w:abstractNum>
  <w:abstractNum w:abstractNumId="68">
    <w:nsid w:val="3B0FD379"/>
    <w:multiLevelType w:val="hybridMultilevel"/>
    <w:lvl w:ilvl="0">
      <w:lvlJc w:val="left"/>
      <w:lvlText w:val="(%1)"/>
      <w:numFmt w:val="lowerLetter"/>
      <w:start w:val="2"/>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3"/>
    </w:lvl>
  </w:abstractNum>
  <w:abstractNum w:abstractNumId="72">
    <w:nsid w:val="6A5EE64"/>
    <w:multiLevelType w:val="hybridMultilevel"/>
    <w:lvl w:ilvl="0">
      <w:lvlJc w:val="left"/>
      <w:lvlText w:val="%1."/>
      <w:numFmt w:val="decimal"/>
      <w:start w:val="7"/>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2"/>
    </w:lvl>
    <w:lvl w:ilvl="1">
      <w:lvlJc w:val="left"/>
      <w:lvlText w:val="(%2)"/>
      <w:numFmt w:val="lowerRoman"/>
      <w:start w:val="1"/>
    </w:lvl>
  </w:abstractNum>
  <w:abstractNum w:abstractNumId="75">
    <w:nsid w:val="1A27709E"/>
    <w:multiLevelType w:val="hybridMultilevel"/>
    <w:lvl w:ilvl="0">
      <w:lvlJc w:val="left"/>
      <w:lvlText w:val="(%1)"/>
      <w:numFmt w:val="lowerLetter"/>
      <w:start w:val="5"/>
    </w:lvl>
    <w:lvl w:ilvl="1">
      <w:lvlJc w:val="left"/>
      <w:lvlText w:val="(%2)"/>
      <w:numFmt w:val="lowerRoman"/>
      <w:start w:val="1"/>
    </w:lvl>
  </w:abstractNum>
  <w:abstractNum w:abstractNumId="76">
    <w:nsid w:val="71EA1109"/>
    <w:multiLevelType w:val="hybridMultilevel"/>
    <w:lvl w:ilvl="0">
      <w:lvlJc w:val="left"/>
      <w:lvlText w:val="%1"/>
      <w:numFmt w:val="decimal"/>
      <w:start w:val="1"/>
    </w:lvl>
    <w:lvl w:ilvl="1">
      <w:lvlJc w:val="left"/>
      <w:lvlText w:val="(%2)"/>
      <w:numFmt w:val="lowerLetter"/>
      <w:start w:val="6"/>
    </w:lvl>
  </w:abstractNum>
  <w:abstractNum w:abstractNumId="77">
    <w:nsid w:val="100F59DC"/>
    <w:multiLevelType w:val="hybridMultilevel"/>
    <w:lvl w:ilvl="0">
      <w:lvlJc w:val="left"/>
      <w:lvlText w:val="%1."/>
      <w:numFmt w:val="decimal"/>
      <w:start w:val="8"/>
    </w:lvl>
    <w:lvl w:ilvl="1">
      <w:lvlJc w:val="left"/>
      <w:lvlText w:val="%2"/>
      <w:numFmt w:val="lowerLetter"/>
      <w:start w:val="1"/>
    </w:lvl>
  </w:abstractNum>
  <w:abstractNum w:abstractNumId="78">
    <w:nsid w:val="7FB7E0AA"/>
    <w:multiLevelType w:val="hybridMultilevel"/>
    <w:lvl w:ilvl="0">
      <w:lvlJc w:val="left"/>
      <w:lvlText w:val="%1."/>
      <w:numFmt w:val="decimal"/>
      <w:start w:val="9"/>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decimal"/>
      <w:start w:val="5"/>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5"/>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9" Type="http://schemas.openxmlformats.org/officeDocument/2006/relationships/image" Target="media/image167.png"/><Relationship Id="rId185" Type="http://schemas.openxmlformats.org/officeDocument/2006/relationships/image" Target="media/image168.png"/><Relationship Id="rId190"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174" Type="http://schemas.openxmlformats.org/officeDocument/2006/relationships/hyperlink" Target="http://www.sec.gov/Archives/edgar/data/789019/000119312516782569/d305147dex31.htm" TargetMode="External"/><Relationship Id="rId175" Type="http://schemas.openxmlformats.org/officeDocument/2006/relationships/hyperlink" Target="http://www.sec.gov/Archives/edgar/data/789019/000119312517203579/d347274dex32.htm" TargetMode="External"/><Relationship Id="rId176" Type="http://schemas.openxmlformats.org/officeDocument/2006/relationships/hyperlink" Target="http://www.sec.gov/Archives/edgar/data/789019/000119312508239756/dex41.htm" TargetMode="External"/><Relationship Id="rId177" Type="http://schemas.openxmlformats.org/officeDocument/2006/relationships/hyperlink" Target="http://www.sec.gov/Archives/edgar/data/789019/000119312509113054/dex42.htm" TargetMode="External"/><Relationship Id="rId178" Type="http://schemas.openxmlformats.org/officeDocument/2006/relationships/hyperlink" Target="http://www.sec.gov/Archives/edgar/data/789019/000119312510216531/dex42.htm" TargetMode="External"/><Relationship Id="rId180" Type="http://schemas.openxmlformats.org/officeDocument/2006/relationships/hyperlink" Target="http://www.sec.gov/Archives/edgar/data/789019/000119312511026916/dex42.htm" TargetMode="External"/><Relationship Id="rId181" Type="http://schemas.openxmlformats.org/officeDocument/2006/relationships/hyperlink" Target="http://www.sec.gov/Archives/edgar/data/789019/000119312512456267/d433368dex41.htm" TargetMode="External"/><Relationship Id="rId182" Type="http://schemas.openxmlformats.org/officeDocument/2006/relationships/hyperlink" Target="http://www.sec.gov/Archives/edgar/data/789019/000119312513192843/d531397dex41.htm" TargetMode="External"/><Relationship Id="rId183" Type="http://schemas.openxmlformats.org/officeDocument/2006/relationships/hyperlink" Target="http://www.sec.gov/Archives/edgar/data/789019/000119312513192843/d531397dex42.htm" TargetMode="External"/><Relationship Id="rId184" Type="http://schemas.openxmlformats.org/officeDocument/2006/relationships/hyperlink" Target="http://www.sec.gov/Archives/edgar/data/789019/000119312513464138/d638276dex41.htm" TargetMode="External"/><Relationship Id="rId186" Type="http://schemas.openxmlformats.org/officeDocument/2006/relationships/hyperlink" Target="http://www.sec.gov/Archives/edgar/data/789019/000119312513464138/d638276dex42.htm" TargetMode="External"/><Relationship Id="rId187" Type="http://schemas.openxmlformats.org/officeDocument/2006/relationships/hyperlink" Target="http://www.sec.gov/Archives/edgar/data/789019/000119312515045564/d871136dex41.htm" TargetMode="External"/><Relationship Id="rId188" Type="http://schemas.openxmlformats.org/officeDocument/2006/relationships/hyperlink" Target="http://www.sec.gov/Archives/edgar/data/789019/000119312515363226/d88549dex41.htm" TargetMode="External"/><Relationship Id="rId189" Type="http://schemas.openxmlformats.org/officeDocument/2006/relationships/hyperlink" Target="http://www.sec.gov/Archives/edgar/data/789019/000119312516673577/d236874dex41.htm" TargetMode="External"/><Relationship Id="rId191" Type="http://schemas.openxmlformats.org/officeDocument/2006/relationships/hyperlink" Target="http://www.sec.gov/Archives/edgar/data/789019/000119312517030734/d270302dex41.htm" TargetMode="External"/><Relationship Id="rId192" Type="http://schemas.openxmlformats.org/officeDocument/2006/relationships/hyperlink" Target="http://www.sec.gov/Archives/edgar/data/789019/000119312516662209/d187868dex101.htm" TargetMode="External"/><Relationship Id="rId193" Type="http://schemas.openxmlformats.org/officeDocument/2006/relationships/hyperlink" Target="http://www.sec.gov/Archives/edgar/data/789019/000119312512316848/d347676dex104.htm" TargetMode="External"/><Relationship Id="rId194" Type="http://schemas.openxmlformats.org/officeDocument/2006/relationships/hyperlink" Target="http://www.sec.gov/Archives/edgar/data/789019/000119312517310951/d461626ddef14a.htm" TargetMode="External"/><Relationship Id="rId195" Type="http://schemas.openxmlformats.org/officeDocument/2006/relationships/hyperlink" Target="http://www.sec.gov/Archives/edgar/data/789019/000156459018009307/msft-ex1026_280.htm" TargetMode="External"/><Relationship Id="rId196" Type="http://schemas.openxmlformats.org/officeDocument/2006/relationships/hyperlink" Target="http://www.sec.gov/Archives/edgar/data/789019/000156459018009307/msft-ex1027_281.htm" TargetMode="External"/><Relationship Id="rId197" Type="http://schemas.openxmlformats.org/officeDocument/2006/relationships/hyperlink" Target="http://www.sec.gov/Archives/edgar/data/789019/000119312516742796/d245252dex1012.htm" TargetMode="External"/><Relationship Id="rId198" Type="http://schemas.openxmlformats.org/officeDocument/2006/relationships/hyperlink" Target="http://www.sec.gov/Archives/edgar/data/789019/000119312516742796/d245252dex1013.htm" TargetMode="External"/><Relationship Id="rId199" Type="http://schemas.openxmlformats.org/officeDocument/2006/relationships/hyperlink" Target="http://www.sec.gov/Archives/edgar/data/789019/000119312515272806/d918813dex1014.htm" TargetMode="External"/><Relationship Id="rId200" Type="http://schemas.openxmlformats.org/officeDocument/2006/relationships/hyperlink" Target="http://www.sec.gov/Archives/edgar/data/789019/000119312515350718/d83804dex1017.htm" TargetMode="External"/><Relationship Id="rId201" Type="http://schemas.openxmlformats.org/officeDocument/2006/relationships/hyperlink" Target="http://www.sec.gov/Archives/edgar/data/789019/000119312515350718/d83804dex1018.htm" TargetMode="External"/><Relationship Id="rId202" Type="http://schemas.openxmlformats.org/officeDocument/2006/relationships/hyperlink" Target="http://www.sec.gov/Archives/edgar/data/789019/000119312516742796/d245252dex1017.htm" TargetMode="External"/><Relationship Id="rId203" Type="http://schemas.openxmlformats.org/officeDocument/2006/relationships/hyperlink" Target="http://www.sec.gov/Archives/edgar/data/789019/000119312516742796/d245252dex1018.htm" TargetMode="External"/><Relationship Id="rId206" Type="http://schemas.openxmlformats.org/officeDocument/2006/relationships/hyperlink" Target="http://www.sec.gov/Archives/edgar/data/789019/000119312516742796/d245252dex1025.htm" TargetMode="External"/><Relationship Id="rId207" Type="http://schemas.openxmlformats.org/officeDocument/2006/relationships/hyperlink" Target="http://www.sec.gov/Archives/edgar/data/789019/000119312516742796/d245252dex1022.htm" TargetMode="External"/><Relationship Id="rId208" Type="http://schemas.openxmlformats.org/officeDocument/2006/relationships/hyperlink" Target="http://www.sec.gov/Archives/edgar/data/789019/000119312514035080/d669538dex101.htm" TargetMode="External"/><Relationship Id="rId209" Type="http://schemas.openxmlformats.org/officeDocument/2006/relationships/hyperlink" Target="http://www.sec.gov/Archives/edgar/data/789019/000119312515020351/d827041dex1024.htm" TargetMode="External"/><Relationship Id="rId210" Type="http://schemas.openxmlformats.org/officeDocument/2006/relationships/hyperlink" Target="http://www.sec.gov/Archives/edgar/data/789019/000119312515350718/d83804d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2019-12-28T20:44:04Z</dcterms:created>
  <dcterms:modified xsi:type="dcterms:W3CDTF">2019-12-28T20:44:04Z</dcterms:modified>
</cp:coreProperties>
</file>