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234315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Microsoft Corporation</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104" w:type="dxa"/>
        <w:tblCellMar>
          <w:top w:w="0" w:type="dxa"/>
          <w:left w:w="0" w:type="dxa"/>
          <w:bottom w:w="0" w:type="dxa"/>
          <w:right w:w="0" w:type="dxa"/>
        </w:tblCellMar>
      </w:tblPr>
      <w:tr>
        <w:trPr>
          <w:trHeight w:val="214"/>
        </w:trPr>
        <w:tc>
          <w:tcPr>
            <w:tcW w:w="3460" w:type="dxa"/>
            <w:vAlign w:val="bottom"/>
          </w:tcPr>
          <w:p>
            <w:pPr>
              <w:spacing w:after="0"/>
              <w:rPr>
                <w:sz w:val="18"/>
                <w:szCs w:val="18"/>
                <w:color w:val="auto"/>
              </w:rPr>
            </w:pPr>
          </w:p>
        </w:tc>
        <w:tc>
          <w:tcPr>
            <w:tcW w:w="4340" w:type="dxa"/>
            <w:vAlign w:val="bottom"/>
          </w:tcPr>
          <w:p>
            <w:pPr>
              <w:jc w:val="center"/>
              <w:ind w:right="2381"/>
              <w:spacing w:after="0"/>
              <w:rPr>
                <w:sz w:val="20"/>
                <w:szCs w:val="20"/>
                <w:color w:val="auto"/>
              </w:rPr>
            </w:pPr>
            <w:r>
              <w:rPr>
                <w:rFonts w:ascii="Times New Roman" w:cs="Times New Roman" w:eastAsia="Times New Roman" w:hAnsi="Times New Roman"/>
                <w:sz w:val="18"/>
                <w:szCs w:val="18"/>
                <w:b w:val="1"/>
                <w:bCs w:val="1"/>
                <w:color w:val="auto"/>
                <w:w w:val="98"/>
              </w:rPr>
              <w:t>Washington</w:t>
            </w:r>
          </w:p>
        </w:tc>
      </w:tr>
      <w:tr>
        <w:trPr>
          <w:trHeight w:val="149"/>
        </w:trPr>
        <w:tc>
          <w:tcPr>
            <w:tcW w:w="3460" w:type="dxa"/>
            <w:vAlign w:val="bottom"/>
          </w:tcPr>
          <w:p>
            <w:pPr>
              <w:spacing w:after="0"/>
              <w:rPr>
                <w:sz w:val="12"/>
                <w:szCs w:val="12"/>
                <w:color w:val="auto"/>
              </w:rPr>
            </w:pPr>
          </w:p>
        </w:tc>
        <w:tc>
          <w:tcPr>
            <w:tcW w:w="4340" w:type="dxa"/>
            <w:vAlign w:val="bottom"/>
          </w:tcPr>
          <w:p>
            <w:pPr>
              <w:jc w:val="center"/>
              <w:ind w:right="236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r>
      <w:tr>
        <w:trPr>
          <w:trHeight w:val="190"/>
        </w:trPr>
        <w:tc>
          <w:tcPr>
            <w:tcW w:w="3460" w:type="dxa"/>
            <w:vAlign w:val="bottom"/>
          </w:tcPr>
          <w:p>
            <w:pPr>
              <w:spacing w:after="0"/>
              <w:rPr>
                <w:sz w:val="16"/>
                <w:szCs w:val="16"/>
                <w:color w:val="auto"/>
              </w:rPr>
            </w:pPr>
          </w:p>
        </w:tc>
        <w:tc>
          <w:tcPr>
            <w:tcW w:w="4340" w:type="dxa"/>
            <w:vAlign w:val="bottom"/>
          </w:tcPr>
          <w:p>
            <w:pPr>
              <w:jc w:val="center"/>
              <w:ind w:right="2361"/>
              <w:spacing w:after="0"/>
              <w:rPr>
                <w:sz w:val="20"/>
                <w:szCs w:val="20"/>
                <w:color w:val="auto"/>
              </w:rPr>
            </w:pPr>
            <w:r>
              <w:rPr>
                <w:rFonts w:ascii="Times New Roman" w:cs="Times New Roman" w:eastAsia="Times New Roman" w:hAnsi="Times New Roman"/>
                <w:sz w:val="14"/>
                <w:szCs w:val="14"/>
                <w:b w:val="1"/>
                <w:bCs w:val="1"/>
                <w:color w:val="auto"/>
              </w:rPr>
              <w:t>of Incorporation)</w:t>
            </w:r>
          </w:p>
        </w:tc>
      </w:tr>
      <w:tr>
        <w:trPr>
          <w:trHeight w:val="417"/>
        </w:trPr>
        <w:tc>
          <w:tcPr>
            <w:tcW w:w="3460" w:type="dxa"/>
            <w:vAlign w:val="bottom"/>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001-37845</w:t>
            </w:r>
          </w:p>
        </w:tc>
        <w:tc>
          <w:tcPr>
            <w:tcW w:w="4340" w:type="dxa"/>
            <w:vAlign w:val="bottom"/>
          </w:tcPr>
          <w:p>
            <w:pPr>
              <w:jc w:val="center"/>
              <w:ind w:left="3121"/>
              <w:spacing w:after="0"/>
              <w:rPr>
                <w:sz w:val="20"/>
                <w:szCs w:val="20"/>
                <w:color w:val="auto"/>
              </w:rPr>
            </w:pPr>
            <w:r>
              <w:rPr>
                <w:rFonts w:ascii="Times New Roman" w:cs="Times New Roman" w:eastAsia="Times New Roman" w:hAnsi="Times New Roman"/>
                <w:sz w:val="18"/>
                <w:szCs w:val="18"/>
                <w:b w:val="1"/>
                <w:bCs w:val="1"/>
                <w:color w:val="auto"/>
                <w:w w:val="98"/>
              </w:rPr>
              <w:t>91-1144442</w:t>
            </w:r>
          </w:p>
        </w:tc>
      </w:tr>
      <w:tr>
        <w:trPr>
          <w:trHeight w:val="148"/>
        </w:trPr>
        <w:tc>
          <w:tcPr>
            <w:tcW w:w="346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4340" w:type="dxa"/>
            <w:vAlign w:val="bottom"/>
          </w:tcPr>
          <w:p>
            <w:pPr>
              <w:jc w:val="center"/>
              <w:ind w:left="31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6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340" w:type="dxa"/>
            <w:vAlign w:val="bottom"/>
          </w:tcPr>
          <w:p>
            <w:pPr>
              <w:jc w:val="center"/>
              <w:ind w:left="31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1"/>
        </w:trPr>
        <w:tc>
          <w:tcPr>
            <w:tcW w:w="3460" w:type="dxa"/>
            <w:vAlign w:val="bottom"/>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8"/>
              </w:rPr>
              <w:t>One Microsoft Way, Redmond, Washington</w:t>
            </w:r>
          </w:p>
        </w:tc>
        <w:tc>
          <w:tcPr>
            <w:tcW w:w="4340" w:type="dxa"/>
            <w:vAlign w:val="bottom"/>
          </w:tcPr>
          <w:p>
            <w:pPr>
              <w:jc w:val="center"/>
              <w:ind w:left="3141"/>
              <w:spacing w:after="0"/>
              <w:rPr>
                <w:sz w:val="20"/>
                <w:szCs w:val="20"/>
                <w:color w:val="auto"/>
              </w:rPr>
            </w:pPr>
            <w:r>
              <w:rPr>
                <w:rFonts w:ascii="Times New Roman" w:cs="Times New Roman" w:eastAsia="Times New Roman" w:hAnsi="Times New Roman"/>
                <w:sz w:val="18"/>
                <w:szCs w:val="18"/>
                <w:b w:val="1"/>
                <w:bCs w:val="1"/>
                <w:color w:val="auto"/>
              </w:rPr>
              <w:t>98052-6399</w:t>
            </w:r>
          </w:p>
        </w:tc>
      </w:tr>
      <w:tr>
        <w:trPr>
          <w:trHeight w:val="190"/>
        </w:trPr>
        <w:tc>
          <w:tcPr>
            <w:tcW w:w="34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340" w:type="dxa"/>
            <w:vAlign w:val="bottom"/>
          </w:tcPr>
          <w:p>
            <w:pPr>
              <w:jc w:val="center"/>
              <w:ind w:left="31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Brian B. DeFoe</w:t>
      </w:r>
    </w:p>
    <w:p>
      <w:pPr>
        <w:spacing w:after="0" w:line="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Deputy General Counsel and Corporate Secretary</w:t>
      </w:r>
    </w:p>
    <w:p>
      <w:pPr>
        <w:spacing w:after="0" w:line="9"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(425) 882-8080</w:t>
      </w:r>
    </w:p>
    <w:p>
      <w:pPr>
        <w:spacing w:after="0" w:line="2" w:lineRule="exact"/>
        <w:rPr>
          <w:sz w:val="24"/>
          <w:szCs w:val="24"/>
          <w:color w:val="auto"/>
        </w:rPr>
      </w:pPr>
    </w:p>
    <w:p>
      <w:pPr>
        <w:ind w:left="226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18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11" w:lineRule="exact"/>
        <w:rPr>
          <w:sz w:val="24"/>
          <w:szCs w:val="24"/>
          <w:color w:val="auto"/>
        </w:rPr>
      </w:pPr>
    </w:p>
    <w:p>
      <w:pPr>
        <w:ind w:left="4"/>
        <w:spacing w:after="0" w:line="207" w:lineRule="exact"/>
        <w:tabs>
          <w:tab w:leader="none" w:pos="404" w:val="left"/>
          <w:tab w:leader="none" w:pos="7624"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Rule 13p-1 under the Securities Exchange Act (17 CFR 240.13p-1) for the fiscal year ended       </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214630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257810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443" w:right="7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copy of Microsoft’s Conflict Minerals Report is provided as Exhibit 1.01 hereto and is publicly available at: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http://aka.ms/conflictmineralreport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as Exhibit 1.01 to this form SD.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0000EE"/>
        </w:rPr>
        <w:t>Conflict Minerals Report</w:t>
      </w:r>
    </w:p>
    <w:p>
      <w:pPr>
        <w:sectPr>
          <w:pgSz w:w="11900" w:h="16838" w:orient="portrait"/>
          <w:cols w:equalWidth="0" w:num="1">
            <w:col w:w="10019"/>
          </w:cols>
          <w:pgMar w:left="440" w:top="266" w:right="1440"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MICROSOFT CORPORATION</w:t>
      </w:r>
    </w:p>
    <w:p>
      <w:pPr>
        <w:spacing w:after="0" w:line="2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7460" w:val="left"/>
        </w:tabs>
        <w:rPr>
          <w:sz w:val="20"/>
          <w:szCs w:val="20"/>
          <w:color w:val="auto"/>
        </w:rPr>
      </w:pPr>
      <w:r>
        <w:rPr>
          <w:rFonts w:ascii="Times New Roman" w:cs="Times New Roman" w:eastAsia="Times New Roman" w:hAnsi="Times New Roman"/>
          <w:sz w:val="18"/>
          <w:szCs w:val="18"/>
          <w:color w:val="auto"/>
        </w:rPr>
        <w:t>Date: May 28, 2026</w:t>
      </w:r>
      <w:r>
        <w:rPr>
          <w:sz w:val="20"/>
          <w:szCs w:val="20"/>
          <w:color w:val="auto"/>
        </w:rPr>
        <w:tab/>
      </w:r>
      <w:r>
        <w:rPr>
          <w:rFonts w:ascii="Times New Roman" w:cs="Times New Roman" w:eastAsia="Times New Roman" w:hAnsi="Times New Roman"/>
          <w:sz w:val="17"/>
          <w:szCs w:val="17"/>
          <w:color w:val="auto"/>
        </w:rPr>
        <w:t>/s/ BRADFORD L.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Bradford L. Smith</w:t>
      </w:r>
    </w:p>
    <w:p>
      <w:pPr>
        <w:spacing w:after="0" w:line="2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Vice Chair and President</w:t>
      </w:r>
    </w:p>
    <w:p>
      <w:pPr>
        <w:sectPr>
          <w:pgSz w:w="11900" w:h="16838" w:orient="portrait"/>
          <w:cols w:equalWidth="0" w:num="1">
            <w:col w:w="10640"/>
          </w:cols>
          <w:pgMar w:left="440" w:top="266" w:right="8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tc>
      </w:tr>
      <w:tr>
        <w:trPr>
          <w:trHeight w:val="410"/>
        </w:trPr>
        <w:tc>
          <w:tcPr>
            <w:tcW w:w="240" w:type="dxa"/>
            <w:vAlign w:val="bottom"/>
          </w:tcPr>
          <w:p>
            <w:pPr>
              <w:spacing w:after="0"/>
              <w:rPr>
                <w:sz w:val="24"/>
                <w:szCs w:val="24"/>
                <w:color w:val="auto"/>
              </w:rPr>
            </w:pPr>
          </w:p>
        </w:tc>
        <w:tc>
          <w:tcPr>
            <w:tcW w:w="828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MICROSOFT CORPORATION</w:t>
            </w:r>
          </w:p>
        </w:tc>
        <w:tc>
          <w:tcPr>
            <w:tcW w:w="250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828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CONFLICT MINERALS REPORT</w:t>
            </w:r>
          </w:p>
        </w:tc>
        <w:tc>
          <w:tcPr>
            <w:tcW w:w="2500" w:type="dxa"/>
            <w:vAlign w:val="bottom"/>
          </w:tcPr>
          <w:p>
            <w:pPr>
              <w:spacing w:after="0"/>
              <w:rPr>
                <w:sz w:val="18"/>
                <w:szCs w:val="18"/>
                <w:color w:val="auto"/>
              </w:rPr>
            </w:pPr>
          </w:p>
        </w:tc>
      </w:tr>
      <w:tr>
        <w:trPr>
          <w:trHeight w:val="238"/>
        </w:trPr>
        <w:tc>
          <w:tcPr>
            <w:tcW w:w="240" w:type="dxa"/>
            <w:vAlign w:val="bottom"/>
          </w:tcPr>
          <w:p>
            <w:pPr>
              <w:spacing w:after="0"/>
              <w:rPr>
                <w:sz w:val="20"/>
                <w:szCs w:val="20"/>
                <w:color w:val="auto"/>
              </w:rPr>
            </w:pPr>
          </w:p>
        </w:tc>
        <w:tc>
          <w:tcPr>
            <w:tcW w:w="828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FOR 2025 REPORTING YEAR</w:t>
            </w:r>
          </w:p>
        </w:tc>
        <w:tc>
          <w:tcPr>
            <w:tcW w:w="2500" w:type="dxa"/>
            <w:vAlign w:val="bottom"/>
          </w:tcPr>
          <w:p>
            <w:pPr>
              <w:spacing w:after="0"/>
              <w:rPr>
                <w:sz w:val="20"/>
                <w:szCs w:val="20"/>
                <w:color w:val="auto"/>
              </w:rPr>
            </w:pPr>
          </w:p>
        </w:tc>
      </w:tr>
      <w:tr>
        <w:trPr>
          <w:trHeight w:val="432"/>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500" w:type="dxa"/>
            <w:vAlign w:val="bottom"/>
          </w:tcPr>
          <w:p>
            <w:pPr>
              <w:spacing w:after="0"/>
              <w:rPr>
                <w:sz w:val="24"/>
                <w:szCs w:val="24"/>
                <w:color w:val="auto"/>
              </w:rPr>
            </w:pPr>
          </w:p>
        </w:tc>
      </w:tr>
      <w:tr>
        <w:trPr>
          <w:trHeight w:val="45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77"/>
              </w:rPr>
              <w:t>I. </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Introduction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71"/>
              </w:rPr>
              <w:t>II. </w:t>
            </w:r>
          </w:p>
        </w:tc>
        <w:tc>
          <w:tcPr>
            <w:tcW w:w="8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Diligence Framework</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40" w:type="dxa"/>
            <w:vAlign w:val="bottom"/>
          </w:tcPr>
          <w:p>
            <w:pPr>
              <w:spacing w:after="0"/>
              <w:rPr>
                <w:sz w:val="24"/>
                <w:szCs w:val="24"/>
                <w:color w:val="auto"/>
              </w:rPr>
            </w:pPr>
          </w:p>
        </w:tc>
        <w:tc>
          <w:tcPr>
            <w:tcW w:w="8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OECD Step #1: Establish Strong Company Management Systems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40" w:type="dxa"/>
            <w:vAlign w:val="bottom"/>
          </w:tcPr>
          <w:p>
            <w:pPr>
              <w:spacing w:after="0"/>
              <w:rPr>
                <w:sz w:val="24"/>
                <w:szCs w:val="24"/>
                <w:color w:val="auto"/>
              </w:rPr>
            </w:pPr>
          </w:p>
        </w:tc>
        <w:tc>
          <w:tcPr>
            <w:tcW w:w="8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1.    Company Policies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40" w:type="dxa"/>
            <w:vAlign w:val="bottom"/>
          </w:tcPr>
          <w:p>
            <w:pPr>
              <w:spacing w:after="0"/>
              <w:rPr>
                <w:sz w:val="24"/>
                <w:szCs w:val="24"/>
                <w:color w:val="auto"/>
              </w:rPr>
            </w:pPr>
          </w:p>
        </w:tc>
        <w:tc>
          <w:tcPr>
            <w:tcW w:w="8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2.    Internal Management Team and Corporate Approval</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240" w:type="dxa"/>
            <w:vAlign w:val="bottom"/>
          </w:tcPr>
          <w:p>
            <w:pPr>
              <w:spacing w:after="0"/>
              <w:rPr>
                <w:sz w:val="24"/>
                <w:szCs w:val="24"/>
                <w:color w:val="auto"/>
              </w:rPr>
            </w:pPr>
          </w:p>
        </w:tc>
        <w:tc>
          <w:tcPr>
            <w:tcW w:w="8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3.    System of Supply Chain Controls, Data Disclosure, and Due Diligence Assurance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240" w:type="dxa"/>
            <w:vAlign w:val="bottom"/>
          </w:tcPr>
          <w:p>
            <w:pPr>
              <w:spacing w:after="0"/>
              <w:rPr>
                <w:sz w:val="24"/>
                <w:szCs w:val="24"/>
                <w:color w:val="auto"/>
              </w:rPr>
            </w:pPr>
          </w:p>
        </w:tc>
        <w:tc>
          <w:tcPr>
            <w:tcW w:w="8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4.    Leveraging Industry Partnerships for Greater Impact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40" w:type="dxa"/>
            <w:vAlign w:val="bottom"/>
          </w:tcPr>
          <w:p>
            <w:pPr>
              <w:spacing w:after="0"/>
              <w:rPr>
                <w:sz w:val="24"/>
                <w:szCs w:val="24"/>
                <w:color w:val="auto"/>
              </w:rPr>
            </w:pPr>
          </w:p>
        </w:tc>
        <w:tc>
          <w:tcPr>
            <w:tcW w:w="8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5.    Supplier Engagement to Ensure Conformance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240" w:type="dxa"/>
            <w:vAlign w:val="bottom"/>
          </w:tcPr>
          <w:p>
            <w:pPr>
              <w:spacing w:after="0"/>
              <w:rPr>
                <w:sz w:val="24"/>
                <w:szCs w:val="24"/>
                <w:color w:val="auto"/>
              </w:rPr>
            </w:pPr>
          </w:p>
        </w:tc>
        <w:tc>
          <w:tcPr>
            <w:tcW w:w="8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6.    Grievance Mechanism</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40" w:type="dxa"/>
            <w:vAlign w:val="bottom"/>
          </w:tcPr>
          <w:p>
            <w:pPr>
              <w:spacing w:after="0"/>
              <w:rPr>
                <w:sz w:val="24"/>
                <w:szCs w:val="24"/>
                <w:color w:val="auto"/>
              </w:rPr>
            </w:pPr>
          </w:p>
        </w:tc>
        <w:tc>
          <w:tcPr>
            <w:tcW w:w="8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OECD Step #2: Identify and Assess Risk in the Supply Chain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40" w:type="dxa"/>
            <w:vAlign w:val="bottom"/>
          </w:tcPr>
          <w:p>
            <w:pPr>
              <w:spacing w:after="0"/>
              <w:rPr>
                <w:sz w:val="24"/>
                <w:szCs w:val="24"/>
                <w:color w:val="auto"/>
              </w:rPr>
            </w:pPr>
          </w:p>
        </w:tc>
        <w:tc>
          <w:tcPr>
            <w:tcW w:w="82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Figure 1. CMRT Response Rate (2013-2025 Reporting Years)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240" w:type="dxa"/>
            <w:vAlign w:val="bottom"/>
          </w:tcPr>
          <w:p>
            <w:pPr>
              <w:spacing w:after="0"/>
              <w:rPr>
                <w:sz w:val="24"/>
                <w:szCs w:val="24"/>
                <w:color w:val="auto"/>
              </w:rPr>
            </w:pPr>
          </w:p>
        </w:tc>
        <w:tc>
          <w:tcPr>
            <w:tcW w:w="8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OECD Step #3: Design and Implement a Strategy to Respond to Risks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240" w:type="dxa"/>
            <w:vAlign w:val="bottom"/>
          </w:tcPr>
          <w:p>
            <w:pPr>
              <w:spacing w:after="0"/>
              <w:rPr>
                <w:sz w:val="24"/>
                <w:szCs w:val="24"/>
                <w:color w:val="auto"/>
              </w:rPr>
            </w:pPr>
          </w:p>
        </w:tc>
        <w:tc>
          <w:tcPr>
            <w:tcW w:w="8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7.    Microsoft Supplier Specifications - H00594, H00642, and H02050</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240" w:type="dxa"/>
            <w:vAlign w:val="bottom"/>
          </w:tcPr>
          <w:p>
            <w:pPr>
              <w:spacing w:after="0"/>
              <w:rPr>
                <w:sz w:val="24"/>
                <w:szCs w:val="24"/>
                <w:color w:val="auto"/>
              </w:rPr>
            </w:pPr>
          </w:p>
        </w:tc>
        <w:tc>
          <w:tcPr>
            <w:tcW w:w="8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8.    Implementation of OECD Guidance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240" w:type="dxa"/>
            <w:vAlign w:val="bottom"/>
          </w:tcPr>
          <w:p>
            <w:pPr>
              <w:spacing w:after="0"/>
              <w:rPr>
                <w:sz w:val="24"/>
                <w:szCs w:val="24"/>
                <w:color w:val="auto"/>
              </w:rPr>
            </w:pPr>
          </w:p>
        </w:tc>
        <w:tc>
          <w:tcPr>
            <w:tcW w:w="8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OECD Step #4: Independent Third-Party Audits of Supply Chain Due Diligence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40" w:type="dxa"/>
            <w:vAlign w:val="bottom"/>
          </w:tcPr>
          <w:p>
            <w:pPr>
              <w:spacing w:after="0"/>
              <w:rPr>
                <w:sz w:val="24"/>
                <w:szCs w:val="24"/>
                <w:color w:val="auto"/>
              </w:rPr>
            </w:pPr>
          </w:p>
        </w:tc>
        <w:tc>
          <w:tcPr>
            <w:tcW w:w="8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OECD Step #5: Report on Supply Chain Due Diligence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III.   Conflict Mineral Disclosure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40" w:type="dxa"/>
            <w:vAlign w:val="bottom"/>
          </w:tcPr>
          <w:p>
            <w:pPr>
              <w:spacing w:after="0"/>
              <w:rPr>
                <w:sz w:val="24"/>
                <w:szCs w:val="24"/>
                <w:color w:val="auto"/>
              </w:rPr>
            </w:pPr>
          </w:p>
        </w:tc>
        <w:tc>
          <w:tcPr>
            <w:tcW w:w="8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Reasonable Countries of Origin of 3TGs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40" w:type="dxa"/>
            <w:vAlign w:val="bottom"/>
          </w:tcPr>
          <w:p>
            <w:pPr>
              <w:spacing w:after="0"/>
              <w:rPr>
                <w:sz w:val="24"/>
                <w:szCs w:val="24"/>
                <w:color w:val="auto"/>
              </w:rPr>
            </w:pPr>
          </w:p>
        </w:tc>
        <w:tc>
          <w:tcPr>
            <w:tcW w:w="82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Figure 2. Identified SORs by Audit Status (2013- 2025 Reporting Years)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240" w:type="dxa"/>
            <w:vAlign w:val="bottom"/>
          </w:tcPr>
          <w:p>
            <w:pPr>
              <w:spacing w:after="0"/>
              <w:rPr>
                <w:sz w:val="24"/>
                <w:szCs w:val="24"/>
                <w:color w:val="auto"/>
              </w:rPr>
            </w:pPr>
          </w:p>
        </w:tc>
        <w:tc>
          <w:tcPr>
            <w:tcW w:w="8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3TG Countries of Origin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IV.   Microsoft Commitment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Appendix A: Eligible Smelters and Refiners for 2025 Reporting Year</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364"/>
        </w:trPr>
        <w:tc>
          <w:tcPr>
            <w:tcW w:w="240" w:type="dxa"/>
            <w:vAlign w:val="bottom"/>
          </w:tcPr>
          <w:p>
            <w:pPr>
              <w:spacing w:after="0"/>
              <w:rPr>
                <w:sz w:val="24"/>
                <w:szCs w:val="24"/>
                <w:color w:val="auto"/>
              </w:rPr>
            </w:pPr>
          </w:p>
        </w:tc>
        <w:tc>
          <w:tcPr>
            <w:tcW w:w="828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w w:val="88"/>
              </w:rPr>
              <w:t>1</w:t>
            </w:r>
          </w:p>
        </w:tc>
        <w:tc>
          <w:tcPr>
            <w:tcW w:w="2500" w:type="dxa"/>
            <w:vAlign w:val="bottom"/>
          </w:tcPr>
          <w:p>
            <w:pPr>
              <w:spacing w:after="0"/>
              <w:rPr>
                <w:sz w:val="24"/>
                <w:szCs w:val="24"/>
                <w:color w:val="auto"/>
              </w:rPr>
            </w:pPr>
          </w:p>
        </w:tc>
      </w:tr>
    </w:tbl>
    <w:p>
      <w:pPr>
        <w:sectPr>
          <w:pgSz w:w="11900" w:h="16838" w:orient="portrait"/>
          <w:cols w:equalWidth="0" w:num="1">
            <w:col w:w="11020"/>
          </w:cols>
          <w:pgMar w:left="440" w:top="117" w:right="439" w:bottom="1440" w:gutter="0" w:footer="0" w:header="0"/>
        </w:sectPr>
      </w:pPr>
    </w:p>
    <w:bookmarkStart w:id="4" w:name="page5"/>
    <w:bookmarkEnd w:id="4"/>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1.01 – MICROSOFT CORPORATION CONFLICT MINERALS REPORT FOR 2025 REPORTING YEAR</w:t>
      </w:r>
    </w:p>
    <w:p>
      <w:pPr>
        <w:spacing w:after="0" w:line="154"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4" w:right="100"/>
        <w:spacing w:after="0" w:line="221" w:lineRule="auto"/>
        <w:rPr>
          <w:sz w:val="20"/>
          <w:szCs w:val="20"/>
          <w:color w:val="auto"/>
        </w:rPr>
      </w:pPr>
      <w:r>
        <w:rPr>
          <w:rFonts w:ascii="Times New Roman" w:cs="Times New Roman" w:eastAsia="Times New Roman" w:hAnsi="Times New Roman"/>
          <w:sz w:val="18"/>
          <w:szCs w:val="18"/>
          <w:color w:val="auto"/>
        </w:rPr>
        <w:t>This Conflict Minerals Report (“CMR”) for MICROSOFT CORPORATION (“Microsoft”) is filed with the United States Securities and Exchange Commission (SEC) as an exhibit to Microsoft’s Form SD pursuant to Rule 13p-1 under the Securities Exchange Act of 1934, as amended, (the “Rule”) for the 2025 Reporting Year (“RY”) (January 1, 2025-December 31, 2025).</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CMR covers all Microsoft majority-owned subsidiaries and variable interest entities that are subject to the Rule.</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During the 2025 Reporting Year, covered devices included the Surface line of computers, tablets, and accessories; Xbox gaming consoles, accessories, and select merchandise manufactured or contracted to manufacture by Microsoft; the HoloLens mixed reality device; and Nuance dictation devices.</w:t>
      </w:r>
    </w:p>
    <w:p>
      <w:pPr>
        <w:spacing w:after="0" w:line="199"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 xml:space="preserve">Our commitment to the responsible sourcing of raw materials is established by Microsoft’s </w:t>
      </w:r>
      <w:r>
        <w:rPr>
          <w:rFonts w:ascii="Times New Roman" w:cs="Times New Roman" w:eastAsia="Times New Roman" w:hAnsi="Times New Roman"/>
          <w:sz w:val="18"/>
          <w:szCs w:val="18"/>
          <w:u w:val="single" w:color="auto"/>
          <w:color w:val="auto"/>
        </w:rPr>
        <w:t>Responsible Sourcing of Raw Materials (“RSRM”) Policy</w:t>
      </w:r>
      <w:r>
        <w:rPr>
          <w:rFonts w:ascii="Times New Roman" w:cs="Times New Roman" w:eastAsia="Times New Roman" w:hAnsi="Times New Roman"/>
          <w:sz w:val="18"/>
          <w:szCs w:val="18"/>
          <w:color w:val="auto"/>
        </w:rPr>
        <w:t>, which guides our work to ensure that all raw materials used in our devices, unbounded by specific materials or locations, are sourced from responsible suppliers. We commit to the responsible sourcing of tin, tantalum, tungsten, and gold (“3TGs”) from Conflict Affected and High-Risk Areas (“CAHRAs”), including the Democratic Republic of the Congo (“DRC”) or DRC-adjoining countries (each a “Covered Country” under the Rule), rather than restricting or avoiding sourcing from such regions. We do this in recognition of the harmful societal and economic impacts that curtailing 3TG mineral sourcing from such regions might cause.</w:t>
      </w:r>
    </w:p>
    <w:p>
      <w:pPr>
        <w:spacing w:after="0" w:line="187"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Based on our supply chain due diligence, we determined that 3TGs that were necessary to the functionality or production of devices we manufactured or contracted to manufacture during the 2025 Reporting Year may have originated in a Covered Country. Microsoft found no reasonable basis for concluding that any 3TG Smelter or Refiner (“SOR”) that was identified in the Microsoft Devices supply chain for the 2025 Reporting Year sourced 3TGs in a manner that directly or indirectly financed or benefitted armed groups in a Covered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jc w:val="both"/>
        <w:ind w:left="424" w:right="60" w:hanging="424"/>
        <w:spacing w:after="0" w:line="218" w:lineRule="auto"/>
        <w:tabs>
          <w:tab w:leader="none" w:pos="424"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This CMR contains links to internal and external websites for informational purposes only. References to such websites and information available through such websites are not incorporated into this CMR. Additionally, this CMR includes forward-looking statements within the meaning of the</w:t>
      </w:r>
    </w:p>
    <w:p>
      <w:pPr>
        <w:spacing w:after="0" w:line="1" w:lineRule="exact"/>
        <w:rPr>
          <w:sz w:val="20"/>
          <w:szCs w:val="20"/>
          <w:color w:val="auto"/>
        </w:rPr>
      </w:pPr>
    </w:p>
    <w:p>
      <w:pPr>
        <w:ind w:left="424" w:right="80"/>
        <w:spacing w:after="0" w:line="250" w:lineRule="auto"/>
        <w:rPr>
          <w:sz w:val="20"/>
          <w:szCs w:val="20"/>
          <w:color w:val="auto"/>
        </w:rPr>
      </w:pPr>
      <w:r>
        <w:rPr>
          <w:rFonts w:ascii="Times New Roman" w:cs="Times New Roman" w:eastAsia="Times New Roman" w:hAnsi="Times New Roman"/>
          <w:sz w:val="18"/>
          <w:szCs w:val="18"/>
          <w:color w:val="auto"/>
        </w:rPr>
        <w:t>Private Securities Litigation Reform Act of 1995. These forward-looking statements are based on current expectations and assumptions regarding the future implementation of our responsible sourcing program and are subject to change. Statements in this CMR are based on due diligence activities that were performed in good faith and to the best of our ability at the time of this filing. Factors that could affect the accuracy of such statements include, but are not limited to, incomplete or incorrect data submitted by suppliers, amendments to the Rule or SEC guidance.</w:t>
      </w:r>
    </w:p>
    <w:p>
      <w:pPr>
        <w:spacing w:after="0" w:line="2" w:lineRule="exact"/>
        <w:rPr>
          <w:sz w:val="20"/>
          <w:szCs w:val="20"/>
          <w:color w:val="auto"/>
        </w:rPr>
      </w:pPr>
    </w:p>
    <w:p>
      <w:pPr>
        <w:ind w:left="424" w:right="300" w:hanging="424"/>
        <w:spacing w:after="0" w:line="200"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Throughout this CMR, we use “Microsoft,” “Microsoft Devices,” “we,” “our,” “us” and similar terms to refer to Microsoft Corporation and its subsidiaries and various interest entities subject to the Rule (collectively, “Microsoft”), unless otherwise indicated.</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5" w:name="page6"/>
    <w:bookmarkEnd w:id="5"/>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1.01 – MICROSOFT CORPORATION CONFLICT MINERALS REPORT FOR 2025 REPORTING YEAR</w:t>
      </w:r>
    </w:p>
    <w:p>
      <w:pPr>
        <w:spacing w:after="0" w:line="154"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 Framework</w:t>
      </w:r>
    </w:p>
    <w:p>
      <w:pPr>
        <w:spacing w:after="0" w:line="121"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 xml:space="preserve">This CMR is based on Microsoft Devices’ Due Diligence Framework (“Due Diligence Framework”), which conforms to the </w:t>
      </w:r>
      <w:r>
        <w:rPr>
          <w:rFonts w:ascii="Times New Roman" w:cs="Times New Roman" w:eastAsia="Times New Roman" w:hAnsi="Times New Roman"/>
          <w:sz w:val="18"/>
          <w:szCs w:val="18"/>
          <w:u w:val="single" w:color="auto"/>
          <w:color w:val="auto"/>
        </w:rPr>
        <w:t>Organisation for Economic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Co-operation and Development (“OECD”) Due Diligence Guidance for Responsible Supply Chains of Minerals from Conflict-Affected and High-Risk Areas and its related Supplements</w:t>
      </w:r>
      <w:r>
        <w:rPr>
          <w:rFonts w:ascii="Times New Roman" w:cs="Times New Roman" w:eastAsia="Times New Roman" w:hAnsi="Times New Roman"/>
          <w:sz w:val="18"/>
          <w:szCs w:val="18"/>
          <w:color w:val="auto"/>
        </w:rPr>
        <w:t xml:space="preserve"> (“OECD Guidance”).</w:t>
      </w:r>
    </w:p>
    <w:p>
      <w:pPr>
        <w:spacing w:after="0" w:line="176"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 xml:space="preserve">Our Microsoft Devices supply chain contains many layers of upstream suppliers positioned between Microsoft and 3TG raw material mines and SORs. We use contractual provisions to require our direct suppliers to disclose 3TG sourcing information through the </w:t>
      </w:r>
      <w:r>
        <w:rPr>
          <w:rFonts w:ascii="Times New Roman" w:cs="Times New Roman" w:eastAsia="Times New Roman" w:hAnsi="Times New Roman"/>
          <w:sz w:val="18"/>
          <w:szCs w:val="18"/>
          <w:u w:val="single" w:color="auto"/>
          <w:color w:val="auto"/>
        </w:rPr>
        <w:t>Responsible Minerals Initiative</w:t>
      </w:r>
      <w:r>
        <w:rPr>
          <w:rFonts w:ascii="Times New Roman" w:cs="Times New Roman" w:eastAsia="Times New Roman" w:hAnsi="Times New Roman"/>
          <w:sz w:val="18"/>
          <w:szCs w:val="18"/>
          <w:color w:val="auto"/>
        </w:rPr>
        <w:t xml:space="preserve"> (“RMI”) industry standard </w:t>
      </w:r>
      <w:r>
        <w:rPr>
          <w:rFonts w:ascii="Times New Roman" w:cs="Times New Roman" w:eastAsia="Times New Roman" w:hAnsi="Times New Roman"/>
          <w:sz w:val="18"/>
          <w:szCs w:val="18"/>
          <w:u w:val="single" w:color="auto"/>
          <w:color w:val="auto"/>
        </w:rPr>
        <w:t>Conflict Minerals Reporting Template (CMRT)</w:t>
      </w:r>
      <w:r>
        <w:rPr>
          <w:rFonts w:ascii="Times New Roman" w:cs="Times New Roman" w:eastAsia="Times New Roman" w:hAnsi="Times New Roman"/>
          <w:sz w:val="18"/>
          <w:szCs w:val="18"/>
          <w:color w:val="auto"/>
        </w:rPr>
        <w:t xml:space="preserve"> and meet audit requirements regarding the sources and chains of custody of 3TGs necessary for the functionality or production of our covered devices. We also require our direct suppliers to cascade Microsoft requirements regarding 3TG sources and chains of custody to their own suppliers. In this manner, we work to promote responsible sourcing across our direct and cascading supply chains.</w:t>
      </w:r>
    </w:p>
    <w:p>
      <w:pPr>
        <w:spacing w:after="0" w:line="187"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Our due diligence actions align to the OECD Guidance and fulfill the Rule including several quality assurance steps. We review all supplier responses to identify and address any inaccuracies or inconsistencies in the 3TG sourcing data that is reported to us. We engage a third party to review all 3TG sourcing data reported to us and to conduct due diligence on identified SORs. If a non-conformant SOR is reported by a supplier, we work with the supplier to engage with the SOR to bring them into conformance. If the SOR is not interested or not able to become conformant, we instruct suppliers to remove the SOR from their supply chain and source from conformant alternatives or face business termination with Microsoft.</w:t>
      </w:r>
    </w:p>
    <w:p>
      <w:pPr>
        <w:spacing w:after="0" w:line="183"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We also survey our supply chain for minerals beyond 3TGs and beyond the Covered Countries consistent with our RSRM Policy, which is unbounded by specific materials or location. In addition to the CMRT survey, which is focused on 3TGs, we request our in-scope suppliers to report on their use of cobalt and other priority minerals, including aluminum, copper, gallium, lithium, nickel, silicon, germanium, graphite, and rare earth elements leveraging industry reporting templates. Through this process, we are able to discern additional risks in our supply chain.</w:t>
      </w:r>
    </w:p>
    <w:p>
      <w:pPr>
        <w:spacing w:after="0" w:line="28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OECD Step #1:</w:t>
      </w:r>
    </w:p>
    <w:p>
      <w:pPr>
        <w:spacing w:after="0" w:line="3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Establish Strong Company Management Systems</w:t>
      </w:r>
    </w:p>
    <w:p>
      <w:pPr>
        <w:spacing w:after="0" w:line="108" w:lineRule="exact"/>
        <w:rPr>
          <w:sz w:val="20"/>
          <w:szCs w:val="20"/>
          <w:color w:val="auto"/>
        </w:rPr>
      </w:pPr>
    </w:p>
    <w:p>
      <w:pPr>
        <w:ind w:left="1424" w:hanging="439"/>
        <w:spacing w:after="0"/>
        <w:tabs>
          <w:tab w:leader="none" w:pos="1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Company Policies</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 xml:space="preserve">Microsoft’s commitment to corporate responsibility and integrity guides everything we do as a company. We have established high ethical standards to govern the way we conduct our business, which also apply to our suppliers and business partners. Microsoft policies include the </w:t>
      </w:r>
      <w:r>
        <w:rPr>
          <w:rFonts w:ascii="Times New Roman" w:cs="Times New Roman" w:eastAsia="Times New Roman" w:hAnsi="Times New Roman"/>
          <w:sz w:val="18"/>
          <w:szCs w:val="18"/>
          <w:u w:val="single" w:color="auto"/>
          <w:color w:val="auto"/>
        </w:rPr>
        <w:t>Microsoft 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Human Rights Statement, Microsoft Supply Chain Human Rights Policy Statement, Trust Code, and our Supplier Code of Conduct</w:t>
      </w:r>
      <w:r>
        <w:rPr>
          <w:rFonts w:ascii="Times New Roman" w:cs="Times New Roman" w:eastAsia="Times New Roman" w:hAnsi="Times New Roman"/>
          <w:sz w:val="18"/>
          <w:szCs w:val="18"/>
          <w:color w:val="auto"/>
        </w:rPr>
        <w:t>. These policies establish Microsoft expectations for our suppliers concerning legal and regulatory compliance; business practices and ethics; human rights and fair labor practices; health and safety; environmental protection; and data and privacy protection.</w:t>
      </w:r>
    </w:p>
    <w:p>
      <w:pPr>
        <w:spacing w:after="0" w:line="183"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As previously described, our RSRM Policy describes our commitment to responsibly sourcing raw materials. This pledge extends to the harvesting, extraction, and transportation of raw materials, unbounded by specific material or location, and supports implementation of programs that advance the use of responsibly sourced minerals in our manufactured devices.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1.01 – MICROSOFT CORPORATION CONFLICT MINERALS REPORT FOR 2025 REPORTING YEAR</w:t>
      </w:r>
    </w:p>
    <w:p>
      <w:pPr>
        <w:spacing w:after="0" w:line="15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Our policies are based on internationally recognized standards, including the following declaration and covenants: </w:t>
      </w:r>
      <w:r>
        <w:rPr>
          <w:rFonts w:ascii="Times New Roman" w:cs="Times New Roman" w:eastAsia="Times New Roman" w:hAnsi="Times New Roman"/>
          <w:sz w:val="18"/>
          <w:szCs w:val="18"/>
          <w:u w:val="single" w:color="auto"/>
          <w:color w:val="auto"/>
        </w:rPr>
        <w:t>Universal Declaration of Human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 International Covenant on Civil and Political Rights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International Covenant on Economic, Social and Cultural Rights</w:t>
      </w:r>
      <w:r>
        <w:rPr>
          <w:rFonts w:ascii="Times New Roman" w:cs="Times New Roman" w:eastAsia="Times New Roman" w:hAnsi="Times New Roman"/>
          <w:sz w:val="18"/>
          <w:szCs w:val="18"/>
          <w:color w:val="auto"/>
        </w:rPr>
        <w:t xml:space="preserve">. Our business operations are informed by human rights guidelines described in the following documents: </w:t>
      </w:r>
      <w:r>
        <w:rPr>
          <w:rFonts w:ascii="Times New Roman" w:cs="Times New Roman" w:eastAsia="Times New Roman" w:hAnsi="Times New Roman"/>
          <w:sz w:val="18"/>
          <w:szCs w:val="18"/>
          <w:u w:val="single" w:color="auto"/>
          <w:color w:val="auto"/>
        </w:rPr>
        <w:t>International Labor Organization’s (“ILO”) Declaration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Fundamental Principles and Rights at Work, OECD Guidelines for Multinational Enterprises</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u w:val="single" w:color="auto"/>
          <w:color w:val="auto"/>
        </w:rPr>
        <w:t>United Nations Global Compact</w:t>
      </w:r>
      <w:r>
        <w:rPr>
          <w:rFonts w:ascii="Times New Roman" w:cs="Times New Roman" w:eastAsia="Times New Roman" w:hAnsi="Times New Roman"/>
          <w:sz w:val="18"/>
          <w:szCs w:val="18"/>
          <w:color w:val="auto"/>
        </w:rPr>
        <w:t>. As a global Information and Communications Technology company operating in more than 100 countries, we respect all human rights - civil, political, economic, social, and cultural; and our supplier requirements reflect the same level of commitment.</w:t>
      </w:r>
    </w:p>
    <w:p>
      <w:pPr>
        <w:spacing w:after="0" w:line="332" w:lineRule="exact"/>
        <w:rPr>
          <w:sz w:val="20"/>
          <w:szCs w:val="20"/>
          <w:color w:val="auto"/>
        </w:rPr>
      </w:pPr>
    </w:p>
    <w:p>
      <w:pPr>
        <w:ind w:left="1420" w:hanging="439"/>
        <w:spacing w:after="0"/>
        <w:tabs>
          <w:tab w:leader="none" w:pos="1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Internal Management Team and Corporate Approval</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 cross-functional internal team supports our program and CMR development. Microsoft’s Director of Supply Chain Responsibility and Resilience sponsors the team, which consists of representatives from Microsoft Devices Operations; Responsible Sourcing Assurance; Corporate, External and Legal Affairs; and Trade. The team assesses program progress, identifies steps needed to meet our compliance obligations, and identifies areas for continuous improvement. The team annually develops, reviews, and submits the final CMR to Microsoft’s President for approval and signature before being filed as an Exhibit to Microsoft’s Form SD and posted on the Microsoft website pursuant to the Rule.</w:t>
      </w:r>
    </w:p>
    <w:p>
      <w:pPr>
        <w:spacing w:after="0" w:line="328" w:lineRule="exact"/>
        <w:rPr>
          <w:sz w:val="20"/>
          <w:szCs w:val="20"/>
          <w:color w:val="auto"/>
        </w:rPr>
      </w:pPr>
    </w:p>
    <w:p>
      <w:pPr>
        <w:ind w:left="1420" w:hanging="439"/>
        <w:spacing w:after="0"/>
        <w:tabs>
          <w:tab w:leader="none" w:pos="1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System of Supply Chain Controls, Data Disclosure, and Due Diligence Assurance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Our Due Diligence Framework is based on a system of supply chain controls, data disclosure, and due diligence assurance. Our contracts require our suppliers to meet Microsoft specifications. Our environmental compliance specifications - H00594, Restricted Substances for Hardware Products; and H00642, Microsoft Restricted Substances Control System for Hardware Products (both available at this </w:t>
      </w:r>
      <w:r>
        <w:rPr>
          <w:rFonts w:ascii="Times New Roman" w:cs="Times New Roman" w:eastAsia="Times New Roman" w:hAnsi="Times New Roman"/>
          <w:sz w:val="18"/>
          <w:szCs w:val="18"/>
          <w:u w:val="single" w:color="auto"/>
          <w:color w:val="auto"/>
        </w:rPr>
        <w:t>link</w:t>
      </w:r>
      <w:r>
        <w:rPr>
          <w:rFonts w:ascii="Times New Roman" w:cs="Times New Roman" w:eastAsia="Times New Roman" w:hAnsi="Times New Roman"/>
          <w:sz w:val="18"/>
          <w:szCs w:val="18"/>
          <w:color w:val="auto"/>
        </w:rPr>
        <w:t>) - require the disclosure of every substance contained in the materials, components, and products supplied to us, including 3TGs, by weight.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require suppliers to annually submit a CMRT that provides source and chain of custody information for 3TGs that are contained in the products and components they supply to us. Our contracts also require suppliers to obtain the same information from their upstream suppliers. We collect these supply chain disclosures, conduct controls to ensure data integrity, and assess 3TG sourcing risk.</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Microsoft supply chain mineral disclosure requirements go beyond 3TGs and cover additional prioritized minerals. Since 2019, we have required suppliers to report on their use of cobalt, using the Responsible Minerals Initiative’s </w:t>
      </w:r>
      <w:r>
        <w:rPr>
          <w:rFonts w:ascii="Times New Roman" w:cs="Times New Roman" w:eastAsia="Times New Roman" w:hAnsi="Times New Roman"/>
          <w:sz w:val="18"/>
          <w:szCs w:val="18"/>
          <w:u w:val="single" w:color="auto"/>
          <w:color w:val="auto"/>
        </w:rPr>
        <w:t>Extended Minerals Reporting Template (“EMRT”) which includes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copper, cobalt, mica, graphite, lithium, and nickel</w:t>
      </w:r>
      <w:r>
        <w:rPr>
          <w:rFonts w:ascii="Times New Roman" w:cs="Times New Roman" w:eastAsia="Times New Roman" w:hAnsi="Times New Roman"/>
          <w:sz w:val="18"/>
          <w:szCs w:val="18"/>
          <w:color w:val="auto"/>
        </w:rPr>
        <w:t xml:space="preserve">. Since 2024, we have utilized the RMI’s </w:t>
      </w:r>
      <w:r>
        <w:rPr>
          <w:rFonts w:ascii="Times New Roman" w:cs="Times New Roman" w:eastAsia="Times New Roman" w:hAnsi="Times New Roman"/>
          <w:sz w:val="18"/>
          <w:szCs w:val="18"/>
          <w:u w:val="single" w:color="auto"/>
          <w:color w:val="auto"/>
        </w:rPr>
        <w:t>Additional Minerals Reporting Template (“AMRT”)</w:t>
      </w:r>
      <w:r>
        <w:rPr>
          <w:rFonts w:ascii="Times New Roman" w:cs="Times New Roman" w:eastAsia="Times New Roman" w:hAnsi="Times New Roman"/>
          <w:sz w:val="18"/>
          <w:szCs w:val="18"/>
          <w:color w:val="auto"/>
        </w:rPr>
        <w:t>, formerly known as the Pilot Reporting Template (“PRT”), for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1.01 – MICROSOFT CORPORATION CONFLICT MINERALS REPORT FOR 2025 REPORTING YEAR</w:t>
      </w:r>
    </w:p>
    <w:p>
      <w:pPr>
        <w:spacing w:after="0" w:line="158"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all other prioritized minerals, including: aluminum, gallium, silicon, germanium and rare earth elements. These additional minerals are prioritized through an extensive internal review and risk analysis of the minerals present in our products. This regular prioritization exercise ensures that the minerals on which we focus are representative of identified need, and thus this list is dynamic over time.</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Microsoft </w:t>
      </w:r>
      <w:r>
        <w:rPr>
          <w:rFonts w:ascii="Times New Roman" w:cs="Times New Roman" w:eastAsia="Times New Roman" w:hAnsi="Times New Roman"/>
          <w:sz w:val="18"/>
          <w:szCs w:val="18"/>
          <w:u w:val="single" w:color="auto"/>
          <w:color w:val="auto"/>
        </w:rPr>
        <w:t>Supplier Social and Environmental Accountability Manual</w:t>
      </w:r>
      <w:r>
        <w:rPr>
          <w:rFonts w:ascii="Times New Roman" w:cs="Times New Roman" w:eastAsia="Times New Roman" w:hAnsi="Times New Roman"/>
          <w:sz w:val="18"/>
          <w:szCs w:val="18"/>
          <w:color w:val="auto"/>
        </w:rPr>
        <w:t xml:space="preserve"> Excerpt (“H02050”) provides an operational framework for Microsoft to achieve supplier conformance with Microsoft’s Supplier Code of Conduct and other responsible sourcing requirements. H02050 establishes a minimum set of requirements that suppliers must meet, including compliance with all applicable laws and regulations with respect to labor, ethics, occupational health and safety, and protection of the environment. Suppliers are encouraged to go beyond legal compliance by meeting relevant international standards (e.g., ILO and relevant United Nations Conventions) and commit to a process of continuous improvement.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H02050 requires all in-scope suppliers to:</w:t>
      </w:r>
    </w:p>
    <w:p>
      <w:pPr>
        <w:spacing w:after="0" w:line="131" w:lineRule="exact"/>
        <w:rPr>
          <w:sz w:val="20"/>
          <w:szCs w:val="20"/>
          <w:color w:val="auto"/>
        </w:rPr>
      </w:pPr>
    </w:p>
    <w:p>
      <w:pPr>
        <w:ind w:left="960" w:right="14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company policy for raw material sourcing, including a commitment to source raw materials from responsible sources and clearly communicate such policy to their suppliers and the public;</w:t>
      </w:r>
    </w:p>
    <w:p>
      <w:pPr>
        <w:spacing w:after="0" w:line="67"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due diligence on the source and chain of custody of high-risk raw materials, including 3TGs, contained in materials, products, or parts supplied to Microsoft;</w:t>
      </w:r>
    </w:p>
    <w:p>
      <w:pPr>
        <w:spacing w:after="0" w:line="67"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SORs to participate in the Responsible Mining Assurance Process (“RMAP”) or an equivalent independent, third-party audit program for 3TGs;</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communicate potential sourcing risks to Microsoft and propose a contingency plan and mitigation strategy to achieve conformance; and</w:t>
      </w:r>
    </w:p>
    <w:p>
      <w:pPr>
        <w:spacing w:after="0" w:line="67" w:lineRule="exact"/>
        <w:rPr>
          <w:rFonts w:ascii="Times New Roman" w:cs="Times New Roman" w:eastAsia="Times New Roman" w:hAnsi="Times New Roman"/>
          <w:sz w:val="18"/>
          <w:szCs w:val="18"/>
          <w:color w:val="auto"/>
        </w:rPr>
      </w:pPr>
    </w:p>
    <w:p>
      <w:pPr>
        <w:ind w:left="960" w:right="160" w:hanging="424"/>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system to gather, examine, and verify sourcing information for raw materials, including 3TGs, contained in products supplied to Microsoft and request their upstream suppliers to do the same. This supply chain transfer of audit data, source and chain of custody information, and risk assessment enables and facilitates raw material due diligence, mapping, and transparency.</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Microsoft works with its suppliers to use SORs that are conformant to RMAP or another equivalent independent, third-party audit program for 3TGs. If we find that a supplier has introduced responsible sourcing risk to the Microsoft supply chain, such as use of an upstream SOR that is not conformant, Microsoft engages such supplier to address the non-conformance. Risks are mitigated by supplier engagement, audits, training, and business termination when appropriate. These controls and related documentation are detailed in H02050 and Microsoft internal operating procedures.</w:t>
      </w:r>
    </w:p>
    <w:p>
      <w:pPr>
        <w:spacing w:after="0" w:line="324" w:lineRule="exact"/>
        <w:rPr>
          <w:sz w:val="20"/>
          <w:szCs w:val="20"/>
          <w:color w:val="auto"/>
        </w:rPr>
      </w:pPr>
    </w:p>
    <w:p>
      <w:pPr>
        <w:ind w:left="1420" w:hanging="439"/>
        <w:spacing w:after="0"/>
        <w:tabs>
          <w:tab w:leader="none" w:pos="14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Leveraging Industry Partnerships for Greater Impact</w:t>
      </w:r>
    </w:p>
    <w:p>
      <w:pPr>
        <w:spacing w:after="0" w:line="121"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 xml:space="preserve">We leverage partnerships with industry peers and partners to scale our responsible sourcing impact. Microsoft is a long-standing member of the </w:t>
      </w:r>
      <w:r>
        <w:rPr>
          <w:rFonts w:ascii="Times New Roman" w:cs="Times New Roman" w:eastAsia="Times New Roman" w:hAnsi="Times New Roman"/>
          <w:sz w:val="18"/>
          <w:szCs w:val="18"/>
          <w:u w:val="single" w:color="auto"/>
          <w:color w:val="auto"/>
        </w:rPr>
        <w:t>Responsible Business Alliance</w:t>
      </w:r>
      <w:r>
        <w:rPr>
          <w:rFonts w:ascii="Times New Roman" w:cs="Times New Roman" w:eastAsia="Times New Roman" w:hAnsi="Times New Roman"/>
          <w:sz w:val="18"/>
          <w:szCs w:val="18"/>
          <w:color w:val="auto"/>
        </w:rPr>
        <w:t xml:space="preserve"> (“RBA”) and the RMI. The RMI is one of the most utilized and respected resources for supply chain minerals due diligence and is aligned to the OECD Guidance. The RMI operates and manages the RMAP, which uses independent, third-party audits to assess, monitor, and validate whether SORs process 3TGs from sources that directly or indirectly finance, or benefit armed groups in a CAHRA, including Covered Countries.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1.01 – MICROSOFT CORPORATION CONFLICT MINERALS REPORT FOR 2025 REPORTING YEAR</w:t>
      </w:r>
    </w:p>
    <w:p>
      <w:pPr>
        <w:spacing w:after="0" w:line="15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2025, Microsoft provided direct financial support to the RMI upstream smelter due diligence fund and ESG audit fund to further the reach and success of the RMAP and participated in Working Groups to support the RMI and to improve and expand the scope of responsible mineral sourcing activities. For example, Microsoft’s participation in the Smelter Engagement Team (SET) helps support RMI’s goals of ensuring more smelters are participating in the RMAP and that current smelters stay engaged in the program.</w:t>
      </w:r>
    </w:p>
    <w:p>
      <w:pPr>
        <w:spacing w:after="0" w:line="18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also work outside of our supply chain to promote responsible mining practices in CAHRAs, including Covered Countries, by partnering with organizations, including the RMI, the Initiative for Responsible Mining Assurance (“IRMA”), the Public-Private Alliance for Responsible Minerals Trade (“PPA”), and others. In this manner, we go beyond the minimum due diligence established by the OECD Guidance to assess and reduce our supply chain sourcing risk and improve working conditions in raw material supply chains.</w:t>
      </w:r>
    </w:p>
    <w:p>
      <w:pPr>
        <w:spacing w:after="0" w:line="324" w:lineRule="exact"/>
        <w:rPr>
          <w:sz w:val="20"/>
          <w:szCs w:val="20"/>
          <w:color w:val="auto"/>
        </w:rPr>
      </w:pPr>
    </w:p>
    <w:p>
      <w:pPr>
        <w:ind w:left="1420" w:hanging="439"/>
        <w:spacing w:after="0"/>
        <w:tabs>
          <w:tab w:leader="none" w:pos="14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Supplier Engagement to Ensure Conformance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apply several supplier-focused strategies to promote responsible mining and sourcing, including the supplier engagement tools set forth below.</w:t>
      </w:r>
    </w:p>
    <w:p>
      <w:pPr>
        <w:spacing w:after="0" w:line="131" w:lineRule="exact"/>
        <w:rPr>
          <w:sz w:val="20"/>
          <w:szCs w:val="20"/>
          <w:color w:val="auto"/>
        </w:rPr>
      </w:pPr>
    </w:p>
    <w:p>
      <w:pPr>
        <w:ind w:left="960" w:right="120" w:hanging="424"/>
        <w:spacing w:after="0" w:line="26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Requirements: We require our suppliers to meet our material disclosure requirements and related responsible sourcing policies through contractual provisions and product specifications. We communicate, monitor, and track supplier adherence to these requirements, ensuring conformance through the Microsoft Compliance Map System.</w:t>
      </w:r>
    </w:p>
    <w:p>
      <w:pPr>
        <w:spacing w:after="0" w:line="81" w:lineRule="exact"/>
        <w:rPr>
          <w:rFonts w:ascii="Times New Roman" w:cs="Times New Roman" w:eastAsia="Times New Roman" w:hAnsi="Times New Roman"/>
          <w:sz w:val="18"/>
          <w:szCs w:val="18"/>
          <w:color w:val="auto"/>
        </w:rPr>
      </w:pPr>
    </w:p>
    <w:p>
      <w:pPr>
        <w:ind w:left="960" w:hanging="424"/>
        <w:spacing w:after="0" w:line="258"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We train suppliers on our responsible sourcing requirements through classes, educational forums, and direct communications. Existing suppliers and newly onboarded suppliers are required to complete training modules to understand and implement Microsoft Social and Environmental Accountability (“SEA”) requirements. We leverage the online component of our “SEA Academy” to educate factory management, workers, and third-party auditors as well as internal Microsoft teams with the goal of promoting responsible sourcing across our supply chain.</w:t>
      </w:r>
    </w:p>
    <w:p>
      <w:pPr>
        <w:spacing w:after="0" w:line="88" w:lineRule="exact"/>
        <w:rPr>
          <w:rFonts w:ascii="Times New Roman" w:cs="Times New Roman" w:eastAsia="Times New Roman" w:hAnsi="Times New Roman"/>
          <w:sz w:val="18"/>
          <w:szCs w:val="18"/>
          <w:color w:val="auto"/>
        </w:rPr>
      </w:pPr>
    </w:p>
    <w:p>
      <w:pPr>
        <w:jc w:val="both"/>
        <w:ind w:left="960" w:hanging="424"/>
        <w:spacing w:after="0" w:line="26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Capability Building and Partnerships: We work closely with in-scope suppliers and third-party auditors to build suppliers’ raw material due diligence capabilities and advance conformance to the RMAP or equivalent independent, third-party audit program for 3TGs. We invest in industry programs to increase suppliers’ abilities and provide platforms for sharing best practices.</w:t>
      </w:r>
    </w:p>
    <w:p>
      <w:pPr>
        <w:spacing w:after="0" w:line="81" w:lineRule="exact"/>
        <w:rPr>
          <w:rFonts w:ascii="Times New Roman" w:cs="Times New Roman" w:eastAsia="Times New Roman" w:hAnsi="Times New Roman"/>
          <w:sz w:val="18"/>
          <w:szCs w:val="18"/>
          <w:color w:val="auto"/>
        </w:rPr>
      </w:pPr>
    </w:p>
    <w:p>
      <w:pPr>
        <w:ind w:left="960" w:right="60" w:hanging="424"/>
        <w:spacing w:after="0" w:line="261"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Audits and Conformance Assurance: Microsoft requires audits of its directly contracted suppliers to assess their conformance to our Supplier Code of Conduct requirements. Newly contracted suppliers undergo an Initial Capability Assessment prior to onboarding and Sustaining Maintenance Audits after onboarding to verify their initial conformance and to confirm their sustained conformance to our requirements.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9" w:name="page10"/>
    <w:bookmarkEnd w:id="9"/>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1.01 – MICROSOFT CORPORATION CONFLICT MINERALS REPORT FOR 2025 REPORTING YEAR</w:t>
      </w:r>
    </w:p>
    <w:p>
      <w:pPr>
        <w:spacing w:after="0" w:line="158"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Microsoft selects and retains business partners that are committed to meeting these requirements. A failure by a supplier or their upstream suppliers to conform to these requirements may constitute a breach of the supplier’s contractual agreement with Microsoft, resulting in possible business termination.</w:t>
      </w:r>
    </w:p>
    <w:p>
      <w:pPr>
        <w:spacing w:after="0" w:line="320" w:lineRule="exact"/>
        <w:rPr>
          <w:sz w:val="20"/>
          <w:szCs w:val="20"/>
          <w:color w:val="auto"/>
        </w:rPr>
      </w:pPr>
    </w:p>
    <w:p>
      <w:pPr>
        <w:ind w:left="1424" w:hanging="439"/>
        <w:spacing w:after="0"/>
        <w:tabs>
          <w:tab w:leader="none" w:pos="142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Grievance Mechanism</w:t>
      </w:r>
    </w:p>
    <w:p>
      <w:pPr>
        <w:spacing w:after="0" w:line="121"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7"/>
          <w:szCs w:val="17"/>
          <w:color w:val="auto"/>
        </w:rPr>
        <w:t>Microsoft provides an anonymous grievance reporting mechanism for employees and other stakeholders who may be impacted by our operations. Microsoft’s Integrity Portal allows employees and others to anonymously ask compliance questions or report concerns regarding Microsoft’s business operations, including our responsible sourcing policies or those of our suppliers. Additionally, Microsoft continues to scale its Worker Voice Hotline Program</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 xml:space="preserve"> across our supplier factories. This program provides workers with a reliable and anonymous reporting channel for raising workplace concerns. The Hotline is operated by a neutral third-party provider. We investigate and, where appropriate, take remedial action to address reported issues. We also participate in the development of industry grievance mechanisms that seek to address responsible sourcing of raw materials-related issues.</w:t>
      </w:r>
    </w:p>
    <w:p>
      <w:pPr>
        <w:spacing w:after="0" w:line="29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OECD Step #2:</w:t>
      </w:r>
    </w:p>
    <w:p>
      <w:pPr>
        <w:spacing w:after="0" w:line="3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Identify and Assess Risk in the Supply Chain</w:t>
      </w:r>
    </w:p>
    <w:p>
      <w:pPr>
        <w:spacing w:after="0" w:line="99"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In order to make a Reasonable Country of Origin Inquiry (“RCOI”) determination, Microsoft took the following steps, which are consistent with OECD Guidance and Microsoft procedure, to identify and assess 3TG sourcing risk in our supply chain during the 2025 RY:</w:t>
      </w:r>
    </w:p>
    <w:p>
      <w:pPr>
        <w:spacing w:after="0" w:line="67" w:lineRule="exact"/>
        <w:rPr>
          <w:sz w:val="20"/>
          <w:szCs w:val="20"/>
          <w:color w:val="auto"/>
        </w:rPr>
      </w:pPr>
    </w:p>
    <w:p>
      <w:pPr>
        <w:ind w:left="964" w:hanging="424"/>
        <w:spacing w:after="0" w:line="261" w:lineRule="auto"/>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a list of in-scope suppliers and surveyed 79 Microsoft Devices direct suppliers to determine whether they used any 3TGs in the products or parts supplied to Microsoft by utilizing the CMRT and the services of a third-party solution provider. All in-scope suppliers responded to our survey request – a 100% response rate. For these suppliers, we reviewed their CMRT responses to validate completion and to identify any contradictions or inconsistencies.</w:t>
      </w:r>
    </w:p>
    <w:p>
      <w:pPr>
        <w:spacing w:after="0" w:line="85"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excluded suppliers who did not report the use of 3TG minerals.</w:t>
      </w:r>
    </w:p>
    <w:p>
      <w:pPr>
        <w:spacing w:after="0" w:line="130" w:lineRule="exact"/>
        <w:rPr>
          <w:rFonts w:ascii="Times New Roman" w:cs="Times New Roman" w:eastAsia="Times New Roman" w:hAnsi="Times New Roman"/>
          <w:sz w:val="18"/>
          <w:szCs w:val="18"/>
          <w:color w:val="auto"/>
        </w:rPr>
      </w:pPr>
    </w:p>
    <w:p>
      <w:pPr>
        <w:ind w:left="964" w:right="60" w:hanging="424"/>
        <w:spacing w:after="0" w:line="266" w:lineRule="auto"/>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CMRTs, 266 SORs were found to be affiliated with RMAP or an equivalent, independent, third-party audit program for 3TG minerals such as cross-recognized programs overseen by the London Bullion Market Association (“LBMA”) or Responsible Jewelry Council (“RJC”).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9" w:lineRule="exact"/>
        <w:rPr>
          <w:sz w:val="20"/>
          <w:szCs w:val="20"/>
          <w:color w:val="auto"/>
        </w:rPr>
      </w:pPr>
    </w:p>
    <w:p>
      <w:pPr>
        <w:ind w:left="5464" w:right="1440" w:hanging="5464"/>
        <w:spacing w:after="0" w:line="334" w:lineRule="auto"/>
        <w:tabs>
          <w:tab w:leader="none" w:pos="433"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Please see page 32 of our </w:t>
      </w:r>
      <w:r>
        <w:rPr>
          <w:rFonts w:ascii="Times New Roman" w:cs="Times New Roman" w:eastAsia="Times New Roman" w:hAnsi="Times New Roman"/>
          <w:sz w:val="18"/>
          <w:szCs w:val="18"/>
          <w:u w:val="single" w:color="auto"/>
          <w:color w:val="auto"/>
        </w:rPr>
        <w:t>Human Rights Transparency Report</w:t>
      </w:r>
      <w:r>
        <w:rPr>
          <w:rFonts w:ascii="Times New Roman" w:cs="Times New Roman" w:eastAsia="Times New Roman" w:hAnsi="Times New Roman"/>
          <w:sz w:val="18"/>
          <w:szCs w:val="18"/>
          <w:color w:val="auto"/>
        </w:rPr>
        <w:t xml:space="preserve"> for more details regarding our Workers’ Voice Hotline Program. 7</w:t>
      </w:r>
    </w:p>
    <w:p>
      <w:pPr>
        <w:sectPr>
          <w:pgSz w:w="11900" w:h="16838" w:orient="portrait"/>
          <w:cols w:equalWidth="0" w:num="1">
            <w:col w:w="10984"/>
          </w:cols>
          <w:pgMar w:left="436" w:top="270" w:right="479" w:bottom="1440" w:gutter="0" w:footer="0" w:header="0"/>
        </w:sectPr>
      </w:pPr>
    </w:p>
    <w:bookmarkStart w:id="10" w:name="page11"/>
    <w:bookmarkEnd w:id="10"/>
    <w:p>
      <w:pPr>
        <w:ind w:left="12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1.01 – MICROSOFT CORPORATION CONFLICT MINERALS REPORT FOR 2025 REPORTING YEAR</w:t>
      </w:r>
    </w:p>
    <w:p>
      <w:pPr>
        <w:spacing w:after="0" w:line="154"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b w:val="1"/>
          <w:bCs w:val="1"/>
          <w:i w:val="1"/>
          <w:iCs w:val="1"/>
          <w:color w:val="auto"/>
        </w:rPr>
        <w:t>Figure 1. CMRT Response Rate (2013-2025 Reporting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173990</wp:posOffset>
            </wp:positionV>
            <wp:extent cx="4577715" cy="237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7771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OECD Step #3:</w:t>
      </w:r>
    </w:p>
    <w:p>
      <w:pPr>
        <w:spacing w:after="0" w:line="3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Design and Implement a Strategy to Respond to Risks</w:t>
      </w:r>
    </w:p>
    <w:p>
      <w:pPr>
        <w:spacing w:after="0" w:line="99" w:lineRule="exact"/>
        <w:rPr>
          <w:sz w:val="20"/>
          <w:szCs w:val="20"/>
          <w:color w:val="auto"/>
        </w:rPr>
      </w:pPr>
    </w:p>
    <w:p>
      <w:pPr>
        <w:ind w:left="4" w:right="280"/>
        <w:spacing w:after="0" w:line="312" w:lineRule="auto"/>
        <w:rPr>
          <w:sz w:val="20"/>
          <w:szCs w:val="20"/>
          <w:color w:val="auto"/>
        </w:rPr>
      </w:pPr>
      <w:r>
        <w:rPr>
          <w:rFonts w:ascii="Times New Roman" w:cs="Times New Roman" w:eastAsia="Times New Roman" w:hAnsi="Times New Roman"/>
          <w:sz w:val="17"/>
          <w:szCs w:val="17"/>
          <w:color w:val="auto"/>
        </w:rPr>
        <w:t>We determined that 3TGs that were necessary to the functionality or production of covered devices may have originated in one or more Covered Countries. Accordingly, we performed due diligence on the source and chain-of-custody of those 3TGs to assess our conflict minerals sourcing risk.</w:t>
      </w:r>
    </w:p>
    <w:p>
      <w:pPr>
        <w:spacing w:after="0" w:line="284" w:lineRule="exact"/>
        <w:rPr>
          <w:sz w:val="20"/>
          <w:szCs w:val="20"/>
          <w:color w:val="auto"/>
        </w:rPr>
      </w:pPr>
    </w:p>
    <w:p>
      <w:pPr>
        <w:ind w:left="1424" w:hanging="439"/>
        <w:spacing w:after="0"/>
        <w:tabs>
          <w:tab w:leader="none" w:pos="1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Microsoft Supplier Specifications - H00594, H00642, and H02050</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For the 2025 RY, Microsoft required its in-scope suppliers to conduct due diligence to address the potential sourcing of 3TGs from CAHRAs, including Covered Countries, through contract requirements (H00594, H00642, and H02050), incorporating Microsoft’s supplier specifications and responsible sourcing requirements, as detailed above.</w:t>
      </w:r>
    </w:p>
    <w:p>
      <w:pPr>
        <w:spacing w:after="0" w:line="320" w:lineRule="exact"/>
        <w:rPr>
          <w:sz w:val="20"/>
          <w:szCs w:val="20"/>
          <w:color w:val="auto"/>
        </w:rPr>
      </w:pPr>
    </w:p>
    <w:p>
      <w:pPr>
        <w:ind w:left="1424" w:hanging="439"/>
        <w:spacing w:after="0"/>
        <w:tabs>
          <w:tab w:leader="none" w:pos="1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Implementation of OECD Guidance</w:t>
      </w:r>
    </w:p>
    <w:p>
      <w:pPr>
        <w:spacing w:after="0" w:line="121" w:lineRule="exact"/>
        <w:rPr>
          <w:sz w:val="20"/>
          <w:szCs w:val="20"/>
          <w:color w:val="auto"/>
        </w:rPr>
      </w:pPr>
    </w:p>
    <w:p>
      <w:pPr>
        <w:ind w:left="4" w:right="160"/>
        <w:spacing w:after="0" w:line="213" w:lineRule="auto"/>
        <w:rPr>
          <w:sz w:val="20"/>
          <w:szCs w:val="20"/>
          <w:color w:val="auto"/>
        </w:rPr>
      </w:pPr>
      <w:r>
        <w:rPr>
          <w:rFonts w:ascii="Times New Roman" w:cs="Times New Roman" w:eastAsia="Times New Roman" w:hAnsi="Times New Roman"/>
          <w:sz w:val="18"/>
          <w:szCs w:val="18"/>
          <w:color w:val="auto"/>
        </w:rPr>
        <w:t>Microsoft screened its in-scope supplier CMRT data for the 2025 RY against the OECD Guidance “red flag” triggers</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to assess the in-scope suppliers that required due diligence per the OECD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715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6"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See p. 33 of the </w:t>
      </w:r>
      <w:r>
        <w:rPr>
          <w:rFonts w:ascii="Times New Roman" w:cs="Times New Roman" w:eastAsia="Times New Roman" w:hAnsi="Times New Roman"/>
          <w:sz w:val="18"/>
          <w:szCs w:val="18"/>
          <w:u w:val="single" w:color="auto"/>
          <w:color w:val="auto"/>
        </w:rPr>
        <w:t>OECD Guidance</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4"/>
          </w:cols>
          <w:pgMar w:left="436" w:top="270" w:right="539" w:bottom="1440" w:gutter="0" w:footer="0" w:header="0"/>
        </w:sectPr>
      </w:pPr>
    </w:p>
    <w:bookmarkStart w:id="11" w:name="page12"/>
    <w:bookmarkEnd w:id="11"/>
    <w:p>
      <w:pPr>
        <w:ind w:left="984" w:right="1180" w:firstLine="224"/>
        <w:spacing w:after="0" w:line="3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EXHIBIT 1.01 – MICROSOFT CORPORATION CONFLICT MINERALS REPORT FOR 2025 REPORTING YEAR </w:t>
      </w:r>
      <w:r>
        <w:rPr>
          <w:rFonts w:ascii="Times New Roman" w:cs="Times New Roman" w:eastAsia="Times New Roman" w:hAnsi="Times New Roman"/>
          <w:sz w:val="18"/>
          <w:szCs w:val="18"/>
          <w:b w:val="1"/>
          <w:bCs w:val="1"/>
          <w:color w:val="auto"/>
        </w:rPr>
        <w:t>OECD Step #4:</w:t>
      </w:r>
    </w:p>
    <w:p>
      <w:pPr>
        <w:ind w:left="984"/>
        <w:spacing w:after="0"/>
        <w:rPr>
          <w:sz w:val="20"/>
          <w:szCs w:val="20"/>
          <w:color w:val="auto"/>
        </w:rPr>
      </w:pPr>
      <w:r>
        <w:rPr>
          <w:rFonts w:ascii="Times New Roman" w:cs="Times New Roman" w:eastAsia="Times New Roman" w:hAnsi="Times New Roman"/>
          <w:sz w:val="18"/>
          <w:szCs w:val="18"/>
          <w:b w:val="1"/>
          <w:bCs w:val="1"/>
          <w:color w:val="auto"/>
        </w:rPr>
        <w:t>Independent Third-Party Audits of Supply Chain Due Diligence</w:t>
      </w:r>
    </w:p>
    <w:p>
      <w:pPr>
        <w:spacing w:after="0" w:line="99" w:lineRule="exact"/>
        <w:rPr>
          <w:sz w:val="20"/>
          <w:szCs w:val="20"/>
          <w:color w:val="auto"/>
        </w:rPr>
      </w:pPr>
    </w:p>
    <w:p>
      <w:pPr>
        <w:ind w:left="4" w:right="200"/>
        <w:spacing w:after="0" w:line="230" w:lineRule="auto"/>
        <w:rPr>
          <w:sz w:val="20"/>
          <w:szCs w:val="20"/>
          <w:color w:val="auto"/>
        </w:rPr>
      </w:pPr>
      <w:r>
        <w:rPr>
          <w:rFonts w:ascii="Times New Roman" w:cs="Times New Roman" w:eastAsia="Times New Roman" w:hAnsi="Times New Roman"/>
          <w:sz w:val="18"/>
          <w:szCs w:val="18"/>
          <w:color w:val="auto"/>
        </w:rPr>
        <w:t>Our due diligence program leveraged independent SOR audits to provide assurance that the 266 Eligible 3TG SORs that were identified in our supply chain for the 2025 Reporting Year conducted an appropriate level of conflict minerals due diligence. Microsoft obtained SOR data from the RMAP Conformant Smelter List</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using </w:t>
      </w:r>
      <w:r>
        <w:rPr>
          <w:rFonts w:ascii="Times New Roman" w:cs="Times New Roman" w:eastAsia="Times New Roman" w:hAnsi="Times New Roman"/>
          <w:sz w:val="18"/>
          <w:szCs w:val="18"/>
          <w:i w:val="1"/>
          <w:iCs w:val="1"/>
          <w:color w:val="auto"/>
        </w:rPr>
        <w:t>Reasonable Country of Origin Inquiry Data</w:t>
      </w:r>
      <w:r>
        <w:rPr>
          <w:rFonts w:ascii="Times New Roman" w:cs="Times New Roman" w:eastAsia="Times New Roman" w:hAnsi="Times New Roman"/>
          <w:sz w:val="18"/>
          <w:szCs w:val="18"/>
          <w:color w:val="auto"/>
        </w:rPr>
        <w:t xml:space="preserve"> for member MSFT and used the SOR data to assess the conflict mineral audit status of our in-scope suppliers and to support our due diligence findings.</w:t>
      </w:r>
    </w:p>
    <w:p>
      <w:pPr>
        <w:spacing w:after="0" w:line="196"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 xml:space="preserve">Recognizing the importance of broad and consistent participation in the RMAP, Microsoft </w:t>
      </w:r>
      <w:r>
        <w:rPr>
          <w:rFonts w:ascii="Times New Roman" w:cs="Times New Roman" w:eastAsia="Times New Roman" w:hAnsi="Times New Roman"/>
          <w:sz w:val="18"/>
          <w:szCs w:val="18"/>
          <w:i w:val="1"/>
          <w:iCs w:val="1"/>
          <w:color w:val="auto"/>
        </w:rPr>
        <w:t>proactively</w:t>
      </w:r>
      <w:r>
        <w:rPr>
          <w:rFonts w:ascii="Times New Roman" w:cs="Times New Roman" w:eastAsia="Times New Roman" w:hAnsi="Times New Roman"/>
          <w:sz w:val="18"/>
          <w:szCs w:val="18"/>
          <w:color w:val="auto"/>
        </w:rPr>
        <w:t xml:space="preserve"> engages directly with certain SORs where it is believed that a SOR may be </w:t>
      </w:r>
      <w:r>
        <w:rPr>
          <w:rFonts w:ascii="Times New Roman" w:cs="Times New Roman" w:eastAsia="Times New Roman" w:hAnsi="Times New Roman"/>
          <w:sz w:val="18"/>
          <w:szCs w:val="18"/>
          <w:i w:val="1"/>
          <w:iCs w:val="1"/>
          <w:color w:val="auto"/>
        </w:rPr>
        <w:t>at risk</w:t>
      </w:r>
      <w:r>
        <w:rPr>
          <w:rFonts w:ascii="Times New Roman" w:cs="Times New Roman" w:eastAsia="Times New Roman" w:hAnsi="Times New Roman"/>
          <w:sz w:val="18"/>
          <w:szCs w:val="18"/>
          <w:color w:val="auto"/>
        </w:rPr>
        <w:t xml:space="preserve"> of becoming non-conformant. Microsoft also asks its suppliers to engage directly with potentially non-conformant SORs to prevent potential non-conformance as a Microsoft supplier. Although Microsoft’s Responsible Sourcing program operates an escalation and engagement process should non-conformant SORs be detected, taking a proactive approach to potentially non-conformant SORs helps prevent potential non-conformances from occurring.</w:t>
      </w:r>
    </w:p>
    <w:p>
      <w:pPr>
        <w:spacing w:after="0" w:line="2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OECD Step #5:</w:t>
      </w:r>
    </w:p>
    <w:p>
      <w:pPr>
        <w:spacing w:after="0" w:line="3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Report on Supply Chain Due Diligence</w:t>
      </w:r>
    </w:p>
    <w:p>
      <w:pPr>
        <w:spacing w:after="0" w:line="9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 xml:space="preserve">We have filed our CMR with the SEC and posted it on our </w:t>
      </w:r>
      <w:r>
        <w:rPr>
          <w:rFonts w:ascii="Times New Roman" w:cs="Times New Roman" w:eastAsia="Times New Roman" w:hAnsi="Times New Roman"/>
          <w:sz w:val="18"/>
          <w:szCs w:val="18"/>
          <w:u w:val="single" w:color="auto"/>
          <w:color w:val="auto"/>
        </w:rPr>
        <w:t>Microsoft Supply Chain Integrity website</w:t>
      </w:r>
      <w:r>
        <w:rPr>
          <w:rFonts w:ascii="Times New Roman" w:cs="Times New Roman" w:eastAsia="Times New Roman" w:hAnsi="Times New Roman"/>
          <w:sz w:val="18"/>
          <w:szCs w:val="18"/>
          <w:color w:val="auto"/>
        </w:rPr>
        <w:t>. The website provides additional information about Microsoft’s RSRM Program. These disclosures meet the fifth step of the OECD Guidance.</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III.</w:t>
        <w:tab/>
        <w:t>Conflict Mineral Disclosure</w:t>
      </w:r>
    </w:p>
    <w:p>
      <w:pPr>
        <w:spacing w:after="0" w:line="131" w:lineRule="exact"/>
        <w:rPr>
          <w:sz w:val="20"/>
          <w:szCs w:val="20"/>
          <w:color w:val="auto"/>
        </w:rPr>
      </w:pPr>
    </w:p>
    <w:p>
      <w:pPr>
        <w:ind w:left="1424" w:hanging="439"/>
        <w:spacing w:after="0"/>
        <w:tabs>
          <w:tab w:leader="none" w:pos="142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Reasonable Countries of Origin of 3TGs</w:t>
      </w:r>
    </w:p>
    <w:p>
      <w:pPr>
        <w:spacing w:after="0" w:line="119" w:lineRule="exact"/>
        <w:rPr>
          <w:sz w:val="20"/>
          <w:szCs w:val="20"/>
          <w:color w:val="auto"/>
        </w:rPr>
      </w:pPr>
    </w:p>
    <w:p>
      <w:pPr>
        <w:ind w:left="4" w:right="40"/>
        <w:spacing w:after="0" w:line="267" w:lineRule="auto"/>
        <w:rPr>
          <w:sz w:val="20"/>
          <w:szCs w:val="20"/>
          <w:color w:val="auto"/>
        </w:rPr>
      </w:pPr>
      <w:r>
        <w:rPr>
          <w:rFonts w:ascii="Times New Roman" w:cs="Times New Roman" w:eastAsia="Times New Roman" w:hAnsi="Times New Roman"/>
          <w:sz w:val="18"/>
          <w:szCs w:val="18"/>
          <w:color w:val="auto"/>
        </w:rPr>
        <w:t xml:space="preserve">Microsoft obtained Reasonable Country of Origin data through our RMI membership using the </w:t>
      </w:r>
      <w:r>
        <w:rPr>
          <w:rFonts w:ascii="Times New Roman" w:cs="Times New Roman" w:eastAsia="Times New Roman" w:hAnsi="Times New Roman"/>
          <w:sz w:val="18"/>
          <w:szCs w:val="18"/>
          <w:i w:val="1"/>
          <w:iCs w:val="1"/>
          <w:color w:val="auto"/>
        </w:rPr>
        <w:t>Reasonable Country of Origin Inquiry Data</w:t>
      </w:r>
      <w:r>
        <w:rPr>
          <w:rFonts w:ascii="Times New Roman" w:cs="Times New Roman" w:eastAsia="Times New Roman" w:hAnsi="Times New Roman"/>
          <w:sz w:val="18"/>
          <w:szCs w:val="18"/>
          <w:color w:val="auto"/>
        </w:rPr>
        <w:t xml:space="preserve"> for member MSFT. We used this data to determine the 3TG country of origin for the 266 Eligible SORs identified in Microsoft Devices’ supply chain for the 2025 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424" w:right="140" w:hanging="424"/>
        <w:spacing w:after="0" w:line="208" w:lineRule="auto"/>
        <w:tabs>
          <w:tab w:leader="none" w:pos="424" w:val="left"/>
        </w:tabs>
        <w:numPr>
          <w:ilvl w:val="0"/>
          <w:numId w:val="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RMAP Conformant Smelter list identifies the SORs that have undergone conformance audits through the RMAP or equivalent independent, third-party audit programs for 3TGs.</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1.01 – MICROSOFT CORPORATION CONFLICT MINERALS REPORT FOR 2025 REPORTING YEAR</w:t>
      </w:r>
    </w:p>
    <w:p>
      <w:pPr>
        <w:spacing w:after="0" w:line="1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RMAP classifies SOR audit status in the manner described in the table below. The breakdown of the identified 266 Eligible 3TG SORs (for which minerals sourcing information was available from RMAP or an equivalent, independent, third-party audit program for 3TGs) by their RMI Status was as follows:</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Audit Status</w:t>
            </w:r>
          </w:p>
        </w:tc>
        <w:tc>
          <w:tcPr>
            <w:tcW w:w="1120" w:type="dxa"/>
            <w:vAlign w:val="bottom"/>
          </w:tcPr>
          <w:p>
            <w:pPr>
              <w:spacing w:after="0"/>
              <w:rPr>
                <w:sz w:val="16"/>
                <w:szCs w:val="16"/>
                <w:color w:val="auto"/>
              </w:rPr>
            </w:pPr>
          </w:p>
        </w:tc>
        <w:tc>
          <w:tcPr>
            <w:tcW w:w="49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Audit Status Description</w:t>
            </w: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SOR Count</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83"/>
        </w:trPr>
        <w:tc>
          <w:tcPr>
            <w:tcW w:w="1900" w:type="dxa"/>
            <w:vAlign w:val="bottom"/>
            <w:tcBorders>
              <w:top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Conformant</w:t>
            </w:r>
          </w:p>
        </w:tc>
        <w:tc>
          <w:tcPr>
            <w:tcW w:w="420" w:type="dxa"/>
            <w:vAlign w:val="bottom"/>
            <w:tcBorders>
              <w:top w:val="single" w:sz="8" w:color="CCEEFF"/>
            </w:tcBorders>
            <w:shd w:val="clear" w:color="auto" w:fill="CCEEFF"/>
          </w:tcPr>
          <w:p>
            <w:pPr>
              <w:spacing w:after="0"/>
              <w:rPr>
                <w:sz w:val="15"/>
                <w:szCs w:val="15"/>
                <w:color w:val="auto"/>
              </w:rPr>
            </w:pPr>
          </w:p>
        </w:tc>
        <w:tc>
          <w:tcPr>
            <w:tcW w:w="45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SOR has been audited and found to conform with a relevant,</w:t>
            </w: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6"/>
        </w:trPr>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i w:val="1"/>
                <w:iCs w:val="1"/>
                <w:color w:val="auto"/>
              </w:rPr>
              <w:t>third-party audit protocol, including RMAP, LBMA, or RJC</w:t>
            </w:r>
          </w:p>
        </w:tc>
        <w:tc>
          <w:tcPr>
            <w:tcW w:w="1140" w:type="dxa"/>
            <w:vAlign w:val="bottom"/>
            <w:gridSpan w:val="2"/>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6"/>
              </w:rPr>
              <w:t>220</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82.7%</w:t>
            </w:r>
          </w:p>
        </w:tc>
      </w:tr>
      <w:tr>
        <w:trPr>
          <w:trHeight w:val="216"/>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4920" w:type="dxa"/>
            <w:vAlign w:val="bottom"/>
            <w:gridSpan w:val="2"/>
          </w:tcPr>
          <w:p>
            <w:pPr>
              <w:ind w:left="400"/>
              <w:spacing w:after="0"/>
              <w:rPr>
                <w:sz w:val="20"/>
                <w:szCs w:val="20"/>
                <w:color w:val="auto"/>
              </w:rPr>
            </w:pPr>
            <w:r>
              <w:rPr>
                <w:rFonts w:ascii="Times New Roman" w:cs="Times New Roman" w:eastAsia="Times New Roman" w:hAnsi="Times New Roman"/>
                <w:sz w:val="18"/>
                <w:szCs w:val="18"/>
                <w:i w:val="1"/>
                <w:iCs w:val="1"/>
                <w:color w:val="auto"/>
              </w:rPr>
              <w:t>SOR has been engaged but is not yet conformant</w:t>
            </w:r>
          </w:p>
        </w:tc>
        <w:tc>
          <w:tcPr>
            <w:tcW w:w="1140" w:type="dxa"/>
            <w:vAlign w:val="bottom"/>
            <w:gridSpan w:val="2"/>
          </w:tcPr>
          <w:p>
            <w:pPr>
              <w:jc w:val="center"/>
              <w:ind w:left="312"/>
              <w:spacing w:after="0"/>
              <w:rPr>
                <w:sz w:val="20"/>
                <w:szCs w:val="20"/>
                <w:color w:val="auto"/>
              </w:rPr>
            </w:pPr>
            <w:r>
              <w:rPr>
                <w:rFonts w:ascii="Times New Roman" w:cs="Times New Roman" w:eastAsia="Times New Roman" w:hAnsi="Times New Roman"/>
                <w:sz w:val="18"/>
                <w:szCs w:val="18"/>
                <w:color w:val="auto"/>
              </w:rPr>
              <w:t>6</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196"/>
        </w:trPr>
        <w:tc>
          <w:tcPr>
            <w:tcW w:w="1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Non-Conformant</w:t>
            </w:r>
          </w:p>
        </w:tc>
        <w:tc>
          <w:tcPr>
            <w:tcW w:w="4920" w:type="dxa"/>
            <w:vAlign w:val="bottom"/>
            <w:gridSpan w:val="2"/>
            <w:shd w:val="clear" w:color="auto" w:fill="CCEEFF"/>
          </w:tcPr>
          <w:p>
            <w:pPr>
              <w:ind w:left="400"/>
              <w:spacing w:after="0" w:line="195" w:lineRule="exact"/>
              <w:rPr>
                <w:sz w:val="20"/>
                <w:szCs w:val="20"/>
                <w:color w:val="auto"/>
              </w:rPr>
            </w:pPr>
            <w:r>
              <w:rPr>
                <w:rFonts w:ascii="Times New Roman" w:cs="Times New Roman" w:eastAsia="Times New Roman" w:hAnsi="Times New Roman"/>
                <w:sz w:val="18"/>
                <w:szCs w:val="18"/>
                <w:i w:val="1"/>
                <w:iCs w:val="1"/>
                <w:color w:val="auto"/>
              </w:rPr>
              <w:t>SOR was audited but found not to conform to a relevant,</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6"/>
        </w:trPr>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i w:val="1"/>
                <w:iCs w:val="1"/>
                <w:color w:val="auto"/>
              </w:rPr>
              <w:t>third-party audit protocol or failed to renew its assessment</w:t>
            </w:r>
          </w:p>
        </w:tc>
        <w:tc>
          <w:tcPr>
            <w:tcW w:w="1140" w:type="dxa"/>
            <w:vAlign w:val="bottom"/>
            <w:gridSpan w:val="2"/>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9"/>
              </w:rPr>
              <w:t>14</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r>
      <w:tr>
        <w:trPr>
          <w:trHeight w:val="196"/>
        </w:trPr>
        <w:tc>
          <w:tcPr>
            <w:tcW w:w="1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Outreach Required</w:t>
            </w:r>
          </w:p>
        </w:tc>
        <w:tc>
          <w:tcPr>
            <w:tcW w:w="4920" w:type="dxa"/>
            <w:vAlign w:val="bottom"/>
            <w:gridSpan w:val="2"/>
          </w:tcPr>
          <w:p>
            <w:pPr>
              <w:ind w:left="400"/>
              <w:spacing w:after="0" w:line="195" w:lineRule="exact"/>
              <w:rPr>
                <w:sz w:val="20"/>
                <w:szCs w:val="20"/>
                <w:color w:val="auto"/>
              </w:rPr>
            </w:pPr>
            <w:r>
              <w:rPr>
                <w:rFonts w:ascii="Times New Roman" w:cs="Times New Roman" w:eastAsia="Times New Roman" w:hAnsi="Times New Roman"/>
                <w:sz w:val="18"/>
                <w:szCs w:val="18"/>
                <w:i w:val="1"/>
                <w:iCs w:val="1"/>
                <w:color w:val="auto"/>
              </w:rPr>
              <w:t>SOR is not yet active, and outreach is needed by RMAP</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6"/>
        </w:trPr>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920" w:type="dxa"/>
            <w:vAlign w:val="bottom"/>
            <w:gridSpan w:val="2"/>
          </w:tcPr>
          <w:p>
            <w:pPr>
              <w:ind w:left="400"/>
              <w:spacing w:after="0"/>
              <w:rPr>
                <w:sz w:val="20"/>
                <w:szCs w:val="20"/>
                <w:color w:val="auto"/>
              </w:rPr>
            </w:pPr>
            <w:r>
              <w:rPr>
                <w:rFonts w:ascii="Times New Roman" w:cs="Times New Roman" w:eastAsia="Times New Roman" w:hAnsi="Times New Roman"/>
                <w:sz w:val="18"/>
                <w:szCs w:val="18"/>
                <w:i w:val="1"/>
                <w:iCs w:val="1"/>
                <w:color w:val="auto"/>
              </w:rPr>
              <w:t>member companies to encourage SOR participation in RMAP</w:t>
            </w:r>
          </w:p>
        </w:tc>
        <w:tc>
          <w:tcPr>
            <w:tcW w:w="1140" w:type="dxa"/>
            <w:vAlign w:val="bottom"/>
            <w:gridSpan w:val="2"/>
          </w:tcPr>
          <w:p>
            <w:pPr>
              <w:jc w:val="center"/>
              <w:ind w:left="312"/>
              <w:spacing w:after="0"/>
              <w:rPr>
                <w:sz w:val="20"/>
                <w:szCs w:val="20"/>
                <w:color w:val="auto"/>
              </w:rPr>
            </w:pPr>
            <w:r>
              <w:rPr>
                <w:rFonts w:ascii="Times New Roman" w:cs="Times New Roman" w:eastAsia="Times New Roman" w:hAnsi="Times New Roman"/>
                <w:sz w:val="18"/>
                <w:szCs w:val="18"/>
                <w:color w:val="auto"/>
              </w:rPr>
              <w:t>7</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r>
        <w:trPr>
          <w:trHeight w:val="196"/>
        </w:trPr>
        <w:tc>
          <w:tcPr>
            <w:tcW w:w="1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In Communication</w:t>
            </w:r>
          </w:p>
        </w:tc>
        <w:tc>
          <w:tcPr>
            <w:tcW w:w="4920" w:type="dxa"/>
            <w:vAlign w:val="bottom"/>
            <w:gridSpan w:val="2"/>
            <w:shd w:val="clear" w:color="auto" w:fill="CCEEFF"/>
          </w:tcPr>
          <w:p>
            <w:pPr>
              <w:ind w:left="400"/>
              <w:spacing w:after="0" w:line="195" w:lineRule="exact"/>
              <w:rPr>
                <w:sz w:val="20"/>
                <w:szCs w:val="20"/>
                <w:color w:val="auto"/>
              </w:rPr>
            </w:pPr>
            <w:r>
              <w:rPr>
                <w:rFonts w:ascii="Times New Roman" w:cs="Times New Roman" w:eastAsia="Times New Roman" w:hAnsi="Times New Roman"/>
                <w:sz w:val="18"/>
                <w:szCs w:val="18"/>
                <w:i w:val="1"/>
                <w:iCs w:val="1"/>
                <w:color w:val="auto"/>
              </w:rPr>
              <w:t>SOR is not yet active but is in communication with RMAP</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6"/>
        </w:trPr>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i w:val="1"/>
                <w:iCs w:val="1"/>
                <w:color w:val="auto"/>
              </w:rPr>
              <w:t>and/or member company</w:t>
            </w:r>
          </w:p>
        </w:tc>
        <w:tc>
          <w:tcPr>
            <w:tcW w:w="1140" w:type="dxa"/>
            <w:vAlign w:val="bottom"/>
            <w:gridSpan w:val="2"/>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r>
      <w:tr>
        <w:trPr>
          <w:trHeight w:val="194"/>
        </w:trPr>
        <w:tc>
          <w:tcPr>
            <w:tcW w:w="19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RMI Due Diligence</w:t>
            </w:r>
          </w:p>
        </w:tc>
        <w:tc>
          <w:tcPr>
            <w:tcW w:w="4920" w:type="dxa"/>
            <w:vAlign w:val="bottom"/>
            <w:gridSpan w:val="2"/>
          </w:tcPr>
          <w:p>
            <w:pPr>
              <w:ind w:left="400"/>
              <w:spacing w:after="0" w:line="194" w:lineRule="exact"/>
              <w:rPr>
                <w:sz w:val="20"/>
                <w:szCs w:val="20"/>
                <w:color w:val="auto"/>
              </w:rPr>
            </w:pPr>
            <w:r>
              <w:rPr>
                <w:rFonts w:ascii="Times New Roman" w:cs="Times New Roman" w:eastAsia="Times New Roman" w:hAnsi="Times New Roman"/>
                <w:sz w:val="18"/>
                <w:szCs w:val="18"/>
                <w:i w:val="1"/>
                <w:iCs w:val="1"/>
                <w:color w:val="auto"/>
              </w:rPr>
              <w:t>Unable to Proceed: SOR has not met the threshold for Due</w:t>
            </w: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8"/>
        </w:trPr>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Review</w:t>
            </w:r>
          </w:p>
        </w:tc>
        <w:tc>
          <w:tcPr>
            <w:tcW w:w="4920" w:type="dxa"/>
            <w:vAlign w:val="bottom"/>
            <w:gridSpan w:val="2"/>
          </w:tcPr>
          <w:p>
            <w:pPr>
              <w:ind w:left="400"/>
              <w:spacing w:after="0"/>
              <w:rPr>
                <w:sz w:val="20"/>
                <w:szCs w:val="20"/>
                <w:color w:val="auto"/>
              </w:rPr>
            </w:pPr>
            <w:r>
              <w:rPr>
                <w:rFonts w:ascii="Times New Roman" w:cs="Times New Roman" w:eastAsia="Times New Roman" w:hAnsi="Times New Roman"/>
                <w:sz w:val="18"/>
                <w:szCs w:val="18"/>
                <w:i w:val="1"/>
                <w:iCs w:val="1"/>
                <w:color w:val="auto"/>
              </w:rPr>
              <w:t>Diligence Vetting Process after a period of 6 months. Status</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6"/>
        </w:trPr>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920" w:type="dxa"/>
            <w:vAlign w:val="bottom"/>
            <w:gridSpan w:val="2"/>
          </w:tcPr>
          <w:p>
            <w:pPr>
              <w:ind w:left="400"/>
              <w:spacing w:after="0"/>
              <w:rPr>
                <w:sz w:val="20"/>
                <w:szCs w:val="20"/>
                <w:color w:val="auto"/>
              </w:rPr>
            </w:pPr>
            <w:r>
              <w:rPr>
                <w:rFonts w:ascii="Times New Roman" w:cs="Times New Roman" w:eastAsia="Times New Roman" w:hAnsi="Times New Roman"/>
                <w:sz w:val="18"/>
                <w:szCs w:val="18"/>
                <w:i w:val="1"/>
                <w:iCs w:val="1"/>
                <w:color w:val="auto"/>
              </w:rPr>
              <w:t>may change if additional information is submitted</w:t>
            </w:r>
          </w:p>
        </w:tc>
        <w:tc>
          <w:tcPr>
            <w:tcW w:w="1140" w:type="dxa"/>
            <w:vAlign w:val="bottom"/>
            <w:gridSpan w:val="2"/>
          </w:tcPr>
          <w:p>
            <w:pPr>
              <w:jc w:val="center"/>
              <w:ind w:left="312"/>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196"/>
        </w:trPr>
        <w:tc>
          <w:tcPr>
            <w:tcW w:w="1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Not Applicable</w:t>
            </w:r>
          </w:p>
        </w:tc>
        <w:tc>
          <w:tcPr>
            <w:tcW w:w="4920" w:type="dxa"/>
            <w:vAlign w:val="bottom"/>
            <w:gridSpan w:val="2"/>
            <w:shd w:val="clear" w:color="auto" w:fill="CCEEFF"/>
          </w:tcPr>
          <w:p>
            <w:pPr>
              <w:ind w:left="400"/>
              <w:spacing w:after="0" w:line="195" w:lineRule="exact"/>
              <w:rPr>
                <w:sz w:val="20"/>
                <w:szCs w:val="20"/>
                <w:color w:val="auto"/>
              </w:rPr>
            </w:pPr>
            <w:r>
              <w:rPr>
                <w:rFonts w:ascii="Times New Roman" w:cs="Times New Roman" w:eastAsia="Times New Roman" w:hAnsi="Times New Roman"/>
                <w:sz w:val="18"/>
                <w:szCs w:val="18"/>
                <w:i w:val="1"/>
                <w:iCs w:val="1"/>
                <w:color w:val="auto"/>
              </w:rPr>
              <w:t>Facility has suspended or ceased operations however</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6"/>
        </w:trPr>
        <w:tc>
          <w:tcPr>
            <w:tcW w:w="7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i w:val="1"/>
                <w:iCs w:val="1"/>
                <w:color w:val="auto"/>
              </w:rPr>
              <w:t>inventory potentially still used</w:t>
            </w:r>
          </w:p>
        </w:tc>
        <w:tc>
          <w:tcPr>
            <w:tcW w:w="1140" w:type="dxa"/>
            <w:vAlign w:val="bottom"/>
            <w:gridSpan w:val="2"/>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9"/>
              </w:rPr>
              <w:t>13</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identified 266 Eligible 3TG SORs:</w:t>
      </w:r>
    </w:p>
    <w:p>
      <w:pPr>
        <w:spacing w:after="0" w:line="131" w:lineRule="exact"/>
        <w:rPr>
          <w:sz w:val="20"/>
          <w:szCs w:val="20"/>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SORs sourced from Covered Countries, of which 31 (100%) were Conformant.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266 Eligible SORs, 226 (84.9%) were participating in a third-party audit program (either Conformant or Active);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SORs were reasonably believed to have sourced 3TGs from outside the Covered Countries.</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Microsoft found no reasonable basis for concluding that any SOR sourced 3TGs in a manner that directly or indirectly financed or benefitted armed groups in a Covered Country. Figure 2 depicts the SORs by 3TG audit status and Reporting Year.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13" w:name="page14"/>
    <w:bookmarkEnd w:id="13"/>
    <w:p>
      <w:pPr>
        <w:ind w:left="12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1.01 – MICROSOFT CORPORATION CONFLICT MINERALS REPORT FOR 2025 REPORTING YEAR</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i w:val="1"/>
          <w:iCs w:val="1"/>
          <w:color w:val="auto"/>
        </w:rPr>
        <w:t>Figure 2. Identified SORs by Audit Status (2013- 2025 Reporting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173990</wp:posOffset>
            </wp:positionV>
            <wp:extent cx="5760720" cy="2811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6072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Appendix A provides the list of 266 Eligible SORs identified in Microsoft Devices’ supply chain which processed 3TGs during the 2025 Reporting Year. Appendix A lists each SOR by mineral, official name, and country of operation.</w:t>
      </w:r>
    </w:p>
    <w:p>
      <w:pPr>
        <w:spacing w:after="0" w:line="9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20"/>
          </w:cols>
          <w:pgMar w:left="440" w:top="270" w:right="839" w:bottom="1440" w:gutter="0" w:footer="0" w:header="0"/>
        </w:sectPr>
      </w:pPr>
    </w:p>
    <w:bookmarkStart w:id="14" w:name="page15"/>
    <w:bookmarkEnd w:id="14"/>
    <w:p>
      <w:pPr>
        <w:ind w:left="440" w:right="740" w:firstLine="775"/>
        <w:spacing w:after="0" w:line="39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EXHIBIT 1.01 – MICROSOFT CORPORATION CONFLICT MINERALS REPORT FOR 2025 REPORTING YEAR </w:t>
      </w:r>
      <w:r>
        <w:rPr>
          <w:rFonts w:ascii="Times New Roman" w:cs="Times New Roman" w:eastAsia="Times New Roman" w:hAnsi="Times New Roman"/>
          <w:sz w:val="18"/>
          <w:szCs w:val="18"/>
          <w:b w:val="1"/>
          <w:bCs w:val="1"/>
          <w:color w:val="auto"/>
        </w:rPr>
        <w:t>3TG Countries of Origin</w:t>
      </w:r>
    </w:p>
    <w:p>
      <w:pPr>
        <w:spacing w:after="0" w:line="282" w:lineRule="auto"/>
        <w:rPr>
          <w:sz w:val="20"/>
          <w:szCs w:val="20"/>
          <w:color w:val="auto"/>
        </w:rPr>
      </w:pPr>
      <w:r>
        <w:rPr>
          <w:rFonts w:ascii="Times New Roman" w:cs="Times New Roman" w:eastAsia="Times New Roman" w:hAnsi="Times New Roman"/>
          <w:sz w:val="18"/>
          <w:szCs w:val="18"/>
          <w:color w:val="auto"/>
        </w:rPr>
        <w:t>The table below lists the countries of origin for the 266 Eligible SORs identified in the Microsoft Devices’ supply chain and which processed 3TG minerals during the 2025 RY.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Andorra</w:t>
            </w:r>
          </w:p>
        </w:tc>
        <w:tc>
          <w:tcPr>
            <w:tcW w:w="1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Italy</w:t>
            </w:r>
          </w:p>
        </w:tc>
        <w:tc>
          <w:tcPr>
            <w:tcW w:w="1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Tanzania</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1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1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Kazakhstan</w:t>
            </w:r>
          </w:p>
        </w:tc>
        <w:tc>
          <w:tcPr>
            <w:tcW w:w="1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c>
          <w:tcPr>
            <w:tcW w:w="1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Korea, Republic of</w:t>
            </w:r>
          </w:p>
        </w:tc>
        <w:tc>
          <w:tcPr>
            <w:tcW w:w="1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Uganda</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Bolivia</w:t>
            </w:r>
          </w:p>
        </w:tc>
        <w:tc>
          <w:tcPr>
            <w:tcW w:w="1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Malaysia</w:t>
            </w:r>
          </w:p>
        </w:tc>
        <w:tc>
          <w:tcPr>
            <w:tcW w:w="19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United States of America</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1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Mexico</w:t>
            </w:r>
          </w:p>
        </w:tc>
        <w:tc>
          <w:tcPr>
            <w:tcW w:w="1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Myanmar</w:t>
            </w:r>
          </w:p>
        </w:tc>
        <w:tc>
          <w:tcPr>
            <w:tcW w:w="1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Chile</w:t>
            </w:r>
          </w:p>
        </w:tc>
        <w:tc>
          <w:tcPr>
            <w:tcW w:w="1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Netherlands</w:t>
            </w:r>
          </w:p>
        </w:tc>
        <w:tc>
          <w:tcPr>
            <w:tcW w:w="198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Peru</w:t>
            </w:r>
          </w:p>
        </w:tc>
        <w:tc>
          <w:tcPr>
            <w:tcW w:w="198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1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Philippines</w:t>
            </w:r>
          </w:p>
        </w:tc>
        <w:tc>
          <w:tcPr>
            <w:tcW w:w="198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Congo, Democratic Republic of the</w:t>
            </w:r>
          </w:p>
        </w:tc>
        <w:tc>
          <w:tcPr>
            <w:tcW w:w="1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Poland</w:t>
            </w:r>
          </w:p>
        </w:tc>
        <w:tc>
          <w:tcPr>
            <w:tcW w:w="198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1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Rwanda</w:t>
            </w:r>
          </w:p>
        </w:tc>
        <w:tc>
          <w:tcPr>
            <w:tcW w:w="198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Estonia</w:t>
            </w:r>
          </w:p>
        </w:tc>
        <w:tc>
          <w:tcPr>
            <w:tcW w:w="1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Singapore</w:t>
            </w:r>
          </w:p>
        </w:tc>
        <w:tc>
          <w:tcPr>
            <w:tcW w:w="198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1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South Africa</w:t>
            </w:r>
          </w:p>
        </w:tc>
        <w:tc>
          <w:tcPr>
            <w:tcW w:w="198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1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Spain</w:t>
            </w:r>
          </w:p>
        </w:tc>
        <w:tc>
          <w:tcPr>
            <w:tcW w:w="198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1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Sweden</w:t>
            </w:r>
          </w:p>
        </w:tc>
        <w:tc>
          <w:tcPr>
            <w:tcW w:w="198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Switzerland</w:t>
            </w:r>
          </w:p>
        </w:tc>
        <w:tc>
          <w:tcPr>
            <w:tcW w:w="198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c>
          <w:tcPr>
            <w:tcW w:w="1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Taiwan</w:t>
            </w:r>
          </w:p>
        </w:tc>
        <w:tc>
          <w:tcPr>
            <w:tcW w:w="1980" w:type="dxa"/>
            <w:vAlign w:val="bottom"/>
          </w:tcPr>
          <w:p>
            <w:pPr>
              <w:spacing w:after="0"/>
              <w:rPr>
                <w:sz w:val="20"/>
                <w:szCs w:val="20"/>
                <w:color w:val="auto"/>
              </w:rPr>
            </w:pPr>
          </w:p>
        </w:tc>
      </w:tr>
      <w:tr>
        <w:trPr>
          <w:trHeight w:val="365"/>
        </w:trPr>
        <w:tc>
          <w:tcPr>
            <w:tcW w:w="2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0540"/>
          </w:cols>
          <w:pgMar w:left="440" w:top="270" w:right="919" w:bottom="1440" w:gutter="0" w:footer="0" w:header="0"/>
        </w:sectPr>
      </w:pPr>
    </w:p>
    <w:bookmarkStart w:id="15" w:name="page16"/>
    <w:bookmarkEnd w:id="15"/>
    <w:p>
      <w:pPr>
        <w:ind w:right="1180" w:firstLine="1215"/>
        <w:spacing w:after="0" w:line="39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EXHIBIT 1.01 – MICROSOFT CORPORATION CONFLICT MINERALS REPORT FOR 2025 REPORTING YEAR </w:t>
      </w:r>
      <w:r>
        <w:rPr>
          <w:rFonts w:ascii="Times New Roman" w:cs="Times New Roman" w:eastAsia="Times New Roman" w:hAnsi="Times New Roman"/>
          <w:sz w:val="18"/>
          <w:szCs w:val="18"/>
          <w:b w:val="1"/>
          <w:bCs w:val="1"/>
          <w:color w:val="auto"/>
        </w:rPr>
        <w:t>IV. Microsoft Commitment</w:t>
      </w: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Microsoft is committed to the responsible sourcing of raw materials in support of human rights; labor, health and safety; and environmental protection. We continue to advance implementation of our RSRM policy in our Microsoft Devices supply chain to promote supply chain identification, traceability, risk assessment, and due diligence.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2025 RY achievements included the following:</w:t>
      </w:r>
    </w:p>
    <w:p>
      <w:pPr>
        <w:spacing w:after="0" w:line="131" w:lineRule="exact"/>
        <w:rPr>
          <w:sz w:val="20"/>
          <w:szCs w:val="20"/>
          <w:color w:val="auto"/>
        </w:rPr>
      </w:pPr>
    </w:p>
    <w:p>
      <w:pPr>
        <w:ind w:left="960" w:right="56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supported supplier efforts to increase their responsible sourcing capabilities through supplier forums, training, webinars, and by providing technical resources;</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our engagements with external responsible sourcing organizations, including but not limited to the RMI, that are committed to advancing responsible sourcing on a global basis;</w:t>
      </w:r>
    </w:p>
    <w:p>
      <w:pPr>
        <w:spacing w:after="0" w:line="67"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achieved a 100% supplier CMRT response rate through extensive supplier outreach, including a supplementary campaign to directly contact suppliers and encourage reporting;</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conducted a data validation and verification program to randomly audit CMRT information submitted to us by suppliers to validate and confirm that supplier data was accurate and complete;</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Leveraged Full Material Disclosure and other supplier data to fine-tune supplier data requests and verify and confirm reported critical raw material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Going forward, Microsoft will remain focused on internal and external efforts to promote the responsible sourcing of minerals, including:</w:t>
      </w:r>
    </w:p>
    <w:p>
      <w:pPr>
        <w:spacing w:after="0" w:line="131" w:lineRule="exact"/>
        <w:rPr>
          <w:sz w:val="20"/>
          <w:szCs w:val="20"/>
          <w:color w:val="auto"/>
        </w:rPr>
      </w:pPr>
    </w:p>
    <w:p>
      <w:pPr>
        <w:ind w:left="960" w:right="20" w:hanging="42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knowledge about 3TGs, cobalt, and other critical raw materials to effectively implement our RSRM strategy to promote the responsible sourcing of raw materials across our hardware supply chains;</w:t>
      </w:r>
    </w:p>
    <w:p>
      <w:pPr>
        <w:spacing w:after="0" w:line="67" w:lineRule="exact"/>
        <w:rPr>
          <w:rFonts w:ascii="Times New Roman" w:cs="Times New Roman" w:eastAsia="Times New Roman" w:hAnsi="Times New Roman"/>
          <w:sz w:val="18"/>
          <w:szCs w:val="18"/>
          <w:color w:val="auto"/>
        </w:rPr>
      </w:pPr>
    </w:p>
    <w:p>
      <w:pPr>
        <w:ind w:left="960" w:right="620" w:hanging="42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our in-scope suppliers to meet our requirements for responsibly sourcing raw materials and finding alternative upstream suppliers if they are found to be sourcing from non-conformant SORs;</w:t>
      </w:r>
    </w:p>
    <w:p>
      <w:pPr>
        <w:spacing w:after="0" w:line="67" w:lineRule="exact"/>
        <w:rPr>
          <w:rFonts w:ascii="Times New Roman" w:cs="Times New Roman" w:eastAsia="Times New Roman" w:hAnsi="Times New Roman"/>
          <w:sz w:val="18"/>
          <w:szCs w:val="18"/>
          <w:color w:val="auto"/>
        </w:rPr>
      </w:pPr>
    </w:p>
    <w:p>
      <w:pPr>
        <w:ind w:left="960" w:right="680" w:hanging="42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with in-scope suppliers so that they utilize supplier best practices and tools for responsibly sourcing raw materials from CAHRAs, including Covered Countries;</w:t>
      </w:r>
    </w:p>
    <w:p>
      <w:pPr>
        <w:spacing w:after="0" w:line="67"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Furthering engagement with industry organizations and external stakeholders to improve mineral traceability, establish global responsible sourcing standards, and support due diligence programs in the mineral supply chain;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Eligible SORs for 2025 Reporting Year</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This Appendix lists the 266 eligible SORs which processed 3TG minerals during the 2025 RY. Please note that Eligible SORs are listed for each 3TG they processed. Therefore, certain Eligible SORs may be represented more than once.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4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8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4"/>
                <w:szCs w:val="14"/>
                <w:b w:val="1"/>
                <w:bCs w:val="1"/>
                <w:color w:val="auto"/>
              </w:rPr>
              <w:t>Country</w:t>
            </w:r>
          </w:p>
        </w:tc>
      </w:tr>
      <w:tr>
        <w:trPr>
          <w:trHeight w:val="181"/>
        </w:trPr>
        <w:tc>
          <w:tcPr>
            <w:tcW w:w="50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ABC Refinery Pty Ltd.</w:t>
            </w:r>
          </w:p>
        </w:tc>
        <w:tc>
          <w:tcPr>
            <w:tcW w:w="700" w:type="dxa"/>
            <w:vAlign w:val="bottom"/>
          </w:tcPr>
          <w:p>
            <w:pPr>
              <w:spacing w:after="0"/>
              <w:rPr>
                <w:sz w:val="15"/>
                <w:szCs w:val="15"/>
                <w:color w:val="auto"/>
              </w:rPr>
            </w:pPr>
          </w:p>
        </w:tc>
        <w:tc>
          <w:tcPr>
            <w:tcW w:w="52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Abington Reldan Metals, LLC</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Advanced Chemical Company</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Agosi AG</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Aida Chemical Industries Co., Ltd.</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Almalyk Mining and Metallurgical Complex (AMMC)</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AngloGold Ashanti Corrego do Sitio Mineracao</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Argor-Heraeus S.A.</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ASAHI METALFINE, Inc.</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Asahi Refining Canada Ltd.</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Asahi Refining USA Inc.</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Asaka Riken Co., Ltd.</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Aurubis AG, Hamburg</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Bangalore Refinery</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Bangko Sentral ng Pilipinas (Central Bank of the Philippines)</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Boliden Mineral AB (Ronnskar)</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 Hafner GmbH + Co. KG</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Caridad</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Chimet S.p.A.</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Chugai Mining</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Coimpa Industrial LTDA</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Daye Non-Ferrous Metals Mining Ltd.</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Dowa</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DSC (Do Sung Corporation)</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Eco-System Recycling Co., Ltd. East Plant</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Eco-System Recycling Co., Ltd. North Plant</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Eco-System Recycling Co., Ltd. West Plant</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Elite Industech Co., Ltd.</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GG Refinery Ltd.</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Tanzania</w:t>
            </w: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GGC Gujrat Gold Centre Pvt. Ltd.</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India</w:t>
            </w:r>
          </w:p>
        </w:tc>
      </w:tr>
      <w:tr>
        <w:trPr>
          <w:trHeight w:val="23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Glencore Canada Corporation - CCR Refinery</w:t>
            </w:r>
          </w:p>
        </w:tc>
        <w:tc>
          <w:tcPr>
            <w:tcW w:w="5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Canada</w:t>
            </w:r>
          </w:p>
        </w:tc>
      </w:tr>
      <w:tr>
        <w:trPr>
          <w:trHeight w:val="365"/>
        </w:trPr>
        <w:tc>
          <w:tcPr>
            <w:tcW w:w="8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A-1</w:t>
            </w:r>
          </w:p>
        </w:tc>
      </w:tr>
    </w:tbl>
    <w:p>
      <w:pPr>
        <w:sectPr>
          <w:pgSz w:w="11900" w:h="16838" w:orient="portrait"/>
          <w:cols w:equalWidth="0" w:num="1">
            <w:col w:w="11020"/>
          </w:cols>
          <w:pgMar w:left="440" w:top="266" w:right="439" w:bottom="1440" w:gutter="0" w:footer="0" w:header="0"/>
        </w:sectPr>
      </w:pPr>
    </w:p>
    <w:bookmarkStart w:id="17" w:name="page18"/>
    <w:bookmarkEnd w:id="17"/>
    <w:p>
      <w:pPr>
        <w:jc w:val="right"/>
        <w:ind w:right="2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1.01 – MICROSOFT CORPORATION CONFLICT MINERALS REPORT FOR 2025 REPORTING YEAR</w:t>
      </w:r>
    </w:p>
    <w:p>
      <w:pPr>
        <w:sectPr>
          <w:pgSz w:w="11900" w:h="16838" w:orient="portrait"/>
          <w:cols w:equalWidth="0" w:num="1">
            <w:col w:w="10019"/>
          </w:cols>
          <w:pgMar w:left="440" w:top="270" w:right="1440" w:bottom="1440" w:gutter="0" w:footer="0" w:header="0"/>
        </w:sectPr>
      </w:pP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 by Gold Colombia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 Corporation - The Perth Mint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 Wall Precious Metals Co., Ltd. of CBPM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Hangzhou Fuchunjiang Smelting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Heimerle + Meule GmbH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Heraeus Germany GmbH Co. KG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Heraeus Metals Hong Kong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Hunan Chenzhou Mining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Impala Platinum - Base Metal Refinery (BMR)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Impala Platinum - Platinum Metals Refinery (PMR)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Impala Platinum - Rustenburg Smelter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Inner Mongolia Qiankun Gold and Silver Refinery Share Co.,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Ishifuku Metal Industry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Istanbul Gold Refinery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Italpreziosi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Japan Mint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Jiangxi Copper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JX Advanced Metals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Kazzinc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Kennecott Utah Copper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KGHM Polska Miedz Spolka Akcyjna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Kojima Chemicals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Korea Zinc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L’Orfebre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LS MnM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LT Metal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Matsuda Sangyo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Metal Concentrators SA (Pty)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Metalor Technologies (Hong Kong)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Metalor Technologies (Singapore) Pte.,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Metalor Technologies (Suzhou)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Metalor Technologies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Metalor USA Refining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Metalurgica Met-Mex Penoles S.A. De C.V.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Mitsubishi Materials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Mitsui Mining and Smelting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MKS PAMP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MMTC-PAMP India Pvt.,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Nadir Metal Rafineri San. Ve Tic.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Navoi Mining and Metallurgical Combinat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NH Recytech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Nihon Material Co., Ltd.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Kazakhstan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 Republic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 Republic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 Republic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Uzbekistan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 Republic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139" w:lineRule="exact"/>
        <w:rPr>
          <w:sz w:val="20"/>
          <w:szCs w:val="20"/>
          <w:color w:val="auto"/>
        </w:rPr>
      </w:pPr>
    </w:p>
    <w:p>
      <w:pPr>
        <w:sectPr>
          <w:pgSz w:w="11900" w:h="16838" w:orient="portrait"/>
          <w:cols w:equalWidth="0" w:num="2">
            <w:col w:w="5120" w:space="620"/>
            <w:col w:w="4279"/>
          </w:cols>
          <w:pgMar w:left="440" w:top="270" w:right="1440" w:bottom="1440" w:gutter="0" w:footer="0" w:header="0"/>
          <w:type w:val="continuous"/>
        </w:sectPr>
      </w:pPr>
    </w:p>
    <w:p>
      <w:pPr>
        <w:ind w:left="5360"/>
        <w:spacing w:after="0"/>
        <w:rPr>
          <w:sz w:val="20"/>
          <w:szCs w:val="20"/>
          <w:color w:val="auto"/>
        </w:rPr>
      </w:pPr>
      <w:r>
        <w:rPr>
          <w:rFonts w:ascii="Times New Roman" w:cs="Times New Roman" w:eastAsia="Times New Roman" w:hAnsi="Times New Roman"/>
          <w:sz w:val="17"/>
          <w:szCs w:val="17"/>
          <w:color w:val="auto"/>
        </w:rPr>
        <w:t>A-2</w:t>
      </w:r>
    </w:p>
    <w:p>
      <w:pPr>
        <w:sectPr>
          <w:pgSz w:w="11900" w:h="16838" w:orient="portrait"/>
          <w:cols w:equalWidth="0" w:num="1">
            <w:col w:w="10019"/>
          </w:cols>
          <w:pgMar w:left="440" w:top="270" w:right="1440" w:bottom="1440" w:gutter="0" w:footer="0" w:header="0"/>
          <w:type w:val="continuous"/>
        </w:sectPr>
      </w:pPr>
    </w:p>
    <w:bookmarkStart w:id="18" w:name="page19"/>
    <w:bookmarkEnd w:id="18"/>
    <w:p>
      <w:pPr>
        <w:jc w:val="right"/>
        <w:ind w:right="2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1.01 – MICROSOFT CORPORATION CONFLICT MINERALS REPORT FOR 2025 REPORTING YEAR</w:t>
      </w:r>
    </w:p>
    <w:p>
      <w:pPr>
        <w:sectPr>
          <w:pgSz w:w="11900" w:h="16838" w:orient="portrait"/>
          <w:cols w:equalWidth="0" w:num="1">
            <w:col w:w="10019"/>
          </w:cols>
          <w:pgMar w:left="440" w:top="270" w:right="1440" w:bottom="1440" w:gutter="0" w:footer="0" w:header="0"/>
        </w:sectPr>
      </w:pP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Oegussa Oesterreichische Gold- und Silber-Scheideanstalt Gesm.b.H.</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Ohura Precious Metal Industry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Planta Recuperadora de Metales SpA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Aneka Tambang (Persero) Tbk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PX Precinox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Rand Refinery (Pty)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REMONDIS PMR B.V.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 Canadian Mint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SAFINA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SEMPSA Joyeria Plateria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Shandong Gold Smelting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Shandong Zhaojin Gold &amp; Silver Refinery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Sichuan Tianze Precious Metals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Solar Applied Materials Technology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SOLEIL METALS (Chala One Plant)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SOLEIL METALS (YAKARI Plant)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Sumitomo Metal Mining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SungEel HiMetal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T.C.A S.p.A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Tanaka Kikinzoku Kogyo K.K.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Tokuriki Honten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TOO Tau-Ken-Altyn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Torecom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Umicore S.A. Business Unit Precious Metals Refining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Precious Metal Refining,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Valcambi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WEEEREFINING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WIELAND Edelmetalle GmbH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Yamakin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Yokohama Metal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Zhongyuan Gold Smelter of Zhongjin Gold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Zijin Mining Group Gold Smelting Co. Ltd.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 Republic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Kazakhstan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 Republic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00" w:lineRule="exact"/>
        <w:rPr>
          <w:sz w:val="20"/>
          <w:szCs w:val="20"/>
          <w:color w:val="auto"/>
        </w:rPr>
      </w:pPr>
    </w:p>
    <w:p>
      <w:pPr>
        <w:sectPr>
          <w:pgSz w:w="11900" w:h="16838" w:orient="portrait"/>
          <w:cols w:equalWidth="0" w:num="2">
            <w:col w:w="5320" w:space="420"/>
            <w:col w:w="4279"/>
          </w:cols>
          <w:pgMar w:left="440" w:top="270" w:right="1440"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Tantalum</w:t>
      </w:r>
    </w:p>
    <w:p>
      <w:pPr>
        <w:sectPr>
          <w:pgSz w:w="11900" w:h="16838" w:orient="portrait"/>
          <w:cols w:equalWidth="0" w:num="1">
            <w:col w:w="10019"/>
          </w:cols>
          <w:pgMar w:left="440" w:top="270" w:right="1440"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 Name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AMG Brasil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Changsha South Tantalum Niobium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CMT Rare Metal Advanced Materials (Hunan) Co.,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Block Metals,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F&amp;X Electro-Materials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 Metals &amp; Resource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Advanced Metals Aizu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Advanced Metals Boyertown</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150" w:lineRule="exact"/>
        <w:rPr>
          <w:sz w:val="20"/>
          <w:szCs w:val="20"/>
          <w:color w:val="auto"/>
        </w:rPr>
      </w:pPr>
    </w:p>
    <w:p>
      <w:pPr>
        <w:sectPr>
          <w:pgSz w:w="11900" w:h="16838" w:orient="portrait"/>
          <w:cols w:equalWidth="0" w:num="2">
            <w:col w:w="5020" w:space="720"/>
            <w:col w:w="4279"/>
          </w:cols>
          <w:pgMar w:left="440" w:top="270" w:right="1440" w:bottom="1440" w:gutter="0" w:footer="0" w:header="0"/>
          <w:type w:val="continuous"/>
        </w:sectPr>
      </w:pPr>
    </w:p>
    <w:p>
      <w:pPr>
        <w:ind w:left="5360"/>
        <w:spacing w:after="0"/>
        <w:rPr>
          <w:sz w:val="20"/>
          <w:szCs w:val="20"/>
          <w:color w:val="auto"/>
        </w:rPr>
      </w:pPr>
      <w:r>
        <w:rPr>
          <w:rFonts w:ascii="Times New Roman" w:cs="Times New Roman" w:eastAsia="Times New Roman" w:hAnsi="Times New Roman"/>
          <w:sz w:val="17"/>
          <w:szCs w:val="17"/>
          <w:color w:val="auto"/>
        </w:rPr>
        <w:t>A-3</w:t>
      </w:r>
    </w:p>
    <w:p>
      <w:pPr>
        <w:sectPr>
          <w:pgSz w:w="11900" w:h="16838" w:orient="portrait"/>
          <w:cols w:equalWidth="0" w:num="1">
            <w:col w:w="10019"/>
          </w:cols>
          <w:pgMar w:left="440" w:top="270" w:right="1440" w:bottom="1440" w:gutter="0" w:footer="0" w:header="0"/>
          <w:type w:val="continuous"/>
        </w:sectPr>
      </w:pPr>
    </w:p>
    <w:bookmarkStart w:id="19" w:name="page20"/>
    <w:bookmarkEnd w:id="19"/>
    <w:p>
      <w:pPr>
        <w:jc w:val="right"/>
        <w:ind w:right="2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1.01 – MICROSOFT CORPORATION CONFLICT MINERALS REPORT FOR 2025 REPORTING YEAR</w:t>
      </w:r>
    </w:p>
    <w:p>
      <w:pPr>
        <w:sectPr>
          <w:pgSz w:w="11900" w:h="16838" w:orient="portrait"/>
          <w:cols w:equalWidth="0" w:num="1">
            <w:col w:w="10019"/>
          </w:cols>
          <w:pgMar w:left="440" w:top="270" w:right="1440" w:bottom="1440" w:gutter="0" w:footer="0" w:header="0"/>
        </w:sectPr>
      </w:pP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Guangdong Rising Rare Metals-EO Materials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Hengyang King Xing Lifeng New Materials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Jiangxi Dinghai Tantalum &amp; Niobium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Jiangxi Suns Nonferrous Materials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Jiangxi Tuohong New Raw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Jiujiang Janny New Material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JiuJiang JinXin Nonferrous Metals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Jiujiang Tanbre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Jiujiang Zhongao Tantalum &amp; Niobium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KEMET de Mexico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Materion Newton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Metallurgical Products India Pvt.,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Mineracao Taboca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Mitsui Kinzoku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Ningxia Orient Tantalum Industry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NPM Silmet OU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PowerX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STEREON Metals Hermsdorf GmbH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QuantumClean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Resind Industria e Comercio Ltda.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RFH Yancheng Jinye New Material Technology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Taki Chemical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TANIOBIS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TANIOBIS GmbH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TANIOBIS Japan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TANIOBIS Smelting GmbH &amp; Co. KG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Telex Metals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Ulba Metallurgical Plant JSC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XIMEI RESOURCES (GUANGDONG)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XIMEI RESOURCES(GUIZHOU) TECHNOLOGY CO.,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XinXing HaoRong Electronic Material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Yanling Jincheng Tantalum &amp; Niobium Co., Ltd.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Estonia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Rwanda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Kazakhstan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00" w:lineRule="exact"/>
        <w:rPr>
          <w:sz w:val="20"/>
          <w:szCs w:val="20"/>
          <w:color w:val="auto"/>
        </w:rPr>
      </w:pPr>
    </w:p>
    <w:p>
      <w:pPr>
        <w:sectPr>
          <w:pgSz w:w="11900" w:h="16838" w:orient="portrait"/>
          <w:cols w:equalWidth="0" w:num="2">
            <w:col w:w="5020" w:space="720"/>
            <w:col w:w="4279"/>
          </w:cols>
          <w:pgMar w:left="440" w:top="270" w:right="1440"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Tin</w:t>
      </w:r>
    </w:p>
    <w:p>
      <w:pPr>
        <w:sectPr>
          <w:pgSz w:w="11900" w:h="16838" w:orient="portrait"/>
          <w:cols w:equalWidth="0" w:num="1">
            <w:col w:w="10019"/>
          </w:cols>
          <w:pgMar w:left="440" w:top="270" w:right="1440"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 Name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Alpha Assembly Solutions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Aurubis Beerse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Aurubis Berango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Chenzhou Yunxiang Mining and Metallurgy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Chifeng Dajingzi Tin Industry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 Tin Group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CRM Fundicao De Metais E Comercio De Equipamentos Eletronicos Do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Brasil Ltda</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354" w:lineRule="exact"/>
        <w:rPr>
          <w:sz w:val="20"/>
          <w:szCs w:val="20"/>
          <w:color w:val="auto"/>
        </w:rPr>
      </w:pPr>
    </w:p>
    <w:p>
      <w:pPr>
        <w:sectPr>
          <w:pgSz w:w="11900" w:h="16838" w:orient="portrait"/>
          <w:cols w:equalWidth="0" w:num="2">
            <w:col w:w="5560" w:space="180"/>
            <w:col w:w="4279"/>
          </w:cols>
          <w:pgMar w:left="440" w:top="270" w:right="1440" w:bottom="1440" w:gutter="0" w:footer="0" w:header="0"/>
          <w:type w:val="continuous"/>
        </w:sectPr>
      </w:pPr>
    </w:p>
    <w:p>
      <w:pPr>
        <w:ind w:left="5360"/>
        <w:spacing w:after="0"/>
        <w:rPr>
          <w:sz w:val="20"/>
          <w:szCs w:val="20"/>
          <w:color w:val="auto"/>
        </w:rPr>
      </w:pPr>
      <w:r>
        <w:rPr>
          <w:rFonts w:ascii="Times New Roman" w:cs="Times New Roman" w:eastAsia="Times New Roman" w:hAnsi="Times New Roman"/>
          <w:sz w:val="17"/>
          <w:szCs w:val="17"/>
          <w:color w:val="auto"/>
        </w:rPr>
        <w:t>A-4</w:t>
      </w:r>
    </w:p>
    <w:p>
      <w:pPr>
        <w:sectPr>
          <w:pgSz w:w="11900" w:h="16838" w:orient="portrait"/>
          <w:cols w:equalWidth="0" w:num="1">
            <w:col w:w="10019"/>
          </w:cols>
          <w:pgMar w:left="440" w:top="270" w:right="1440" w:bottom="1440" w:gutter="0" w:footer="0" w:header="0"/>
          <w:type w:val="continuous"/>
        </w:sectPr>
      </w:pPr>
    </w:p>
    <w:bookmarkStart w:id="20" w:name="page21"/>
    <w:bookmarkEnd w:id="20"/>
    <w:p>
      <w:pPr>
        <w:jc w:val="right"/>
        <w:ind w:right="2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1.01 – MICROSOFT CORPORATION CONFLICT MINERALS REPORT FOR 2025 REPORTING YEAR</w:t>
      </w:r>
    </w:p>
    <w:p>
      <w:pPr>
        <w:sectPr>
          <w:pgSz w:w="11900" w:h="16838" w:orient="portrait"/>
          <w:cols w:equalWidth="0" w:num="1">
            <w:col w:w="10019"/>
          </w:cols>
          <w:pgMar w:left="440" w:top="270" w:right="1440" w:bottom="1440" w:gutter="0" w:footer="0" w:header="0"/>
        </w:sectPr>
      </w:pP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CRM Synergies EMEA, S.L.U.</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CV Ayi Jaya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CV Venus Inti Perkasa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Dongguan Best Alloys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Dowa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DS Myanmar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Empresa Metallurgica Vinto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Estanho de Rondonia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Fabrica Auricchio Industria e Comercio Ltda.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Feinhutte Halsbrucke GmbH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Fenix Metals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Gejiu Non-Ferrous Metal Processing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Gejiu Yunxin Nonferrous Electrolysis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Advanced Metals Greenbushes Pty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Guangdong Hanhe Non-ferrous Metal Limited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Hebei Anruisai Renewable Resources Recycling Co.,Ltd.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HuiChang Hill Tin Industry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Jiangxi New Nanshan Technology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Luna Smelter,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Magnu’s Minerais Metais e Ligas Ltda.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Malaysia Smelting Corporation (MSC)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Malaysia Smelting Corporation Berhad (Port Klang)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Melt Metais e Ligas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Metallic Resources,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Mineracao Taboca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Mining Minerals Resources SARL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Minsur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Mitsubishi Materials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 Manufacturing (Thailand)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 Manufacturing Philippines,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Operaciones Metalurgicas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Kay Metal,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Precious Minerals and Smelting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Aries Kencana Sejahtera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Arsed 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Artha Cipta Langgeng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ATD Makmur Mandiri Jaya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Babel Inti Perkasa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Babel Surya Alam Lestari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Bangka Prima Tin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Bangka Serumpun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Bukit Timah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Cipta Persada Mulia</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Myanmar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Bolivia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Rwanda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Congo, Democratic Republic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Bolivia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139" w:lineRule="exact"/>
        <w:rPr>
          <w:sz w:val="20"/>
          <w:szCs w:val="20"/>
          <w:color w:val="auto"/>
        </w:rPr>
      </w:pPr>
    </w:p>
    <w:p>
      <w:pPr>
        <w:sectPr>
          <w:pgSz w:w="11900" w:h="16838" w:orient="portrait"/>
          <w:cols w:equalWidth="0" w:num="2">
            <w:col w:w="5020" w:space="720"/>
            <w:col w:w="4279"/>
          </w:cols>
          <w:pgMar w:left="440" w:top="270" w:right="1440" w:bottom="1440" w:gutter="0" w:footer="0" w:header="0"/>
          <w:type w:val="continuous"/>
        </w:sectPr>
      </w:pPr>
    </w:p>
    <w:p>
      <w:pPr>
        <w:ind w:left="5360"/>
        <w:spacing w:after="0"/>
        <w:rPr>
          <w:sz w:val="20"/>
          <w:szCs w:val="20"/>
          <w:color w:val="auto"/>
        </w:rPr>
      </w:pPr>
      <w:r>
        <w:rPr>
          <w:rFonts w:ascii="Times New Roman" w:cs="Times New Roman" w:eastAsia="Times New Roman" w:hAnsi="Times New Roman"/>
          <w:sz w:val="17"/>
          <w:szCs w:val="17"/>
          <w:color w:val="auto"/>
        </w:rPr>
        <w:t>A-5</w:t>
      </w:r>
    </w:p>
    <w:p>
      <w:pPr>
        <w:sectPr>
          <w:pgSz w:w="11900" w:h="16838" w:orient="portrait"/>
          <w:cols w:equalWidth="0" w:num="1">
            <w:col w:w="10019"/>
          </w:cols>
          <w:pgMar w:left="440" w:top="270" w:right="1440" w:bottom="1440" w:gutter="0" w:footer="0" w:header="0"/>
          <w:type w:val="continuous"/>
        </w:sectPr>
      </w:pPr>
    </w:p>
    <w:bookmarkStart w:id="21" w:name="page22"/>
    <w:bookmarkEnd w:id="21"/>
    <w:p>
      <w:pPr>
        <w:jc w:val="right"/>
        <w:ind w:right="2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1.01 – MICROSOFT CORPORATION CONFLICT MINERALS REPORT FOR 2025 REPORTING YEAR</w:t>
      </w:r>
    </w:p>
    <w:p>
      <w:pPr>
        <w:sectPr>
          <w:pgSz w:w="11900" w:h="16838" w:orient="portrait"/>
          <w:cols w:equalWidth="0" w:num="1">
            <w:col w:w="10019"/>
          </w:cols>
          <w:pgMar w:left="440" w:top="270" w:right="1440" w:bottom="1440" w:gutter="0" w:footer="0" w:header="0"/>
        </w:sectPr>
      </w:pP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Masbro Alam Stania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Menara Cipta Mulia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Mitra Stania Prima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Mitra Sukses Globalindo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Premium Tin 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Prima Timah Utama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Putera Sarana Shakti (PT PSS)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Rajawali Rimba Perkasa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Rajehan Ariq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Refined Bangka Tin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Sariwiguna Binasentosa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Stanindo Inti Perkasa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Sukses Inti Makmur (SIM)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Timah Tbk Kundur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Timah Tbk Mentok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Tinindo Inter Nusa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 Tommy Utama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Resind Industria e Comercio Ltda.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Rui Da Hung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 Metais Ltda.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 Ligas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Takehara PVD Materials Plant / PVD Materials Division of MITSUI</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ectPr>
          <w:pgSz w:w="11900" w:h="16838" w:orient="portrait"/>
          <w:cols w:equalWidth="0" w:num="2">
            <w:col w:w="5260" w:space="480"/>
            <w:col w:w="4279"/>
          </w:cols>
          <w:pgMar w:left="44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MINING &amp; SMELTING CO., LTD.</w:t>
      </w:r>
    </w:p>
    <w:p>
      <w:pPr>
        <w:sectPr>
          <w:pgSz w:w="11900" w:h="16838" w:orient="portrait"/>
          <w:cols w:equalWidth="0" w:num="1">
            <w:col w:w="10019"/>
          </w:cols>
          <w:pgMar w:left="440" w:top="270"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Thai Nguyen Mining and Metallurgy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Thaisarco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Tin Smelting Branch of Yunnan Tin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Tin Technology &amp; Refining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TRATHO Metal Quimica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White Solder Metalurgia e Mineracao Ltda.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Woodcross Smelting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Yunnan Chengfeng Non-ferrous Metals Co.,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Yunnan Yunfan Non-ferrous Metals Co., Ltd.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Vietnam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Uganda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00" w:lineRule="exact"/>
        <w:rPr>
          <w:sz w:val="20"/>
          <w:szCs w:val="20"/>
          <w:color w:val="auto"/>
        </w:rPr>
      </w:pPr>
    </w:p>
    <w:p>
      <w:pPr>
        <w:sectPr>
          <w:pgSz w:w="11900" w:h="16838" w:orient="portrait"/>
          <w:cols w:equalWidth="0" w:num="2">
            <w:col w:w="5020" w:space="720"/>
            <w:col w:w="4279"/>
          </w:cols>
          <w:pgMar w:left="440" w:top="270" w:right="1440"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Tungsten</w:t>
      </w:r>
    </w:p>
    <w:p>
      <w:pPr>
        <w:sectPr>
          <w:pgSz w:w="11900" w:h="16838" w:orient="portrait"/>
          <w:cols w:equalWidth="0" w:num="1">
            <w:col w:w="10019"/>
          </w:cols>
          <w:pgMar w:left="440" w:top="270" w:right="1440"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 Name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A.L.M.T.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 Tungsten Products Vietnam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 Molybdenum Tungsten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Chongyi Zhangyuan Tungsten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Cronimet Brasil Ltda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Fujian Xinlu Tungsten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Ganzhou Huaxing Tungsten Products Co.,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Ganzhou Jiangwu Ferrotungsten Co., Ltd.</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Vietnam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139" w:lineRule="exact"/>
        <w:rPr>
          <w:sz w:val="20"/>
          <w:szCs w:val="20"/>
          <w:color w:val="auto"/>
        </w:rPr>
      </w:pPr>
    </w:p>
    <w:p>
      <w:pPr>
        <w:sectPr>
          <w:pgSz w:w="11900" w:h="16838" w:orient="portrait"/>
          <w:cols w:equalWidth="0" w:num="2">
            <w:col w:w="5020" w:space="720"/>
            <w:col w:w="4279"/>
          </w:cols>
          <w:pgMar w:left="440" w:top="270" w:right="1440" w:bottom="1440" w:gutter="0" w:footer="0" w:header="0"/>
          <w:type w:val="continuous"/>
        </w:sectPr>
      </w:pPr>
    </w:p>
    <w:p>
      <w:pPr>
        <w:ind w:left="5360"/>
        <w:spacing w:after="0"/>
        <w:rPr>
          <w:sz w:val="20"/>
          <w:szCs w:val="20"/>
          <w:color w:val="auto"/>
        </w:rPr>
      </w:pPr>
      <w:r>
        <w:rPr>
          <w:rFonts w:ascii="Times New Roman" w:cs="Times New Roman" w:eastAsia="Times New Roman" w:hAnsi="Times New Roman"/>
          <w:sz w:val="17"/>
          <w:szCs w:val="17"/>
          <w:color w:val="auto"/>
        </w:rPr>
        <w:t>A-6</w:t>
      </w:r>
    </w:p>
    <w:p>
      <w:pPr>
        <w:sectPr>
          <w:pgSz w:w="11900" w:h="16838" w:orient="portrait"/>
          <w:cols w:equalWidth="0" w:num="1">
            <w:col w:w="10019"/>
          </w:cols>
          <w:pgMar w:left="440" w:top="270" w:right="1440" w:bottom="1440" w:gutter="0" w:footer="0" w:header="0"/>
          <w:type w:val="continuous"/>
        </w:sectPr>
      </w:pPr>
    </w:p>
    <w:bookmarkStart w:id="22" w:name="page23"/>
    <w:bookmarkEnd w:id="22"/>
    <w:p>
      <w:pPr>
        <w:jc w:val="right"/>
        <w:ind w:right="2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1.01 – MICROSOFT CORPORATION CONFLICT MINERALS REPORT FOR 2025 REPORTING YEAR</w:t>
      </w:r>
    </w:p>
    <w:p>
      <w:pPr>
        <w:sectPr>
          <w:pgSz w:w="11900" w:h="16838" w:orient="portrait"/>
          <w:cols w:equalWidth="0" w:num="1">
            <w:col w:w="10019"/>
          </w:cols>
          <w:pgMar w:left="440" w:top="270" w:right="1440" w:bottom="1440" w:gutter="0" w:footer="0" w:header="0"/>
        </w:sectPr>
      </w:pP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Ganzhou Seadragon W &amp; Mo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Tungsten &amp; Powders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Guangdong Xianglu Tungsten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H.C. Starck Tungsten GmbH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Hubei Green Tungsten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Hunan Chenzhou Mining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Hunan Shizhuyuan Nonferrous Metals Co., Ltd. Chenzhou Tungsten</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ectPr>
          <w:pgSz w:w="11900" w:h="16838" w:orient="portrait"/>
          <w:cols w:equalWidth="0" w:num="2">
            <w:col w:w="5260" w:space="480"/>
            <w:col w:w="4279"/>
          </w:cols>
          <w:pgMar w:left="440" w:top="2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Products Branch</w:t>
      </w:r>
    </w:p>
    <w:p>
      <w:pPr>
        <w:sectPr>
          <w:pgSz w:w="11900" w:h="16838" w:orient="portrait"/>
          <w:cols w:equalWidth="0" w:num="1">
            <w:col w:w="10019"/>
          </w:cols>
          <w:pgMar w:left="440" w:top="270"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Japan New Metals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Jiangwu H.C. Starck Tungsten Products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Jiangxi Gan Bei Tungsten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Jiangxi Tonggu Non-ferrous Metallurgical &amp; Chemical Co.,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Jiangxi Xinsheng Tungsten Industry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Jiangxi Yaosheng Tungsten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Jing Yuan Tungsten Technology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KENEE MINING VIETNAM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Kennametal Fallon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Kennametal Huntsville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Lianyou Metals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Lianyou Resources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Malipo Haiyu Tungsten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Masan High-Tech Materials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Niagara Refining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Philippine Bonway Manufacturing Industrial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Philippine Carreytech Metal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Philippine Chuangxin Industrial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Shinwon Tungsten (Fujian Shanghang)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TANIOBIS Smelting GmbH &amp; Co. KG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Tungsten Vietnam Joint Stock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Wolfram Bergbau und Hutten AG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Xiamen Tungsten (H.C.)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Xiamen Tungsten Co., Ltd.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Vietnam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Vietnam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Vietnam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139" w:lineRule="exact"/>
        <w:rPr>
          <w:sz w:val="20"/>
          <w:szCs w:val="20"/>
          <w:color w:val="auto"/>
        </w:rPr>
      </w:pPr>
    </w:p>
    <w:p>
      <w:pPr>
        <w:sectPr>
          <w:pgSz w:w="11900" w:h="16838" w:orient="portrait"/>
          <w:cols w:equalWidth="0" w:num="2">
            <w:col w:w="5020" w:space="720"/>
            <w:col w:w="4279"/>
          </w:cols>
          <w:pgMar w:left="440" w:top="270" w:right="1440" w:bottom="1440" w:gutter="0" w:footer="0" w:header="0"/>
          <w:type w:val="continuous"/>
        </w:sectPr>
      </w:pPr>
    </w:p>
    <w:p>
      <w:pPr>
        <w:ind w:left="5400"/>
        <w:spacing w:after="0"/>
        <w:rPr>
          <w:sz w:val="20"/>
          <w:szCs w:val="20"/>
          <w:color w:val="auto"/>
        </w:rPr>
      </w:pPr>
      <w:r>
        <w:rPr>
          <w:rFonts w:ascii="Times New Roman" w:cs="Times New Roman" w:eastAsia="Times New Roman" w:hAnsi="Times New Roman"/>
          <w:sz w:val="18"/>
          <w:szCs w:val="18"/>
          <w:color w:val="auto"/>
        </w:rPr>
        <w:t>A7</w:t>
      </w:r>
    </w:p>
    <w:sectPr>
      <w:pgSz w:w="11900" w:h="16838" w:orient="portrait"/>
      <w:cols w:equalWidth="0" w:num="1">
        <w:col w:w="10019"/>
      </w:cols>
      <w:pgMar w:left="4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upperLetter"/>
      <w:start w:val="9"/>
    </w:lvl>
  </w:abstractNum>
  <w:abstractNum w:abstractNumId="2">
    <w:nsid w:val="3352255A"/>
    <w:multiLevelType w:val="hybridMultilevel"/>
    <w:lvl w:ilvl="0">
      <w:lvlJc w:val="left"/>
      <w:lvlText w:val="1"/>
      <w:numFmt w:val="bullet"/>
      <w:start w:val="1"/>
    </w:lvl>
  </w:abstractNum>
  <w:abstractNum w:abstractNumId="3">
    <w:nsid w:val="109CF92E"/>
    <w:multiLevelType w:val="hybridMultilevel"/>
    <w:lvl w:ilvl="0">
      <w:lvlJc w:val="left"/>
      <w:lvlText w:val="2"/>
      <w:numFmt w:val="bullet"/>
      <w:start w:val="1"/>
    </w:lvl>
  </w:abstractNum>
  <w:abstractNum w:abstractNumId="4">
    <w:nsid w:val="DED7263"/>
    <w:multiLevelType w:val="hybridMultilevel"/>
    <w:lvl w:ilvl="0">
      <w:lvlJc w:val="left"/>
      <w:lvlText w:val="%1."/>
      <w:numFmt w:val="upperLetter"/>
      <w:start w:val="35"/>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2"/>
    </w:lvl>
  </w:abstractNum>
  <w:abstractNum w:abstractNumId="7">
    <w:nsid w:val="41A7C4C9"/>
    <w:multiLevelType w:val="hybridMultilevel"/>
    <w:lvl w:ilvl="0">
      <w:lvlJc w:val="left"/>
      <w:lvlText w:val="%1."/>
      <w:numFmt w:val="decimal"/>
      <w:start w:val="3"/>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4"/>
    </w:lvl>
  </w:abstractNum>
  <w:abstractNum w:abstractNumId="10">
    <w:nsid w:val="25E45D32"/>
    <w:multiLevelType w:val="hybridMultilevel"/>
    <w:lvl w:ilvl="0">
      <w:lvlJc w:val="left"/>
      <w:lvlText w:val="%1."/>
      <w:numFmt w:val="decimal"/>
      <w:start w:val="5"/>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6"/>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3"/>
      <w:numFmt w:val="bullet"/>
      <w:start w:val="1"/>
    </w:lvl>
  </w:abstractNum>
  <w:abstractNum w:abstractNumId="15">
    <w:nsid w:val="257130A3"/>
    <w:multiLevelType w:val="hybridMultilevel"/>
    <w:lvl w:ilvl="0">
      <w:lvlJc w:val="left"/>
      <w:lvlText w:val="%1."/>
      <w:numFmt w:val="decimal"/>
      <w:start w:val="7"/>
    </w:lvl>
  </w:abstractNum>
  <w:abstractNum w:abstractNumId="16">
    <w:nsid w:val="62BBD95A"/>
    <w:multiLevelType w:val="hybridMultilevel"/>
    <w:lvl w:ilvl="0">
      <w:lvlJc w:val="left"/>
      <w:lvlText w:val="%1."/>
      <w:numFmt w:val="decimal"/>
      <w:start w:val="8"/>
    </w:lvl>
  </w:abstractNum>
  <w:abstractNum w:abstractNumId="17">
    <w:nsid w:val="436C6125"/>
    <w:multiLevelType w:val="hybridMultilevel"/>
    <w:lvl w:ilvl="0">
      <w:lvlJc w:val="left"/>
      <w:lvlText w:val="4"/>
      <w:numFmt w:val="bullet"/>
      <w:start w:val="1"/>
    </w:lvl>
  </w:abstractNum>
  <w:abstractNum w:abstractNumId="18">
    <w:nsid w:val="628C895D"/>
    <w:multiLevelType w:val="hybridMultilevel"/>
    <w:lvl w:ilvl="0">
      <w:lvlJc w:val="left"/>
      <w:lvlText w:val="%1."/>
      <w:numFmt w:val="upperLetter"/>
      <w:start w:val="1"/>
    </w:lvl>
  </w:abstractNum>
  <w:abstractNum w:abstractNumId="19">
    <w:nsid w:val="333AB105"/>
    <w:multiLevelType w:val="hybridMultilevel"/>
    <w:lvl w:ilvl="0">
      <w:lvlJc w:val="left"/>
      <w:lvlText w:val="5"/>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2026-05-28T18:31:16Z</dcterms:created>
  <dcterms:modified xsi:type="dcterms:W3CDTF">2026-05-28T18:31:16Z</dcterms:modified>
</cp:coreProperties>
</file>