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66675</wp:posOffset>
            </wp:positionV>
            <wp:extent cx="1619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89535</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8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115"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115" w:lineRule="exact"/>
        <w:rPr>
          <w:sz w:val="24"/>
          <w:szCs w:val="24"/>
          <w:color w:val="auto"/>
        </w:rPr>
      </w:pPr>
    </w:p>
    <w:p>
      <w:pPr>
        <w:ind w:left="540"/>
        <w:spacing w:after="0"/>
        <w:tabs>
          <w:tab w:leader="none" w:pos="3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71755</wp:posOffset>
            </wp:positionV>
            <wp:extent cx="1619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105410</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40"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91-1144442</w:t>
      </w:r>
    </w:p>
    <w:p>
      <w:pPr>
        <w:spacing w:after="0" w:line="34" w:lineRule="exact"/>
        <w:rPr>
          <w:sz w:val="24"/>
          <w:szCs w:val="24"/>
          <w:color w:val="auto"/>
        </w:rPr>
      </w:pPr>
    </w:p>
    <w:p>
      <w:pPr>
        <w:sectPr>
          <w:pgSz w:w="11900" w:h="16838" w:orient="portrait"/>
          <w:cols w:equalWidth="0" w:num="2">
            <w:col w:w="7400" w:space="720"/>
            <w:col w:w="3120"/>
          </w:cols>
          <w:pgMar w:left="320" w:top="333"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47" w:lineRule="exact"/>
        <w:rPr>
          <w:sz w:val="24"/>
          <w:szCs w:val="24"/>
          <w:color w:val="auto"/>
        </w:rPr>
      </w:pPr>
    </w:p>
    <w:p>
      <w:pPr>
        <w:sectPr>
          <w:pgSz w:w="11900" w:h="16838" w:orient="portrait"/>
          <w:cols w:equalWidth="0" w:num="2">
            <w:col w:w="7500" w:space="720"/>
            <w:col w:w="3020"/>
          </w:cols>
          <w:pgMar w:left="320" w:top="333"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5"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5"/>
                <w:szCs w:val="15"/>
                <w:color w:val="auto"/>
              </w:rPr>
              <w:t>Title of each class</w:t>
            </w:r>
          </w:p>
        </w:tc>
        <w:tc>
          <w:tcPr>
            <w:tcW w:w="234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4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89"/>
        </w:trPr>
        <w:tc>
          <w:tcPr>
            <w:tcW w:w="448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340" w:type="dxa"/>
            <w:vAlign w:val="bottom"/>
          </w:tcPr>
          <w:p>
            <w:pPr>
              <w:jc w:val="center"/>
              <w:ind w:right="4"/>
              <w:spacing w:after="0"/>
              <w:rPr>
                <w:sz w:val="20"/>
                <w:szCs w:val="20"/>
                <w:color w:val="auto"/>
              </w:rPr>
            </w:pPr>
            <w:r>
              <w:rPr>
                <w:rFonts w:ascii="Arial" w:cs="Arial" w:eastAsia="Arial" w:hAnsi="Arial"/>
                <w:sz w:val="15"/>
                <w:szCs w:val="15"/>
                <w:b w:val="1"/>
                <w:bCs w:val="1"/>
                <w:color w:val="auto"/>
              </w:rPr>
              <w:t>MSFT</w:t>
            </w:r>
          </w:p>
        </w:tc>
        <w:tc>
          <w:tcPr>
            <w:tcW w:w="3340" w:type="dxa"/>
            <w:vAlign w:val="bottom"/>
          </w:tcPr>
          <w:p>
            <w:pPr>
              <w:jc w:val="center"/>
              <w:ind w:left="644"/>
              <w:spacing w:after="0"/>
              <w:rPr>
                <w:sz w:val="20"/>
                <w:szCs w:val="20"/>
                <w:color w:val="auto"/>
              </w:rPr>
            </w:pPr>
            <w:r>
              <w:rPr>
                <w:rFonts w:ascii="Arial" w:cs="Arial" w:eastAsia="Arial" w:hAnsi="Arial"/>
                <w:sz w:val="15"/>
                <w:szCs w:val="15"/>
                <w:b w:val="1"/>
                <w:bCs w:val="1"/>
                <w:color w:val="auto"/>
              </w:rPr>
              <w:t>NASDAQ</w:t>
            </w:r>
          </w:p>
        </w:tc>
      </w:tr>
      <w:tr>
        <w:trPr>
          <w:trHeight w:val="162"/>
        </w:trPr>
        <w:tc>
          <w:tcPr>
            <w:tcW w:w="4480" w:type="dxa"/>
            <w:vAlign w:val="bottom"/>
          </w:tcPr>
          <w:p>
            <w:pPr>
              <w:spacing w:after="0" w:line="162" w:lineRule="exact"/>
              <w:rPr>
                <w:sz w:val="20"/>
                <w:szCs w:val="20"/>
                <w:color w:val="auto"/>
              </w:rPr>
            </w:pPr>
            <w:r>
              <w:rPr>
                <w:rFonts w:ascii="Arial" w:cs="Arial" w:eastAsia="Arial" w:hAnsi="Arial"/>
                <w:sz w:val="15"/>
                <w:szCs w:val="15"/>
                <w:b w:val="1"/>
                <w:bCs w:val="1"/>
                <w:color w:val="auto"/>
              </w:rPr>
              <w:t>2.125% Notes due 2021</w:t>
            </w:r>
          </w:p>
        </w:tc>
        <w:tc>
          <w:tcPr>
            <w:tcW w:w="2340" w:type="dxa"/>
            <w:vAlign w:val="bottom"/>
          </w:tcPr>
          <w:p>
            <w:pPr>
              <w:jc w:val="center"/>
              <w:ind w:right="4"/>
              <w:spacing w:after="0" w:line="162" w:lineRule="exact"/>
              <w:rPr>
                <w:sz w:val="20"/>
                <w:szCs w:val="20"/>
                <w:color w:val="auto"/>
              </w:rPr>
            </w:pPr>
            <w:r>
              <w:rPr>
                <w:rFonts w:ascii="Arial" w:cs="Arial" w:eastAsia="Arial" w:hAnsi="Arial"/>
                <w:sz w:val="15"/>
                <w:szCs w:val="15"/>
                <w:b w:val="1"/>
                <w:bCs w:val="1"/>
                <w:color w:val="auto"/>
              </w:rPr>
              <w:t>MSFT</w:t>
            </w:r>
          </w:p>
        </w:tc>
        <w:tc>
          <w:tcPr>
            <w:tcW w:w="3340" w:type="dxa"/>
            <w:vAlign w:val="bottom"/>
          </w:tcPr>
          <w:p>
            <w:pPr>
              <w:jc w:val="center"/>
              <w:ind w:left="644"/>
              <w:spacing w:after="0" w:line="162" w:lineRule="exact"/>
              <w:rPr>
                <w:sz w:val="20"/>
                <w:szCs w:val="20"/>
                <w:color w:val="auto"/>
              </w:rPr>
            </w:pPr>
            <w:r>
              <w:rPr>
                <w:rFonts w:ascii="Arial" w:cs="Arial" w:eastAsia="Arial" w:hAnsi="Arial"/>
                <w:sz w:val="15"/>
                <w:szCs w:val="15"/>
                <w:b w:val="1"/>
                <w:bCs w:val="1"/>
                <w:color w:val="auto"/>
              </w:rPr>
              <w:t>NASDAQ</w:t>
            </w:r>
          </w:p>
        </w:tc>
      </w:tr>
      <w:tr>
        <w:trPr>
          <w:trHeight w:val="162"/>
        </w:trPr>
        <w:tc>
          <w:tcPr>
            <w:tcW w:w="448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40" w:type="dxa"/>
            <w:vAlign w:val="bottom"/>
          </w:tcPr>
          <w:p>
            <w:pPr>
              <w:jc w:val="center"/>
              <w:ind w:right="4"/>
              <w:spacing w:after="0" w:line="162" w:lineRule="exact"/>
              <w:rPr>
                <w:sz w:val="20"/>
                <w:szCs w:val="20"/>
                <w:color w:val="auto"/>
              </w:rPr>
            </w:pPr>
            <w:r>
              <w:rPr>
                <w:rFonts w:ascii="Arial" w:cs="Arial" w:eastAsia="Arial" w:hAnsi="Arial"/>
                <w:sz w:val="15"/>
                <w:szCs w:val="15"/>
                <w:b w:val="1"/>
                <w:bCs w:val="1"/>
                <w:color w:val="auto"/>
              </w:rPr>
              <w:t>MSFT</w:t>
            </w:r>
          </w:p>
        </w:tc>
        <w:tc>
          <w:tcPr>
            <w:tcW w:w="3340" w:type="dxa"/>
            <w:vAlign w:val="bottom"/>
          </w:tcPr>
          <w:p>
            <w:pPr>
              <w:jc w:val="center"/>
              <w:ind w:left="644"/>
              <w:spacing w:after="0" w:line="162" w:lineRule="exact"/>
              <w:rPr>
                <w:sz w:val="20"/>
                <w:szCs w:val="20"/>
                <w:color w:val="auto"/>
              </w:rPr>
            </w:pPr>
            <w:r>
              <w:rPr>
                <w:rFonts w:ascii="Arial" w:cs="Arial" w:eastAsia="Arial" w:hAnsi="Arial"/>
                <w:sz w:val="15"/>
                <w:szCs w:val="15"/>
                <w:b w:val="1"/>
                <w:bCs w:val="1"/>
                <w:color w:val="auto"/>
              </w:rPr>
              <w:t>NASDAQ</w:t>
            </w:r>
          </w:p>
        </w:tc>
      </w:tr>
      <w:tr>
        <w:trPr>
          <w:trHeight w:val="202"/>
        </w:trPr>
        <w:tc>
          <w:tcPr>
            <w:tcW w:w="448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40" w:type="dxa"/>
            <w:vAlign w:val="bottom"/>
          </w:tcPr>
          <w:p>
            <w:pPr>
              <w:jc w:val="center"/>
              <w:ind w:right="4"/>
              <w:spacing w:after="0"/>
              <w:rPr>
                <w:sz w:val="20"/>
                <w:szCs w:val="20"/>
                <w:color w:val="auto"/>
              </w:rPr>
            </w:pPr>
            <w:r>
              <w:rPr>
                <w:rFonts w:ascii="Arial" w:cs="Arial" w:eastAsia="Arial" w:hAnsi="Arial"/>
                <w:sz w:val="15"/>
                <w:szCs w:val="15"/>
                <w:b w:val="1"/>
                <w:bCs w:val="1"/>
                <w:color w:val="auto"/>
              </w:rPr>
              <w:t>MSFT</w:t>
            </w:r>
          </w:p>
        </w:tc>
        <w:tc>
          <w:tcPr>
            <w:tcW w:w="3340" w:type="dxa"/>
            <w:vAlign w:val="bottom"/>
          </w:tcPr>
          <w:p>
            <w:pPr>
              <w:jc w:val="center"/>
              <w:ind w:left="644"/>
              <w:spacing w:after="0"/>
              <w:rPr>
                <w:sz w:val="20"/>
                <w:szCs w:val="20"/>
                <w:color w:val="auto"/>
              </w:rPr>
            </w:pPr>
            <w:r>
              <w:rPr>
                <w:rFonts w:ascii="Arial" w:cs="Arial" w:eastAsia="Arial" w:hAnsi="Arial"/>
                <w:sz w:val="15"/>
                <w:szCs w:val="15"/>
                <w:b w:val="1"/>
                <w:bCs w:val="1"/>
                <w:color w:val="auto"/>
              </w:rPr>
              <w:t>NASDAQ</w:t>
            </w:r>
          </w:p>
        </w:tc>
      </w:tr>
      <w:tr>
        <w:trPr>
          <w:trHeight w:val="230"/>
        </w:trPr>
        <w:tc>
          <w:tcPr>
            <w:tcW w:w="4480" w:type="dxa"/>
            <w:vAlign w:val="bottom"/>
          </w:tcPr>
          <w:p>
            <w:pPr>
              <w:spacing w:after="0"/>
              <w:rPr>
                <w:sz w:val="20"/>
                <w:szCs w:val="20"/>
                <w:color w:val="auto"/>
              </w:rPr>
            </w:pPr>
            <w:r>
              <w:rPr>
                <w:rFonts w:ascii="Arial" w:cs="Arial" w:eastAsia="Arial" w:hAnsi="Arial"/>
                <w:sz w:val="15"/>
                <w:szCs w:val="15"/>
                <w:color w:val="auto"/>
              </w:rPr>
              <w:t>Securities registered pursuant to Section 12(g) of the Act:</w:t>
            </w:r>
          </w:p>
        </w:tc>
        <w:tc>
          <w:tcPr>
            <w:tcW w:w="23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5"/>
                <w:szCs w:val="15"/>
                <w:b w:val="1"/>
                <w:bCs w:val="1"/>
                <w:color w:val="auto"/>
              </w:rPr>
              <w:t>NONE</w:t>
            </w:r>
          </w:p>
        </w:tc>
        <w:tc>
          <w:tcPr>
            <w:tcW w:w="2340" w:type="dxa"/>
            <w:vAlign w:val="bottom"/>
          </w:tcPr>
          <w:p>
            <w:pPr>
              <w:spacing w:after="0"/>
              <w:rPr>
                <w:sz w:val="19"/>
                <w:szCs w:val="19"/>
                <w:color w:val="auto"/>
              </w:rPr>
            </w:pPr>
          </w:p>
        </w:tc>
        <w:tc>
          <w:tcPr>
            <w:tcW w:w="3340" w:type="dxa"/>
            <w:vAlign w:val="bottom"/>
          </w:tcPr>
          <w:p>
            <w:pPr>
              <w:spacing w:after="0"/>
              <w:rPr>
                <w:sz w:val="19"/>
                <w:szCs w:val="19"/>
                <w:color w:val="auto"/>
              </w:rPr>
            </w:pPr>
          </w:p>
        </w:tc>
      </w:tr>
    </w:tbl>
    <w:p>
      <w:pPr>
        <w:spacing w:after="0" w:line="45" w:lineRule="exact"/>
        <w:rPr>
          <w:sz w:val="24"/>
          <w:szCs w:val="24"/>
          <w:color w:val="auto"/>
        </w:rPr>
      </w:pPr>
    </w:p>
    <w:p>
      <w:pPr>
        <w:jc w:val="both"/>
        <w:spacing w:after="0" w:line="23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jc w:val="both"/>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3" w:right="339" w:bottom="1440" w:gutter="0" w:footer="0" w:header="0"/>
          <w:type w:val="continuous"/>
        </w:sectPr>
      </w:pPr>
    </w:p>
    <w:p>
      <w:pPr>
        <w:spacing w:after="0" w:line="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7640" w:space="720"/>
            <w:col w:w="2880"/>
          </w:cols>
          <w:pgMar w:left="320" w:top="333"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1" w:lineRule="exact"/>
        <w:rPr>
          <w:sz w:val="24"/>
          <w:szCs w:val="24"/>
          <w:color w:val="auto"/>
        </w:rPr>
      </w:pPr>
    </w:p>
    <w:p>
      <w:pPr>
        <w:sectPr>
          <w:pgSz w:w="11900" w:h="16838" w:orient="portrait"/>
          <w:cols w:equalWidth="0" w:num="2">
            <w:col w:w="7640" w:space="720"/>
            <w:col w:w="2880"/>
          </w:cols>
          <w:pgMar w:left="320" w:top="333" w:right="339" w:bottom="1440" w:gutter="0" w:footer="0" w:header="0"/>
          <w:type w:val="continuous"/>
        </w:sect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8420" w:type="dxa"/>
            <w:vAlign w:val="bottom"/>
          </w:tcPr>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p>
        </w:tc>
        <w:tc>
          <w:tcPr>
            <w:tcW w:w="2820" w:type="dxa"/>
            <w:vAlign w:val="bottom"/>
          </w:tcPr>
          <w:p>
            <w:pPr>
              <w:ind w:left="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40"/>
        </w:trPr>
        <w:tc>
          <w:tcPr>
            <w:tcW w:w="8420" w:type="dxa"/>
            <w:vAlign w:val="bottom"/>
          </w:tcPr>
          <w:p>
            <w:pPr>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tc>
        <w:tc>
          <w:tcPr>
            <w:tcW w:w="2820" w:type="dxa"/>
            <w:vAlign w:val="bottom"/>
          </w:tcPr>
          <w:p>
            <w:pPr>
              <w:spacing w:after="0"/>
              <w:rPr>
                <w:sz w:val="20"/>
                <w:szCs w:val="20"/>
                <w:color w:val="auto"/>
              </w:rPr>
            </w:pPr>
          </w:p>
        </w:tc>
      </w:tr>
      <w:tr>
        <w:trPr>
          <w:trHeight w:val="224"/>
        </w:trPr>
        <w:tc>
          <w:tcPr>
            <w:tcW w:w="8420" w:type="dxa"/>
            <w:vAlign w:val="bottom"/>
          </w:tcPr>
          <w:p>
            <w:pPr>
              <w:spacing w:after="0"/>
              <w:rPr>
                <w:sz w:val="20"/>
                <w:szCs w:val="20"/>
                <w:color w:val="auto"/>
              </w:rPr>
            </w:pPr>
            <w:r>
              <w:rPr>
                <w:rFonts w:ascii="Arial" w:cs="Arial" w:eastAsia="Arial" w:hAnsi="Arial"/>
                <w:sz w:val="13"/>
                <w:szCs w:val="13"/>
                <w:b w:val="1"/>
                <w:bCs w:val="1"/>
                <w:color w:val="auto"/>
              </w:rPr>
              <w:t>Class</w:t>
            </w:r>
          </w:p>
        </w:tc>
        <w:tc>
          <w:tcPr>
            <w:tcW w:w="2820" w:type="dxa"/>
            <w:vAlign w:val="bottom"/>
          </w:tcPr>
          <w:p>
            <w:pPr>
              <w:ind w:left="660"/>
              <w:spacing w:after="0"/>
              <w:rPr>
                <w:sz w:val="20"/>
                <w:szCs w:val="20"/>
                <w:color w:val="auto"/>
              </w:rPr>
            </w:pPr>
            <w:r>
              <w:rPr>
                <w:rFonts w:ascii="Arial" w:cs="Arial" w:eastAsia="Arial" w:hAnsi="Arial"/>
                <w:sz w:val="13"/>
                <w:szCs w:val="13"/>
                <w:b w:val="1"/>
                <w:bCs w:val="1"/>
                <w:color w:val="auto"/>
              </w:rPr>
              <w:t>Outstanding as of April 22, 2021</w:t>
            </w:r>
          </w:p>
        </w:tc>
      </w:tr>
      <w:tr>
        <w:trPr>
          <w:trHeight w:val="55"/>
        </w:trPr>
        <w:tc>
          <w:tcPr>
            <w:tcW w:w="84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242"/>
        </w:trPr>
        <w:tc>
          <w:tcPr>
            <w:tcW w:w="8420" w:type="dxa"/>
            <w:vAlign w:val="bottom"/>
          </w:tcPr>
          <w:p>
            <w:pPr>
              <w:spacing w:after="0"/>
              <w:rPr>
                <w:sz w:val="20"/>
                <w:szCs w:val="20"/>
                <w:color w:val="auto"/>
              </w:rPr>
            </w:pPr>
            <w:r>
              <w:rPr>
                <w:rFonts w:ascii="Arial" w:cs="Arial" w:eastAsia="Arial" w:hAnsi="Arial"/>
                <w:sz w:val="15"/>
                <w:szCs w:val="15"/>
                <w:color w:val="auto"/>
              </w:rPr>
              <w:t>Common Stock, $0.00000625 par value per share</w:t>
            </w:r>
          </w:p>
        </w:tc>
        <w:tc>
          <w:tcPr>
            <w:tcW w:w="2820" w:type="dxa"/>
            <w:vAlign w:val="bottom"/>
          </w:tcPr>
          <w:p>
            <w:pPr>
              <w:ind w:left="1240"/>
              <w:spacing w:after="0"/>
              <w:rPr>
                <w:sz w:val="20"/>
                <w:szCs w:val="20"/>
                <w:color w:val="auto"/>
              </w:rPr>
            </w:pPr>
            <w:r>
              <w:rPr>
                <w:rFonts w:ascii="Arial" w:cs="Arial" w:eastAsia="Arial" w:hAnsi="Arial"/>
                <w:sz w:val="15"/>
                <w:szCs w:val="15"/>
                <w:color w:val="auto"/>
              </w:rPr>
              <w:t>7,531,574,551 shares</w:t>
            </w:r>
          </w:p>
        </w:tc>
      </w:tr>
      <w:tr>
        <w:trPr>
          <w:trHeight w:val="76"/>
        </w:trPr>
        <w:tc>
          <w:tcPr>
            <w:tcW w:w="842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r>
      <w:tr>
        <w:trPr>
          <w:trHeight w:val="635"/>
        </w:trPr>
        <w:tc>
          <w:tcPr>
            <w:tcW w:w="8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2280" w:type="dxa"/>
            <w:vAlign w:val="bottom"/>
            <w:tcBorders>
              <w:bottom w:val="single" w:sz="8" w:color="0000EE"/>
            </w:tcBorders>
            <w:gridSpan w:val="7"/>
          </w:tcPr>
          <w:p>
            <w:pPr>
              <w:spacing w:after="0" w:line="203"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74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Statements</w:t>
              </w:r>
            </w:hyperlink>
          </w:p>
        </w:tc>
        <w:tc>
          <w:tcPr>
            <w:tcW w:w="700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672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Income Statements for the Three and Nine Months Ended March 31, 2021 and 2020</w:t>
              </w:r>
            </w:hyperlink>
          </w:p>
        </w:tc>
        <w:tc>
          <w:tcPr>
            <w:tcW w:w="16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83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Comprehensive Income Statements for the Three and Nine Months Ended March 31, 2021 and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802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Balance Sheets as of March 31, 2021 and June 30, 2020</w:t>
              </w:r>
            </w:hyperlink>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d)</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3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Cash Flows Statements for the Three and Nine Months Ended March 31, 2021 and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e)</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776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Stockholders’ Equity Statements for the Three and Nine Months Ended March 31, 2021 and 2020</w:t>
              </w:r>
            </w:hyperlink>
          </w:p>
        </w:tc>
        <w:tc>
          <w:tcPr>
            <w:tcW w:w="6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83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g)</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3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Report of Independent Registered Public Accounting Firm</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tcBorders>
              <w:left w:val="single" w:sz="8" w:color="0000EE"/>
            </w:tcBorders>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Management’s Discussion and Analysis of Financial Condition and Results of Operations</w:t>
              </w:r>
            </w:hyperlink>
          </w:p>
        </w:tc>
        <w:tc>
          <w:tcPr>
            <w:tcW w:w="16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39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OTHER INFORMATION</w:t>
              </w:r>
            </w:hyperlink>
          </w:p>
        </w:tc>
        <w:tc>
          <w:tcPr>
            <w:tcW w:w="7740" w:type="dxa"/>
            <w:vAlign w:val="bottom"/>
            <w:gridSpan w:val="14"/>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8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24"/>
                <w:szCs w:val="24"/>
                <w:color w:val="auto"/>
              </w:rPr>
            </w:pPr>
          </w:p>
        </w:tc>
        <w:tc>
          <w:tcPr>
            <w:tcW w:w="720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8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60" w:type="dxa"/>
            <w:vAlign w:val="bottom"/>
            <w:tcBorders>
              <w:top w:val="single" w:sz="8" w:color="0000EE"/>
            </w:tcBorders>
            <w:gridSpan w:val="1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382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25"/>
        </w:trPr>
        <w:tc>
          <w:tcPr>
            <w:tcW w:w="106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66">
              <w:r>
                <w:rPr>
                  <w:rFonts w:ascii="Arial" w:cs="Arial" w:eastAsia="Arial" w:hAnsi="Arial"/>
                  <w:sz w:val="18"/>
                  <w:szCs w:val="18"/>
                  <w:b w:val="1"/>
                  <w:bCs w:val="1"/>
                  <w:color w:val="0000EE"/>
                  <w:w w:val="98"/>
                </w:rPr>
                <w:t>SIGNATURE</w:t>
              </w:r>
            </w:hyperlink>
          </w:p>
        </w:tc>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420" w:type="dxa"/>
            <w:vAlign w:val="bottom"/>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1520" w:type="dxa"/>
            <w:vAlign w:val="bottom"/>
            <w:gridSpan w:val="2"/>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16,873</w:t>
            </w:r>
          </w:p>
        </w:tc>
        <w:tc>
          <w:tcPr>
            <w:tcW w:w="5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15,871</w:t>
            </w: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52,136</w:t>
            </w:r>
          </w:p>
        </w:tc>
        <w:tc>
          <w:tcPr>
            <w:tcW w:w="4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49,894</w:t>
            </w: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24,833</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19,150</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69,800</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55,088</w:t>
            </w:r>
          </w:p>
        </w:tc>
        <w:tc>
          <w:tcPr>
            <w:tcW w:w="0" w:type="dxa"/>
            <w:vAlign w:val="bottom"/>
          </w:tcPr>
          <w:p>
            <w:pPr>
              <w:spacing w:after="0"/>
              <w:rPr>
                <w:sz w:val="1"/>
                <w:szCs w:val="1"/>
                <w:color w:val="auto"/>
              </w:rPr>
            </w:pPr>
          </w:p>
        </w:tc>
      </w:tr>
      <w:tr>
        <w:trPr>
          <w:trHeight w:val="68"/>
        </w:trPr>
        <w:tc>
          <w:tcPr>
            <w:tcW w:w="4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4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41,706</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35,021</w:t>
            </w:r>
          </w:p>
        </w:tc>
        <w:tc>
          <w:tcPr>
            <w:tcW w:w="3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4,277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3,376</w:t>
            </w:r>
          </w:p>
        </w:tc>
        <w:tc>
          <w:tcPr>
            <w:tcW w:w="3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13,932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11,647</w:t>
            </w: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8,768</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7,599</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24,309</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22,092</w:t>
            </w:r>
          </w:p>
        </w:tc>
        <w:tc>
          <w:tcPr>
            <w:tcW w:w="0" w:type="dxa"/>
            <w:vAlign w:val="bottom"/>
          </w:tcPr>
          <w:p>
            <w:pPr>
              <w:spacing w:after="0"/>
              <w:rPr>
                <w:sz w:val="1"/>
                <w:szCs w:val="1"/>
                <w:color w:val="auto"/>
              </w:rPr>
            </w:pPr>
          </w:p>
        </w:tc>
      </w:tr>
      <w:tr>
        <w:trPr>
          <w:trHeight w:val="68"/>
        </w:trPr>
        <w:tc>
          <w:tcPr>
            <w:tcW w:w="4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42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13,045</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10,975</w:t>
            </w:r>
          </w:p>
        </w:tc>
        <w:tc>
          <w:tcPr>
            <w:tcW w:w="3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33,739</w:t>
            </w:r>
          </w:p>
        </w:tc>
        <w:tc>
          <w:tcPr>
            <w:tcW w:w="0" w:type="dxa"/>
            <w:vAlign w:val="bottom"/>
          </w:tcPr>
          <w:p>
            <w:pPr>
              <w:spacing w:after="0"/>
              <w:rPr>
                <w:sz w:val="1"/>
                <w:szCs w:val="1"/>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Gross margin</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28,661</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24,046</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83,695</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71,243</w:t>
            </w:r>
          </w:p>
        </w:tc>
        <w:tc>
          <w:tcPr>
            <w:tcW w:w="0" w:type="dxa"/>
            <w:vAlign w:val="bottom"/>
          </w:tcPr>
          <w:p>
            <w:pPr>
              <w:spacing w:after="0"/>
              <w:rPr>
                <w:sz w:val="1"/>
                <w:szCs w:val="1"/>
                <w:color w:val="auto"/>
              </w:rPr>
            </w:pP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5,204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4,887</w:t>
            </w:r>
          </w:p>
        </w:tc>
        <w:tc>
          <w:tcPr>
            <w:tcW w:w="3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15,029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5,082</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4,911</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14,260</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14,181</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1,327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1,273</w:t>
            </w:r>
          </w:p>
        </w:tc>
        <w:tc>
          <w:tcPr>
            <w:tcW w:w="3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68"/>
        </w:trPr>
        <w:tc>
          <w:tcPr>
            <w:tcW w:w="44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17,048</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12,975</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50,821</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39,552</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188</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68"/>
        </w:trPr>
        <w:tc>
          <w:tcPr>
            <w:tcW w:w="44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17,236</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12,843</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51,697</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39,614</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1,779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2,091</w:t>
            </w:r>
          </w:p>
        </w:tc>
        <w:tc>
          <w:tcPr>
            <w:tcW w:w="3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68"/>
        </w:trPr>
        <w:tc>
          <w:tcPr>
            <w:tcW w:w="44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15,457</w:t>
            </w:r>
          </w:p>
        </w:tc>
        <w:tc>
          <w:tcPr>
            <w:tcW w:w="5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10,752</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44,813</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33,079</w:t>
            </w:r>
          </w:p>
        </w:tc>
        <w:tc>
          <w:tcPr>
            <w:tcW w:w="0" w:type="dxa"/>
            <w:vAlign w:val="bottom"/>
          </w:tcPr>
          <w:p>
            <w:pPr>
              <w:spacing w:after="0"/>
              <w:rPr>
                <w:sz w:val="1"/>
                <w:szCs w:val="1"/>
                <w:color w:val="auto"/>
              </w:rPr>
            </w:pPr>
          </w:p>
        </w:tc>
      </w:tr>
      <w:tr>
        <w:trPr>
          <w:trHeight w:val="75"/>
        </w:trPr>
        <w:tc>
          <w:tcPr>
            <w:tcW w:w="44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420" w:type="dxa"/>
            <w:vAlign w:val="bottom"/>
            <w:vMerge w:val="continue"/>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2.05</w:t>
            </w:r>
          </w:p>
        </w:tc>
        <w:tc>
          <w:tcPr>
            <w:tcW w:w="5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1.41</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5.93</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4.34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4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42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Weighted average shares outstanding:</w:t>
            </w:r>
          </w:p>
        </w:tc>
        <w:tc>
          <w:tcPr>
            <w:tcW w:w="1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7,539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7,602</w:t>
            </w:r>
          </w:p>
        </w:tc>
        <w:tc>
          <w:tcPr>
            <w:tcW w:w="3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7,554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189"/>
        </w:trPr>
        <w:tc>
          <w:tcPr>
            <w:tcW w:w="4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Diluted</w:t>
            </w:r>
          </w:p>
        </w:tc>
        <w:tc>
          <w:tcPr>
            <w:tcW w:w="1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7,597</w:t>
            </w:r>
          </w:p>
        </w:tc>
        <w:tc>
          <w:tcPr>
            <w:tcW w:w="1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7,675</w:t>
            </w: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7,617</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68"/>
        </w:trPr>
        <w:tc>
          <w:tcPr>
            <w:tcW w:w="4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COMPREHENSIVE INCOME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5480" w:type="dxa"/>
            <w:vAlign w:val="bottom"/>
          </w:tcPr>
          <w:p>
            <w:pPr>
              <w:spacing w:after="0"/>
              <w:rPr>
                <w:sz w:val="20"/>
                <w:szCs w:val="20"/>
                <w:color w:val="auto"/>
              </w:rPr>
            </w:pPr>
            <w:r>
              <w:rPr>
                <w:rFonts w:ascii="Arial" w:cs="Arial" w:eastAsia="Arial" w:hAnsi="Arial"/>
                <w:sz w:val="13"/>
                <w:szCs w:val="13"/>
                <w:b w:val="1"/>
                <w:bCs w:val="1"/>
                <w:color w:val="auto"/>
              </w:rPr>
              <w:t>(In millions) (Unaudited)</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5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15,457</w:t>
            </w:r>
          </w:p>
        </w:tc>
        <w:tc>
          <w:tcPr>
            <w:tcW w:w="4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10,752</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44,813</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33,079</w:t>
            </w:r>
          </w:p>
        </w:tc>
        <w:tc>
          <w:tcPr>
            <w:tcW w:w="0" w:type="dxa"/>
            <w:vAlign w:val="bottom"/>
          </w:tcPr>
          <w:p>
            <w:pPr>
              <w:spacing w:after="0"/>
              <w:rPr>
                <w:sz w:val="1"/>
                <w:szCs w:val="1"/>
                <w:color w:val="auto"/>
              </w:rPr>
            </w:pPr>
          </w:p>
        </w:tc>
      </w:tr>
      <w:tr>
        <w:trPr>
          <w:trHeight w:val="74"/>
        </w:trPr>
        <w:tc>
          <w:tcPr>
            <w:tcW w:w="548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48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Net change related to derivatives</w:t>
            </w:r>
          </w:p>
        </w:tc>
        <w:tc>
          <w:tcPr>
            <w:tcW w:w="4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(36)</w:t>
            </w:r>
          </w:p>
        </w:tc>
        <w:tc>
          <w:tcPr>
            <w:tcW w:w="3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9"/>
        </w:trPr>
        <w:tc>
          <w:tcPr>
            <w:tcW w:w="5480" w:type="dxa"/>
            <w:vAlign w:val="bottom"/>
          </w:tcPr>
          <w:p>
            <w:pPr>
              <w:ind w:left="220"/>
              <w:spacing w:after="0" w:line="189" w:lineRule="exact"/>
              <w:rPr>
                <w:sz w:val="20"/>
                <w:szCs w:val="20"/>
                <w:color w:val="auto"/>
              </w:rPr>
            </w:pPr>
            <w:r>
              <w:rPr>
                <w:rFonts w:ascii="Arial" w:cs="Arial" w:eastAsia="Arial" w:hAnsi="Arial"/>
                <w:sz w:val="18"/>
                <w:szCs w:val="18"/>
                <w:color w:val="auto"/>
              </w:rPr>
              <w:t>Net change related to investments</w:t>
            </w:r>
          </w:p>
        </w:tc>
        <w:tc>
          <w:tcPr>
            <w:tcW w:w="4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(1,705)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3,508</w:t>
            </w:r>
          </w:p>
        </w:tc>
        <w:tc>
          <w:tcPr>
            <w:tcW w:w="3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(2,398)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189"/>
        </w:trPr>
        <w:tc>
          <w:tcPr>
            <w:tcW w:w="54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Translation adjustments and other</w:t>
            </w:r>
          </w:p>
        </w:tc>
        <w:tc>
          <w:tcPr>
            <w:tcW w:w="4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(218)</w:t>
            </w:r>
          </w:p>
        </w:tc>
        <w:tc>
          <w:tcPr>
            <w:tcW w:w="1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(541)</w:t>
            </w:r>
          </w:p>
        </w:tc>
        <w:tc>
          <w:tcPr>
            <w:tcW w:w="3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634</w:t>
            </w:r>
          </w:p>
        </w:tc>
        <w:tc>
          <w:tcPr>
            <w:tcW w:w="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68"/>
        </w:trPr>
        <w:tc>
          <w:tcPr>
            <w:tcW w:w="54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2,931</w:t>
            </w:r>
          </w:p>
        </w:tc>
        <w:tc>
          <w:tcPr>
            <w:tcW w:w="3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(1,734)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54"/>
        </w:trPr>
        <w:tc>
          <w:tcPr>
            <w:tcW w:w="5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13,552</w:t>
            </w:r>
          </w:p>
        </w:tc>
        <w:tc>
          <w:tcPr>
            <w:tcW w:w="4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13,683</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43,079</w:t>
            </w:r>
          </w:p>
        </w:tc>
        <w:tc>
          <w:tcPr>
            <w:tcW w:w="4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75"/>
        </w:trPr>
        <w:tc>
          <w:tcPr>
            <w:tcW w:w="54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8" w:right="55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3"/>
          <w:szCs w:val="13"/>
          <w:b w:val="1"/>
          <w:bCs w:val="1"/>
          <w:color w:val="auto"/>
        </w:rPr>
        <w:t>March 31,</w:t>
      </w:r>
      <w:r>
        <w:rPr>
          <w:sz w:val="20"/>
          <w:szCs w:val="20"/>
          <w:color w:val="auto"/>
        </w:rPr>
        <w:tab/>
      </w:r>
      <w:r>
        <w:rPr>
          <w:rFonts w:ascii="Arial" w:cs="Arial" w:eastAsia="Arial" w:hAnsi="Arial"/>
          <w:sz w:val="13"/>
          <w:szCs w:val="13"/>
          <w:b w:val="1"/>
          <w:bCs w:val="1"/>
          <w:color w:val="auto"/>
        </w:rPr>
        <w:t>June 30,</w:t>
      </w:r>
    </w:p>
    <w:p>
      <w:pPr>
        <w:spacing w:after="0" w:line="15" w:lineRule="exact"/>
        <w:rPr>
          <w:sz w:val="20"/>
          <w:szCs w:val="20"/>
          <w:color w:val="auto"/>
        </w:rPr>
      </w:pPr>
    </w:p>
    <w:p>
      <w:pPr>
        <w:jc w:val="both"/>
        <w:ind w:left="9180"/>
        <w:spacing w:after="0"/>
        <w:tabs>
          <w:tab w:leader="none" w:pos="108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ectPr>
          <w:pgSz w:w="11900" w:h="16838" w:orient="portrait"/>
          <w:cols w:equalWidth="0" w:num="1">
            <w:col w:w="11140"/>
          </w:cols>
          <w:pgMar w:left="320" w:top="138" w:right="43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13,702</w:t>
            </w:r>
          </w:p>
        </w:tc>
        <w:tc>
          <w:tcPr>
            <w:tcW w:w="0" w:type="dxa"/>
            <w:vAlign w:val="bottom"/>
          </w:tcPr>
          <w:p>
            <w:pPr>
              <w:spacing w:after="0"/>
              <w:rPr>
                <w:sz w:val="1"/>
                <w:szCs w:val="1"/>
                <w:color w:val="auto"/>
              </w:rPr>
            </w:pPr>
          </w:p>
        </w:tc>
      </w:tr>
      <w:tr>
        <w:trPr>
          <w:trHeight w:val="167"/>
        </w:trPr>
        <w:tc>
          <w:tcPr>
            <w:tcW w:w="8000" w:type="dxa"/>
            <w:vAlign w:val="bottom"/>
          </w:tcPr>
          <w:p>
            <w:pPr>
              <w:ind w:left="220"/>
              <w:spacing w:after="0" w:line="167" w:lineRule="exact"/>
              <w:rPr>
                <w:sz w:val="20"/>
                <w:szCs w:val="20"/>
                <w:color w:val="auto"/>
              </w:rPr>
            </w:pPr>
            <w:r>
              <w:rPr>
                <w:rFonts w:ascii="Arial" w:cs="Arial" w:eastAsia="Arial" w:hAnsi="Arial"/>
                <w:sz w:val="18"/>
                <w:szCs w:val="18"/>
                <w:color w:val="auto"/>
              </w:rPr>
              <w:t>Cash and cash equivalents</w:t>
            </w:r>
          </w:p>
        </w:tc>
        <w:tc>
          <w:tcPr>
            <w:tcW w:w="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111,705</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125,407</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$620</w:t>
            </w:r>
            <w:r>
              <w:rPr>
                <w:rFonts w:ascii="Arial" w:cs="Arial" w:eastAsia="Arial" w:hAnsi="Arial"/>
                <w:sz w:val="18"/>
                <w:szCs w:val="18"/>
                <w:color w:val="auto"/>
              </w:rPr>
              <w:t xml:space="preserve"> and $788</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26,322</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2,245</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11,640</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165,614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$49,681</w:t>
            </w:r>
            <w:r>
              <w:rPr>
                <w:rFonts w:ascii="Arial" w:cs="Arial" w:eastAsia="Arial" w:hAnsi="Arial"/>
                <w:sz w:val="18"/>
                <w:szCs w:val="18"/>
                <w:color w:val="auto"/>
              </w:rPr>
              <w:t xml:space="preserve"> and $43,197</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54,945</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10,673</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5,395</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49,698</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8,127</w:t>
            </w: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14,427</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308,879</w:t>
            </w: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13,412</w:t>
            </w:r>
          </w:p>
        </w:tc>
        <w:tc>
          <w:tcPr>
            <w:tcW w:w="0" w:type="dxa"/>
            <w:vAlign w:val="bottom"/>
          </w:tcPr>
          <w:p>
            <w:pPr>
              <w:spacing w:after="0"/>
              <w:rPr>
                <w:sz w:val="1"/>
                <w:szCs w:val="1"/>
                <w:color w:val="auto"/>
              </w:rPr>
            </w:pPr>
          </w:p>
        </w:tc>
      </w:tr>
      <w:tr>
        <w:trPr>
          <w:trHeight w:val="167"/>
        </w:trPr>
        <w:tc>
          <w:tcPr>
            <w:tcW w:w="8000" w:type="dxa"/>
            <w:vAlign w:val="bottom"/>
          </w:tcPr>
          <w:p>
            <w:pPr>
              <w:ind w:left="220"/>
              <w:spacing w:after="0" w:line="167" w:lineRule="exact"/>
              <w:rPr>
                <w:sz w:val="20"/>
                <w:szCs w:val="20"/>
                <w:color w:val="auto"/>
              </w:rPr>
            </w:pPr>
            <w:r>
              <w:rPr>
                <w:rFonts w:ascii="Arial" w:cs="Arial" w:eastAsia="Arial" w:hAnsi="Arial"/>
                <w:sz w:val="18"/>
                <w:szCs w:val="18"/>
                <w:color w:val="auto"/>
              </w:rPr>
              <w:t>Accounts payable</w:t>
            </w:r>
          </w:p>
        </w:tc>
        <w:tc>
          <w:tcPr>
            <w:tcW w:w="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8,051</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Accrued compensation</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8,032</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30,083</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10,450</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72,193</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50,007</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27,157</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2,631</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9,272</w:t>
            </w: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12,941</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174,374</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00" w:type="dxa"/>
            <w:vAlign w:val="bottom"/>
          </w:tcPr>
          <w:p>
            <w:pPr>
              <w:spacing w:after="0" w:line="167" w:lineRule="exact"/>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82,308</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7,534</w:t>
            </w:r>
            <w:r>
              <w:rPr>
                <w:rFonts w:ascii="Arial" w:cs="Arial" w:eastAsia="Arial" w:hAnsi="Arial"/>
                <w:sz w:val="18"/>
                <w:szCs w:val="18"/>
                <w:color w:val="auto"/>
              </w:rPr>
              <w:t xml:space="preserve"> and 7,571</w:t>
            </w: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50,735</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1,462</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134,505</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308,879</w:t>
            </w: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-5596890</wp:posOffset>
            </wp:positionV>
            <wp:extent cx="71323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900" w:hanging="89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13,576</w:t>
      </w:r>
    </w:p>
    <w:p>
      <w:pPr>
        <w:ind w:left="800"/>
        <w:spacing w:after="0"/>
        <w:rPr>
          <w:rFonts w:ascii="Arial" w:cs="Arial" w:eastAsia="Arial" w:hAnsi="Arial"/>
          <w:sz w:val="18"/>
          <w:szCs w:val="18"/>
          <w:color w:val="auto"/>
        </w:rPr>
      </w:pPr>
      <w:r>
        <w:rPr>
          <w:rFonts w:ascii="Arial" w:cs="Arial" w:eastAsia="Arial" w:hAnsi="Arial"/>
          <w:sz w:val="18"/>
          <w:szCs w:val="18"/>
          <w:color w:val="auto"/>
        </w:rPr>
        <w:t>122,951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136,527</w:t>
      </w:r>
    </w:p>
    <w:p>
      <w:pPr>
        <w:jc w:val="right"/>
        <w:spacing w:after="0" w:line="219" w:lineRule="auto"/>
        <w:rPr>
          <w:sz w:val="20"/>
          <w:szCs w:val="20"/>
          <w:color w:val="auto"/>
        </w:rPr>
      </w:pPr>
      <w:r>
        <w:rPr>
          <w:rFonts w:ascii="Arial" w:cs="Arial" w:eastAsia="Arial" w:hAnsi="Arial"/>
          <w:sz w:val="18"/>
          <w:szCs w:val="18"/>
          <w:color w:val="auto"/>
        </w:rPr>
        <w:t>32,011</w:t>
      </w:r>
    </w:p>
    <w:p>
      <w:pPr>
        <w:jc w:val="right"/>
        <w:spacing w:after="0" w:line="219" w:lineRule="auto"/>
        <w:rPr>
          <w:sz w:val="20"/>
          <w:szCs w:val="20"/>
          <w:color w:val="auto"/>
        </w:rPr>
      </w:pPr>
      <w:r>
        <w:rPr>
          <w:rFonts w:ascii="Arial" w:cs="Arial" w:eastAsia="Arial" w:hAnsi="Arial"/>
          <w:sz w:val="18"/>
          <w:szCs w:val="18"/>
          <w:color w:val="auto"/>
        </w:rPr>
        <w:t>1,895</w:t>
      </w:r>
    </w:p>
    <w:p>
      <w:pPr>
        <w:jc w:val="right"/>
        <w:spacing w:after="0"/>
        <w:rPr>
          <w:sz w:val="20"/>
          <w:szCs w:val="20"/>
          <w:color w:val="auto"/>
        </w:rPr>
      </w:pPr>
      <w:r>
        <w:rPr>
          <w:rFonts w:ascii="Arial" w:cs="Arial" w:eastAsia="Arial" w:hAnsi="Arial"/>
          <w:sz w:val="18"/>
          <w:szCs w:val="18"/>
          <w:color w:val="auto"/>
        </w:rPr>
        <w:t>11,482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181,915</w:t>
      </w:r>
    </w:p>
    <w:p>
      <w:pPr>
        <w:jc w:val="right"/>
        <w:spacing w:after="0" w:line="219" w:lineRule="auto"/>
        <w:rPr>
          <w:sz w:val="20"/>
          <w:szCs w:val="20"/>
          <w:color w:val="auto"/>
        </w:rPr>
      </w:pPr>
      <w:r>
        <w:rPr>
          <w:rFonts w:ascii="Arial" w:cs="Arial" w:eastAsia="Arial" w:hAnsi="Arial"/>
          <w:sz w:val="18"/>
          <w:szCs w:val="18"/>
          <w:color w:val="auto"/>
        </w:rPr>
        <w:t>44,151</w:t>
      </w:r>
    </w:p>
    <w:p>
      <w:pPr>
        <w:jc w:val="right"/>
        <w:spacing w:after="0" w:line="219" w:lineRule="auto"/>
        <w:rPr>
          <w:sz w:val="20"/>
          <w:szCs w:val="20"/>
          <w:color w:val="auto"/>
        </w:rPr>
      </w:pPr>
      <w:r>
        <w:rPr>
          <w:rFonts w:ascii="Arial" w:cs="Arial" w:eastAsia="Arial" w:hAnsi="Arial"/>
          <w:sz w:val="18"/>
          <w:szCs w:val="18"/>
          <w:color w:val="auto"/>
        </w:rPr>
        <w:t>8,753</w:t>
      </w:r>
    </w:p>
    <w:p>
      <w:pPr>
        <w:jc w:val="right"/>
        <w:spacing w:after="0" w:line="219" w:lineRule="auto"/>
        <w:rPr>
          <w:sz w:val="20"/>
          <w:szCs w:val="20"/>
          <w:color w:val="auto"/>
        </w:rPr>
      </w:pPr>
      <w:r>
        <w:rPr>
          <w:rFonts w:ascii="Arial" w:cs="Arial" w:eastAsia="Arial" w:hAnsi="Arial"/>
          <w:sz w:val="18"/>
          <w:szCs w:val="18"/>
          <w:color w:val="auto"/>
        </w:rPr>
        <w:t>2,965</w:t>
      </w:r>
    </w:p>
    <w:p>
      <w:pPr>
        <w:jc w:val="right"/>
        <w:spacing w:after="0" w:line="219" w:lineRule="auto"/>
        <w:rPr>
          <w:sz w:val="20"/>
          <w:szCs w:val="20"/>
          <w:color w:val="auto"/>
        </w:rPr>
      </w:pPr>
      <w:r>
        <w:rPr>
          <w:rFonts w:ascii="Arial" w:cs="Arial" w:eastAsia="Arial" w:hAnsi="Arial"/>
          <w:sz w:val="18"/>
          <w:szCs w:val="18"/>
          <w:color w:val="auto"/>
        </w:rPr>
        <w:t>43,351</w:t>
      </w:r>
    </w:p>
    <w:p>
      <w:pPr>
        <w:jc w:val="right"/>
        <w:spacing w:after="0" w:line="219" w:lineRule="auto"/>
        <w:rPr>
          <w:sz w:val="20"/>
          <w:szCs w:val="20"/>
          <w:color w:val="auto"/>
        </w:rPr>
      </w:pPr>
      <w:r>
        <w:rPr>
          <w:rFonts w:ascii="Arial" w:cs="Arial" w:eastAsia="Arial" w:hAnsi="Arial"/>
          <w:sz w:val="18"/>
          <w:szCs w:val="18"/>
          <w:color w:val="auto"/>
        </w:rPr>
        <w:t>7,038</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1" w:lineRule="exact"/>
        <w:rPr>
          <w:sz w:val="20"/>
          <w:szCs w:val="20"/>
          <w:color w:val="auto"/>
        </w:rPr>
      </w:pPr>
    </w:p>
    <w:p>
      <w:pPr>
        <w:ind w:left="800" w:hanging="79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900" w:hanging="89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12,530</w:t>
      </w: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3,749</w:t>
      </w: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7,874</w:t>
      </w: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2,130</w:t>
      </w:r>
    </w:p>
    <w:p>
      <w:pPr>
        <w:jc w:val="right"/>
        <w:spacing w:after="0" w:line="219" w:lineRule="auto"/>
        <w:rPr>
          <w:sz w:val="20"/>
          <w:szCs w:val="20"/>
          <w:color w:val="auto"/>
        </w:rPr>
      </w:pPr>
      <w:r>
        <w:rPr>
          <w:rFonts w:ascii="Arial" w:cs="Arial" w:eastAsia="Arial" w:hAnsi="Arial"/>
          <w:sz w:val="18"/>
          <w:szCs w:val="18"/>
          <w:color w:val="auto"/>
        </w:rPr>
        <w:t>36,000</w:t>
      </w:r>
    </w:p>
    <w:p>
      <w:pPr>
        <w:jc w:val="right"/>
        <w:spacing w:after="0"/>
        <w:rPr>
          <w:sz w:val="20"/>
          <w:szCs w:val="20"/>
          <w:color w:val="auto"/>
        </w:rPr>
      </w:pPr>
      <w:r>
        <w:rPr>
          <w:rFonts w:ascii="Arial" w:cs="Arial" w:eastAsia="Arial" w:hAnsi="Arial"/>
          <w:sz w:val="18"/>
          <w:szCs w:val="18"/>
          <w:color w:val="auto"/>
        </w:rPr>
        <w:t>10,027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72,310</w:t>
      </w:r>
    </w:p>
    <w:p>
      <w:pPr>
        <w:jc w:val="right"/>
        <w:spacing w:after="0" w:line="219" w:lineRule="auto"/>
        <w:rPr>
          <w:sz w:val="20"/>
          <w:szCs w:val="20"/>
          <w:color w:val="auto"/>
        </w:rPr>
      </w:pPr>
      <w:r>
        <w:rPr>
          <w:rFonts w:ascii="Arial" w:cs="Arial" w:eastAsia="Arial" w:hAnsi="Arial"/>
          <w:sz w:val="18"/>
          <w:szCs w:val="18"/>
          <w:color w:val="auto"/>
        </w:rPr>
        <w:t>59,578</w:t>
      </w:r>
    </w:p>
    <w:p>
      <w:pPr>
        <w:jc w:val="right"/>
        <w:spacing w:after="0" w:line="219" w:lineRule="auto"/>
        <w:rPr>
          <w:sz w:val="20"/>
          <w:szCs w:val="20"/>
          <w:color w:val="auto"/>
        </w:rPr>
      </w:pPr>
      <w:r>
        <w:rPr>
          <w:rFonts w:ascii="Arial" w:cs="Arial" w:eastAsia="Arial" w:hAnsi="Arial"/>
          <w:sz w:val="18"/>
          <w:szCs w:val="18"/>
          <w:color w:val="auto"/>
        </w:rPr>
        <w:t>29,432</w:t>
      </w:r>
    </w:p>
    <w:p>
      <w:pPr>
        <w:jc w:val="right"/>
        <w:spacing w:after="0" w:line="219" w:lineRule="auto"/>
        <w:rPr>
          <w:sz w:val="20"/>
          <w:szCs w:val="20"/>
          <w:color w:val="auto"/>
        </w:rPr>
      </w:pPr>
      <w:r>
        <w:rPr>
          <w:rFonts w:ascii="Arial" w:cs="Arial" w:eastAsia="Arial" w:hAnsi="Arial"/>
          <w:sz w:val="18"/>
          <w:szCs w:val="18"/>
          <w:color w:val="auto"/>
        </w:rPr>
        <w:t>3,180</w:t>
      </w:r>
    </w:p>
    <w:p>
      <w:pPr>
        <w:jc w:val="right"/>
        <w:spacing w:after="0" w:line="219" w:lineRule="auto"/>
        <w:rPr>
          <w:sz w:val="20"/>
          <w:szCs w:val="20"/>
          <w:color w:val="auto"/>
        </w:rPr>
      </w:pPr>
      <w:r>
        <w:rPr>
          <w:rFonts w:ascii="Arial" w:cs="Arial" w:eastAsia="Arial" w:hAnsi="Arial"/>
          <w:sz w:val="18"/>
          <w:szCs w:val="18"/>
          <w:color w:val="auto"/>
        </w:rPr>
        <w:t>204</w:t>
      </w:r>
    </w:p>
    <w:p>
      <w:pPr>
        <w:jc w:val="right"/>
        <w:spacing w:after="0" w:line="219" w:lineRule="auto"/>
        <w:rPr>
          <w:sz w:val="20"/>
          <w:szCs w:val="20"/>
          <w:color w:val="auto"/>
        </w:rPr>
      </w:pPr>
      <w:r>
        <w:rPr>
          <w:rFonts w:ascii="Arial" w:cs="Arial" w:eastAsia="Arial" w:hAnsi="Arial"/>
          <w:sz w:val="18"/>
          <w:szCs w:val="18"/>
          <w:color w:val="auto"/>
        </w:rPr>
        <w:t>7,671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183,007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80,552</w:t>
      </w:r>
    </w:p>
    <w:p>
      <w:pPr>
        <w:jc w:val="right"/>
        <w:spacing w:after="0" w:line="219" w:lineRule="auto"/>
        <w:rPr>
          <w:sz w:val="20"/>
          <w:szCs w:val="20"/>
          <w:color w:val="auto"/>
        </w:rPr>
      </w:pPr>
      <w:r>
        <w:rPr>
          <w:rFonts w:ascii="Arial" w:cs="Arial" w:eastAsia="Arial" w:hAnsi="Arial"/>
          <w:sz w:val="18"/>
          <w:szCs w:val="18"/>
          <w:color w:val="auto"/>
        </w:rPr>
        <w:t>34,566</w:t>
      </w:r>
    </w:p>
    <w:p>
      <w:pPr>
        <w:jc w:val="right"/>
        <w:spacing w:after="0"/>
        <w:rPr>
          <w:sz w:val="20"/>
          <w:szCs w:val="20"/>
          <w:color w:val="auto"/>
        </w:rPr>
      </w:pPr>
      <w:r>
        <w:rPr>
          <w:rFonts w:ascii="Arial" w:cs="Arial" w:eastAsia="Arial" w:hAnsi="Arial"/>
          <w:sz w:val="18"/>
          <w:szCs w:val="18"/>
          <w:color w:val="auto"/>
        </w:rPr>
        <w:t>3,186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118,304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1" w:lineRule="exact"/>
        <w:rPr>
          <w:sz w:val="20"/>
          <w:szCs w:val="20"/>
          <w:color w:val="auto"/>
        </w:rPr>
      </w:pPr>
    </w:p>
    <w:p>
      <w:pPr>
        <w:ind w:left="800" w:hanging="79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480" w:space="200"/>
            <w:col w:w="1460"/>
          </w:cols>
          <w:pgMar w:left="320" w:top="138"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8" w:right="439" w:bottom="1440" w:gutter="0" w:footer="0" w:header="0"/>
          <w:type w:val="continuous"/>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5620" w:type="dxa"/>
            <w:vAlign w:val="bottom"/>
          </w:tcPr>
          <w:p>
            <w:pPr>
              <w:spacing w:after="0"/>
              <w:rPr>
                <w:sz w:val="20"/>
                <w:szCs w:val="20"/>
                <w:color w:val="auto"/>
              </w:rPr>
            </w:pPr>
            <w:r>
              <w:rPr>
                <w:rFonts w:ascii="Arial" w:cs="Arial" w:eastAsia="Arial" w:hAnsi="Arial"/>
                <w:sz w:val="13"/>
                <w:szCs w:val="13"/>
                <w:b w:val="1"/>
                <w:bCs w:val="1"/>
                <w:color w:val="auto"/>
              </w:rPr>
              <w:t>(In millions) (Unaudited)</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5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15,457</w:t>
            </w:r>
          </w:p>
        </w:tc>
        <w:tc>
          <w:tcPr>
            <w:tcW w:w="4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10,752</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44,813</w:t>
            </w:r>
          </w:p>
        </w:tc>
        <w:tc>
          <w:tcPr>
            <w:tcW w:w="4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33,079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line="189" w:lineRule="exact"/>
              <w:rPr>
                <w:sz w:val="20"/>
                <w:szCs w:val="20"/>
                <w:color w:val="auto"/>
              </w:rPr>
            </w:pPr>
            <w:r>
              <w:rPr>
                <w:rFonts w:ascii="Arial" w:cs="Arial" w:eastAsia="Arial" w:hAnsi="Arial"/>
                <w:sz w:val="18"/>
                <w:szCs w:val="18"/>
                <w:color w:val="auto"/>
              </w:rPr>
              <w:t>Depreciation, amortization, and other</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2,936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3,118</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8,342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9,292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1,525</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1,338</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4,547</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3,940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line="189" w:lineRule="exact"/>
              <w:rPr>
                <w:sz w:val="20"/>
                <w:szCs w:val="20"/>
                <w:color w:val="auto"/>
              </w:rPr>
            </w:pPr>
            <w:r>
              <w:rPr>
                <w:rFonts w:ascii="Arial" w:cs="Arial" w:eastAsia="Arial" w:hAnsi="Arial"/>
                <w:sz w:val="18"/>
                <w:szCs w:val="18"/>
                <w:color w:val="auto"/>
              </w:rPr>
              <w:t>Net recognized losses (gains) on investments and derivatives</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(351)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52</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(833)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(206)</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(116)</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290</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891</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5,125</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6,778</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181</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(349)</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478</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94</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1,154</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(885)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124</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(2,446)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833</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546</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1,181</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(736)</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(6,764)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Income taxes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1,074</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765</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(2,277)</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189"/>
        </w:trPr>
        <w:tc>
          <w:tcPr>
            <w:tcW w:w="5620" w:type="dxa"/>
            <w:vAlign w:val="bottom"/>
          </w:tcPr>
          <w:p>
            <w:pPr>
              <w:ind w:left="440"/>
              <w:spacing w:after="0" w:line="189" w:lineRule="exact"/>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1,590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695</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394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(110)</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1,259</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725</w:t>
            </w: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3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22,179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17,504</w:t>
            </w:r>
          </w:p>
        </w:tc>
        <w:tc>
          <w:tcPr>
            <w:tcW w:w="3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54,030</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Cash premium on debt exchange</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(1,754)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(1,754)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Repayments of debt</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(3,000)</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(3,750)</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Common stock issued</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396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342</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1,243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1,003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repurchased</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(6,930)</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(7,059)</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(20,208)</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(17,177)</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(4,221)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(3,876)</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(12,307)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(11,272)</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(1,052)</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(339)</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660"/>
              <w:spacing w:after="0"/>
              <w:rPr>
                <w:sz w:val="20"/>
                <w:szCs w:val="20"/>
                <w:color w:val="auto"/>
              </w:rPr>
            </w:pPr>
            <w:r>
              <w:rPr>
                <w:rFonts w:ascii="Arial" w:cs="Arial" w:eastAsia="Arial" w:hAnsi="Arial"/>
                <w:sz w:val="18"/>
                <w:szCs w:val="18"/>
                <w:color w:val="auto"/>
              </w:rPr>
              <w:t>Net cash used in financing</w:t>
            </w:r>
          </w:p>
        </w:tc>
        <w:tc>
          <w:tcPr>
            <w:tcW w:w="3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(14,645)</w:t>
            </w:r>
          </w:p>
        </w:tc>
        <w:tc>
          <w:tcPr>
            <w:tcW w:w="3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(37,115)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(33,769)</w:t>
            </w:r>
          </w:p>
        </w:tc>
        <w:tc>
          <w:tcPr>
            <w:tcW w:w="0" w:type="dxa"/>
            <w:vAlign w:val="bottom"/>
          </w:tcPr>
          <w:p>
            <w:pPr>
              <w:spacing w:after="0"/>
              <w:rPr>
                <w:sz w:val="1"/>
                <w:szCs w:val="1"/>
                <w:color w:val="auto"/>
              </w:rPr>
            </w:pPr>
          </w:p>
        </w:tc>
      </w:tr>
      <w:tr>
        <w:trPr>
          <w:trHeight w:val="54"/>
        </w:trPr>
        <w:tc>
          <w:tcPr>
            <w:tcW w:w="5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Investing</w:t>
            </w: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(5,089)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(3,767)</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(14,170)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(10,697)</w:t>
            </w:r>
          </w:p>
        </w:tc>
        <w:tc>
          <w:tcPr>
            <w:tcW w:w="0" w:type="dxa"/>
            <w:vAlign w:val="bottom"/>
          </w:tcPr>
          <w:p>
            <w:pPr>
              <w:spacing w:after="0"/>
              <w:rPr>
                <w:sz w:val="1"/>
                <w:szCs w:val="1"/>
                <w:color w:val="auto"/>
              </w:rPr>
            </w:pPr>
          </w:p>
        </w:tc>
      </w:tr>
      <w:tr>
        <w:trPr>
          <w:trHeight w:val="175"/>
        </w:trPr>
        <w:tc>
          <w:tcPr>
            <w:tcW w:w="56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Acquisition of companies, net of cash acquired, and purchases of</w:t>
            </w:r>
          </w:p>
        </w:tc>
        <w:tc>
          <w:tcPr>
            <w:tcW w:w="360" w:type="dxa"/>
            <w:vAlign w:val="bottom"/>
            <w:shd w:val="clear" w:color="auto" w:fill="E5E5E5"/>
          </w:tcPr>
          <w:p>
            <w:pPr>
              <w:spacing w:after="0"/>
              <w:rPr>
                <w:sz w:val="15"/>
                <w:szCs w:val="15"/>
                <w:color w:val="auto"/>
              </w:rPr>
            </w:pPr>
          </w:p>
        </w:tc>
        <w:tc>
          <w:tcPr>
            <w:tcW w:w="96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(7,512)</w:t>
            </w: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96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(8,408)</w:t>
            </w:r>
          </w:p>
        </w:tc>
        <w:tc>
          <w:tcPr>
            <w:tcW w:w="1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intangible and other assets</w:t>
            </w:r>
          </w:p>
        </w:tc>
        <w:tc>
          <w:tcPr>
            <w:tcW w:w="360" w:type="dxa"/>
            <w:vAlign w:val="bottom"/>
            <w:shd w:val="clear" w:color="auto" w:fill="E5E5E5"/>
          </w:tcPr>
          <w:p>
            <w:pPr>
              <w:spacing w:after="0"/>
              <w:rPr>
                <w:sz w:val="17"/>
                <w:szCs w:val="17"/>
                <w:color w:val="auto"/>
              </w:rPr>
            </w:pPr>
          </w:p>
        </w:tc>
        <w:tc>
          <w:tcPr>
            <w:tcW w:w="960" w:type="dxa"/>
            <w:vAlign w:val="bottom"/>
            <w:gridSpan w:val="2"/>
            <w:vMerge w:val="continue"/>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(329)</w:t>
            </w:r>
          </w:p>
        </w:tc>
        <w:tc>
          <w:tcPr>
            <w:tcW w:w="360" w:type="dxa"/>
            <w:vAlign w:val="bottom"/>
            <w:shd w:val="clear" w:color="auto" w:fill="E5E5E5"/>
          </w:tcPr>
          <w:p>
            <w:pPr>
              <w:spacing w:after="0"/>
              <w:rPr>
                <w:sz w:val="17"/>
                <w:szCs w:val="17"/>
                <w:color w:val="auto"/>
              </w:rPr>
            </w:pPr>
          </w:p>
        </w:tc>
        <w:tc>
          <w:tcPr>
            <w:tcW w:w="960" w:type="dxa"/>
            <w:vAlign w:val="bottom"/>
            <w:gridSpan w:val="2"/>
            <w:vMerge w:val="continue"/>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40"/>
              <w:spacing w:after="0" w:line="203" w:lineRule="exact"/>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(18,375)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(15,910)</w:t>
            </w:r>
          </w:p>
        </w:tc>
        <w:tc>
          <w:tcPr>
            <w:tcW w:w="360" w:type="dxa"/>
            <w:vAlign w:val="bottom"/>
          </w:tcPr>
          <w:p>
            <w:pPr>
              <w:spacing w:after="0"/>
              <w:rPr>
                <w:sz w:val="16"/>
                <w:szCs w:val="16"/>
                <w:color w:val="auto"/>
              </w:rPr>
            </w:pP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(48,047)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(58,311)</w:t>
            </w: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Maturities of investments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15,016</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17,247</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44,546</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47,559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8"/>
                <w:szCs w:val="18"/>
                <w:color w:val="auto"/>
              </w:rPr>
              <w:t>Sales of investments</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5,876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2,810</w:t>
            </w:r>
          </w:p>
        </w:tc>
        <w:tc>
          <w:tcPr>
            <w:tcW w:w="36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10,711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14,559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net</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(1,356)</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660"/>
              <w:spacing w:after="0"/>
              <w:rPr>
                <w:sz w:val="20"/>
                <w:szCs w:val="20"/>
                <w:color w:val="auto"/>
              </w:rPr>
            </w:pPr>
            <w:r>
              <w:rPr>
                <w:rFonts w:ascii="Arial" w:cs="Arial" w:eastAsia="Arial" w:hAnsi="Arial"/>
                <w:sz w:val="18"/>
                <w:szCs w:val="18"/>
                <w:color w:val="auto"/>
              </w:rPr>
              <w:t>Net cash from (used in) investing</w:t>
            </w:r>
          </w:p>
        </w:tc>
        <w:tc>
          <w:tcPr>
            <w:tcW w:w="3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(9,684)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(16,724)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54"/>
        </w:trPr>
        <w:tc>
          <w:tcPr>
            <w:tcW w:w="5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Effect of foreign exchange rates on cash and cash equivalents</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(64)</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2,846</w:t>
            </w:r>
          </w:p>
        </w:tc>
        <w:tc>
          <w:tcPr>
            <w:tcW w:w="3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14,432</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8,864</w:t>
            </w:r>
          </w:p>
        </w:tc>
        <w:tc>
          <w:tcPr>
            <w:tcW w:w="36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13,576</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11,356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13,702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11,710</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13,702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11,710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4640" w:type="dxa"/>
            <w:vAlign w:val="bottom"/>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4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317"/>
        </w:trPr>
        <w:tc>
          <w:tcPr>
            <w:tcW w:w="4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4"/>
                <w:szCs w:val="24"/>
                <w:color w:val="auto"/>
              </w:rPr>
            </w:pPr>
          </w:p>
        </w:tc>
      </w:tr>
      <w:tr>
        <w:trPr>
          <w:trHeight w:val="54"/>
        </w:trPr>
        <w:tc>
          <w:tcPr>
            <w:tcW w:w="4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38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81,896</w:t>
            </w:r>
          </w:p>
        </w:tc>
        <w:tc>
          <w:tcPr>
            <w:tcW w:w="4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79,625</w:t>
            </w:r>
          </w:p>
        </w:tc>
        <w:tc>
          <w:tcPr>
            <w:tcW w:w="42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80,552</w:t>
            </w:r>
          </w:p>
        </w:tc>
        <w:tc>
          <w:tcPr>
            <w:tcW w:w="4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78,520</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396</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342</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1,513</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1,003</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(1,528)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(1,492)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(4,322)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(3,649)</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1,525</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1,338</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4,547</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3,940</w:t>
            </w: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Other, net</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68"/>
        </w:trPr>
        <w:tc>
          <w:tcPr>
            <w:tcW w:w="46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82,308</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79,813</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82,308</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79,813</w:t>
            </w:r>
          </w:p>
        </w:tc>
      </w:tr>
      <w:tr>
        <w:trPr>
          <w:trHeight w:val="68"/>
        </w:trPr>
        <w:tc>
          <w:tcPr>
            <w:tcW w:w="4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44,973</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30,739</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34,566</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24,150</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15,457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10,752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44,813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33,079</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(4,214)</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(3,865)</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(12,665)</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(11,627)</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(5,481)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(5,614)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(15,947)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(13,590)</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r>
      <w:tr>
        <w:trPr>
          <w:trHeight w:val="68"/>
        </w:trPr>
        <w:tc>
          <w:tcPr>
            <w:tcW w:w="4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640" w:type="dxa"/>
            <w:vAlign w:val="bottom"/>
          </w:tcPr>
          <w:p>
            <w:pPr>
              <w:ind w:left="220"/>
              <w:spacing w:after="0"/>
              <w:rPr>
                <w:sz w:val="20"/>
                <w:szCs w:val="20"/>
                <w:color w:val="auto"/>
              </w:rPr>
            </w:pPr>
            <w:r>
              <w:rPr>
                <w:rFonts w:ascii="Arial" w:cs="Arial" w:eastAsia="Arial" w:hAnsi="Arial"/>
                <w:sz w:val="18"/>
                <w:szCs w:val="18"/>
                <w:color w:val="auto"/>
              </w:rPr>
              <w:t>Balance, end of period</w:t>
            </w: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50,735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32,012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50,735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32,012</w:t>
            </w:r>
          </w:p>
        </w:tc>
      </w:tr>
      <w:tr>
        <w:trPr>
          <w:trHeight w:val="54"/>
        </w:trPr>
        <w:tc>
          <w:tcPr>
            <w:tcW w:w="4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3,367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(255)</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3,186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(340)</w:t>
            </w: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(1,905)</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2,931</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(1,734)</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3,016</w:t>
            </w: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r>
      <w:tr>
        <w:trPr>
          <w:trHeight w:val="68"/>
        </w:trPr>
        <w:tc>
          <w:tcPr>
            <w:tcW w:w="46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10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1,462</w:t>
            </w:r>
          </w:p>
        </w:tc>
        <w:tc>
          <w:tcPr>
            <w:tcW w:w="1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2,676</w:t>
            </w:r>
          </w:p>
        </w:tc>
        <w:tc>
          <w:tcPr>
            <w:tcW w:w="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1,462</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2,676</w:t>
            </w:r>
          </w:p>
        </w:tc>
      </w:tr>
      <w:tr>
        <w:trPr>
          <w:trHeight w:val="68"/>
        </w:trPr>
        <w:tc>
          <w:tcPr>
            <w:tcW w:w="46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134,505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114,501</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134,505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114,501</w:t>
            </w:r>
          </w:p>
        </w:tc>
        <w:tc>
          <w:tcPr>
            <w:tcW w:w="100" w:type="dxa"/>
            <w:vAlign w:val="bottom"/>
          </w:tcPr>
          <w:p>
            <w:pPr>
              <w:spacing w:after="0"/>
              <w:rPr>
                <w:sz w:val="22"/>
                <w:szCs w:val="22"/>
                <w:color w:val="auto"/>
              </w:rPr>
            </w:pPr>
          </w:p>
        </w:tc>
      </w:tr>
      <w:tr>
        <w:trPr>
          <w:trHeight w:val="61"/>
        </w:trPr>
        <w:tc>
          <w:tcPr>
            <w:tcW w:w="4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1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0.56</w:t>
            </w:r>
          </w:p>
        </w:tc>
        <w:tc>
          <w:tcPr>
            <w:tcW w:w="4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0.51</w:t>
            </w:r>
          </w:p>
        </w:tc>
        <w:tc>
          <w:tcPr>
            <w:tcW w:w="4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1.68</w:t>
            </w: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1.53</w:t>
            </w:r>
          </w:p>
        </w:tc>
        <w:tc>
          <w:tcPr>
            <w:tcW w:w="100" w:type="dxa"/>
            <w:vAlign w:val="bottom"/>
            <w:shd w:val="clear" w:color="auto" w:fill="E5E5E5"/>
          </w:tcPr>
          <w:p>
            <w:pPr>
              <w:spacing w:after="0"/>
              <w:rPr>
                <w:sz w:val="16"/>
                <w:szCs w:val="16"/>
                <w:color w:val="auto"/>
              </w:rPr>
            </w:pPr>
          </w:p>
        </w:tc>
      </w:tr>
      <w:tr>
        <w:trPr>
          <w:trHeight w:val="68"/>
        </w:trPr>
        <w:tc>
          <w:tcPr>
            <w:tcW w:w="4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412"/>
        </w:trPr>
        <w:tc>
          <w:tcPr>
            <w:tcW w:w="464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6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2020 Form 10-K filed with the U.S. Securities and Exchange Commission (“SEC”) on July 30,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 including uncertainty in the current economic environment due to the coronavirus (“COVID-19”).</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was effective beginning fiscal year 2021. Based on the carrying amount of server and network equipment included in property and equipment, net as of June 30, 2020, the effect of this change in estimate for the three months ended March 31, 2021, was an increase in operating income of $611 million and net income of $505 million, or $0.07 per both basic and diluted share. The effect of this change for the nine months ended March 31, 2021, was an increase in operating income of $2.3 billion and net income of $1.9 billion, or $0.25 per both basic and diluted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earnings with the corresponding hedged item. Gains and losses representing hedge components excluded from the assessment of effectiveness are recognized in earnings.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60" w:hanging="391"/>
        <w:spacing w:after="0" w:line="250"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8" w:lineRule="exact"/>
        <w:rPr>
          <w:rFonts w:ascii="Arial" w:cs="Arial" w:eastAsia="Arial" w:hAnsi="Arial"/>
          <w:sz w:val="18"/>
          <w:szCs w:val="18"/>
          <w:color w:val="auto"/>
        </w:rPr>
      </w:pPr>
    </w:p>
    <w:p>
      <w:pPr>
        <w:jc w:val="both"/>
        <w:ind w:left="1060" w:hanging="391"/>
        <w:spacing w:after="0" w:line="23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primarily include certain over-the-counter option and swap contracts.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both"/>
        <w:ind w:left="1060" w:hanging="391"/>
        <w:spacing w:after="0" w:line="242"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March 31, 2021 and June 30, 2020, other receivables due from suppliers were $807 million and $442 million, respectively, and are included in accounts receivable, net in our consolidated balance sheets.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March 31, 2021 and June 30, 2020, long-term accounts receivable, net of allowance for doubtful accounts was $2.8 billion and $2.7 billion, respectively, and are included in other long-term assets in our consolidated balance sheets.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March 31, 2021 and June 30, 2020, financing receivables, net were $3.1 billion and $5.2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adopted the standard effective July 1, 2020. We use a forward-looking expected credit loss model for accounts receivable, loans, and other financial instruments. Credit losses relating to available-for-sale debt securities are recorded through an allowance for credit losses rather than as a reduction in the amortized cost basis of the securities. We applied a modified retrospective approach through a cumulative-effect adjustment to retained earnings as of the effective date to align our credit loss methodology with the new standard. The adoption of the standard did not have a material impact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The standard will be effective for us beginning July 1, 2021, with early adoption permitted. We do not expect adoption of this standard to have a material impact on our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5260" w:type="dxa"/>
            <w:vAlign w:val="bottom"/>
          </w:tcPr>
          <w:p>
            <w:pPr>
              <w:spacing w:after="0"/>
              <w:rPr>
                <w:sz w:val="20"/>
                <w:szCs w:val="20"/>
                <w:color w:val="auto"/>
              </w:rPr>
            </w:pPr>
            <w:r>
              <w:rPr>
                <w:rFonts w:ascii="Arial" w:cs="Arial" w:eastAsia="Arial" w:hAnsi="Arial"/>
                <w:sz w:val="13"/>
                <w:szCs w:val="13"/>
                <w:b w:val="1"/>
                <w:bCs w:val="1"/>
                <w:color w:val="auto"/>
              </w:rPr>
              <w:t>(In millions, except earnings per share)</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5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8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15,457</w:t>
            </w:r>
          </w:p>
        </w:tc>
        <w:tc>
          <w:tcPr>
            <w:tcW w:w="4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10,752</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44,813</w:t>
            </w:r>
          </w:p>
        </w:tc>
        <w:tc>
          <w:tcPr>
            <w:tcW w:w="400" w:type="dxa"/>
            <w:vAlign w:val="bottom"/>
            <w:shd w:val="clear" w:color="auto" w:fill="E5E5E5"/>
          </w:tcPr>
          <w:p>
            <w:pPr>
              <w:jc w:val="right"/>
              <w:ind w:right="196"/>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33,079</w:t>
            </w: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7,539</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7,602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7,554</w:t>
            </w:r>
          </w:p>
        </w:tc>
        <w:tc>
          <w:tcPr>
            <w:tcW w:w="40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189"/>
        </w:trPr>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5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58</w:t>
            </w:r>
          </w:p>
        </w:tc>
        <w:tc>
          <w:tcPr>
            <w:tcW w:w="1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73</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63</w:t>
            </w:r>
          </w:p>
        </w:tc>
        <w:tc>
          <w:tcPr>
            <w:tcW w:w="400" w:type="dxa"/>
            <w:vAlign w:val="bottom"/>
            <w:shd w:val="clear" w:color="auto" w:fill="E5E5E5"/>
          </w:tcPr>
          <w:p>
            <w:pPr>
              <w:spacing w:after="0"/>
              <w:rPr>
                <w:sz w:val="16"/>
                <w:szCs w:val="16"/>
                <w:color w:val="auto"/>
              </w:rPr>
            </w:pPr>
          </w:p>
        </w:tc>
        <w:tc>
          <w:tcPr>
            <w:tcW w:w="960" w:type="dxa"/>
            <w:vAlign w:val="bottom"/>
            <w:gridSpan w:val="3"/>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68"/>
        </w:trPr>
        <w:tc>
          <w:tcPr>
            <w:tcW w:w="52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7,597</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7,675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7,617</w:t>
            </w:r>
          </w:p>
        </w:tc>
        <w:tc>
          <w:tcPr>
            <w:tcW w:w="40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61"/>
        </w:trPr>
        <w:tc>
          <w:tcPr>
            <w:tcW w:w="526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5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2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8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2.05</w:t>
            </w:r>
          </w:p>
        </w:tc>
        <w:tc>
          <w:tcPr>
            <w:tcW w:w="4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1.41</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5.93</w:t>
            </w:r>
          </w:p>
        </w:tc>
        <w:tc>
          <w:tcPr>
            <w:tcW w:w="400" w:type="dxa"/>
            <w:vAlign w:val="bottom"/>
            <w:shd w:val="clear" w:color="auto" w:fill="E5E5E5"/>
          </w:tcPr>
          <w:p>
            <w:pPr>
              <w:jc w:val="right"/>
              <w:ind w:right="196"/>
              <w:spacing w:after="0" w:line="189"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4.34</w:t>
            </w:r>
          </w:p>
        </w:tc>
        <w:tc>
          <w:tcPr>
            <w:tcW w:w="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2.03</w:t>
            </w:r>
          </w:p>
        </w:tc>
        <w:tc>
          <w:tcPr>
            <w:tcW w:w="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1.40</w:t>
            </w:r>
          </w:p>
        </w:tc>
        <w:tc>
          <w:tcPr>
            <w:tcW w:w="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5.88</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79" w:lineRule="exact"/>
        <w:rPr>
          <w:sz w:val="20"/>
          <w:szCs w:val="20"/>
          <w:color w:val="auto"/>
        </w:rPr>
      </w:pPr>
    </w:p>
    <w:p>
      <w:pPr>
        <w:ind w:right="3720" w:firstLine="3711"/>
        <w:spacing w:after="0" w:line="434"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54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5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7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519</w:t>
            </w: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673</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1,634</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3"/>
              <w:spacing w:after="0" w:line="189" w:lineRule="exact"/>
              <w:rPr>
                <w:sz w:val="20"/>
                <w:szCs w:val="20"/>
                <w:color w:val="auto"/>
              </w:rPr>
            </w:pPr>
            <w:r>
              <w:rPr>
                <w:rFonts w:ascii="Arial" w:cs="Arial" w:eastAsia="Arial" w:hAnsi="Arial"/>
                <w:sz w:val="18"/>
                <w:szCs w:val="18"/>
                <w:b w:val="1"/>
                <w:bCs w:val="1"/>
                <w:color w:val="auto"/>
              </w:rPr>
              <w:t>(633)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(614)</w:t>
            </w:r>
          </w:p>
        </w:tc>
        <w:tc>
          <w:tcPr>
            <w:tcW w:w="38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(1,793)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(losses) on investments</w:t>
            </w:r>
          </w:p>
        </w:tc>
        <w:tc>
          <w:tcPr>
            <w:tcW w:w="3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353</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(101)</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837</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3"/>
              <w:spacing w:after="0" w:line="189"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49</w:t>
            </w:r>
          </w:p>
        </w:tc>
        <w:tc>
          <w:tcPr>
            <w:tcW w:w="38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3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(55)</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(136)</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8"/>
        </w:trPr>
        <w:tc>
          <w:tcPr>
            <w:tcW w:w="54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188</w:t>
            </w: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(132)</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876</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75"/>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3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6"/>
        </w:trPr>
        <w:tc>
          <w:tcPr>
            <w:tcW w:w="5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60" w:type="dxa"/>
            <w:vAlign w:val="bottom"/>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54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5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46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880" w:type="dxa"/>
            <w:vAlign w:val="bottom"/>
            <w:gridSpan w:val="2"/>
          </w:tcPr>
          <w:p>
            <w:pPr>
              <w:spacing w:after="0"/>
              <w:rPr>
                <w:sz w:val="4"/>
                <w:szCs w:val="4"/>
                <w:color w:val="auto"/>
              </w:rPr>
            </w:pPr>
          </w:p>
        </w:tc>
        <w:tc>
          <w:tcPr>
            <w:tcW w:w="40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440" w:type="dxa"/>
            <w:vAlign w:val="bottom"/>
            <w:gridSpan w:val="2"/>
          </w:tcPr>
          <w:p>
            <w:pPr>
              <w:spacing w:after="0"/>
              <w:rPr>
                <w:sz w:val="4"/>
                <w:szCs w:val="4"/>
                <w:color w:val="auto"/>
              </w:rPr>
            </w:pPr>
          </w:p>
        </w:tc>
        <w:tc>
          <w:tcPr>
            <w:tcW w:w="9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7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73"/>
              <w:spacing w:after="0" w:line="189" w:lineRule="exact"/>
              <w:rPr>
                <w:sz w:val="20"/>
                <w:szCs w:val="20"/>
                <w:color w:val="auto"/>
              </w:rPr>
            </w:pPr>
            <w:r>
              <w:rPr>
                <w:rFonts w:ascii="Arial" w:cs="Arial" w:eastAsia="Arial" w:hAnsi="Arial"/>
                <w:sz w:val="18"/>
                <w:szCs w:val="18"/>
                <w:b w:val="1"/>
                <w:bCs w:val="1"/>
                <w:color w:val="auto"/>
              </w:rPr>
              <w:t>33</w:t>
            </w: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9</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84</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13"/>
              <w:spacing w:after="0" w:line="189" w:lineRule="exact"/>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38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9"/>
        </w:trPr>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and allowance for credit losses</w:t>
            </w:r>
          </w:p>
        </w:tc>
        <w:tc>
          <w:tcPr>
            <w:tcW w:w="3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8"/>
        </w:trPr>
        <w:tc>
          <w:tcPr>
            <w:tcW w:w="5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460" w:type="dxa"/>
            <w:vAlign w:val="bottom"/>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11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460" w:type="dxa"/>
            <w:vAlign w:val="bottom"/>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4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546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equity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7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57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5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5"/>
        </w:trPr>
        <w:tc>
          <w:tcPr>
            <w:tcW w:w="5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(losses) on investments sold</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43</w:t>
            </w:r>
          </w:p>
        </w:tc>
        <w:tc>
          <w:tcPr>
            <w:tcW w:w="5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76</w:t>
            </w:r>
          </w:p>
        </w:tc>
        <w:tc>
          <w:tcPr>
            <w:tcW w:w="44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70</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8"/>
                <w:szCs w:val="18"/>
                <w:color w:val="auto"/>
              </w:rPr>
              <w:t>Net unrealized gains (losses) on investments still held</w:t>
            </w:r>
          </w:p>
        </w:tc>
        <w:tc>
          <w:tcPr>
            <w:tcW w:w="500" w:type="dxa"/>
            <w:vAlign w:val="bottom"/>
          </w:tcPr>
          <w:p>
            <w:pPr>
              <w:spacing w:after="0"/>
              <w:rPr>
                <w:sz w:val="16"/>
                <w:szCs w:val="16"/>
                <w:color w:val="auto"/>
              </w:rPr>
            </w:pPr>
          </w:p>
        </w:tc>
        <w:tc>
          <w:tcPr>
            <w:tcW w:w="72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299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(22)</w:t>
            </w:r>
          </w:p>
        </w:tc>
        <w:tc>
          <w:tcPr>
            <w:tcW w:w="50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725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33</w:t>
            </w:r>
          </w:p>
        </w:tc>
      </w:tr>
      <w:tr>
        <w:trPr>
          <w:trHeight w:val="189"/>
        </w:trPr>
        <w:tc>
          <w:tcPr>
            <w:tcW w:w="57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50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(69)</w:t>
            </w:r>
          </w:p>
        </w:tc>
        <w:tc>
          <w:tcPr>
            <w:tcW w:w="5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(100)</w:t>
            </w:r>
          </w:p>
        </w:tc>
      </w:tr>
      <w:tr>
        <w:trPr>
          <w:trHeight w:val="68"/>
        </w:trPr>
        <w:tc>
          <w:tcPr>
            <w:tcW w:w="57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576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342</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790</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r>
      <w:tr>
        <w:trPr>
          <w:trHeight w:val="61"/>
        </w:trPr>
        <w:tc>
          <w:tcPr>
            <w:tcW w:w="576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and Cash</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Short-term</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6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Cost Basis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8"/>
              </w:rPr>
              <w:t>Equivalents</w:t>
            </w: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7"/>
              </w:rPr>
              <w:t>Investments</w:t>
            </w:r>
          </w:p>
        </w:tc>
        <w:tc>
          <w:tcPr>
            <w:tcW w:w="0" w:type="dxa"/>
            <w:vAlign w:val="bottom"/>
          </w:tcPr>
          <w:p>
            <w:pPr>
              <w:spacing w:after="0"/>
              <w:rPr>
                <w:sz w:val="1"/>
                <w:szCs w:val="1"/>
                <w:color w:val="auto"/>
              </w:rPr>
            </w:pPr>
          </w:p>
        </w:tc>
      </w:tr>
      <w:tr>
        <w:trPr>
          <w:trHeight w:val="54"/>
        </w:trPr>
        <w:tc>
          <w:tcPr>
            <w:tcW w:w="39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3"/>
                <w:szCs w:val="13"/>
                <w:b w:val="1"/>
                <w:bCs w:val="1"/>
                <w:color w:val="auto"/>
              </w:rPr>
              <w:t>March 31, 2021</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3"/>
                <w:szCs w:val="13"/>
                <w:b w:val="1"/>
                <w:bCs w:val="1"/>
                <w:color w:val="auto"/>
                <w:w w:val="96"/>
              </w:rPr>
              <w:t>Changes in Fair Value Recorded in Other Comprehensive Income</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4,435</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4,435</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2,314</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2,121</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2,402</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598</w:t>
            </w: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86,198</w:t>
            </w: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3,789</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(223)</w:t>
            </w:r>
          </w:p>
        </w:tc>
        <w:tc>
          <w:tcPr>
            <w:tcW w:w="14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89,764</w:t>
            </w:r>
          </w:p>
        </w:tc>
        <w:tc>
          <w:tcPr>
            <w:tcW w:w="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89,762</w:t>
            </w: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U.S. agency securities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909</w:t>
            </w: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6,756</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6,760</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1,720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5,040</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Mortgage- and asset-backed securities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3,882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3,895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3,895</w:t>
            </w: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8,262</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251</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(17)</w:t>
            </w:r>
          </w:p>
        </w:tc>
        <w:tc>
          <w:tcPr>
            <w:tcW w:w="14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8,496</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8,496</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286</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54</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340</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340</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6"/>
                <w:szCs w:val="16"/>
                <w:color w:val="auto"/>
              </w:rPr>
              <w:t>Municipal securities</w:t>
            </w:r>
          </w:p>
        </w:tc>
        <w:tc>
          <w:tcPr>
            <w:tcW w:w="760" w:type="dxa"/>
            <w:vAlign w:val="bottom"/>
          </w:tcPr>
          <w:p>
            <w:pPr>
              <w:jc w:val="center"/>
              <w:spacing w:after="0"/>
              <w:rPr>
                <w:sz w:val="20"/>
                <w:szCs w:val="20"/>
                <w:color w:val="auto"/>
              </w:rPr>
            </w:pPr>
            <w:r>
              <w:rPr>
                <w:rFonts w:ascii="Arial" w:cs="Arial" w:eastAsia="Arial" w:hAnsi="Arial"/>
                <w:sz w:val="16"/>
                <w:szCs w:val="16"/>
                <w:color w:val="auto"/>
              </w:rPr>
              <w:t>Level 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88</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42"/>
        </w:trPr>
        <w:tc>
          <w:tcPr>
            <w:tcW w:w="39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76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113,883</w:t>
            </w:r>
          </w:p>
        </w:tc>
        <w:tc>
          <w:tcPr>
            <w:tcW w:w="2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4,126</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(260)</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117,749</w:t>
            </w:r>
          </w:p>
        </w:tc>
        <w:tc>
          <w:tcPr>
            <w:tcW w:w="60" w:type="dxa"/>
            <w:vAlign w:val="bottom"/>
            <w:shd w:val="clear" w:color="auto" w:fill="E5E5E5"/>
          </w:tcPr>
          <w:p>
            <w:pPr>
              <w:spacing w:after="0"/>
              <w:rPr>
                <w:sz w:val="16"/>
                <w:szCs w:val="16"/>
                <w:color w:val="auto"/>
              </w:rPr>
            </w:pP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6,438</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111,311</w:t>
            </w: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75"/>
        </w:trPr>
        <w:tc>
          <w:tcPr>
            <w:tcW w:w="392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 Income</w:t>
            </w: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9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1,592</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950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642</w:t>
            </w: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6"/>
                <w:szCs w:val="16"/>
                <w:color w:val="auto"/>
              </w:rPr>
              <w:t>Equity investments</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4,753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4,753</w:t>
            </w:r>
          </w:p>
        </w:tc>
        <w:tc>
          <w:tcPr>
            <w:tcW w:w="0" w:type="dxa"/>
            <w:vAlign w:val="bottom"/>
          </w:tcPr>
          <w:p>
            <w:pPr>
              <w:spacing w:after="0"/>
              <w:rPr>
                <w:sz w:val="1"/>
                <w:szCs w:val="1"/>
                <w:color w:val="auto"/>
              </w:rPr>
            </w:pPr>
          </w:p>
        </w:tc>
      </w:tr>
      <w:tr>
        <w:trPr>
          <w:trHeight w:val="42"/>
        </w:trPr>
        <w:tc>
          <w:tcPr>
            <w:tcW w:w="39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6,345</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950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5,395</w:t>
            </w:r>
          </w:p>
        </w:tc>
        <w:tc>
          <w:tcPr>
            <w:tcW w:w="0" w:type="dxa"/>
            <w:vAlign w:val="bottom"/>
          </w:tcPr>
          <w:p>
            <w:pPr>
              <w:spacing w:after="0"/>
              <w:rPr>
                <w:sz w:val="1"/>
                <w:szCs w:val="1"/>
                <w:color w:val="auto"/>
              </w:rPr>
            </w:pPr>
          </w:p>
        </w:tc>
      </w:tr>
      <w:tr>
        <w:trPr>
          <w:trHeight w:val="75"/>
        </w:trPr>
        <w:tc>
          <w:tcPr>
            <w:tcW w:w="3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Cash</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6,314</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6,314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9"/>
        </w:trPr>
        <w:tc>
          <w:tcPr>
            <w:tcW w:w="392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394</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394</w:t>
            </w:r>
          </w:p>
        </w:tc>
        <w:tc>
          <w:tcPr>
            <w:tcW w:w="1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68"/>
        </w:trPr>
        <w:tc>
          <w:tcPr>
            <w:tcW w:w="39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920" w:type="dxa"/>
            <w:vAlign w:val="bottom"/>
          </w:tcPr>
          <w:p>
            <w:pPr>
              <w:ind w:left="220"/>
              <w:spacing w:after="0"/>
              <w:rPr>
                <w:sz w:val="20"/>
                <w:szCs w:val="20"/>
                <w:color w:val="auto"/>
              </w:rPr>
            </w:pPr>
            <w:r>
              <w:rPr>
                <w:rFonts w:ascii="Arial" w:cs="Arial" w:eastAsia="Arial" w:hAnsi="Arial"/>
                <w:sz w:val="16"/>
                <w:szCs w:val="16"/>
                <w:color w:val="auto"/>
              </w:rPr>
              <w:t>Total</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130,802</w:t>
            </w: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13,702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111,705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5,395</w:t>
            </w:r>
          </w:p>
        </w:tc>
        <w:tc>
          <w:tcPr>
            <w:tcW w:w="0" w:type="dxa"/>
            <w:vAlign w:val="bottom"/>
          </w:tcPr>
          <w:p>
            <w:pPr>
              <w:spacing w:after="0"/>
              <w:rPr>
                <w:sz w:val="1"/>
                <w:szCs w:val="1"/>
                <w:color w:val="auto"/>
              </w:rPr>
            </w:pPr>
          </w:p>
        </w:tc>
      </w:tr>
      <w:tr>
        <w:trPr>
          <w:trHeight w:val="67"/>
        </w:trPr>
        <w:tc>
          <w:tcPr>
            <w:tcW w:w="3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9"/>
              </w:rPr>
              <w:t>12</w:t>
            </w: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3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9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Adjusted</w:t>
            </w:r>
          </w:p>
        </w:tc>
        <w:tc>
          <w:tcPr>
            <w:tcW w:w="1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Short-term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Level</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Cost Basis</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4,687</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4,688</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1,618</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3,070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2,898</w:t>
            </w: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2,898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92,067</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6,495</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w:t>
            </w: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98,561</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3,168</w:t>
            </w: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95,393</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U.S. agency 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2,439</w:t>
            </w: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2,441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6,982</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(3)</w:t>
            </w: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6,985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6,984</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1"/>
        </w:trPr>
        <w:tc>
          <w:tcPr>
            <w:tcW w:w="280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4,865</w:t>
            </w: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4,900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4,900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8,500</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327</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(17)</w:t>
            </w: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8,810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8,810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313</w:t>
            </w:r>
          </w:p>
        </w:tc>
        <w:tc>
          <w:tcPr>
            <w:tcW w:w="1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57</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w:t>
            </w: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366</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366</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91</w:t>
            </w: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0"/>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02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122,900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6,929</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(31)</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129,798</w:t>
            </w:r>
          </w:p>
        </w:tc>
        <w:tc>
          <w:tcPr>
            <w:tcW w:w="8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6,882</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122,916</w:t>
            </w:r>
          </w:p>
        </w:tc>
        <w:tc>
          <w:tcPr>
            <w:tcW w:w="8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10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8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1,198</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2,551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60"/>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0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3,749</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6"/>
                <w:szCs w:val="16"/>
                <w:color w:val="auto"/>
              </w:rPr>
              <w:t>Cash</w:t>
            </w: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00" w:type="dxa"/>
            <w:vAlign w:val="bottom"/>
            <w:vMerge w:val="continue"/>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5,910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5,910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0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800" w:type="dxa"/>
            <w:vAlign w:val="bottom"/>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139,492</w:t>
            </w:r>
          </w:p>
        </w:tc>
        <w:tc>
          <w:tcPr>
            <w:tcW w:w="80" w:type="dxa"/>
            <w:vAlign w:val="bottom"/>
          </w:tcPr>
          <w:p>
            <w:pPr>
              <w:spacing w:after="0"/>
              <w:rPr>
                <w:sz w:val="23"/>
                <w:szCs w:val="2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13,576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122,951</w:t>
            </w:r>
          </w:p>
        </w:tc>
        <w:tc>
          <w:tcPr>
            <w:tcW w:w="80" w:type="dxa"/>
            <w:vAlign w:val="bottom"/>
          </w:tcPr>
          <w:p>
            <w:pPr>
              <w:spacing w:after="0"/>
              <w:rPr>
                <w:sz w:val="23"/>
                <w:szCs w:val="2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38100</wp:posOffset>
            </wp:positionV>
            <wp:extent cx="26320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32075" cy="17145"/>
                    </a:xfrm>
                    <a:prstGeom prst="rect">
                      <a:avLst/>
                    </a:prstGeom>
                    <a:noFill/>
                  </pic:spPr>
                </pic:pic>
              </a:graphicData>
            </a:graphic>
          </wp:anchor>
        </w:drawing>
      </w:r>
    </w:p>
    <w:p>
      <w:pPr>
        <w:spacing w:after="0" w:line="12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March 31, 2021 and June 30, 2020, equity investments without readily determinable fair values measured at cost with adjustments for observable changes in price or impairments were $2.9 billion and $1.4 billion,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3"/>
                <w:szCs w:val="13"/>
                <w:b w:val="1"/>
                <w:bCs w:val="1"/>
                <w:color w:val="auto"/>
              </w:rPr>
              <w:t>March 31, 2021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6,755</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(223)</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6,755</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1,429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1,377</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1,377</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2,323</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2,323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1,014</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1,014</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649</w:t>
            </w: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66</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66</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6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Estimated</w:t>
            </w:r>
          </w:p>
        </w:tc>
      </w:t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r>
      <w:tr>
        <w:trPr>
          <w:trHeight w:val="55"/>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March 31, 2021</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
        </w:trPr>
        <w:tc>
          <w:tcPr>
            <w:tcW w:w="8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17,466</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17,496</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460" w:type="dxa"/>
            <w:vAlign w:val="bottom"/>
          </w:tcPr>
          <w:p>
            <w:pPr>
              <w:spacing w:after="0"/>
              <w:rPr>
                <w:sz w:val="16"/>
                <w:szCs w:val="16"/>
                <w:color w:val="auto"/>
              </w:rPr>
            </w:pPr>
          </w:p>
        </w:tc>
        <w:tc>
          <w:tcPr>
            <w:tcW w:w="12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65,306</w:t>
            </w:r>
          </w:p>
        </w:tc>
        <w:tc>
          <w:tcPr>
            <w:tcW w:w="46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68,168</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46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28,540</w:t>
            </w:r>
          </w:p>
        </w:tc>
        <w:tc>
          <w:tcPr>
            <w:tcW w:w="4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29,478</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Due after 10 years</w:t>
            </w:r>
          </w:p>
        </w:tc>
        <w:tc>
          <w:tcPr>
            <w:tcW w:w="4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2,571</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2,607</w:t>
            </w:r>
          </w:p>
        </w:tc>
      </w:tr>
      <w:tr>
        <w:trPr>
          <w:trHeight w:val="68"/>
        </w:trPr>
        <w:tc>
          <w:tcPr>
            <w:tcW w:w="80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113,883</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117,749</w:t>
            </w:r>
          </w:p>
        </w:tc>
      </w:tr>
      <w:tr>
        <w:trPr>
          <w:trHeight w:val="74"/>
        </w:trPr>
        <w:tc>
          <w:tcPr>
            <w:tcW w:w="80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past, option and forward contracts were used to hedge a portion of forecasted international revenue and were designated as cash flow hedging instruments. Principal currencies hedged included the Euro, Japanese yen, British pound, Canadian dollar, and Australian dollar.</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 -counter swap and option contracts.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March 31, 2021, our long-term unsecured debt rating was AAA, and cash investments were in excess of $1.0 billion. As a result, no collateral was required to be posted.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808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b w:val="1"/>
                <w:bCs w:val="1"/>
                <w:color w:val="auto"/>
              </w:rPr>
              <w:t>March 31,</w:t>
            </w:r>
          </w:p>
        </w:tc>
        <w:tc>
          <w:tcPr>
            <w:tcW w:w="620" w:type="dxa"/>
            <w:vAlign w:val="bottom"/>
          </w:tcPr>
          <w:p>
            <w:pPr>
              <w:spacing w:after="0"/>
              <w:rPr>
                <w:sz w:val="13"/>
                <w:szCs w:val="13"/>
                <w:color w:val="auto"/>
              </w:rPr>
            </w:pPr>
          </w:p>
        </w:tc>
        <w:tc>
          <w:tcPr>
            <w:tcW w:w="102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3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b w:val="1"/>
                <w:bCs w:val="1"/>
                <w:color w:val="auto"/>
              </w:rPr>
              <w:t>2021</w:t>
            </w:r>
          </w:p>
        </w:tc>
        <w:tc>
          <w:tcPr>
            <w:tcW w:w="6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r>
      <w:tr>
        <w:trPr>
          <w:trHeight w:val="216"/>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4"/>
        </w:trPr>
        <w:tc>
          <w:tcPr>
            <w:tcW w:w="43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160" w:type="dxa"/>
            <w:vAlign w:val="bottom"/>
            <w:shd w:val="clear" w:color="auto" w:fill="E5E5E5"/>
          </w:tcPr>
          <w:p>
            <w:pPr>
              <w:jc w:val="right"/>
              <w:ind w:right="299"/>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635</w:t>
            </w:r>
          </w:p>
        </w:tc>
        <w:tc>
          <w:tcPr>
            <w:tcW w:w="62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635</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160" w:type="dxa"/>
            <w:vAlign w:val="bottom"/>
          </w:tcPr>
          <w:p>
            <w:pPr>
              <w:spacing w:after="0"/>
              <w:rPr>
                <w:sz w:val="16"/>
                <w:szCs w:val="16"/>
                <w:color w:val="auto"/>
              </w:rPr>
            </w:pPr>
          </w:p>
        </w:tc>
        <w:tc>
          <w:tcPr>
            <w:tcW w:w="110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6,868</w:t>
            </w:r>
          </w:p>
        </w:tc>
        <w:tc>
          <w:tcPr>
            <w:tcW w:w="62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6,754</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41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1,234</w:t>
            </w:r>
          </w:p>
        </w:tc>
        <w:tc>
          <w:tcPr>
            <w:tcW w:w="6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1,295</w:t>
            </w:r>
          </w:p>
        </w:tc>
      </w:tr>
      <w:tr>
        <w:trPr>
          <w:trHeight w:val="229"/>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4"/>
        </w:trPr>
        <w:tc>
          <w:tcPr>
            <w:tcW w:w="43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1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12,469</w:t>
            </w:r>
          </w:p>
        </w:tc>
        <w:tc>
          <w:tcPr>
            <w:tcW w:w="6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11,896</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160" w:type="dxa"/>
            <w:vAlign w:val="bottom"/>
          </w:tcPr>
          <w:p>
            <w:pPr>
              <w:spacing w:after="0"/>
              <w:rPr>
                <w:sz w:val="16"/>
                <w:szCs w:val="16"/>
                <w:color w:val="auto"/>
              </w:rPr>
            </w:pPr>
          </w:p>
        </w:tc>
        <w:tc>
          <w:tcPr>
            <w:tcW w:w="110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14,306</w:t>
            </w:r>
          </w:p>
        </w:tc>
        <w:tc>
          <w:tcPr>
            <w:tcW w:w="62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15,595</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1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2,411</w:t>
            </w:r>
          </w:p>
        </w:tc>
        <w:tc>
          <w:tcPr>
            <w:tcW w:w="62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1,844</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698</w:t>
            </w:r>
          </w:p>
        </w:tc>
        <w:tc>
          <w:tcPr>
            <w:tcW w:w="6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r>
      <w:tr>
        <w:trPr>
          <w:trHeight w:val="663"/>
        </w:trPr>
        <w:tc>
          <w:tcPr>
            <w:tcW w:w="434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jc w:val="right"/>
              <w:ind w:right="2719"/>
              <w:spacing w:after="0"/>
              <w:rPr>
                <w:sz w:val="20"/>
                <w:szCs w:val="20"/>
                <w:color w:val="auto"/>
              </w:rPr>
            </w:pPr>
            <w:r>
              <w:rPr>
                <w:rFonts w:ascii="Arial" w:cs="Arial" w:eastAsia="Arial" w:hAnsi="Arial"/>
                <w:sz w:val="14"/>
                <w:szCs w:val="14"/>
                <w:color w:val="auto"/>
              </w:rPr>
              <w:t>15</w:t>
            </w: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00"/>
        </w:trPr>
        <w:tc>
          <w:tcPr>
            <w:tcW w:w="434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5"/>
        </w:trPr>
        <w:tc>
          <w:tcPr>
            <w:tcW w:w="5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314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207</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(290)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245</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8"/>
        </w:trPr>
        <w:tc>
          <w:tcPr>
            <w:tcW w:w="59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581</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(310)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400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6"/>
                <w:szCs w:val="16"/>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(281)</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471</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61"/>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394</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199</w:t>
            </w:r>
          </w:p>
        </w:tc>
        <w:tc>
          <w:tcPr>
            <w:tcW w:w="2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w:t>
            </w:r>
          </w:p>
        </w:tc>
        <w:tc>
          <w:tcPr>
            <w:tcW w:w="28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(456)</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471</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$577 million and $309 million, respectively, as of March 31, 2021, and $399 million and $399 million, respectively, as of June 30,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55"/>
        </w:trPr>
        <w:tc>
          <w:tcPr>
            <w:tcW w:w="35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3"/>
                <w:szCs w:val="13"/>
                <w:b w:val="1"/>
                <w:bCs w:val="1"/>
                <w:color w:val="auto"/>
              </w:rPr>
              <w:t>March 31, 2021</w:t>
            </w:r>
          </w:p>
        </w:tc>
        <w:tc>
          <w:tcPr>
            <w:tcW w:w="2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578</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3</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581</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(310)</w:t>
            </w:r>
          </w:p>
        </w:tc>
      </w:tr>
      <w:tr>
        <w:trPr>
          <w:trHeight w:val="179"/>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2020</w:t>
            </w:r>
          </w:p>
        </w:tc>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1</w:t>
            </w:r>
          </w:p>
        </w:tc>
        <w:tc>
          <w:tcPr>
            <w:tcW w:w="5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398</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1</w:t>
            </w:r>
          </w:p>
        </w:tc>
        <w:tc>
          <w:tcPr>
            <w:tcW w:w="5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400</w:t>
            </w: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r>
      <w:tr>
        <w:trPr>
          <w:trHeight w:val="40"/>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589"/>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16</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our consolidated income statements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Income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b w:val="1"/>
                <w:bCs w:val="1"/>
                <w:color w:val="auto"/>
              </w:rPr>
              <w:t>Income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Income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(Expense),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b w:val="1"/>
                <w:bCs w:val="1"/>
                <w:color w:val="auto"/>
              </w:rPr>
              <w:t>(Expense),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w w:val="94"/>
              </w:rPr>
              <w:t>(Expense),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(Expense),</w:t>
            </w:r>
          </w:p>
        </w:tc>
        <w:tc>
          <w:tcPr>
            <w:tcW w:w="0" w:type="dxa"/>
            <w:vAlign w:val="bottom"/>
          </w:tcPr>
          <w:p>
            <w:pPr>
              <w:spacing w:after="0"/>
              <w:rPr>
                <w:sz w:val="1"/>
                <w:szCs w:val="1"/>
                <w:color w:val="auto"/>
              </w:rPr>
            </w:pPr>
          </w:p>
        </w:tc>
      </w:tr>
      <w:tr>
        <w:trPr>
          <w:trHeight w:val="178"/>
        </w:trPr>
        <w:tc>
          <w:tcPr>
            <w:tcW w:w="31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5"/>
                <w:szCs w:val="15"/>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5"/>
                <w:szCs w:val="15"/>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b w:val="1"/>
                <w:bCs w:val="1"/>
                <w:color w:val="auto"/>
              </w:rPr>
              <w:t>Revenue</w:t>
            </w:r>
          </w:p>
        </w:tc>
        <w:tc>
          <w:tcPr>
            <w:tcW w:w="2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68"/>
        </w:trPr>
        <w:tc>
          <w:tcPr>
            <w:tcW w:w="3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14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3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8"/>
              <w:spacing w:after="0" w:line="189" w:lineRule="exact"/>
              <w:rPr>
                <w:sz w:val="20"/>
                <w:szCs w:val="20"/>
                <w:color w:val="auto"/>
              </w:rPr>
            </w:pPr>
            <w:r>
              <w:rPr>
                <w:rFonts w:ascii="Arial" w:cs="Arial" w:eastAsia="Arial" w:hAnsi="Arial"/>
                <w:sz w:val="18"/>
                <w:szCs w:val="18"/>
                <w:b w:val="1"/>
                <w:bCs w:val="1"/>
                <w:color w:val="auto"/>
              </w:rPr>
              <w:t>482</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(23)</w:t>
            </w:r>
          </w:p>
        </w:tc>
        <w:tc>
          <w:tcPr>
            <w:tcW w:w="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8"/>
              <w:spacing w:after="0" w:line="189" w:lineRule="exact"/>
              <w:rPr>
                <w:sz w:val="20"/>
                <w:szCs w:val="20"/>
                <w:color w:val="auto"/>
              </w:rPr>
            </w:pPr>
            <w:r>
              <w:rPr>
                <w:rFonts w:ascii="Arial" w:cs="Arial" w:eastAsia="Arial" w:hAnsi="Arial"/>
                <w:sz w:val="18"/>
                <w:szCs w:val="18"/>
                <w:b w:val="1"/>
                <w:bCs w:val="1"/>
                <w:color w:val="auto"/>
              </w:rPr>
              <w:t>189</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(474)</w:t>
            </w: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ind w:right="39"/>
              <w:spacing w:after="0" w:line="189" w:lineRule="exact"/>
              <w:rPr>
                <w:sz w:val="20"/>
                <w:szCs w:val="20"/>
                <w:color w:val="auto"/>
              </w:rPr>
            </w:pPr>
            <w:r>
              <w:rPr>
                <w:rFonts w:ascii="Arial" w:cs="Arial" w:eastAsia="Arial" w:hAnsi="Arial"/>
                <w:sz w:val="18"/>
                <w:szCs w:val="18"/>
                <w:color w:val="auto"/>
              </w:rPr>
              <w:t>32</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(181)</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3140" w:type="dxa"/>
            <w:vAlign w:val="bottom"/>
          </w:tcPr>
          <w:p>
            <w:pPr>
              <w:ind w:left="220"/>
              <w:spacing w:after="0" w:line="175" w:lineRule="exact"/>
              <w:rPr>
                <w:sz w:val="20"/>
                <w:szCs w:val="20"/>
                <w:color w:val="auto"/>
              </w:rPr>
            </w:pPr>
            <w:r>
              <w:rPr>
                <w:rFonts w:ascii="Arial" w:cs="Arial" w:eastAsia="Arial" w:hAnsi="Arial"/>
                <w:sz w:val="18"/>
                <w:szCs w:val="18"/>
                <w:color w:val="auto"/>
              </w:rPr>
              <w:t>Excluded from effectiveness</w:t>
            </w:r>
          </w:p>
        </w:tc>
        <w:tc>
          <w:tcPr>
            <w:tcW w:w="300" w:type="dxa"/>
            <w:vAlign w:val="bottom"/>
          </w:tcPr>
          <w:p>
            <w:pPr>
              <w:spacing w:after="0"/>
              <w:rPr>
                <w:sz w:val="15"/>
                <w:szCs w:val="15"/>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5"/>
                <w:szCs w:val="15"/>
                <w:color w:val="auto"/>
              </w:rPr>
            </w:pPr>
          </w:p>
        </w:tc>
        <w:tc>
          <w:tcPr>
            <w:tcW w:w="82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5"/>
                <w:szCs w:val="15"/>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440"/>
              <w:spacing w:after="0" w:line="203" w:lineRule="exact"/>
              <w:rPr>
                <w:sz w:val="20"/>
                <w:szCs w:val="20"/>
                <w:color w:val="auto"/>
              </w:rPr>
            </w:pPr>
            <w:r>
              <w:rPr>
                <w:rFonts w:ascii="Arial" w:cs="Arial" w:eastAsia="Arial" w:hAnsi="Arial"/>
                <w:sz w:val="18"/>
                <w:szCs w:val="18"/>
                <w:color w:val="auto"/>
              </w:rPr>
              <w:t>assessment</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34"/>
              <w:spacing w:after="0" w:line="203"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800" w:type="dxa"/>
            <w:vAlign w:val="bottom"/>
          </w:tcPr>
          <w:p>
            <w:pPr>
              <w:jc w:val="right"/>
              <w:ind w:right="39"/>
              <w:spacing w:after="0" w:line="203"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34"/>
              <w:spacing w:after="0" w:line="203"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300" w:type="dxa"/>
            <w:vAlign w:val="bottom"/>
          </w:tcPr>
          <w:p>
            <w:pPr>
              <w:spacing w:after="0"/>
              <w:rPr>
                <w:sz w:val="16"/>
                <w:szCs w:val="16"/>
                <w:color w:val="auto"/>
              </w:rPr>
            </w:pPr>
          </w:p>
        </w:tc>
        <w:tc>
          <w:tcPr>
            <w:tcW w:w="7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(41)</w:t>
            </w:r>
          </w:p>
        </w:tc>
        <w:tc>
          <w:tcPr>
            <w:tcW w:w="260" w:type="dxa"/>
            <w:vAlign w:val="bottom"/>
          </w:tcPr>
          <w:p>
            <w:pPr>
              <w:spacing w:after="0"/>
              <w:rPr>
                <w:sz w:val="16"/>
                <w:szCs w:val="16"/>
                <w:color w:val="auto"/>
              </w:rPr>
            </w:pPr>
          </w:p>
        </w:tc>
        <w:tc>
          <w:tcPr>
            <w:tcW w:w="760" w:type="dxa"/>
            <w:vAlign w:val="bottom"/>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6"/>
                <w:szCs w:val="16"/>
                <w:color w:val="auto"/>
              </w:rPr>
            </w:pPr>
          </w:p>
        </w:tc>
        <w:tc>
          <w:tcPr>
            <w:tcW w:w="800" w:type="dxa"/>
            <w:vAlign w:val="bottom"/>
          </w:tcPr>
          <w:p>
            <w:pPr>
              <w:jc w:val="right"/>
              <w:ind w:right="39"/>
              <w:spacing w:after="0" w:line="189"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6"/>
                <w:szCs w:val="16"/>
                <w:color w:val="auto"/>
              </w:rPr>
            </w:pPr>
          </w:p>
        </w:tc>
        <w:tc>
          <w:tcPr>
            <w:tcW w:w="7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16"/>
                <w:szCs w:val="16"/>
                <w:color w:val="auto"/>
              </w:rPr>
            </w:pPr>
          </w:p>
        </w:tc>
        <w:tc>
          <w:tcPr>
            <w:tcW w:w="720" w:type="dxa"/>
            <w:vAlign w:val="bottom"/>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46</w:t>
            </w: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(92)</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220"/>
              <w:spacing w:after="0" w:line="175" w:lineRule="exact"/>
              <w:rPr>
                <w:sz w:val="20"/>
                <w:szCs w:val="20"/>
                <w:color w:val="auto"/>
              </w:rPr>
            </w:pPr>
            <w:r>
              <w:rPr>
                <w:rFonts w:ascii="Arial" w:cs="Arial" w:eastAsia="Arial" w:hAnsi="Arial"/>
                <w:sz w:val="18"/>
                <w:szCs w:val="18"/>
                <w:color w:val="auto"/>
              </w:rPr>
              <w:t>Amount reclassified from</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440"/>
              <w:spacing w:after="0" w:line="189" w:lineRule="exact"/>
              <w:rPr>
                <w:sz w:val="20"/>
                <w:szCs w:val="20"/>
                <w:color w:val="auto"/>
              </w:rPr>
            </w:pPr>
            <w:r>
              <w:rPr>
                <w:rFonts w:ascii="Arial" w:cs="Arial" w:eastAsia="Arial" w:hAnsi="Arial"/>
                <w:sz w:val="18"/>
                <w:szCs w:val="18"/>
                <w:color w:val="auto"/>
              </w:rPr>
              <w:t>accumulated other</w:t>
            </w:r>
          </w:p>
        </w:tc>
        <w:tc>
          <w:tcPr>
            <w:tcW w:w="300" w:type="dxa"/>
            <w:vAlign w:val="bottom"/>
          </w:tcPr>
          <w:p>
            <w:pPr>
              <w:spacing w:after="0"/>
              <w:rPr>
                <w:sz w:val="16"/>
                <w:szCs w:val="16"/>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6"/>
                <w:szCs w:val="16"/>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440"/>
              <w:spacing w:after="0" w:line="203" w:lineRule="exact"/>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34"/>
              <w:spacing w:after="0" w:line="203"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34"/>
              <w:spacing w:after="0" w:line="203"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7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314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Excluded from effectiveness</w:t>
            </w:r>
          </w:p>
        </w:tc>
        <w:tc>
          <w:tcPr>
            <w:tcW w:w="30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5"/>
                <w:szCs w:val="15"/>
                <w:color w:val="auto"/>
              </w:rPr>
            </w:pPr>
          </w:p>
        </w:tc>
        <w:tc>
          <w:tcPr>
            <w:tcW w:w="820" w:type="dxa"/>
            <w:vAlign w:val="bottom"/>
            <w:vMerge w:val="restart"/>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2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5"/>
                <w:szCs w:val="15"/>
                <w:color w:val="auto"/>
              </w:rPr>
            </w:pPr>
          </w:p>
        </w:tc>
        <w:tc>
          <w:tcPr>
            <w:tcW w:w="780" w:type="dxa"/>
            <w:vAlign w:val="bottom"/>
            <w:vMerge w:val="restart"/>
            <w:shd w:val="clear" w:color="auto" w:fill="E5E5E5"/>
          </w:tcPr>
          <w:p>
            <w:pPr>
              <w:jc w:val="right"/>
              <w:ind w:right="58"/>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assessment</w:t>
            </w:r>
          </w:p>
        </w:tc>
        <w:tc>
          <w:tcPr>
            <w:tcW w:w="300" w:type="dxa"/>
            <w:vAlign w:val="bottom"/>
            <w:shd w:val="clear" w:color="auto" w:fill="E5E5E5"/>
          </w:tcPr>
          <w:p>
            <w:pPr>
              <w:spacing w:after="0"/>
              <w:rPr>
                <w:sz w:val="17"/>
                <w:szCs w:val="17"/>
                <w:color w:val="auto"/>
              </w:rPr>
            </w:pPr>
          </w:p>
        </w:tc>
        <w:tc>
          <w:tcPr>
            <w:tcW w:w="760" w:type="dxa"/>
            <w:vAlign w:val="bottom"/>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20" w:type="dxa"/>
            <w:vAlign w:val="bottom"/>
            <w:vMerge w:val="continue"/>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34"/>
              <w:spacing w:after="0" w:line="203"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39"/>
              <w:spacing w:after="0" w:line="203"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7"/>
                <w:szCs w:val="17"/>
                <w:color w:val="auto"/>
              </w:rPr>
            </w:pPr>
          </w:p>
        </w:tc>
        <w:tc>
          <w:tcPr>
            <w:tcW w:w="720" w:type="dxa"/>
            <w:vAlign w:val="bottom"/>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80" w:type="dxa"/>
            <w:vAlign w:val="bottom"/>
            <w:vMerge w:val="continue"/>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34"/>
              <w:spacing w:after="0" w:line="203"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(130)</w:t>
            </w:r>
          </w:p>
        </w:tc>
        <w:tc>
          <w:tcPr>
            <w:tcW w:w="26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(98)</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58"/>
              <w:spacing w:after="0" w:line="189" w:lineRule="exact"/>
              <w:rPr>
                <w:sz w:val="20"/>
                <w:szCs w:val="20"/>
                <w:color w:val="auto"/>
              </w:rPr>
            </w:pPr>
            <w:r>
              <w:rPr>
                <w:rFonts w:ascii="Arial" w:cs="Arial" w:eastAsia="Arial" w:hAnsi="Arial"/>
                <w:sz w:val="18"/>
                <w:szCs w:val="18"/>
                <w:b w:val="1"/>
                <w:bCs w:val="1"/>
                <w:color w:val="auto"/>
              </w:rPr>
              <w:t>67</w:t>
            </w: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contracts</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4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5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17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178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520" w:type="dxa"/>
            <w:vAlign w:val="bottom"/>
          </w:tcPr>
          <w:p>
            <w:pPr>
              <w:jc w:val="right"/>
              <w:ind w:right="14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46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45"/>
        </w:trPr>
        <w:tc>
          <w:tcPr>
            <w:tcW w:w="45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NOTE 6 — INVENTORIES</w:t>
            </w: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1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5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4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5"/>
        </w:trPr>
        <w:tc>
          <w:tcPr>
            <w:tcW w:w="45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17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520"/>
              <w:spacing w:after="0" w:line="189"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752</w:t>
            </w:r>
          </w:p>
        </w:tc>
        <w:tc>
          <w:tcPr>
            <w:tcW w:w="3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6"/>
                <w:szCs w:val="16"/>
                <w:color w:val="auto"/>
              </w:rPr>
            </w:pPr>
          </w:p>
        </w:tc>
        <w:tc>
          <w:tcPr>
            <w:tcW w:w="92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98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17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1,395</w:t>
            </w: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92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2,245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61"/>
        </w:trPr>
        <w:tc>
          <w:tcPr>
            <w:tcW w:w="4560" w:type="dxa"/>
            <w:vAlign w:val="bottom"/>
          </w:tcPr>
          <w:p>
            <w:pPr>
              <w:spacing w:after="0"/>
              <w:rPr>
                <w:sz w:val="5"/>
                <w:szCs w:val="5"/>
                <w:color w:val="auto"/>
              </w:rPr>
            </w:pPr>
          </w:p>
        </w:tc>
        <w:tc>
          <w:tcPr>
            <w:tcW w:w="1780" w:type="dxa"/>
            <w:vAlign w:val="bottom"/>
            <w:vMerge w:val="restart"/>
          </w:tcPr>
          <w:p>
            <w:pPr>
              <w:jc w:val="right"/>
              <w:ind w:right="556"/>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3"/>
        </w:trPr>
        <w:tc>
          <w:tcPr>
            <w:tcW w:w="45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(“Bethesda”), for a total purchase price of $8.1 billion, consisting primarily of cash. The purchase price included $768 million of cash and cash equivalents acquired. Bethesda is one of the largest, privately held game developers and publishers in the world, and brings a broad portfolio of games, technology, and talent to Xbox. The financial results of ZeniMax have been included in our consolidated financial statements since the date of the acquisition. ZeniMax is reported as part of our More Personal Computing segment.</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0465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4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E5E5E5"/>
          </w:tcPr>
          <w:p>
            <w:pPr>
              <w:spacing w:after="0"/>
              <w:rPr>
                <w:sz w:val="18"/>
                <w:szCs w:val="18"/>
                <w:color w:val="auto"/>
              </w:rPr>
            </w:pPr>
          </w:p>
        </w:tc>
      </w:tr>
      <w:tr>
        <w:trPr>
          <w:trHeight w:val="203"/>
        </w:trPr>
        <w:tc>
          <w:tcPr>
            <w:tcW w:w="96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5,554</w:t>
            </w:r>
          </w:p>
        </w:tc>
        <w:tc>
          <w:tcPr>
            <w:tcW w:w="140" w:type="dxa"/>
            <w:vAlign w:val="bottom"/>
          </w:tcPr>
          <w:p>
            <w:pPr>
              <w:spacing w:after="0"/>
              <w:rPr>
                <w:sz w:val="17"/>
                <w:szCs w:val="17"/>
                <w:color w:val="auto"/>
              </w:rPr>
            </w:pPr>
          </w:p>
        </w:tc>
      </w:tr>
      <w:tr>
        <w:trPr>
          <w:trHeight w:val="243"/>
        </w:trPr>
        <w:tc>
          <w:tcPr>
            <w:tcW w:w="964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w:t>
            </w:r>
          </w:p>
        </w:tc>
        <w:tc>
          <w:tcPr>
            <w:tcW w:w="56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1,947</w:t>
            </w:r>
          </w:p>
        </w:tc>
        <w:tc>
          <w:tcPr>
            <w:tcW w:w="140" w:type="dxa"/>
            <w:vAlign w:val="bottom"/>
            <w:shd w:val="clear" w:color="auto" w:fill="E5E5E5"/>
          </w:tcPr>
          <w:p>
            <w:pPr>
              <w:spacing w:after="0"/>
              <w:rPr>
                <w:sz w:val="21"/>
                <w:szCs w:val="21"/>
                <w:color w:val="auto"/>
              </w:rPr>
            </w:pPr>
          </w:p>
        </w:tc>
      </w:tr>
      <w:tr>
        <w:trPr>
          <w:trHeight w:val="243"/>
        </w:trPr>
        <w:tc>
          <w:tcPr>
            <w:tcW w:w="964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1"/>
                <w:szCs w:val="21"/>
                <w:color w:val="auto"/>
              </w:rPr>
            </w:pPr>
          </w:p>
        </w:tc>
      </w:tr>
      <w:tr>
        <w:trPr>
          <w:trHeight w:val="203"/>
        </w:trPr>
        <w:tc>
          <w:tcPr>
            <w:tcW w:w="9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liabilities</w:t>
            </w:r>
          </w:p>
        </w:tc>
        <w:tc>
          <w:tcPr>
            <w:tcW w:w="5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(322)</w:t>
            </w:r>
          </w:p>
        </w:tc>
      </w:tr>
      <w:tr>
        <w:trPr>
          <w:trHeight w:val="81"/>
        </w:trPr>
        <w:tc>
          <w:tcPr>
            <w:tcW w:w="96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90"/>
        </w:trPr>
        <w:tc>
          <w:tcPr>
            <w:tcW w:w="964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8,108</w:t>
            </w:r>
          </w:p>
        </w:tc>
        <w:tc>
          <w:tcPr>
            <w:tcW w:w="140" w:type="dxa"/>
            <w:vAlign w:val="bottom"/>
          </w:tcPr>
          <w:p>
            <w:pPr>
              <w:spacing w:after="0"/>
              <w:rPr>
                <w:sz w:val="24"/>
                <w:szCs w:val="24"/>
                <w:color w:val="auto"/>
              </w:rPr>
            </w:pPr>
          </w:p>
        </w:tc>
      </w:tr>
      <w:tr>
        <w:trPr>
          <w:trHeight w:val="61"/>
        </w:trPr>
        <w:tc>
          <w:tcPr>
            <w:tcW w:w="96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ZeniMax. None of the goodwill is expected to be deductible for income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the purchase price allocated to the intangible assets acquired: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55"/>
        </w:trPr>
        <w:tc>
          <w:tcPr>
            <w:tcW w:w="46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Technology-based</w:t>
            </w:r>
          </w:p>
        </w:tc>
        <w:tc>
          <w:tcPr>
            <w:tcW w:w="19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1,324</w:t>
            </w:r>
          </w:p>
        </w:tc>
        <w:tc>
          <w:tcPr>
            <w:tcW w:w="3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Arial" w:cs="Arial" w:eastAsia="Arial" w:hAnsi="Arial"/>
                <w:sz w:val="18"/>
                <w:szCs w:val="18"/>
                <w:color w:val="auto"/>
              </w:rPr>
              <w:t>Marketing-related</w:t>
            </w:r>
          </w:p>
        </w:tc>
        <w:tc>
          <w:tcPr>
            <w:tcW w:w="1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68"/>
        </w:trPr>
        <w:tc>
          <w:tcPr>
            <w:tcW w:w="46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6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19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1,947</w:t>
            </w:r>
          </w:p>
        </w:tc>
        <w:tc>
          <w:tcPr>
            <w:tcW w:w="3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w w:val="98"/>
              </w:rPr>
              <w:t>NOTE 8 — GOODWILL</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4"/>
        </w:trPr>
        <w:tc>
          <w:tcPr>
            <w:tcW w:w="4680" w:type="dxa"/>
            <w:vAlign w:val="bottom"/>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580" w:type="dxa"/>
            <w:vAlign w:val="bottom"/>
            <w:gridSpan w:val="2"/>
          </w:tcPr>
          <w:p>
            <w:pPr>
              <w:spacing w:after="0"/>
              <w:rPr>
                <w:sz w:val="20"/>
                <w:szCs w:val="20"/>
                <w:color w:val="auto"/>
              </w:rPr>
            </w:pPr>
            <w:r>
              <w:rPr>
                <w:rFonts w:ascii="Arial" w:cs="Arial" w:eastAsia="Arial" w:hAnsi="Arial"/>
                <w:sz w:val="18"/>
                <w:szCs w:val="18"/>
                <w:color w:val="auto"/>
              </w:rPr>
              <w:t>Changes in the carrying amount of goodwill were as follows: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9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Acquisitions</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55"/>
        </w:trPr>
        <w:tc>
          <w:tcPr>
            <w:tcW w:w="46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80" w:type="dxa"/>
            <w:vAlign w:val="bottom"/>
            <w:tcBorders>
              <w:top w:val="single" w:sz="8" w:color="auto"/>
            </w:tcBorders>
          </w:tcPr>
          <w:p>
            <w:pPr>
              <w:spacing w:after="0"/>
              <w:rPr>
                <w:sz w:val="5"/>
                <w:szCs w:val="5"/>
                <w:color w:val="auto"/>
              </w:rPr>
            </w:pPr>
          </w:p>
        </w:tc>
        <w:tc>
          <w:tcPr>
            <w:tcW w:w="19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Productivity and Business Processes</w:t>
            </w:r>
          </w:p>
        </w:tc>
        <w:tc>
          <w:tcPr>
            <w:tcW w:w="1900" w:type="dxa"/>
            <w:vAlign w:val="bottom"/>
            <w:shd w:val="clear" w:color="auto" w:fill="E5E5E5"/>
          </w:tcPr>
          <w:p>
            <w:pPr>
              <w:jc w:val="right"/>
              <w:ind w:right="43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24,190</w:t>
            </w:r>
          </w:p>
        </w:tc>
        <w:tc>
          <w:tcPr>
            <w:tcW w:w="2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40" w:type="dxa"/>
            <w:vAlign w:val="bottom"/>
            <w:gridSpan w:val="2"/>
            <w:shd w:val="clear" w:color="auto" w:fill="E5E5E5"/>
          </w:tcPr>
          <w:p>
            <w:pPr>
              <w:jc w:val="right"/>
              <w:ind w:right="573"/>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3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24,307</w:t>
            </w:r>
          </w:p>
        </w:tc>
        <w:tc>
          <w:tcPr>
            <w:tcW w:w="0" w:type="dxa"/>
            <w:vAlign w:val="bottom"/>
          </w:tcPr>
          <w:p>
            <w:pPr>
              <w:spacing w:after="0"/>
              <w:rPr>
                <w:sz w:val="1"/>
                <w:szCs w:val="1"/>
                <w:color w:val="auto"/>
              </w:rPr>
            </w:pPr>
          </w:p>
        </w:tc>
      </w:tr>
      <w:tr>
        <w:trPr>
          <w:trHeight w:val="153"/>
        </w:trPr>
        <w:tc>
          <w:tcPr>
            <w:tcW w:w="4680" w:type="dxa"/>
            <w:vAlign w:val="bottom"/>
          </w:tcPr>
          <w:p>
            <w:pPr>
              <w:spacing w:after="0" w:line="153" w:lineRule="exact"/>
              <w:rPr>
                <w:sz w:val="20"/>
                <w:szCs w:val="20"/>
                <w:color w:val="auto"/>
              </w:rPr>
            </w:pPr>
            <w:r>
              <w:rPr>
                <w:rFonts w:ascii="Arial" w:cs="Arial" w:eastAsia="Arial" w:hAnsi="Arial"/>
                <w:sz w:val="17"/>
                <w:szCs w:val="17"/>
                <w:color w:val="auto"/>
              </w:rPr>
              <w:t>Intelligent Cloud</w:t>
            </w:r>
          </w:p>
        </w:tc>
        <w:tc>
          <w:tcPr>
            <w:tcW w:w="1900" w:type="dxa"/>
            <w:vAlign w:val="bottom"/>
          </w:tcPr>
          <w:p>
            <w:pPr>
              <w:spacing w:after="0"/>
              <w:rPr>
                <w:sz w:val="13"/>
                <w:szCs w:val="13"/>
                <w:color w:val="auto"/>
              </w:rPr>
            </w:pPr>
          </w:p>
        </w:tc>
        <w:tc>
          <w:tcPr>
            <w:tcW w:w="680" w:type="dxa"/>
            <w:vAlign w:val="bottom"/>
            <w:gridSpan w:val="2"/>
          </w:tcPr>
          <w:p>
            <w:pPr>
              <w:jc w:val="right"/>
              <w:ind w:right="80"/>
              <w:spacing w:after="0" w:line="153" w:lineRule="exact"/>
              <w:rPr>
                <w:sz w:val="20"/>
                <w:szCs w:val="20"/>
                <w:color w:val="auto"/>
              </w:rPr>
            </w:pPr>
            <w:r>
              <w:rPr>
                <w:rFonts w:ascii="Arial" w:cs="Arial" w:eastAsia="Arial" w:hAnsi="Arial"/>
                <w:sz w:val="17"/>
                <w:szCs w:val="17"/>
                <w:b w:val="1"/>
                <w:bCs w:val="1"/>
                <w:color w:val="auto"/>
              </w:rPr>
              <w:t>12,697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466</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gridSpan w:val="2"/>
          </w:tcPr>
          <w:p>
            <w:pPr>
              <w:jc w:val="right"/>
              <w:ind w:right="100"/>
              <w:spacing w:after="0" w:line="153" w:lineRule="exact"/>
              <w:rPr>
                <w:sz w:val="20"/>
                <w:szCs w:val="20"/>
                <w:color w:val="auto"/>
              </w:rPr>
            </w:pPr>
            <w:r>
              <w:rPr>
                <w:rFonts w:ascii="Arial" w:cs="Arial" w:eastAsia="Arial" w:hAnsi="Arial"/>
                <w:sz w:val="17"/>
                <w:szCs w:val="17"/>
                <w:b w:val="1"/>
                <w:bCs w:val="1"/>
                <w:color w:val="auto"/>
              </w:rPr>
              <w:t>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line="153" w:lineRule="exact"/>
              <w:rPr>
                <w:sz w:val="20"/>
                <w:szCs w:val="20"/>
                <w:color w:val="auto"/>
              </w:rPr>
            </w:pPr>
            <w:r>
              <w:rPr>
                <w:rFonts w:ascii="Arial" w:cs="Arial" w:eastAsia="Arial" w:hAnsi="Arial"/>
                <w:sz w:val="17"/>
                <w:szCs w:val="17"/>
                <w:b w:val="1"/>
                <w:bCs w:val="1"/>
                <w:color w:val="auto"/>
              </w:rPr>
              <w:t>13,210</w:t>
            </w:r>
          </w:p>
        </w:tc>
        <w:tc>
          <w:tcPr>
            <w:tcW w:w="0" w:type="dxa"/>
            <w:vAlign w:val="bottom"/>
          </w:tcPr>
          <w:p>
            <w:pPr>
              <w:spacing w:after="0"/>
              <w:rPr>
                <w:sz w:val="1"/>
                <w:szCs w:val="1"/>
                <w:color w:val="auto"/>
              </w:rPr>
            </w:pPr>
          </w:p>
        </w:tc>
      </w:tr>
      <w:tr>
        <w:trPr>
          <w:trHeight w:val="36"/>
        </w:trPr>
        <w:tc>
          <w:tcPr>
            <w:tcW w:w="4680" w:type="dxa"/>
            <w:vAlign w:val="bottom"/>
          </w:tcPr>
          <w:p>
            <w:pPr>
              <w:spacing w:after="0" w:line="37" w:lineRule="exact"/>
              <w:rPr>
                <w:sz w:val="20"/>
                <w:szCs w:val="20"/>
                <w:color w:val="auto"/>
              </w:rPr>
            </w:pPr>
            <w:r>
              <w:rPr>
                <w:rFonts w:ascii="Arial" w:cs="Arial" w:eastAsia="Arial" w:hAnsi="Arial"/>
                <w:sz w:val="4"/>
                <w:szCs w:val="4"/>
                <w:color w:val="auto"/>
              </w:rPr>
              <w:t>More Personal Computing</w:t>
            </w:r>
          </w:p>
        </w:tc>
        <w:tc>
          <w:tcPr>
            <w:tcW w:w="1900" w:type="dxa"/>
            <w:vAlign w:val="bottom"/>
          </w:tcPr>
          <w:p>
            <w:pPr>
              <w:spacing w:after="0"/>
              <w:rPr>
                <w:sz w:val="3"/>
                <w:szCs w:val="3"/>
                <w:color w:val="auto"/>
              </w:rPr>
            </w:pPr>
          </w:p>
        </w:tc>
        <w:tc>
          <w:tcPr>
            <w:tcW w:w="680" w:type="dxa"/>
            <w:vAlign w:val="bottom"/>
            <w:gridSpan w:val="2"/>
          </w:tcPr>
          <w:p>
            <w:pPr>
              <w:jc w:val="right"/>
              <w:ind w:right="80"/>
              <w:spacing w:after="0" w:line="37" w:lineRule="exact"/>
              <w:rPr>
                <w:sz w:val="20"/>
                <w:szCs w:val="20"/>
                <w:color w:val="auto"/>
              </w:rPr>
            </w:pPr>
            <w:r>
              <w:rPr>
                <w:rFonts w:ascii="Arial" w:cs="Arial" w:eastAsia="Arial" w:hAnsi="Arial"/>
                <w:sz w:val="4"/>
                <w:szCs w:val="4"/>
                <w:b w:val="1"/>
                <w:bCs w:val="1"/>
                <w:color w:val="auto"/>
              </w:rPr>
              <w:t>6,464</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gridSpan w:val="2"/>
          </w:tcPr>
          <w:p>
            <w:pPr>
              <w:jc w:val="right"/>
              <w:spacing w:after="0" w:line="37" w:lineRule="exact"/>
              <w:rPr>
                <w:sz w:val="20"/>
                <w:szCs w:val="20"/>
                <w:color w:val="auto"/>
              </w:rPr>
            </w:pPr>
            <w:r>
              <w:rPr>
                <w:rFonts w:ascii="Arial" w:cs="Arial" w:eastAsia="Arial" w:hAnsi="Arial"/>
                <w:sz w:val="4"/>
                <w:szCs w:val="4"/>
                <w:b w:val="1"/>
                <w:bCs w:val="1"/>
                <w:color w:val="auto"/>
              </w:rPr>
              <w:t>5,556</w:t>
            </w: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gridSpan w:val="2"/>
          </w:tcPr>
          <w:p>
            <w:pPr>
              <w:jc w:val="right"/>
              <w:ind w:right="100"/>
              <w:spacing w:after="0" w:line="37" w:lineRule="exact"/>
              <w:rPr>
                <w:sz w:val="20"/>
                <w:szCs w:val="20"/>
                <w:color w:val="auto"/>
              </w:rPr>
            </w:pPr>
            <w:r>
              <w:rPr>
                <w:rFonts w:ascii="Arial" w:cs="Arial" w:eastAsia="Arial" w:hAnsi="Arial"/>
                <w:sz w:val="4"/>
                <w:szCs w:val="4"/>
                <w:b w:val="1"/>
                <w:bCs w:val="1"/>
                <w:color w:val="auto"/>
              </w:rPr>
              <w:t>161</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2"/>
          </w:tcPr>
          <w:p>
            <w:pPr>
              <w:jc w:val="right"/>
              <w:ind w:right="100"/>
              <w:spacing w:after="0" w:line="37" w:lineRule="exact"/>
              <w:rPr>
                <w:sz w:val="20"/>
                <w:szCs w:val="20"/>
                <w:color w:val="auto"/>
              </w:rPr>
            </w:pPr>
            <w:r>
              <w:rPr>
                <w:rFonts w:ascii="Arial" w:cs="Arial" w:eastAsia="Arial" w:hAnsi="Arial"/>
                <w:sz w:val="4"/>
                <w:szCs w:val="4"/>
                <w:b w:val="1"/>
                <w:bCs w:val="1"/>
                <w:color w:val="auto"/>
              </w:rPr>
              <w:t>12,181</w:t>
            </w:r>
          </w:p>
        </w:tc>
        <w:tc>
          <w:tcPr>
            <w:tcW w:w="0" w:type="dxa"/>
            <w:vAlign w:val="bottom"/>
          </w:tcPr>
          <w:p>
            <w:pPr>
              <w:spacing w:after="0" w:line="20" w:lineRule="exact"/>
              <w:rPr>
                <w:sz w:val="1"/>
                <w:szCs w:val="1"/>
                <w:color w:val="auto"/>
              </w:rPr>
            </w:pPr>
          </w:p>
        </w:tc>
      </w:tr>
      <w:tr>
        <w:trPr>
          <w:trHeight w:val="189"/>
        </w:trPr>
        <w:tc>
          <w:tcPr>
            <w:tcW w:w="4680" w:type="dxa"/>
            <w:vAlign w:val="bottom"/>
            <w:shd w:val="clear" w:color="auto" w:fill="E5E5E5"/>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793"/>
              <w:spacing w:after="0"/>
              <w:rPr>
                <w:sz w:val="20"/>
                <w:szCs w:val="20"/>
                <w:color w:val="auto"/>
              </w:rPr>
            </w:pPr>
            <w:r>
              <w:rPr>
                <w:rFonts w:ascii="Arial" w:cs="Arial" w:eastAsia="Arial" w:hAnsi="Arial"/>
                <w:sz w:val="15"/>
                <w:szCs w:val="15"/>
                <w:b w:val="1"/>
                <w:bCs w:val="1"/>
                <w:color w:val="auto"/>
                <w:w w:val="87"/>
              </w:rPr>
              <w:t>(a)</w:t>
            </w:r>
          </w:p>
        </w:tc>
        <w:tc>
          <w:tcPr>
            <w:tcW w:w="3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6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22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43,351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6,022</w:t>
            </w:r>
          </w:p>
        </w:tc>
        <w:tc>
          <w:tcPr>
            <w:tcW w:w="1040" w:type="dxa"/>
            <w:vAlign w:val="bottom"/>
            <w:gridSpan w:val="2"/>
          </w:tcPr>
          <w:p>
            <w:pPr>
              <w:jc w:val="right"/>
              <w:ind w:right="573"/>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34290</wp:posOffset>
            </wp:positionV>
            <wp:extent cx="32829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Includes goodwill of $5.6 billion related to ZeniMax. See Note 7 – Business Combinations for further information.</w:t>
      </w:r>
    </w:p>
    <w:p>
      <w:pPr>
        <w:spacing w:after="0" w:line="21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30"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Net</w:t>
            </w:r>
          </w:p>
        </w:tc>
      </w:tr>
      <w:tr>
        <w:trPr>
          <w:trHeight w:val="149"/>
        </w:trPr>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Carrying</w:t>
            </w:r>
          </w:p>
        </w:tc>
      </w:tr>
      <w:tr>
        <w:trPr>
          <w:trHeight w:val="178"/>
        </w:trPr>
        <w:tc>
          <w:tcPr>
            <w:tcW w:w="39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Amortization</w:t>
            </w:r>
          </w:p>
        </w:tc>
        <w:tc>
          <w:tcPr>
            <w:tcW w:w="2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r>
      <w:tr>
        <w:trPr>
          <w:trHeight w:val="55"/>
        </w:trPr>
        <w:tc>
          <w:tcPr>
            <w:tcW w:w="39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193"/>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54"/>
        </w:trPr>
        <w:tc>
          <w:tcPr>
            <w:tcW w:w="3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80" w:type="dxa"/>
            <w:vAlign w:val="bottom"/>
            <w:shd w:val="clear" w:color="auto" w:fill="E5E5E5"/>
          </w:tcPr>
          <w:p>
            <w:pPr>
              <w:jc w:val="right"/>
              <w:ind w:right="98"/>
              <w:spacing w:after="0" w:line="189" w:lineRule="exact"/>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9,699</w:t>
            </w:r>
          </w:p>
        </w:tc>
        <w:tc>
          <w:tcPr>
            <w:tcW w:w="34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(6,824)</w:t>
            </w:r>
          </w:p>
        </w:tc>
        <w:tc>
          <w:tcPr>
            <w:tcW w:w="240" w:type="dxa"/>
            <w:vAlign w:val="bottom"/>
            <w:shd w:val="clear" w:color="auto" w:fill="E5E5E5"/>
          </w:tcPr>
          <w:p>
            <w:pPr>
              <w:jc w:val="right"/>
              <w:ind w:right="78"/>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2,875</w:t>
            </w:r>
          </w:p>
        </w:tc>
        <w:tc>
          <w:tcPr>
            <w:tcW w:w="280" w:type="dxa"/>
            <w:vAlign w:val="bottom"/>
            <w:shd w:val="clear" w:color="auto" w:fill="E5E5E5"/>
          </w:tcPr>
          <w:p>
            <w:pPr>
              <w:jc w:val="right"/>
              <w:ind w:right="98"/>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8,160</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(6,381)</w:t>
            </w:r>
          </w:p>
        </w:tc>
        <w:tc>
          <w:tcPr>
            <w:tcW w:w="280" w:type="dxa"/>
            <w:vAlign w:val="bottom"/>
            <w:shd w:val="clear" w:color="auto" w:fill="E5E5E5"/>
          </w:tcPr>
          <w:p>
            <w:pPr>
              <w:jc w:val="right"/>
              <w:ind w:right="118"/>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1,779</w:t>
            </w:r>
          </w:p>
        </w:tc>
        <w:tc>
          <w:tcPr>
            <w:tcW w:w="40" w:type="dxa"/>
            <w:vAlign w:val="bottom"/>
            <w:shd w:val="clear" w:color="auto" w:fill="E5E5E5"/>
          </w:tcPr>
          <w:p>
            <w:pPr>
              <w:spacing w:after="0"/>
              <w:rPr>
                <w:sz w:val="16"/>
                <w:szCs w:val="16"/>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2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4,954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(2,698)</w:t>
            </w:r>
          </w:p>
        </w:tc>
        <w:tc>
          <w:tcPr>
            <w:tcW w:w="24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2,256</w:t>
            </w:r>
          </w:p>
        </w:tc>
        <w:tc>
          <w:tcPr>
            <w:tcW w:w="280" w:type="dxa"/>
            <w:vAlign w:val="bottom"/>
          </w:tcPr>
          <w:p>
            <w:pPr>
              <w:spacing w:after="0"/>
              <w:rPr>
                <w:sz w:val="16"/>
                <w:szCs w:val="16"/>
                <w:color w:val="auto"/>
              </w:rPr>
            </w:pPr>
          </w:p>
        </w:tc>
        <w:tc>
          <w:tcPr>
            <w:tcW w:w="98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4,967</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(2,320)</w:t>
            </w:r>
          </w:p>
        </w:tc>
        <w:tc>
          <w:tcPr>
            <w:tcW w:w="2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2,647</w:t>
            </w:r>
          </w:p>
        </w:tc>
        <w:tc>
          <w:tcPr>
            <w:tcW w:w="40" w:type="dxa"/>
            <w:vAlign w:val="bottom"/>
          </w:tcPr>
          <w:p>
            <w:pPr>
              <w:spacing w:after="0"/>
              <w:rPr>
                <w:sz w:val="16"/>
                <w:szCs w:val="16"/>
                <w:color w:val="auto"/>
              </w:rPr>
            </w:pPr>
          </w:p>
        </w:tc>
      </w:tr>
      <w:tr>
        <w:trPr>
          <w:trHeight w:val="189"/>
        </w:trPr>
        <w:tc>
          <w:tcPr>
            <w:tcW w:w="3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2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4,786</w:t>
            </w:r>
          </w:p>
        </w:tc>
        <w:tc>
          <w:tcPr>
            <w:tcW w:w="3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(1,796)</w:t>
            </w:r>
          </w:p>
        </w:tc>
        <w:tc>
          <w:tcPr>
            <w:tcW w:w="2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2,990</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4,158</w:t>
            </w:r>
          </w:p>
        </w:tc>
        <w:tc>
          <w:tcPr>
            <w:tcW w:w="12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(1,588)</w:t>
            </w:r>
          </w:p>
        </w:tc>
        <w:tc>
          <w:tcPr>
            <w:tcW w:w="280" w:type="dxa"/>
            <w:vAlign w:val="bottom"/>
            <w:shd w:val="clear" w:color="auto" w:fill="E5E5E5"/>
          </w:tcPr>
          <w:p>
            <w:pPr>
              <w:spacing w:after="0"/>
              <w:rPr>
                <w:sz w:val="16"/>
                <w:szCs w:val="16"/>
                <w:color w:val="auto"/>
              </w:rPr>
            </w:pPr>
          </w:p>
        </w:tc>
        <w:tc>
          <w:tcPr>
            <w:tcW w:w="74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2,570</w:t>
            </w:r>
          </w:p>
        </w:tc>
        <w:tc>
          <w:tcPr>
            <w:tcW w:w="40" w:type="dxa"/>
            <w:vAlign w:val="bottom"/>
            <w:shd w:val="clear" w:color="auto" w:fill="E5E5E5"/>
          </w:tcPr>
          <w:p>
            <w:pPr>
              <w:spacing w:after="0"/>
              <w:rPr>
                <w:sz w:val="16"/>
                <w:szCs w:val="16"/>
                <w:color w:val="auto"/>
              </w:rPr>
            </w:pPr>
          </w:p>
        </w:tc>
      </w:tr>
      <w:tr>
        <w:trPr>
          <w:trHeight w:val="248"/>
        </w:trPr>
        <w:tc>
          <w:tcPr>
            <w:tcW w:w="3940" w:type="dxa"/>
            <w:vAlign w:val="bottom"/>
          </w:tcPr>
          <w:p>
            <w:pPr>
              <w:spacing w:after="0"/>
              <w:rPr>
                <w:sz w:val="20"/>
                <w:szCs w:val="20"/>
                <w:color w:val="auto"/>
              </w:rPr>
            </w:pPr>
            <w:r>
              <w:rPr>
                <w:rFonts w:ascii="Arial" w:cs="Arial" w:eastAsia="Arial" w:hAnsi="Arial"/>
                <w:sz w:val="18"/>
                <w:szCs w:val="18"/>
                <w:color w:val="auto"/>
              </w:rPr>
              <w:t>Contract-based</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(430)</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w:t>
            </w:r>
          </w:p>
        </w:tc>
        <w:tc>
          <w:tcPr>
            <w:tcW w:w="2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r>
      <w:tr>
        <w:trPr>
          <w:trHeight w:val="22"/>
        </w:trPr>
        <w:tc>
          <w:tcPr>
            <w:tcW w:w="3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
        </w:trPr>
        <w:tc>
          <w:tcPr>
            <w:tcW w:w="3940" w:type="dxa"/>
            <w:vAlign w:val="bottom"/>
          </w:tcPr>
          <w:p>
            <w:pPr>
              <w:ind w:left="220"/>
              <w:spacing w:after="0" w:line="68" w:lineRule="exact"/>
              <w:rPr>
                <w:sz w:val="20"/>
                <w:szCs w:val="20"/>
                <w:color w:val="auto"/>
              </w:rPr>
            </w:pPr>
            <w:r>
              <w:rPr>
                <w:rFonts w:ascii="Arial" w:cs="Arial" w:eastAsia="Arial" w:hAnsi="Arial"/>
                <w:sz w:val="7"/>
                <w:szCs w:val="7"/>
                <w:color w:val="auto"/>
              </w:rPr>
              <w:t>Total</w:t>
            </w:r>
          </w:p>
        </w:tc>
        <w:tc>
          <w:tcPr>
            <w:tcW w:w="280" w:type="dxa"/>
            <w:vAlign w:val="bottom"/>
          </w:tcPr>
          <w:p>
            <w:pPr>
              <w:jc w:val="right"/>
              <w:ind w:right="98"/>
              <w:spacing w:after="0" w:line="68" w:lineRule="exact"/>
              <w:rPr>
                <w:sz w:val="20"/>
                <w:szCs w:val="20"/>
                <w:color w:val="auto"/>
              </w:rPr>
            </w:pPr>
            <w:r>
              <w:rPr>
                <w:rFonts w:ascii="Arial" w:cs="Arial" w:eastAsia="Arial" w:hAnsi="Arial"/>
                <w:sz w:val="7"/>
                <w:szCs w:val="7"/>
                <w:b w:val="1"/>
                <w:bCs w:val="1"/>
                <w:color w:val="auto"/>
              </w:rPr>
              <w:t>$</w:t>
            </w:r>
          </w:p>
        </w:tc>
        <w:tc>
          <w:tcPr>
            <w:tcW w:w="72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19,875</w:t>
            </w:r>
          </w:p>
        </w:tc>
        <w:tc>
          <w:tcPr>
            <w:tcW w:w="3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w:t>
            </w:r>
          </w:p>
        </w:tc>
        <w:tc>
          <w:tcPr>
            <w:tcW w:w="1100" w:type="dxa"/>
            <w:vAlign w:val="bottom"/>
            <w:gridSpan w:val="2"/>
          </w:tcPr>
          <w:p>
            <w:pPr>
              <w:jc w:val="right"/>
              <w:ind w:right="160"/>
              <w:spacing w:after="0" w:line="68" w:lineRule="exact"/>
              <w:rPr>
                <w:sz w:val="20"/>
                <w:szCs w:val="20"/>
                <w:color w:val="auto"/>
              </w:rPr>
            </w:pPr>
            <w:r>
              <w:rPr>
                <w:rFonts w:ascii="Arial" w:cs="Arial" w:eastAsia="Arial" w:hAnsi="Arial"/>
                <w:sz w:val="7"/>
                <w:szCs w:val="7"/>
                <w:b w:val="1"/>
                <w:bCs w:val="1"/>
                <w:color w:val="auto"/>
              </w:rPr>
              <w:t>(11,748)</w:t>
            </w:r>
          </w:p>
        </w:tc>
        <w:tc>
          <w:tcPr>
            <w:tcW w:w="240" w:type="dxa"/>
            <w:vAlign w:val="bottom"/>
          </w:tcPr>
          <w:p>
            <w:pPr>
              <w:jc w:val="right"/>
              <w:ind w:right="78"/>
              <w:spacing w:after="0" w:line="68" w:lineRule="exact"/>
              <w:rPr>
                <w:sz w:val="20"/>
                <w:szCs w:val="20"/>
                <w:color w:val="auto"/>
              </w:rPr>
            </w:pPr>
            <w:r>
              <w:rPr>
                <w:rFonts w:ascii="Arial" w:cs="Arial" w:eastAsia="Arial" w:hAnsi="Arial"/>
                <w:sz w:val="7"/>
                <w:szCs w:val="7"/>
                <w:b w:val="1"/>
                <w:bCs w:val="1"/>
                <w:color w:val="auto"/>
              </w:rPr>
              <w:t>$</w:t>
            </w:r>
          </w:p>
        </w:tc>
        <w:tc>
          <w:tcPr>
            <w:tcW w:w="960" w:type="dxa"/>
            <w:vAlign w:val="bottom"/>
            <w:gridSpan w:val="2"/>
          </w:tcPr>
          <w:p>
            <w:pPr>
              <w:jc w:val="right"/>
              <w:ind w:right="200"/>
              <w:spacing w:after="0" w:line="68" w:lineRule="exact"/>
              <w:rPr>
                <w:sz w:val="20"/>
                <w:szCs w:val="20"/>
                <w:color w:val="auto"/>
              </w:rPr>
            </w:pPr>
            <w:r>
              <w:rPr>
                <w:rFonts w:ascii="Arial" w:cs="Arial" w:eastAsia="Arial" w:hAnsi="Arial"/>
                <w:sz w:val="7"/>
                <w:szCs w:val="7"/>
                <w:b w:val="1"/>
                <w:bCs w:val="1"/>
                <w:color w:val="auto"/>
              </w:rPr>
              <w:t>8,127</w:t>
            </w:r>
          </w:p>
        </w:tc>
        <w:tc>
          <w:tcPr>
            <w:tcW w:w="280" w:type="dxa"/>
            <w:vAlign w:val="bottom"/>
          </w:tcPr>
          <w:p>
            <w:pPr>
              <w:jc w:val="right"/>
              <w:ind w:right="98"/>
              <w:spacing w:after="0" w:line="68" w:lineRule="exact"/>
              <w:rPr>
                <w:sz w:val="20"/>
                <w:szCs w:val="20"/>
                <w:color w:val="auto"/>
              </w:rPr>
            </w:pPr>
            <w:r>
              <w:rPr>
                <w:rFonts w:ascii="Arial" w:cs="Arial" w:eastAsia="Arial" w:hAnsi="Arial"/>
                <w:sz w:val="7"/>
                <w:szCs w:val="7"/>
                <w:color w:val="auto"/>
              </w:rPr>
              <w:t>$</w:t>
            </w:r>
          </w:p>
        </w:tc>
        <w:tc>
          <w:tcPr>
            <w:tcW w:w="980" w:type="dxa"/>
            <w:vAlign w:val="bottom"/>
            <w:gridSpan w:val="2"/>
          </w:tcPr>
          <w:p>
            <w:pPr>
              <w:jc w:val="right"/>
              <w:ind w:right="260"/>
              <w:spacing w:after="0" w:line="68" w:lineRule="exact"/>
              <w:rPr>
                <w:sz w:val="20"/>
                <w:szCs w:val="20"/>
                <w:color w:val="auto"/>
              </w:rPr>
            </w:pPr>
            <w:r>
              <w:rPr>
                <w:rFonts w:ascii="Arial" w:cs="Arial" w:eastAsia="Arial" w:hAnsi="Arial"/>
                <w:sz w:val="7"/>
                <w:szCs w:val="7"/>
                <w:color w:val="auto"/>
              </w:rPr>
              <w:t>17,759</w:t>
            </w:r>
          </w:p>
        </w:tc>
        <w:tc>
          <w:tcPr>
            <w:tcW w:w="1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1080" w:type="dxa"/>
            <w:vAlign w:val="bottom"/>
            <w:gridSpan w:val="2"/>
          </w:tcPr>
          <w:p>
            <w:pPr>
              <w:jc w:val="right"/>
              <w:ind w:right="140"/>
              <w:spacing w:after="0" w:line="68" w:lineRule="exact"/>
              <w:rPr>
                <w:sz w:val="20"/>
                <w:szCs w:val="20"/>
                <w:color w:val="auto"/>
              </w:rPr>
            </w:pPr>
            <w:r>
              <w:rPr>
                <w:rFonts w:ascii="Arial" w:cs="Arial" w:eastAsia="Arial" w:hAnsi="Arial"/>
                <w:sz w:val="7"/>
                <w:szCs w:val="7"/>
                <w:color w:val="auto"/>
              </w:rPr>
              <w:t>(10,721)</w:t>
            </w:r>
          </w:p>
        </w:tc>
        <w:tc>
          <w:tcPr>
            <w:tcW w:w="280" w:type="dxa"/>
            <w:vAlign w:val="bottom"/>
          </w:tcPr>
          <w:p>
            <w:pPr>
              <w:jc w:val="right"/>
              <w:ind w:right="118"/>
              <w:spacing w:after="0" w:line="68" w:lineRule="exact"/>
              <w:rPr>
                <w:sz w:val="20"/>
                <w:szCs w:val="20"/>
                <w:color w:val="auto"/>
              </w:rPr>
            </w:pPr>
            <w:r>
              <w:rPr>
                <w:rFonts w:ascii="Arial" w:cs="Arial" w:eastAsia="Arial" w:hAnsi="Arial"/>
                <w:sz w:val="7"/>
                <w:szCs w:val="7"/>
                <w:color w:val="auto"/>
              </w:rPr>
              <w:t>$</w:t>
            </w:r>
          </w:p>
        </w:tc>
        <w:tc>
          <w:tcPr>
            <w:tcW w:w="740" w:type="dxa"/>
            <w:vAlign w:val="bottom"/>
          </w:tcPr>
          <w:p>
            <w:pPr>
              <w:jc w:val="right"/>
              <w:spacing w:after="0" w:line="68" w:lineRule="exact"/>
              <w:rPr>
                <w:sz w:val="20"/>
                <w:szCs w:val="20"/>
                <w:color w:val="auto"/>
              </w:rPr>
            </w:pPr>
            <w:r>
              <w:rPr>
                <w:rFonts w:ascii="Arial" w:cs="Arial" w:eastAsia="Arial" w:hAnsi="Arial"/>
                <w:sz w:val="7"/>
                <w:szCs w:val="7"/>
                <w:color w:val="auto"/>
              </w:rPr>
              <w:t>7,038</w:t>
            </w:r>
          </w:p>
        </w:tc>
        <w:tc>
          <w:tcPr>
            <w:tcW w:w="40" w:type="dxa"/>
            <w:vAlign w:val="bottom"/>
          </w:tcPr>
          <w:p>
            <w:pPr>
              <w:spacing w:after="0"/>
              <w:rPr>
                <w:sz w:val="5"/>
                <w:szCs w:val="5"/>
                <w:color w:val="auto"/>
              </w:rPr>
            </w:pPr>
          </w:p>
        </w:tc>
      </w:tr>
      <w:tr>
        <w:trPr>
          <w:trHeight w:val="189"/>
        </w:trPr>
        <w:tc>
          <w:tcPr>
            <w:tcW w:w="39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20"/>
                <w:szCs w:val="20"/>
                <w:color w:val="auto"/>
              </w:rPr>
            </w:pPr>
            <w:r>
              <w:rPr>
                <w:rFonts w:ascii="Arial" w:cs="Arial" w:eastAsia="Arial" w:hAnsi="Arial"/>
                <w:sz w:val="15"/>
                <w:szCs w:val="15"/>
                <w:b w:val="1"/>
                <w:bCs w:val="1"/>
                <w:color w:val="auto"/>
              </w:rPr>
              <w:t>(a)</w:t>
            </w:r>
          </w:p>
        </w:tc>
        <w:tc>
          <w:tcPr>
            <w:tcW w:w="1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40" w:type="dxa"/>
            <w:vAlign w:val="bottom"/>
            <w:tcBorders>
              <w:right w:val="single" w:sz="8" w:color="E5E5E5"/>
            </w:tcBorders>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r>
      <w:tr>
        <w:trPr>
          <w:trHeight w:val="75"/>
        </w:trPr>
        <w:tc>
          <w:tcPr>
            <w:tcW w:w="39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6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$1.9 billion related to ZeniMax. See Note 7 – Business Combinations for further information.</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Intangible assets amortization expense was $405 million and $1.2 billion for the three and nine months ended March 31, 2021, respectively, and $356 million and $1.2 billion for the three and nine months ended March 31,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March 31,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5040" w:type="dxa"/>
            <w:vAlign w:val="bottom"/>
          </w:tcPr>
          <w:p>
            <w:pPr>
              <w:spacing w:after="0"/>
              <w:rPr>
                <w:sz w:val="4"/>
                <w:szCs w:val="4"/>
                <w:color w:val="auto"/>
              </w:rPr>
            </w:pPr>
          </w:p>
        </w:tc>
        <w:tc>
          <w:tcPr>
            <w:tcW w:w="4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 (excluding the nine months ended March 31, 2021)</w:t>
            </w:r>
          </w:p>
        </w:tc>
        <w:tc>
          <w:tcPr>
            <w:tcW w:w="53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1,703</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48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1,696</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1,371</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48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723</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4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2,205</w:t>
            </w:r>
          </w:p>
        </w:tc>
        <w:tc>
          <w:tcPr>
            <w:tcW w:w="0" w:type="dxa"/>
            <w:vAlign w:val="bottom"/>
          </w:tcPr>
          <w:p>
            <w:pPr>
              <w:spacing w:after="0"/>
              <w:rPr>
                <w:sz w:val="1"/>
                <w:szCs w:val="1"/>
                <w:color w:val="auto"/>
              </w:rPr>
            </w:pPr>
          </w:p>
        </w:tc>
      </w:tr>
      <w:tr>
        <w:trPr>
          <w:trHeight w:val="68"/>
        </w:trPr>
        <w:tc>
          <w:tcPr>
            <w:tcW w:w="5040" w:type="dxa"/>
            <w:vAlign w:val="bottom"/>
            <w:tcBorders>
              <w:top w:val="single" w:sz="8" w:color="auto"/>
            </w:tcBorders>
          </w:tcPr>
          <w:p>
            <w:pPr>
              <w:spacing w:after="0"/>
              <w:rPr>
                <w:sz w:val="5"/>
                <w:szCs w:val="5"/>
                <w:color w:val="auto"/>
              </w:rPr>
            </w:pPr>
          </w:p>
        </w:tc>
        <w:tc>
          <w:tcPr>
            <w:tcW w:w="48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3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8,127</w:t>
            </w:r>
          </w:p>
        </w:tc>
        <w:tc>
          <w:tcPr>
            <w:tcW w:w="0" w:type="dxa"/>
            <w:vAlign w:val="bottom"/>
          </w:tcPr>
          <w:p>
            <w:pPr>
              <w:spacing w:after="0"/>
              <w:rPr>
                <w:sz w:val="1"/>
                <w:szCs w:val="1"/>
                <w:color w:val="auto"/>
              </w:rPr>
            </w:pPr>
          </w:p>
        </w:tc>
      </w:tr>
      <w:tr>
        <w:trPr>
          <w:trHeight w:val="75"/>
        </w:trPr>
        <w:tc>
          <w:tcPr>
            <w:tcW w:w="5040" w:type="dxa"/>
            <w:vAlign w:val="bottom"/>
          </w:tcPr>
          <w:p>
            <w:pPr>
              <w:spacing w:after="0"/>
              <w:rPr>
                <w:sz w:val="6"/>
                <w:szCs w:val="6"/>
                <w:color w:val="auto"/>
              </w:rPr>
            </w:pPr>
          </w:p>
        </w:tc>
        <w:tc>
          <w:tcPr>
            <w:tcW w:w="4860" w:type="dxa"/>
            <w:vAlign w:val="bottom"/>
            <w:vMerge w:val="restart"/>
          </w:tcPr>
          <w:p>
            <w:pPr>
              <w:jc w:val="right"/>
              <w:ind w:right="4116"/>
              <w:spacing w:after="0"/>
              <w:rPr>
                <w:sz w:val="20"/>
                <w:szCs w:val="20"/>
                <w:color w:val="auto"/>
              </w:rPr>
            </w:pPr>
            <w:r>
              <w:rPr>
                <w:rFonts w:ascii="Arial" w:cs="Arial" w:eastAsia="Arial" w:hAnsi="Arial"/>
                <w:sz w:val="14"/>
                <w:szCs w:val="14"/>
                <w:color w:val="auto"/>
              </w:rPr>
              <w:t>19</w:t>
            </w: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50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4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400" w:type="dxa"/>
            <w:vAlign w:val="bottom"/>
          </w:tcPr>
          <w:p>
            <w:pPr>
              <w:jc w:val="right"/>
              <w:ind w:right="313"/>
              <w:spacing w:after="0"/>
              <w:rPr>
                <w:sz w:val="20"/>
                <w:szCs w:val="20"/>
                <w:color w:val="auto"/>
              </w:rPr>
            </w:pPr>
            <w:r>
              <w:rPr>
                <w:rFonts w:ascii="Arial" w:cs="Arial" w:eastAsia="Arial" w:hAnsi="Arial"/>
                <w:sz w:val="13"/>
                <w:szCs w:val="13"/>
                <w:b w:val="1"/>
                <w:bCs w:val="1"/>
                <w:color w:val="auto"/>
              </w:rPr>
              <w:t>Maturities</w:t>
            </w:r>
          </w:p>
        </w:tc>
        <w:tc>
          <w:tcPr>
            <w:tcW w:w="1760" w:type="dxa"/>
            <w:vAlign w:val="bottom"/>
          </w:tcPr>
          <w:p>
            <w:pPr>
              <w:jc w:val="right"/>
              <w:ind w:right="373"/>
              <w:spacing w:after="0"/>
              <w:rPr>
                <w:sz w:val="20"/>
                <w:szCs w:val="20"/>
                <w:color w:val="auto"/>
              </w:rPr>
            </w:pPr>
            <w:r>
              <w:rPr>
                <w:rFonts w:ascii="Arial" w:cs="Arial" w:eastAsia="Arial" w:hAnsi="Arial"/>
                <w:sz w:val="13"/>
                <w:szCs w:val="13"/>
                <w:b w:val="1"/>
                <w:bCs w:val="1"/>
                <w:color w:val="auto"/>
              </w:rPr>
              <w:t>Stated Interest</w:t>
            </w:r>
          </w:p>
        </w:tc>
        <w:tc>
          <w:tcPr>
            <w:tcW w:w="1700" w:type="dxa"/>
            <w:vAlign w:val="bottom"/>
          </w:tcPr>
          <w:p>
            <w:pPr>
              <w:jc w:val="right"/>
              <w:ind w:right="193"/>
              <w:spacing w:after="0"/>
              <w:rPr>
                <w:sz w:val="20"/>
                <w:szCs w:val="20"/>
                <w:color w:val="auto"/>
              </w:rPr>
            </w:pPr>
            <w:r>
              <w:rPr>
                <w:rFonts w:ascii="Arial" w:cs="Arial" w:eastAsia="Arial" w:hAnsi="Arial"/>
                <w:sz w:val="13"/>
                <w:szCs w:val="13"/>
                <w:b w:val="1"/>
                <w:bCs w:val="1"/>
                <w:color w:val="auto"/>
              </w:rPr>
              <w:t>Effective Interest</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400" w:type="dxa"/>
            <w:vAlign w:val="bottom"/>
          </w:tcPr>
          <w:p>
            <w:pPr>
              <w:jc w:val="right"/>
              <w:ind w:right="153"/>
              <w:spacing w:after="0"/>
              <w:rPr>
                <w:sz w:val="20"/>
                <w:szCs w:val="20"/>
                <w:color w:val="auto"/>
              </w:rPr>
            </w:pPr>
            <w:r>
              <w:rPr>
                <w:rFonts w:ascii="Arial" w:cs="Arial" w:eastAsia="Arial" w:hAnsi="Arial"/>
                <w:sz w:val="13"/>
                <w:szCs w:val="13"/>
                <w:b w:val="1"/>
                <w:bCs w:val="1"/>
                <w:color w:val="auto"/>
              </w:rPr>
              <w:t>(calendar year)</w:t>
            </w:r>
          </w:p>
        </w:tc>
        <w:tc>
          <w:tcPr>
            <w:tcW w:w="1760" w:type="dxa"/>
            <w:vAlign w:val="bottom"/>
          </w:tcPr>
          <w:p>
            <w:pPr>
              <w:jc w:val="right"/>
              <w:ind w:right="693"/>
              <w:spacing w:after="0"/>
              <w:rPr>
                <w:sz w:val="20"/>
                <w:szCs w:val="20"/>
                <w:color w:val="auto"/>
              </w:rPr>
            </w:pPr>
            <w:r>
              <w:rPr>
                <w:rFonts w:ascii="Arial" w:cs="Arial" w:eastAsia="Arial" w:hAnsi="Arial"/>
                <w:sz w:val="13"/>
                <w:szCs w:val="13"/>
                <w:b w:val="1"/>
                <w:bCs w:val="1"/>
                <w:color w:val="auto"/>
              </w:rPr>
              <w:t>Rate</w:t>
            </w:r>
          </w:p>
        </w:tc>
        <w:tc>
          <w:tcPr>
            <w:tcW w:w="1700" w:type="dxa"/>
            <w:vAlign w:val="bottom"/>
          </w:tcPr>
          <w:p>
            <w:pPr>
              <w:jc w:val="right"/>
              <w:ind w:right="593"/>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r>
      <w:tr>
        <w:trPr>
          <w:trHeight w:val="55"/>
        </w:trPr>
        <w:tc>
          <w:tcPr>
            <w:tcW w:w="35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61"/>
        </w:trPr>
        <w:tc>
          <w:tcPr>
            <w:tcW w:w="3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4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2039</w:t>
            </w:r>
          </w:p>
        </w:tc>
        <w:tc>
          <w:tcPr>
            <w:tcW w:w="1760" w:type="dxa"/>
            <w:vAlign w:val="bottom"/>
            <w:shd w:val="clear" w:color="auto" w:fill="E5E5E5"/>
          </w:tcPr>
          <w:p>
            <w:pPr>
              <w:jc w:val="right"/>
              <w:ind w:right="253"/>
              <w:spacing w:after="0" w:line="189" w:lineRule="exact"/>
              <w:rPr>
                <w:sz w:val="20"/>
                <w:szCs w:val="20"/>
                <w:color w:val="auto"/>
              </w:rPr>
            </w:pPr>
            <w:r>
              <w:rPr>
                <w:rFonts w:ascii="Arial" w:cs="Arial" w:eastAsia="Arial" w:hAnsi="Arial"/>
                <w:sz w:val="18"/>
                <w:szCs w:val="18"/>
                <w:b w:val="1"/>
                <w:bCs w:val="1"/>
                <w:color w:val="auto"/>
              </w:rPr>
              <w:t>5.20%</w:t>
            </w:r>
          </w:p>
        </w:tc>
        <w:tc>
          <w:tcPr>
            <w:tcW w:w="17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5.24%</w:t>
            </w:r>
          </w:p>
        </w:tc>
        <w:tc>
          <w:tcPr>
            <w:tcW w:w="5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520</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559</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4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2040</w:t>
            </w:r>
          </w:p>
        </w:tc>
        <w:tc>
          <w:tcPr>
            <w:tcW w:w="1760" w:type="dxa"/>
            <w:vAlign w:val="bottom"/>
          </w:tcPr>
          <w:p>
            <w:pPr>
              <w:jc w:val="right"/>
              <w:ind w:right="253"/>
              <w:spacing w:after="0" w:line="189" w:lineRule="exact"/>
              <w:rPr>
                <w:sz w:val="20"/>
                <w:szCs w:val="20"/>
                <w:color w:val="auto"/>
              </w:rPr>
            </w:pPr>
            <w:r>
              <w:rPr>
                <w:rFonts w:ascii="Arial" w:cs="Arial" w:eastAsia="Arial" w:hAnsi="Arial"/>
                <w:sz w:val="18"/>
                <w:szCs w:val="18"/>
                <w:b w:val="1"/>
                <w:bCs w:val="1"/>
                <w:color w:val="auto"/>
              </w:rPr>
              <w:t>4.50%</w:t>
            </w:r>
          </w:p>
        </w:tc>
        <w:tc>
          <w:tcPr>
            <w:tcW w:w="17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4.57%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1,571</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4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2041</w:t>
            </w:r>
          </w:p>
        </w:tc>
        <w:tc>
          <w:tcPr>
            <w:tcW w:w="1760" w:type="dxa"/>
            <w:vAlign w:val="bottom"/>
            <w:shd w:val="clear" w:color="auto" w:fill="E5E5E5"/>
          </w:tcPr>
          <w:p>
            <w:pPr>
              <w:jc w:val="right"/>
              <w:ind w:right="253"/>
              <w:spacing w:after="0" w:line="189" w:lineRule="exact"/>
              <w:rPr>
                <w:sz w:val="20"/>
                <w:szCs w:val="20"/>
                <w:color w:val="auto"/>
              </w:rPr>
            </w:pPr>
            <w:r>
              <w:rPr>
                <w:rFonts w:ascii="Arial" w:cs="Arial" w:eastAsia="Arial" w:hAnsi="Arial"/>
                <w:sz w:val="18"/>
                <w:szCs w:val="18"/>
                <w:b w:val="1"/>
                <w:bCs w:val="1"/>
                <w:color w:val="auto"/>
              </w:rPr>
              <w:t>5.30%</w:t>
            </w:r>
          </w:p>
        </w:tc>
        <w:tc>
          <w:tcPr>
            <w:tcW w:w="17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5.36%</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718</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1,270</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2012 issuance of $2.3 billion </w:t>
            </w:r>
            <w:r>
              <w:rPr>
                <w:rFonts w:ascii="Arial" w:cs="Arial" w:eastAsia="Arial" w:hAnsi="Arial"/>
                <w:sz w:val="15"/>
                <w:szCs w:val="15"/>
                <w:color w:val="auto"/>
              </w:rPr>
              <w:t>(a)</w:t>
            </w:r>
          </w:p>
        </w:tc>
        <w:tc>
          <w:tcPr>
            <w:tcW w:w="14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2022–2042</w:t>
            </w:r>
          </w:p>
        </w:tc>
        <w:tc>
          <w:tcPr>
            <w:tcW w:w="1760" w:type="dxa"/>
            <w:vAlign w:val="bottom"/>
          </w:tcPr>
          <w:p>
            <w:pPr>
              <w:jc w:val="right"/>
              <w:ind w:right="253"/>
              <w:spacing w:after="0" w:line="189" w:lineRule="exact"/>
              <w:rPr>
                <w:sz w:val="20"/>
                <w:szCs w:val="20"/>
                <w:color w:val="auto"/>
              </w:rPr>
            </w:pPr>
            <w:r>
              <w:rPr>
                <w:rFonts w:ascii="Arial" w:cs="Arial" w:eastAsia="Arial" w:hAnsi="Arial"/>
                <w:sz w:val="18"/>
                <w:szCs w:val="18"/>
                <w:b w:val="1"/>
                <w:bCs w:val="1"/>
                <w:color w:val="auto"/>
              </w:rPr>
              <w:t>2.13% – 3.50%</w:t>
            </w:r>
          </w:p>
        </w:tc>
        <w:tc>
          <w:tcPr>
            <w:tcW w:w="17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2.24%–3.57%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1,204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1,650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4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2023–2043</w:t>
            </w:r>
          </w:p>
        </w:tc>
        <w:tc>
          <w:tcPr>
            <w:tcW w:w="1760" w:type="dxa"/>
            <w:vAlign w:val="bottom"/>
            <w:shd w:val="clear" w:color="auto" w:fill="E5E5E5"/>
          </w:tcPr>
          <w:p>
            <w:pPr>
              <w:jc w:val="right"/>
              <w:ind w:right="253"/>
              <w:spacing w:after="0" w:line="189" w:lineRule="exact"/>
              <w:rPr>
                <w:sz w:val="20"/>
                <w:szCs w:val="20"/>
                <w:color w:val="auto"/>
              </w:rPr>
            </w:pPr>
            <w:r>
              <w:rPr>
                <w:rFonts w:ascii="Arial" w:cs="Arial" w:eastAsia="Arial" w:hAnsi="Arial"/>
                <w:sz w:val="18"/>
                <w:szCs w:val="18"/>
                <w:b w:val="1"/>
                <w:bCs w:val="1"/>
                <w:color w:val="auto"/>
              </w:rPr>
              <w:t>2.38% – 4.88%</w:t>
            </w:r>
          </w:p>
        </w:tc>
        <w:tc>
          <w:tcPr>
            <w:tcW w:w="17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2.47%–4.92%</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2,814</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2,919</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4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2021–2033</w:t>
            </w:r>
          </w:p>
        </w:tc>
        <w:tc>
          <w:tcPr>
            <w:tcW w:w="1760" w:type="dxa"/>
            <w:vAlign w:val="bottom"/>
          </w:tcPr>
          <w:p>
            <w:pPr>
              <w:jc w:val="right"/>
              <w:ind w:right="253"/>
              <w:spacing w:after="0" w:line="189" w:lineRule="exact"/>
              <w:rPr>
                <w:sz w:val="20"/>
                <w:szCs w:val="20"/>
                <w:color w:val="auto"/>
              </w:rPr>
            </w:pPr>
            <w:r>
              <w:rPr>
                <w:rFonts w:ascii="Arial" w:cs="Arial" w:eastAsia="Arial" w:hAnsi="Arial"/>
                <w:sz w:val="18"/>
                <w:szCs w:val="18"/>
                <w:b w:val="1"/>
                <w:bCs w:val="1"/>
                <w:color w:val="auto"/>
              </w:rPr>
              <w:t>2.13% – 3.13%</w:t>
            </w:r>
          </w:p>
        </w:tc>
        <w:tc>
          <w:tcPr>
            <w:tcW w:w="17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2.23%–3.22%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4,760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4,549</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4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2022–2055</w:t>
            </w:r>
          </w:p>
        </w:tc>
        <w:tc>
          <w:tcPr>
            <w:tcW w:w="1760" w:type="dxa"/>
            <w:vAlign w:val="bottom"/>
            <w:shd w:val="clear" w:color="auto" w:fill="E5E5E5"/>
          </w:tcPr>
          <w:p>
            <w:pPr>
              <w:jc w:val="right"/>
              <w:ind w:right="253"/>
              <w:spacing w:after="0" w:line="189" w:lineRule="exact"/>
              <w:rPr>
                <w:sz w:val="20"/>
                <w:szCs w:val="20"/>
                <w:color w:val="auto"/>
              </w:rPr>
            </w:pPr>
            <w:r>
              <w:rPr>
                <w:rFonts w:ascii="Arial" w:cs="Arial" w:eastAsia="Arial" w:hAnsi="Arial"/>
                <w:sz w:val="18"/>
                <w:szCs w:val="18"/>
                <w:b w:val="1"/>
                <w:bCs w:val="1"/>
                <w:color w:val="auto"/>
              </w:rPr>
              <w:t>2.38% – 4.75%</w:t>
            </w:r>
          </w:p>
        </w:tc>
        <w:tc>
          <w:tcPr>
            <w:tcW w:w="17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2.47%–4.78%</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12,305</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15,549</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4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2021–2056</w:t>
            </w:r>
          </w:p>
        </w:tc>
        <w:tc>
          <w:tcPr>
            <w:tcW w:w="1760" w:type="dxa"/>
            <w:vAlign w:val="bottom"/>
          </w:tcPr>
          <w:p>
            <w:pPr>
              <w:jc w:val="right"/>
              <w:ind w:right="253"/>
              <w:spacing w:after="0" w:line="189" w:lineRule="exact"/>
              <w:rPr>
                <w:sz w:val="20"/>
                <w:szCs w:val="20"/>
                <w:color w:val="auto"/>
              </w:rPr>
            </w:pPr>
            <w:r>
              <w:rPr>
                <w:rFonts w:ascii="Arial" w:cs="Arial" w:eastAsia="Arial" w:hAnsi="Arial"/>
                <w:sz w:val="18"/>
                <w:szCs w:val="18"/>
                <w:b w:val="1"/>
                <w:bCs w:val="1"/>
                <w:color w:val="auto"/>
              </w:rPr>
              <w:t>1.55% – 3.95%</w:t>
            </w:r>
          </w:p>
        </w:tc>
        <w:tc>
          <w:tcPr>
            <w:tcW w:w="17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1.64%–4.03%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12,180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16,955</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4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2022–2057</w:t>
            </w:r>
          </w:p>
        </w:tc>
        <w:tc>
          <w:tcPr>
            <w:tcW w:w="1760" w:type="dxa"/>
            <w:vAlign w:val="bottom"/>
            <w:shd w:val="clear" w:color="auto" w:fill="E5E5E5"/>
          </w:tcPr>
          <w:p>
            <w:pPr>
              <w:jc w:val="right"/>
              <w:ind w:right="253"/>
              <w:spacing w:after="0" w:line="189" w:lineRule="exact"/>
              <w:rPr>
                <w:sz w:val="20"/>
                <w:szCs w:val="20"/>
                <w:color w:val="auto"/>
              </w:rPr>
            </w:pPr>
            <w:r>
              <w:rPr>
                <w:rFonts w:ascii="Arial" w:cs="Arial" w:eastAsia="Arial" w:hAnsi="Arial"/>
                <w:sz w:val="18"/>
                <w:szCs w:val="18"/>
                <w:b w:val="1"/>
                <w:bCs w:val="1"/>
                <w:color w:val="auto"/>
              </w:rPr>
              <w:t>2.40% – 4.50%</w:t>
            </w:r>
          </w:p>
        </w:tc>
        <w:tc>
          <w:tcPr>
            <w:tcW w:w="17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2.52%–4.53%</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10,695</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12,385</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4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2050–2060</w:t>
            </w:r>
          </w:p>
        </w:tc>
        <w:tc>
          <w:tcPr>
            <w:tcW w:w="1760" w:type="dxa"/>
            <w:vAlign w:val="bottom"/>
          </w:tcPr>
          <w:p>
            <w:pPr>
              <w:jc w:val="right"/>
              <w:ind w:right="253"/>
              <w:spacing w:after="0" w:line="189" w:lineRule="exact"/>
              <w:rPr>
                <w:sz w:val="20"/>
                <w:szCs w:val="20"/>
                <w:color w:val="auto"/>
              </w:rPr>
            </w:pPr>
            <w:r>
              <w:rPr>
                <w:rFonts w:ascii="Arial" w:cs="Arial" w:eastAsia="Arial" w:hAnsi="Arial"/>
                <w:sz w:val="18"/>
                <w:szCs w:val="18"/>
                <w:b w:val="1"/>
                <w:bCs w:val="1"/>
                <w:color w:val="auto"/>
              </w:rPr>
              <w:t>2.53% – 2.68%</w:t>
            </w:r>
          </w:p>
        </w:tc>
        <w:tc>
          <w:tcPr>
            <w:tcW w:w="1700" w:type="dxa"/>
            <w:vAlign w:val="bottom"/>
          </w:tcPr>
          <w:p>
            <w:pPr>
              <w:jc w:val="right"/>
              <w:ind w:right="133"/>
              <w:spacing w:after="0" w:line="189" w:lineRule="exact"/>
              <w:rPr>
                <w:sz w:val="20"/>
                <w:szCs w:val="20"/>
                <w:color w:val="auto"/>
              </w:rPr>
            </w:pPr>
            <w:r>
              <w:rPr>
                <w:rFonts w:ascii="Arial" w:cs="Arial" w:eastAsia="Arial" w:hAnsi="Arial"/>
                <w:sz w:val="18"/>
                <w:szCs w:val="18"/>
                <w:b w:val="1"/>
                <w:bCs w:val="1"/>
                <w:color w:val="auto"/>
              </w:rPr>
              <w:t>2.53%–2.68%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10,000</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2021 issuance of $8.2 billion </w:t>
            </w:r>
            <w:r>
              <w:rPr>
                <w:rFonts w:ascii="Arial" w:cs="Arial" w:eastAsia="Arial" w:hAnsi="Arial"/>
                <w:sz w:val="15"/>
                <w:szCs w:val="15"/>
                <w:color w:val="auto"/>
              </w:rPr>
              <w:t>(a)</w:t>
            </w:r>
          </w:p>
        </w:tc>
        <w:tc>
          <w:tcPr>
            <w:tcW w:w="14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2052–2062</w:t>
            </w:r>
          </w:p>
        </w:tc>
        <w:tc>
          <w:tcPr>
            <w:tcW w:w="1760" w:type="dxa"/>
            <w:vAlign w:val="bottom"/>
            <w:shd w:val="clear" w:color="auto" w:fill="E5E5E5"/>
          </w:tcPr>
          <w:p>
            <w:pPr>
              <w:jc w:val="right"/>
              <w:ind w:right="253"/>
              <w:spacing w:after="0" w:line="189" w:lineRule="exact"/>
              <w:rPr>
                <w:sz w:val="20"/>
                <w:szCs w:val="20"/>
                <w:color w:val="auto"/>
              </w:rPr>
            </w:pPr>
            <w:r>
              <w:rPr>
                <w:rFonts w:ascii="Arial" w:cs="Arial" w:eastAsia="Arial" w:hAnsi="Arial"/>
                <w:sz w:val="18"/>
                <w:szCs w:val="18"/>
                <w:b w:val="1"/>
                <w:bCs w:val="1"/>
                <w:color w:val="auto"/>
              </w:rPr>
              <w:t>2.92% – 3.04%</w:t>
            </w:r>
          </w:p>
        </w:tc>
        <w:tc>
          <w:tcPr>
            <w:tcW w:w="1700" w:type="dxa"/>
            <w:vAlign w:val="bottom"/>
            <w:shd w:val="clear" w:color="auto" w:fill="E5E5E5"/>
          </w:tcPr>
          <w:p>
            <w:pPr>
              <w:jc w:val="right"/>
              <w:ind w:right="133"/>
              <w:spacing w:after="0" w:line="189" w:lineRule="exact"/>
              <w:rPr>
                <w:sz w:val="20"/>
                <w:szCs w:val="20"/>
                <w:color w:val="auto"/>
              </w:rPr>
            </w:pPr>
            <w:r>
              <w:rPr>
                <w:rFonts w:ascii="Arial" w:cs="Arial" w:eastAsia="Arial" w:hAnsi="Arial"/>
                <w:sz w:val="18"/>
                <w:szCs w:val="18"/>
                <w:b w:val="1"/>
                <w:bCs w:val="1"/>
                <w:color w:val="auto"/>
              </w:rPr>
              <w:t>2.92%–3.04%</w:t>
            </w: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8,185</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r>
      <w:tr>
        <w:trPr>
          <w:trHeight w:val="68"/>
        </w:trPr>
        <w:tc>
          <w:tcPr>
            <w:tcW w:w="35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61"/>
        </w:trPr>
        <w:tc>
          <w:tcPr>
            <w:tcW w:w="3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3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face value</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63,867</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67,407</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(554)</w:t>
            </w: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93</w:t>
            </w:r>
          </w:p>
        </w:tc>
      </w:tr>
      <w:tr>
        <w:trPr>
          <w:trHeight w:val="250"/>
        </w:trPr>
        <w:tc>
          <w:tcPr>
            <w:tcW w:w="3540" w:type="dxa"/>
            <w:vAlign w:val="bottom"/>
          </w:tcPr>
          <w:p>
            <w:pPr>
              <w:spacing w:after="0"/>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(3,619)</w:t>
            </w:r>
          </w:p>
        </w:tc>
      </w:tr>
      <w:tr>
        <w:trPr>
          <w:trHeight w:val="68"/>
        </w:trPr>
        <w:tc>
          <w:tcPr>
            <w:tcW w:w="35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76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3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debt</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58,058</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63,327</w:t>
            </w:r>
          </w:p>
        </w:tc>
      </w:tr>
      <w:tr>
        <w:trPr>
          <w:trHeight w:val="250"/>
        </w:trPr>
        <w:tc>
          <w:tcPr>
            <w:tcW w:w="35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(3,749)</w:t>
            </w:r>
          </w:p>
        </w:tc>
      </w:tr>
      <w:tr>
        <w:trPr>
          <w:trHeight w:val="68"/>
        </w:trPr>
        <w:tc>
          <w:tcPr>
            <w:tcW w:w="35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176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3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Long-term debt</w:t>
            </w:r>
          </w:p>
        </w:tc>
        <w:tc>
          <w:tcPr>
            <w:tcW w:w="1400" w:type="dxa"/>
            <w:vAlign w:val="bottom"/>
            <w:shd w:val="clear" w:color="auto" w:fill="E5E5E5"/>
          </w:tcPr>
          <w:p>
            <w:pPr>
              <w:spacing w:after="0"/>
              <w:rPr>
                <w:sz w:val="16"/>
                <w:szCs w:val="16"/>
                <w:color w:val="auto"/>
              </w:rPr>
            </w:pPr>
          </w:p>
        </w:tc>
        <w:tc>
          <w:tcPr>
            <w:tcW w:w="176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5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50,007</w:t>
            </w:r>
          </w:p>
        </w:tc>
        <w:tc>
          <w:tcPr>
            <w:tcW w:w="4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59,578</w:t>
            </w:r>
          </w:p>
        </w:tc>
      </w:tr>
      <w:tr>
        <w:trPr>
          <w:trHeight w:val="74"/>
        </w:trPr>
        <w:tc>
          <w:tcPr>
            <w:tcW w:w="35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62" w:lineRule="exact"/>
        <w:rPr>
          <w:sz w:val="20"/>
          <w:szCs w:val="20"/>
          <w:color w:val="auto"/>
        </w:rPr>
      </w:pPr>
    </w:p>
    <w:p>
      <w:pPr>
        <w:ind w:left="540" w:hanging="532"/>
        <w:spacing w:after="0" w:line="24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 March 2021 and June 2020, we exchanged a portion of our existing debt at a premium for cash and new debt with longer maturities. The premiums are amortized over the terms of the new debt.</w:t>
      </w: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March 31, 2021 and June 30, 2020, the estimated fair value of long-term debt, including the current portion, was $67.4 billion and $77.1 billion, respectively. The estimated fair values are based on Level 2 inputs.</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March 31,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5040" w:type="dxa"/>
            <w:vAlign w:val="bottom"/>
          </w:tcPr>
          <w:p>
            <w:pPr>
              <w:spacing w:after="0"/>
              <w:rPr>
                <w:sz w:val="4"/>
                <w:szCs w:val="4"/>
                <w:color w:val="auto"/>
              </w:rPr>
            </w:pPr>
          </w:p>
        </w:tc>
        <w:tc>
          <w:tcPr>
            <w:tcW w:w="4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 (excluding the nine months ended March 31, 2021)</w:t>
            </w:r>
          </w:p>
        </w:tc>
        <w:tc>
          <w:tcPr>
            <w:tcW w:w="53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8,057</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49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498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2,250</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45,560</w:t>
            </w:r>
          </w:p>
        </w:tc>
        <w:tc>
          <w:tcPr>
            <w:tcW w:w="0" w:type="dxa"/>
            <w:vAlign w:val="bottom"/>
          </w:tcPr>
          <w:p>
            <w:pPr>
              <w:spacing w:after="0"/>
              <w:rPr>
                <w:sz w:val="1"/>
                <w:szCs w:val="1"/>
                <w:color w:val="auto"/>
              </w:rPr>
            </w:pPr>
          </w:p>
        </w:tc>
      </w:tr>
      <w:tr>
        <w:trPr>
          <w:trHeight w:val="68"/>
        </w:trPr>
        <w:tc>
          <w:tcPr>
            <w:tcW w:w="5040" w:type="dxa"/>
            <w:vAlign w:val="bottom"/>
            <w:tcBorders>
              <w:top w:val="single" w:sz="8" w:color="auto"/>
            </w:tcBorders>
          </w:tcPr>
          <w:p>
            <w:pPr>
              <w:spacing w:after="0"/>
              <w:rPr>
                <w:sz w:val="5"/>
                <w:szCs w:val="5"/>
                <w:color w:val="auto"/>
              </w:rPr>
            </w:pPr>
          </w:p>
        </w:tc>
        <w:tc>
          <w:tcPr>
            <w:tcW w:w="49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63,867</w:t>
            </w:r>
          </w:p>
        </w:tc>
        <w:tc>
          <w:tcPr>
            <w:tcW w:w="0" w:type="dxa"/>
            <w:vAlign w:val="bottom"/>
          </w:tcPr>
          <w:p>
            <w:pPr>
              <w:spacing w:after="0"/>
              <w:rPr>
                <w:sz w:val="1"/>
                <w:szCs w:val="1"/>
                <w:color w:val="auto"/>
              </w:rPr>
            </w:pPr>
          </w:p>
        </w:tc>
      </w:tr>
      <w:tr>
        <w:trPr>
          <w:trHeight w:val="75"/>
        </w:trPr>
        <w:tc>
          <w:tcPr>
            <w:tcW w:w="5040" w:type="dxa"/>
            <w:vAlign w:val="bottom"/>
          </w:tcPr>
          <w:p>
            <w:pPr>
              <w:spacing w:after="0"/>
              <w:rPr>
                <w:sz w:val="6"/>
                <w:szCs w:val="6"/>
                <w:color w:val="auto"/>
              </w:rPr>
            </w:pPr>
          </w:p>
        </w:tc>
        <w:tc>
          <w:tcPr>
            <w:tcW w:w="4980" w:type="dxa"/>
            <w:vAlign w:val="bottom"/>
            <w:vMerge w:val="restart"/>
          </w:tcPr>
          <w:p>
            <w:pPr>
              <w:jc w:val="right"/>
              <w:ind w:right="4236"/>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50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4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10% and 16% for the three months ended March 31, 2021 and 2020, respectively, and 13% and 16% for the nine months ended March 31, 2021 and 2020, respectively. The decrease in our effective tax rate for the three and nine months ended March 31, 2021 compared to the prior year was primarily due to tax benefits from a decision by the India Supreme Court on withholding taxes in the case of Engineering Analysis Centre of Excellence Private Limited vs The Commissioner of Income Tax, as well as an agreement between</w:t>
      </w:r>
    </w:p>
    <w:p>
      <w:pPr>
        <w:spacing w:after="0" w:line="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and India tax authorities related to transfer pricing. The Commissioner of Income Tax decision involves appeals filed by 86 individual companies operating in India, some dating back to 2012. Microsoft was not a party to any of the appeals but is impacted by the decision.</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for the companies in the 86 separate appeals, holding that software sales are not subject to India withholding taxes. Although we were not a party to the appeals, our software sales in India were determined to be not subject to withholding taxes. Therefore, we recorded a net income tax benefit of $620 million in the third quarter of fiscal year 2021 to reflect the results of the India Supreme Court decision impacting fiscal year 1996 through fiscal year 2016.</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Our effective tax rate was lower than the U.S. federal statutory rate for the three and nine months ended March 31, 2021, primarily due to earnings taxed at lower rates in foreign jurisdictions resulting from producing and distributing our products and services through our foreign regional operations centers in Ireland and Puerto Rico, tax benefits relating to stock-based compensation, and tax benefits from the India Supreme Court decision on withholding taxes.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2021 and June 30, 2020, unrecognized tax benefits and other income tax liabilities were $15.8 billion and $ 16.6 billion, respectively, and are included in long-term income taxes in our consolidated balance sheets. The decrease is primarily driven by a partial settlement of the Internal Revenue Service (“IRS”) audits for tax years 2004 to 2013.</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2020, some of which are currently under audit by local tax authorities. The resolution of each of these audits is not expected to be material to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2"/>
          </w:tcPr>
          <w:p>
            <w:pPr>
              <w:ind w:left="380"/>
              <w:spacing w:after="0"/>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8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16,169</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18,643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80" w:type="dxa"/>
            <w:vAlign w:val="bottom"/>
          </w:tcPr>
          <w:p>
            <w:pPr>
              <w:spacing w:after="0"/>
              <w:rPr>
                <w:sz w:val="16"/>
                <w:szCs w:val="16"/>
                <w:color w:val="auto"/>
              </w:rPr>
            </w:pPr>
          </w:p>
        </w:tc>
        <w:tc>
          <w:tcPr>
            <w:tcW w:w="12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13,098</w:t>
            </w:r>
          </w:p>
        </w:tc>
        <w:tc>
          <w:tcPr>
            <w:tcW w:w="4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16,620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8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3,447</w:t>
            </w: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3,917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32,714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39,180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8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Nine Months Ended March 31, 2021</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39,180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Deferral of revenue</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58,959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Recognition of unearned revenue</w:t>
            </w:r>
          </w:p>
        </w:tc>
        <w:tc>
          <w:tcPr>
            <w:tcW w:w="48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(65,425)</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32,714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$121 billion as of March 31, 2021, of which $117 billion is related to the commercial portion of revenue. We expect to recognize approximately 50% of this revenue over the next 12 months and the remainder thereafter.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1 year to 15 years, some of which include options to extend the leases for up to 5 years, and some of which include options to terminate the leases within 1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4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1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553</w:t>
            </w:r>
          </w:p>
        </w:tc>
        <w:tc>
          <w:tcPr>
            <w:tcW w:w="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522</w:t>
            </w:r>
          </w:p>
        </w:tc>
        <w:tc>
          <w:tcPr>
            <w:tcW w:w="5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1,554</w:t>
            </w:r>
          </w:p>
        </w:tc>
        <w:tc>
          <w:tcPr>
            <w:tcW w:w="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1,465</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4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13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240" w:type="dxa"/>
            <w:vAlign w:val="bottom"/>
            <w:vMerge w:val="continue"/>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Amortization of right-of-use assets</w:t>
            </w:r>
          </w:p>
        </w:tc>
        <w:tc>
          <w:tcPr>
            <w:tcW w:w="1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211</w:t>
            </w:r>
          </w:p>
        </w:tc>
        <w:tc>
          <w:tcPr>
            <w:tcW w:w="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135</w:t>
            </w:r>
          </w:p>
        </w:tc>
        <w:tc>
          <w:tcPr>
            <w:tcW w:w="5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666</w:t>
            </w:r>
          </w:p>
        </w:tc>
        <w:tc>
          <w:tcPr>
            <w:tcW w:w="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423</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1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240" w:type="dxa"/>
            <w:vAlign w:val="bottom"/>
            <w:tcBorders>
              <w:top w:val="single" w:sz="8" w:color="auto"/>
            </w:tcBorders>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finance lease cost</w:t>
            </w:r>
          </w:p>
        </w:tc>
        <w:tc>
          <w:tcPr>
            <w:tcW w:w="190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311</w:t>
            </w:r>
          </w:p>
        </w:tc>
        <w:tc>
          <w:tcPr>
            <w:tcW w:w="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222</w:t>
            </w:r>
          </w:p>
        </w:tc>
        <w:tc>
          <w:tcPr>
            <w:tcW w:w="5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952</w:t>
            </w:r>
          </w:p>
        </w:tc>
        <w:tc>
          <w:tcPr>
            <w:tcW w:w="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672</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4240" w:type="dxa"/>
            <w:vAlign w:val="bottom"/>
          </w:tcPr>
          <w:p>
            <w:pPr>
              <w:spacing w:after="0"/>
              <w:rPr>
                <w:sz w:val="24"/>
                <w:szCs w:val="24"/>
                <w:color w:val="auto"/>
              </w:rPr>
            </w:pPr>
          </w:p>
        </w:tc>
        <w:tc>
          <w:tcPr>
            <w:tcW w:w="1900" w:type="dxa"/>
            <w:vAlign w:val="bottom"/>
            <w:gridSpan w:val="2"/>
          </w:tcPr>
          <w:p>
            <w:pPr>
              <w:jc w:val="right"/>
              <w:ind w:right="440"/>
              <w:spacing w:after="0"/>
              <w:rPr>
                <w:sz w:val="20"/>
                <w:szCs w:val="20"/>
                <w:color w:val="auto"/>
              </w:rPr>
            </w:pPr>
            <w:r>
              <w:rPr>
                <w:rFonts w:ascii="Arial" w:cs="Arial" w:eastAsia="Arial" w:hAnsi="Arial"/>
                <w:sz w:val="14"/>
                <w:szCs w:val="14"/>
                <w:color w:val="auto"/>
              </w:rPr>
              <w:t>22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3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March 31,</w:t>
            </w:r>
          </w:p>
        </w:tc>
      </w:tr>
      <w:tr>
        <w:trPr>
          <w:trHeight w:val="55"/>
        </w:trPr>
        <w:tc>
          <w:tcPr>
            <w:tcW w:w="5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5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9"/>
                <w:szCs w:val="19"/>
                <w:color w:val="auto"/>
              </w:rPr>
            </w:pPr>
          </w:p>
        </w:tc>
      </w:tr>
      <w:tr>
        <w:trPr>
          <w:trHeight w:val="54"/>
        </w:trPr>
        <w:tc>
          <w:tcPr>
            <w:tcW w:w="5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75"/>
        </w:trPr>
        <w:tc>
          <w:tcPr>
            <w:tcW w:w="53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Cash paid for amounts included in the measurement of lease</w:t>
            </w:r>
          </w:p>
        </w:tc>
        <w:tc>
          <w:tcPr>
            <w:tcW w:w="7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r>
      <w:tr>
        <w:trPr>
          <w:trHeight w:val="203"/>
        </w:trPr>
        <w:tc>
          <w:tcPr>
            <w:tcW w:w="530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liabilities:</w:t>
            </w:r>
          </w:p>
        </w:tc>
        <w:tc>
          <w:tcPr>
            <w:tcW w:w="7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189"/>
        </w:trPr>
        <w:tc>
          <w:tcPr>
            <w:tcW w:w="530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76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533</w:t>
            </w:r>
          </w:p>
        </w:tc>
        <w:tc>
          <w:tcPr>
            <w:tcW w:w="520" w:type="dxa"/>
            <w:vAlign w:val="bottom"/>
          </w:tcPr>
          <w:p>
            <w:pPr>
              <w:jc w:val="right"/>
              <w:ind w:right="181"/>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line="189" w:lineRule="exact"/>
              <w:rPr>
                <w:sz w:val="20"/>
                <w:szCs w:val="20"/>
                <w:color w:val="auto"/>
              </w:rPr>
            </w:pPr>
            <w:r>
              <w:rPr>
                <w:rFonts w:ascii="Arial" w:cs="Arial" w:eastAsia="Arial" w:hAnsi="Arial"/>
                <w:sz w:val="18"/>
                <w:szCs w:val="18"/>
                <w:color w:val="auto"/>
              </w:rPr>
              <w:t>505</w:t>
            </w:r>
          </w:p>
        </w:tc>
        <w:tc>
          <w:tcPr>
            <w:tcW w:w="54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1,506</w:t>
            </w:r>
          </w:p>
        </w:tc>
        <w:tc>
          <w:tcPr>
            <w:tcW w:w="460" w:type="dxa"/>
            <w:vAlign w:val="bottom"/>
          </w:tcPr>
          <w:p>
            <w:pPr>
              <w:jc w:val="right"/>
              <w:ind w:right="141"/>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1,437</w:t>
            </w:r>
          </w:p>
        </w:tc>
        <w:tc>
          <w:tcPr>
            <w:tcW w:w="60" w:type="dxa"/>
            <w:vAlign w:val="bottom"/>
          </w:tcPr>
          <w:p>
            <w:pPr>
              <w:spacing w:after="0"/>
              <w:rPr>
                <w:sz w:val="16"/>
                <w:szCs w:val="16"/>
                <w:color w:val="auto"/>
              </w:rPr>
            </w:pPr>
          </w:p>
        </w:tc>
      </w:tr>
      <w:tr>
        <w:trPr>
          <w:trHeight w:val="189"/>
        </w:trPr>
        <w:tc>
          <w:tcPr>
            <w:tcW w:w="53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cash flows from finance leases</w:t>
            </w:r>
          </w:p>
        </w:tc>
        <w:tc>
          <w:tcPr>
            <w:tcW w:w="76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100</w:t>
            </w:r>
          </w:p>
        </w:tc>
        <w:tc>
          <w:tcPr>
            <w:tcW w:w="52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87</w:t>
            </w:r>
          </w:p>
        </w:tc>
        <w:tc>
          <w:tcPr>
            <w:tcW w:w="5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286</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249</w:t>
            </w:r>
          </w:p>
        </w:tc>
        <w:tc>
          <w:tcPr>
            <w:tcW w:w="60" w:type="dxa"/>
            <w:vAlign w:val="bottom"/>
            <w:shd w:val="clear" w:color="auto" w:fill="E5E5E5"/>
          </w:tcPr>
          <w:p>
            <w:pPr>
              <w:spacing w:after="0"/>
              <w:rPr>
                <w:sz w:val="16"/>
                <w:szCs w:val="16"/>
                <w:color w:val="auto"/>
              </w:rPr>
            </w:pPr>
          </w:p>
        </w:tc>
      </w:tr>
      <w:tr>
        <w:trPr>
          <w:trHeight w:val="248"/>
        </w:trPr>
        <w:tc>
          <w:tcPr>
            <w:tcW w:w="53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7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52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21"/>
                <w:szCs w:val="21"/>
                <w:color w:val="auto"/>
              </w:rPr>
            </w:pPr>
          </w:p>
        </w:tc>
      </w:tr>
      <w:tr>
        <w:trPr>
          <w:trHeight w:val="198"/>
        </w:trPr>
        <w:tc>
          <w:tcPr>
            <w:tcW w:w="530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Right-of-use assets obtained in exchange for lease obligations:</w:t>
            </w:r>
          </w:p>
        </w:tc>
        <w:tc>
          <w:tcPr>
            <w:tcW w:w="7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189"/>
        </w:trPr>
        <w:tc>
          <w:tcPr>
            <w:tcW w:w="530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7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1,106</w:t>
            </w:r>
          </w:p>
        </w:tc>
        <w:tc>
          <w:tcPr>
            <w:tcW w:w="520" w:type="dxa"/>
            <w:vAlign w:val="bottom"/>
          </w:tcPr>
          <w:p>
            <w:pPr>
              <w:spacing w:after="0"/>
              <w:rPr>
                <w:sz w:val="16"/>
                <w:szCs w:val="16"/>
                <w:color w:val="auto"/>
              </w:rPr>
            </w:pPr>
          </w:p>
        </w:tc>
        <w:tc>
          <w:tcPr>
            <w:tcW w:w="1000" w:type="dxa"/>
            <w:vAlign w:val="bottom"/>
          </w:tcPr>
          <w:p>
            <w:pPr>
              <w:jc w:val="right"/>
              <w:ind w:right="36"/>
              <w:spacing w:after="0" w:line="189" w:lineRule="exact"/>
              <w:rPr>
                <w:sz w:val="20"/>
                <w:szCs w:val="20"/>
                <w:color w:val="auto"/>
              </w:rPr>
            </w:pPr>
            <w:r>
              <w:rPr>
                <w:rFonts w:ascii="Arial" w:cs="Arial" w:eastAsia="Arial" w:hAnsi="Arial"/>
                <w:sz w:val="18"/>
                <w:szCs w:val="18"/>
                <w:color w:val="auto"/>
              </w:rPr>
              <w:t>680</w:t>
            </w:r>
          </w:p>
        </w:tc>
        <w:tc>
          <w:tcPr>
            <w:tcW w:w="5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3,362</w:t>
            </w:r>
          </w:p>
        </w:tc>
        <w:tc>
          <w:tcPr>
            <w:tcW w:w="4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2,611</w:t>
            </w:r>
          </w:p>
        </w:tc>
        <w:tc>
          <w:tcPr>
            <w:tcW w:w="60" w:type="dxa"/>
            <w:vAlign w:val="bottom"/>
          </w:tcPr>
          <w:p>
            <w:pPr>
              <w:spacing w:after="0"/>
              <w:rPr>
                <w:sz w:val="16"/>
                <w:szCs w:val="16"/>
                <w:color w:val="auto"/>
              </w:rPr>
            </w:pPr>
          </w:p>
        </w:tc>
      </w:tr>
      <w:tr>
        <w:trPr>
          <w:trHeight w:val="189"/>
        </w:trPr>
        <w:tc>
          <w:tcPr>
            <w:tcW w:w="53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Finance leases</w:t>
            </w:r>
          </w:p>
        </w:tc>
        <w:tc>
          <w:tcPr>
            <w:tcW w:w="760" w:type="dxa"/>
            <w:vAlign w:val="bottom"/>
            <w:shd w:val="clear" w:color="auto" w:fill="E5E5E5"/>
          </w:tcPr>
          <w:p>
            <w:pPr>
              <w:spacing w:after="0"/>
              <w:rPr>
                <w:sz w:val="16"/>
                <w:szCs w:val="16"/>
                <w:color w:val="auto"/>
              </w:rPr>
            </w:pP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836</w:t>
            </w:r>
          </w:p>
        </w:tc>
        <w:tc>
          <w:tcPr>
            <w:tcW w:w="52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259</w:t>
            </w:r>
          </w:p>
        </w:tc>
        <w:tc>
          <w:tcPr>
            <w:tcW w:w="5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2,664</w:t>
            </w:r>
          </w:p>
        </w:tc>
        <w:tc>
          <w:tcPr>
            <w:tcW w:w="4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2,611</w:t>
            </w:r>
          </w:p>
        </w:tc>
        <w:tc>
          <w:tcPr>
            <w:tcW w:w="60" w:type="dxa"/>
            <w:vAlign w:val="bottom"/>
            <w:shd w:val="clear" w:color="auto" w:fill="E5E5E5"/>
          </w:tcPr>
          <w:p>
            <w:pPr>
              <w:spacing w:after="0"/>
              <w:rPr>
                <w:sz w:val="16"/>
                <w:szCs w:val="16"/>
                <w:color w:val="auto"/>
              </w:rPr>
            </w:pPr>
          </w:p>
        </w:tc>
      </w:tr>
      <w:tr>
        <w:trPr>
          <w:trHeight w:val="68"/>
        </w:trPr>
        <w:tc>
          <w:tcPr>
            <w:tcW w:w="5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41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2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10,673</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74"/>
        </w:trPr>
        <w:tc>
          <w:tcPr>
            <w:tcW w:w="41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1,876</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9,272</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18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11,148</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61"/>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38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180" w:type="dxa"/>
            <w:vAlign w:val="bottom"/>
            <w:vMerge w:val="continue"/>
          </w:tcPr>
          <w:p>
            <w:pPr>
              <w:spacing w:after="0"/>
              <w:rPr>
                <w:sz w:val="19"/>
                <w:szCs w:val="19"/>
                <w:color w:val="auto"/>
              </w:rPr>
            </w:pP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42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13,412</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10,371</w:t>
            </w: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68"/>
        </w:trPr>
        <w:tc>
          <w:tcPr>
            <w:tcW w:w="4180" w:type="dxa"/>
            <w:vAlign w:val="bottom"/>
            <w:tcBorders>
              <w:top w:val="single" w:sz="8" w:color="auto"/>
            </w:tcBorders>
          </w:tcPr>
          <w:p>
            <w:pPr>
              <w:spacing w:after="0"/>
              <w:rPr>
                <w:sz w:val="5"/>
                <w:szCs w:val="5"/>
                <w:color w:val="auto"/>
              </w:rPr>
            </w:pPr>
          </w:p>
        </w:tc>
        <w:tc>
          <w:tcPr>
            <w:tcW w:w="38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Property and equipment, net</w:t>
            </w:r>
          </w:p>
        </w:tc>
        <w:tc>
          <w:tcPr>
            <w:tcW w:w="424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11,361</w:t>
            </w:r>
          </w:p>
        </w:tc>
        <w:tc>
          <w:tcPr>
            <w:tcW w:w="52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75"/>
        </w:trPr>
        <w:tc>
          <w:tcPr>
            <w:tcW w:w="41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11,301</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18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4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12,054</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61"/>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38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180" w:type="dxa"/>
            <w:vAlign w:val="bottom"/>
            <w:vMerge w:val="continue"/>
          </w:tcPr>
          <w:p>
            <w:pPr>
              <w:spacing w:after="0"/>
              <w:rPr>
                <w:sz w:val="19"/>
                <w:szCs w:val="19"/>
                <w:color w:val="auto"/>
              </w:rPr>
            </w:pP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 years</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9"/>
        </w:trPr>
        <w:tc>
          <w:tcPr>
            <w:tcW w:w="41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 years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179"/>
        </w:trPr>
        <w:tc>
          <w:tcPr>
            <w:tcW w:w="418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1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38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41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595"/>
        </w:trPr>
        <w:tc>
          <w:tcPr>
            <w:tcW w:w="418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jc w:val="right"/>
              <w:ind w:right="2212"/>
              <w:spacing w:after="0"/>
              <w:rPr>
                <w:sz w:val="20"/>
                <w:szCs w:val="20"/>
                <w:color w:val="auto"/>
              </w:rPr>
            </w:pPr>
            <w:r>
              <w:rPr>
                <w:rFonts w:ascii="Arial" w:cs="Arial" w:eastAsia="Arial" w:hAnsi="Arial"/>
                <w:sz w:val="14"/>
                <w:szCs w:val="14"/>
                <w:color w:val="auto"/>
              </w:rPr>
              <w:t>23</w:t>
            </w: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18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lease liabilities as of March 31,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Finance Leases</w:t>
            </w:r>
          </w:p>
        </w:tc>
      </w:tr>
      <w:tr>
        <w:trPr>
          <w:trHeight w:val="55"/>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2021 (excluding the nine months ended March 31, 2021)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603</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278</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1,981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1,128</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2023</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1,803</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1,140</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1,607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1,156</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2025</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1,320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1,481</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9,510</w:t>
            </w: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12,030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14,693</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(2,639)</w:t>
            </w: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11,148</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12,054</w:t>
            </w: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2021, we have additional operating and finance leases, primarily for datacenters, that have not yet commenced of $5.3 billion and $6.8 billion, respectively. These operating and finance leases will commence between fiscal year 2021 and fiscal year 2026 with lease terms of 1 year to 15 years.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66 patent infringement cases pending against Microsoft as of March 31, 2021, none of which are material individually or in aggregate.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submitted the proposed settlement agreement to the courts in all three jurisdictions for approval. The final settlement and form of notice have been approved by the courts in British Columbia, Ontario, and Quebec. The ten-month claims period commenced on November 23, 2020 and will close on September 23,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 -Monopoly Law, and the SAMR conducted onsite inspections of Microsoft offices in Beijing, Shanghai, Guangzhou, and Chengdu. The SAMR has presented its preliminary views as to certain possible violations of China's Anti-Monopoly Law, and discussions are expected to continue.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40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on general causation is scheduled for July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2021, we accrued aggregate legal liabilities of $336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2016,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commenced in December 2016 and was completed in February 2020.</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 This share repurchase program commenced in February 2020, following completion of the program approved on September 20, 2016, has no expiration date, and may be terminated at any time. As of March 31, 2021, $14.9 billion remained of this $40.0 billion share repurchase program.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b w:val="1"/>
                <w:bCs w:val="1"/>
                <w:color w:val="auto"/>
              </w:rPr>
              <w:t>Amount</w:t>
            </w:r>
          </w:p>
        </w:tc>
      </w:tr>
      <w:tr>
        <w:trPr>
          <w:trHeight w:val="55"/>
        </w:trPr>
        <w:tc>
          <w:tcPr>
            <w:tcW w:w="6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9"/>
                <w:szCs w:val="19"/>
                <w:color w:val="auto"/>
              </w:rPr>
            </w:pPr>
          </w:p>
        </w:tc>
      </w:tr>
      <w:tr>
        <w:trPr>
          <w:trHeight w:val="54"/>
        </w:trPr>
        <w:tc>
          <w:tcPr>
            <w:tcW w:w="6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5,270</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29</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4,000</w:t>
            </w:r>
          </w:p>
        </w:tc>
        <w:tc>
          <w:tcPr>
            <w:tcW w:w="120" w:type="dxa"/>
            <w:vAlign w:val="bottom"/>
            <w:shd w:val="clear" w:color="auto" w:fill="E5E5E5"/>
          </w:tcPr>
          <w:p>
            <w:pPr>
              <w:spacing w:after="0"/>
              <w:rPr>
                <w:sz w:val="16"/>
                <w:szCs w:val="16"/>
                <w:color w:val="auto"/>
              </w:rPr>
            </w:pPr>
          </w:p>
        </w:tc>
      </w:tr>
      <w:tr>
        <w:trPr>
          <w:trHeight w:val="189"/>
        </w:trPr>
        <w:tc>
          <w:tcPr>
            <w:tcW w:w="644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12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5,750</w:t>
            </w: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4,600</w:t>
            </w:r>
          </w:p>
        </w:tc>
        <w:tc>
          <w:tcPr>
            <w:tcW w:w="120" w:type="dxa"/>
            <w:vAlign w:val="bottom"/>
          </w:tcPr>
          <w:p>
            <w:pPr>
              <w:spacing w:after="0"/>
              <w:rPr>
                <w:sz w:val="16"/>
                <w:szCs w:val="16"/>
                <w:color w:val="auto"/>
              </w:rPr>
            </w:pPr>
          </w:p>
        </w:tc>
      </w:tr>
      <w:tr>
        <w:trPr>
          <w:trHeight w:val="189"/>
        </w:trPr>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5,750</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37</w:t>
            </w:r>
          </w:p>
        </w:tc>
        <w:tc>
          <w:tcPr>
            <w:tcW w:w="28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6,000</w:t>
            </w:r>
          </w:p>
        </w:tc>
        <w:tc>
          <w:tcPr>
            <w:tcW w:w="120" w:type="dxa"/>
            <w:vAlign w:val="bottom"/>
            <w:shd w:val="clear" w:color="auto" w:fill="E5E5E5"/>
          </w:tcPr>
          <w:p>
            <w:pPr>
              <w:spacing w:after="0"/>
              <w:rPr>
                <w:sz w:val="16"/>
                <w:szCs w:val="16"/>
                <w:color w:val="auto"/>
              </w:rPr>
            </w:pPr>
          </w:p>
        </w:tc>
      </w:tr>
      <w:tr>
        <w:trPr>
          <w:trHeight w:val="68"/>
        </w:trPr>
        <w:tc>
          <w:tcPr>
            <w:tcW w:w="6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4"/>
        </w:trPr>
        <w:tc>
          <w:tcPr>
            <w:tcW w:w="644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77</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16,770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14,600</w:t>
            </w:r>
          </w:p>
        </w:tc>
        <w:tc>
          <w:tcPr>
            <w:tcW w:w="120" w:type="dxa"/>
            <w:vAlign w:val="bottom"/>
          </w:tcPr>
          <w:p>
            <w:pPr>
              <w:spacing w:after="0"/>
              <w:rPr>
                <w:sz w:val="22"/>
                <w:szCs w:val="22"/>
                <w:color w:val="auto"/>
              </w:rPr>
            </w:pPr>
          </w:p>
        </w:tc>
      </w:tr>
      <w:tr>
        <w:trPr>
          <w:trHeight w:val="61"/>
        </w:trPr>
        <w:tc>
          <w:tcPr>
            <w:tcW w:w="64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Shares repurchased during fiscal year 2021 were under the share repurchase program approved on September 18, 2019. Shares repurchased during the third quarter of fiscal year 2020 were under the share repurchase programs approved on both September 20, 2016 and September 18, 2019. Shares repurchased during the first and second quarters of fiscal year 2020 were under the share repurchase program approved on September 20, 2016. The above table excludes shares repurchased to settle employee tax withholding related to the vesting of stock awards of $1.1 billion and $3.4 billion for the three and nine months ended March 31, 2021, respectively, and $1.1 billion and $2.6 billion for the three and nine months ended March 31, 2020, respectively. All repurchases were made using cash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Dividend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0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960" w:type="dxa"/>
            <w:vAlign w:val="bottom"/>
          </w:tcPr>
          <w:p>
            <w:pPr>
              <w:ind w:left="940"/>
              <w:spacing w:after="0"/>
              <w:rPr>
                <w:sz w:val="20"/>
                <w:szCs w:val="20"/>
                <w:color w:val="auto"/>
              </w:rPr>
            </w:pPr>
            <w:r>
              <w:rPr>
                <w:rFonts w:ascii="Arial" w:cs="Arial" w:eastAsia="Arial" w:hAnsi="Arial"/>
                <w:sz w:val="13"/>
                <w:szCs w:val="13"/>
                <w:b w:val="1"/>
                <w:bCs w:val="1"/>
                <w:color w:val="auto"/>
              </w:rPr>
              <w:t>Record Date</w:t>
            </w:r>
          </w:p>
        </w:tc>
        <w:tc>
          <w:tcPr>
            <w:tcW w:w="2960" w:type="dxa"/>
            <w:vAlign w:val="bottom"/>
          </w:tcPr>
          <w:p>
            <w:pPr>
              <w:ind w:left="400"/>
              <w:spacing w:after="0"/>
              <w:rPr>
                <w:sz w:val="20"/>
                <w:szCs w:val="20"/>
                <w:color w:val="auto"/>
              </w:rPr>
            </w:pPr>
            <w:r>
              <w:rPr>
                <w:rFonts w:ascii="Arial" w:cs="Arial" w:eastAsia="Arial" w:hAnsi="Arial"/>
                <w:sz w:val="13"/>
                <w:szCs w:val="13"/>
                <w:b w:val="1"/>
                <w:bCs w:val="1"/>
                <w:color w:val="auto"/>
              </w:rPr>
              <w:t>Payment Date</w:t>
            </w:r>
          </w:p>
        </w:tc>
        <w:tc>
          <w:tcPr>
            <w:tcW w:w="3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Per Share</w:t>
            </w:r>
          </w:p>
        </w:tc>
        <w:tc>
          <w:tcPr>
            <w:tcW w:w="2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5"/>
        </w:trPr>
        <w:tc>
          <w:tcPr>
            <w:tcW w:w="26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3"/>
                <w:szCs w:val="13"/>
                <w:b w:val="1"/>
                <w:bCs w:val="1"/>
                <w:color w:val="auto"/>
              </w:rPr>
              <w:t>Fiscal Year 2021</w:t>
            </w:r>
          </w:p>
        </w:tc>
        <w:tc>
          <w:tcPr>
            <w:tcW w:w="29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15, 2020</w:t>
            </w:r>
          </w:p>
        </w:tc>
        <w:tc>
          <w:tcPr>
            <w:tcW w:w="2960" w:type="dxa"/>
            <w:vAlign w:val="bottom"/>
            <w:shd w:val="clear" w:color="auto" w:fill="E5E5E5"/>
          </w:tcPr>
          <w:p>
            <w:pPr>
              <w:ind w:left="940"/>
              <w:spacing w:after="0" w:line="189" w:lineRule="exact"/>
              <w:rPr>
                <w:sz w:val="20"/>
                <w:szCs w:val="20"/>
                <w:color w:val="auto"/>
              </w:rPr>
            </w:pPr>
            <w:r>
              <w:rPr>
                <w:rFonts w:ascii="Arial" w:cs="Arial" w:eastAsia="Arial" w:hAnsi="Arial"/>
                <w:sz w:val="18"/>
                <w:szCs w:val="18"/>
                <w:b w:val="1"/>
                <w:bCs w:val="1"/>
                <w:color w:val="auto"/>
              </w:rPr>
              <w:t>November 19, 2020</w:t>
            </w:r>
          </w:p>
        </w:tc>
        <w:tc>
          <w:tcPr>
            <w:tcW w:w="296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b w:val="1"/>
                <w:bCs w:val="1"/>
                <w:color w:val="auto"/>
              </w:rPr>
              <w:t>December 10, 2020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0.56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4,230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line="189" w:lineRule="exact"/>
              <w:rPr>
                <w:sz w:val="20"/>
                <w:szCs w:val="20"/>
                <w:color w:val="auto"/>
              </w:rPr>
            </w:pPr>
            <w:r>
              <w:rPr>
                <w:rFonts w:ascii="Arial" w:cs="Arial" w:eastAsia="Arial" w:hAnsi="Arial"/>
                <w:sz w:val="18"/>
                <w:szCs w:val="18"/>
                <w:b w:val="1"/>
                <w:bCs w:val="1"/>
                <w:color w:val="auto"/>
              </w:rPr>
              <w:t>December 2, 2020</w:t>
            </w:r>
          </w:p>
        </w:tc>
        <w:tc>
          <w:tcPr>
            <w:tcW w:w="2960" w:type="dxa"/>
            <w:vAlign w:val="bottom"/>
          </w:tcPr>
          <w:p>
            <w:pPr>
              <w:ind w:left="940"/>
              <w:spacing w:after="0" w:line="189" w:lineRule="exact"/>
              <w:rPr>
                <w:sz w:val="20"/>
                <w:szCs w:val="20"/>
                <w:color w:val="auto"/>
              </w:rPr>
            </w:pPr>
            <w:r>
              <w:rPr>
                <w:rFonts w:ascii="Arial" w:cs="Arial" w:eastAsia="Arial" w:hAnsi="Arial"/>
                <w:sz w:val="18"/>
                <w:szCs w:val="18"/>
                <w:b w:val="1"/>
                <w:bCs w:val="1"/>
                <w:color w:val="auto"/>
              </w:rPr>
              <w:t>February 18, 2021</w:t>
            </w:r>
          </w:p>
        </w:tc>
        <w:tc>
          <w:tcPr>
            <w:tcW w:w="2960" w:type="dxa"/>
            <w:vAlign w:val="bottom"/>
          </w:tcPr>
          <w:p>
            <w:pPr>
              <w:ind w:left="400"/>
              <w:spacing w:after="0" w:line="189" w:lineRule="exact"/>
              <w:rPr>
                <w:sz w:val="20"/>
                <w:szCs w:val="20"/>
                <w:color w:val="auto"/>
              </w:rPr>
            </w:pPr>
            <w:r>
              <w:rPr>
                <w:rFonts w:ascii="Arial" w:cs="Arial" w:eastAsia="Arial" w:hAnsi="Arial"/>
                <w:sz w:val="18"/>
                <w:szCs w:val="18"/>
                <w:b w:val="1"/>
                <w:bCs w:val="1"/>
                <w:color w:val="auto"/>
              </w:rPr>
              <w:t>March 11, 2021</w:t>
            </w:r>
          </w:p>
        </w:tc>
        <w:tc>
          <w:tcPr>
            <w:tcW w:w="34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0.56</w:t>
            </w:r>
          </w:p>
        </w:tc>
        <w:tc>
          <w:tcPr>
            <w:tcW w:w="2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4,221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16, 2021</w:t>
            </w:r>
          </w:p>
        </w:tc>
        <w:tc>
          <w:tcPr>
            <w:tcW w:w="2960" w:type="dxa"/>
            <w:vAlign w:val="bottom"/>
            <w:shd w:val="clear" w:color="auto" w:fill="E5E5E5"/>
          </w:tcPr>
          <w:p>
            <w:pPr>
              <w:ind w:left="940"/>
              <w:spacing w:after="0" w:line="189" w:lineRule="exact"/>
              <w:rPr>
                <w:sz w:val="20"/>
                <w:szCs w:val="20"/>
                <w:color w:val="auto"/>
              </w:rPr>
            </w:pPr>
            <w:r>
              <w:rPr>
                <w:rFonts w:ascii="Arial" w:cs="Arial" w:eastAsia="Arial" w:hAnsi="Arial"/>
                <w:sz w:val="18"/>
                <w:szCs w:val="18"/>
                <w:b w:val="1"/>
                <w:bCs w:val="1"/>
                <w:color w:val="auto"/>
              </w:rPr>
              <w:t>May 20, 2021</w:t>
            </w:r>
          </w:p>
        </w:tc>
        <w:tc>
          <w:tcPr>
            <w:tcW w:w="296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b w:val="1"/>
                <w:bCs w:val="1"/>
                <w:color w:val="auto"/>
              </w:rPr>
              <w:t>June 10, 2021</w:t>
            </w: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0.56</w:t>
            </w: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4,219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6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9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12,670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60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2020</w:t>
            </w:r>
          </w:p>
        </w:tc>
        <w:tc>
          <w:tcPr>
            <w:tcW w:w="2960" w:type="dxa"/>
            <w:vAlign w:val="bottom"/>
          </w:tcPr>
          <w:p>
            <w:pPr>
              <w:spacing w:after="0"/>
              <w:rPr>
                <w:sz w:val="5"/>
                <w:szCs w:val="5"/>
                <w:color w:val="auto"/>
              </w:rPr>
            </w:pPr>
          </w:p>
        </w:tc>
        <w:tc>
          <w:tcPr>
            <w:tcW w:w="29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60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6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18, 2019</w:t>
            </w:r>
          </w:p>
        </w:tc>
        <w:tc>
          <w:tcPr>
            <w:tcW w:w="2960" w:type="dxa"/>
            <w:vAlign w:val="bottom"/>
            <w:shd w:val="clear" w:color="auto" w:fill="E5E5E5"/>
          </w:tcPr>
          <w:p>
            <w:pPr>
              <w:ind w:left="940"/>
              <w:spacing w:after="0" w:line="189" w:lineRule="exact"/>
              <w:rPr>
                <w:sz w:val="20"/>
                <w:szCs w:val="20"/>
                <w:color w:val="auto"/>
              </w:rPr>
            </w:pPr>
            <w:r>
              <w:rPr>
                <w:rFonts w:ascii="Arial" w:cs="Arial" w:eastAsia="Arial" w:hAnsi="Arial"/>
                <w:sz w:val="18"/>
                <w:szCs w:val="18"/>
                <w:color w:val="auto"/>
              </w:rPr>
              <w:t>November 21, 2019</w:t>
            </w:r>
          </w:p>
        </w:tc>
        <w:tc>
          <w:tcPr>
            <w:tcW w:w="296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color w:val="auto"/>
              </w:rPr>
              <w:t>December 12, 2019</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0.51</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3,886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line="189" w:lineRule="exact"/>
              <w:rPr>
                <w:sz w:val="20"/>
                <w:szCs w:val="20"/>
                <w:color w:val="auto"/>
              </w:rPr>
            </w:pPr>
            <w:r>
              <w:rPr>
                <w:rFonts w:ascii="Arial" w:cs="Arial" w:eastAsia="Arial" w:hAnsi="Arial"/>
                <w:sz w:val="18"/>
                <w:szCs w:val="18"/>
                <w:color w:val="auto"/>
              </w:rPr>
              <w:t>December 4, 2019</w:t>
            </w:r>
          </w:p>
        </w:tc>
        <w:tc>
          <w:tcPr>
            <w:tcW w:w="2960" w:type="dxa"/>
            <w:vAlign w:val="bottom"/>
          </w:tcPr>
          <w:p>
            <w:pPr>
              <w:ind w:left="940"/>
              <w:spacing w:after="0" w:line="189" w:lineRule="exact"/>
              <w:rPr>
                <w:sz w:val="20"/>
                <w:szCs w:val="20"/>
                <w:color w:val="auto"/>
              </w:rPr>
            </w:pPr>
            <w:r>
              <w:rPr>
                <w:rFonts w:ascii="Arial" w:cs="Arial" w:eastAsia="Arial" w:hAnsi="Arial"/>
                <w:sz w:val="18"/>
                <w:szCs w:val="18"/>
                <w:color w:val="auto"/>
              </w:rPr>
              <w:t>February 20, 2020</w:t>
            </w:r>
          </w:p>
        </w:tc>
        <w:tc>
          <w:tcPr>
            <w:tcW w:w="2960" w:type="dxa"/>
            <w:vAlign w:val="bottom"/>
          </w:tcPr>
          <w:p>
            <w:pPr>
              <w:ind w:left="400"/>
              <w:spacing w:after="0" w:line="189" w:lineRule="exact"/>
              <w:rPr>
                <w:sz w:val="20"/>
                <w:szCs w:val="20"/>
                <w:color w:val="auto"/>
              </w:rPr>
            </w:pPr>
            <w:r>
              <w:rPr>
                <w:rFonts w:ascii="Arial" w:cs="Arial" w:eastAsia="Arial" w:hAnsi="Arial"/>
                <w:sz w:val="18"/>
                <w:szCs w:val="18"/>
                <w:color w:val="auto"/>
              </w:rPr>
              <w:t>March 12, 2020</w:t>
            </w:r>
          </w:p>
        </w:tc>
        <w:tc>
          <w:tcPr>
            <w:tcW w:w="34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0.51</w:t>
            </w:r>
          </w:p>
        </w:tc>
        <w:tc>
          <w:tcPr>
            <w:tcW w:w="2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3,876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9, 2020</w:t>
            </w:r>
          </w:p>
        </w:tc>
        <w:tc>
          <w:tcPr>
            <w:tcW w:w="2960" w:type="dxa"/>
            <w:vAlign w:val="bottom"/>
            <w:shd w:val="clear" w:color="auto" w:fill="E5E5E5"/>
          </w:tcPr>
          <w:p>
            <w:pPr>
              <w:ind w:left="940"/>
              <w:spacing w:after="0" w:line="189" w:lineRule="exact"/>
              <w:rPr>
                <w:sz w:val="20"/>
                <w:szCs w:val="20"/>
                <w:color w:val="auto"/>
              </w:rPr>
            </w:pPr>
            <w:r>
              <w:rPr>
                <w:rFonts w:ascii="Arial" w:cs="Arial" w:eastAsia="Arial" w:hAnsi="Arial"/>
                <w:sz w:val="18"/>
                <w:szCs w:val="18"/>
                <w:color w:val="auto"/>
              </w:rPr>
              <w:t>May 21, 2020</w:t>
            </w:r>
          </w:p>
        </w:tc>
        <w:tc>
          <w:tcPr>
            <w:tcW w:w="2960" w:type="dxa"/>
            <w:vAlign w:val="bottom"/>
            <w:shd w:val="clear" w:color="auto" w:fill="E5E5E5"/>
          </w:tcPr>
          <w:p>
            <w:pPr>
              <w:ind w:left="400"/>
              <w:spacing w:after="0" w:line="189" w:lineRule="exact"/>
              <w:rPr>
                <w:sz w:val="20"/>
                <w:szCs w:val="20"/>
                <w:color w:val="auto"/>
              </w:rPr>
            </w:pPr>
            <w:r>
              <w:rPr>
                <w:rFonts w:ascii="Arial" w:cs="Arial" w:eastAsia="Arial" w:hAnsi="Arial"/>
                <w:sz w:val="18"/>
                <w:szCs w:val="18"/>
                <w:color w:val="auto"/>
              </w:rPr>
              <w:t>June 11, 2020</w:t>
            </w:r>
          </w:p>
        </w:tc>
        <w:tc>
          <w:tcPr>
            <w:tcW w:w="34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0.51</w:t>
            </w: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3,865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600" w:type="dxa"/>
            <w:vAlign w:val="bottom"/>
          </w:tcPr>
          <w:p>
            <w:pPr>
              <w:ind w:left="220"/>
              <w:spacing w:after="0"/>
              <w:rPr>
                <w:sz w:val="20"/>
                <w:szCs w:val="20"/>
                <w:color w:val="auto"/>
              </w:rPr>
            </w:pPr>
            <w:r>
              <w:rPr>
                <w:rFonts w:ascii="Arial" w:cs="Arial" w:eastAsia="Arial" w:hAnsi="Arial"/>
                <w:sz w:val="18"/>
                <w:szCs w:val="18"/>
                <w:color w:val="auto"/>
              </w:rPr>
              <w:t>Total</w:t>
            </w:r>
          </w:p>
        </w:tc>
        <w:tc>
          <w:tcPr>
            <w:tcW w:w="29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6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9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March 16, 2021 was included in other current liabilities as of March 31,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4"/>
        </w:trPr>
        <w:tc>
          <w:tcPr>
            <w:tcW w:w="5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w:t>
            </w:r>
          </w:p>
        </w:tc>
        <w:tc>
          <w:tcPr>
            <w:tcW w:w="5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(38)</w:t>
            </w:r>
          </w:p>
        </w:tc>
        <w:tc>
          <w:tcPr>
            <w:tcW w:w="5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line="175"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$(12), </w:t>
            </w:r>
            <w:r>
              <w:rPr>
                <w:rFonts w:ascii="Arial" w:cs="Arial" w:eastAsia="Arial" w:hAnsi="Arial"/>
                <w:sz w:val="18"/>
                <w:szCs w:val="18"/>
                <w:b w:val="1"/>
                <w:bCs w:val="1"/>
                <w:color w:val="auto"/>
              </w:rPr>
              <w:t>$12</w:t>
            </w:r>
            <w:r>
              <w:rPr>
                <w:rFonts w:ascii="Arial" w:cs="Arial" w:eastAsia="Arial" w:hAnsi="Arial"/>
                <w:sz w:val="18"/>
                <w:szCs w:val="18"/>
                <w:color w:val="auto"/>
              </w:rPr>
              <w:t>, and</w:t>
            </w:r>
          </w:p>
        </w:tc>
        <w:tc>
          <w:tcPr>
            <w:tcW w:w="320" w:type="dxa"/>
            <w:vAlign w:val="bottom"/>
          </w:tcPr>
          <w:p>
            <w:pPr>
              <w:spacing w:after="0"/>
              <w:rPr>
                <w:sz w:val="15"/>
                <w:szCs w:val="15"/>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Reclassification adjustments for (gains) losses included in</w:t>
            </w:r>
          </w:p>
        </w:tc>
        <w:tc>
          <w:tcPr>
            <w:tcW w:w="320" w:type="dxa"/>
            <w:vAlign w:val="bottom"/>
            <w:shd w:val="clear" w:color="auto" w:fill="E5E5E5"/>
          </w:tcPr>
          <w:p>
            <w:pPr>
              <w:spacing w:after="0"/>
              <w:rPr>
                <w:sz w:val="15"/>
                <w:szCs w:val="15"/>
                <w:color w:val="auto"/>
              </w:rPr>
            </w:pPr>
          </w:p>
        </w:tc>
        <w:tc>
          <w:tcPr>
            <w:tcW w:w="10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00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earnings</w:t>
            </w:r>
          </w:p>
        </w:tc>
        <w:tc>
          <w:tcPr>
            <w:tcW w:w="320" w:type="dxa"/>
            <w:vAlign w:val="bottom"/>
            <w:shd w:val="clear" w:color="auto" w:fill="E5E5E5"/>
          </w:tcPr>
          <w:p>
            <w:pPr>
              <w:spacing w:after="0"/>
              <w:rPr>
                <w:sz w:val="17"/>
                <w:szCs w:val="17"/>
                <w:color w:val="auto"/>
              </w:rPr>
            </w:pPr>
          </w:p>
        </w:tc>
        <w:tc>
          <w:tcPr>
            <w:tcW w:w="1040" w:type="dxa"/>
            <w:vAlign w:val="bottom"/>
            <w:gridSpan w:val="2"/>
            <w:vMerge w:val="continue"/>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420"/>
              <w:spacing w:after="0" w:line="203" w:lineRule="exact"/>
              <w:rPr>
                <w:sz w:val="20"/>
                <w:szCs w:val="20"/>
                <w:color w:val="auto"/>
              </w:rPr>
            </w:pPr>
            <w:r>
              <w:rPr>
                <w:rFonts w:ascii="Arial" w:cs="Arial" w:eastAsia="Arial" w:hAnsi="Arial"/>
                <w:sz w:val="18"/>
                <w:szCs w:val="18"/>
                <w:color w:val="auto"/>
              </w:rPr>
              <w:t>12</w:t>
            </w:r>
          </w:p>
        </w:tc>
        <w:tc>
          <w:tcPr>
            <w:tcW w:w="380" w:type="dxa"/>
            <w:vAlign w:val="bottom"/>
            <w:shd w:val="clear" w:color="auto" w:fill="E5E5E5"/>
          </w:tcPr>
          <w:p>
            <w:pPr>
              <w:spacing w:after="0"/>
              <w:rPr>
                <w:sz w:val="17"/>
                <w:szCs w:val="17"/>
                <w:color w:val="auto"/>
              </w:rPr>
            </w:pPr>
          </w:p>
        </w:tc>
        <w:tc>
          <w:tcPr>
            <w:tcW w:w="1000" w:type="dxa"/>
            <w:vAlign w:val="bottom"/>
            <w:gridSpan w:val="2"/>
            <w:vMerge w:val="continue"/>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9</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3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50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Amounts reclassified from accumulated other</w:t>
            </w:r>
          </w:p>
        </w:tc>
        <w:tc>
          <w:tcPr>
            <w:tcW w:w="320" w:type="dxa"/>
            <w:vAlign w:val="bottom"/>
            <w:shd w:val="clear" w:color="auto" w:fill="E5E5E5"/>
          </w:tcPr>
          <w:p>
            <w:pPr>
              <w:spacing w:after="0"/>
              <w:rPr>
                <w:sz w:val="15"/>
                <w:szCs w:val="15"/>
                <w:color w:val="auto"/>
              </w:rPr>
            </w:pPr>
          </w:p>
        </w:tc>
        <w:tc>
          <w:tcPr>
            <w:tcW w:w="104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00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E5E5E5"/>
          </w:tcPr>
          <w:p>
            <w:pPr>
              <w:spacing w:after="0"/>
              <w:rPr>
                <w:sz w:val="17"/>
                <w:szCs w:val="17"/>
                <w:color w:val="auto"/>
              </w:rPr>
            </w:pPr>
          </w:p>
        </w:tc>
        <w:tc>
          <w:tcPr>
            <w:tcW w:w="1040" w:type="dxa"/>
            <w:vAlign w:val="bottom"/>
            <w:gridSpan w:val="2"/>
            <w:vMerge w:val="continue"/>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420"/>
              <w:spacing w:after="0" w:line="203" w:lineRule="exact"/>
              <w:rPr>
                <w:sz w:val="20"/>
                <w:szCs w:val="20"/>
                <w:color w:val="auto"/>
              </w:rPr>
            </w:pPr>
            <w:r>
              <w:rPr>
                <w:rFonts w:ascii="Arial" w:cs="Arial" w:eastAsia="Arial" w:hAnsi="Arial"/>
                <w:sz w:val="18"/>
                <w:szCs w:val="18"/>
                <w:color w:val="auto"/>
              </w:rPr>
              <w:t>10</w:t>
            </w:r>
          </w:p>
        </w:tc>
        <w:tc>
          <w:tcPr>
            <w:tcW w:w="380" w:type="dxa"/>
            <w:vAlign w:val="bottom"/>
            <w:shd w:val="clear" w:color="auto" w:fill="E5E5E5"/>
          </w:tcPr>
          <w:p>
            <w:pPr>
              <w:spacing w:after="0"/>
              <w:rPr>
                <w:sz w:val="17"/>
                <w:szCs w:val="17"/>
                <w:color w:val="auto"/>
              </w:rPr>
            </w:pPr>
          </w:p>
        </w:tc>
        <w:tc>
          <w:tcPr>
            <w:tcW w:w="1000" w:type="dxa"/>
            <w:vAlign w:val="bottom"/>
            <w:gridSpan w:val="2"/>
            <w:vMerge w:val="continue"/>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8</w:t>
            </w: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$6</w:t>
            </w:r>
            <w:r>
              <w:rPr>
                <w:rFonts w:ascii="Arial" w:cs="Arial" w:eastAsia="Arial" w:hAnsi="Arial"/>
                <w:sz w:val="18"/>
                <w:szCs w:val="18"/>
                <w:color w:val="auto"/>
              </w:rPr>
              <w:t>, $(10)</w:t>
            </w: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20"/>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 and $(12)</w:t>
            </w:r>
          </w:p>
        </w:tc>
        <w:tc>
          <w:tcPr>
            <w:tcW w:w="3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4"/>
        </w:trPr>
        <w:tc>
          <w:tcPr>
            <w:tcW w:w="5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w:t>
            </w:r>
          </w:p>
        </w:tc>
        <w:tc>
          <w:tcPr>
            <w:tcW w:w="5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(42)</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w:t>
            </w:r>
          </w:p>
        </w:tc>
        <w:tc>
          <w:tcPr>
            <w:tcW w:w="5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4,795</w:t>
            </w:r>
          </w:p>
        </w:tc>
        <w:tc>
          <w:tcPr>
            <w:tcW w:w="5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1,645</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5,478</w:t>
            </w:r>
          </w:p>
        </w:tc>
        <w:tc>
          <w:tcPr>
            <w:tcW w:w="5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175"/>
        </w:trPr>
        <w:tc>
          <w:tcPr>
            <w:tcW w:w="5020" w:type="dxa"/>
            <w:vAlign w:val="bottom"/>
          </w:tcPr>
          <w:p>
            <w:pPr>
              <w:spacing w:after="0" w:line="175"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$(451)</w:t>
            </w:r>
            <w:r>
              <w:rPr>
                <w:rFonts w:ascii="Arial" w:cs="Arial" w:eastAsia="Arial" w:hAnsi="Arial"/>
                <w:sz w:val="18"/>
                <w:szCs w:val="18"/>
                <w:color w:val="auto"/>
              </w:rPr>
              <w:t xml:space="preserve">, $932, </w:t>
            </w:r>
            <w:r>
              <w:rPr>
                <w:rFonts w:ascii="Arial" w:cs="Arial" w:eastAsia="Arial" w:hAnsi="Arial"/>
                <w:sz w:val="18"/>
                <w:szCs w:val="18"/>
                <w:b w:val="1"/>
                <w:bCs w:val="1"/>
                <w:color w:val="auto"/>
              </w:rPr>
              <w:t>$(629)</w:t>
            </w: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(1,696)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(2,361)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8"/>
                <w:szCs w:val="18"/>
                <w:color w:val="auto"/>
              </w:rPr>
              <w:t>and $977</w:t>
            </w:r>
          </w:p>
        </w:tc>
        <w:tc>
          <w:tcPr>
            <w:tcW w:w="3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3,504</w:t>
            </w:r>
          </w:p>
        </w:tc>
        <w:tc>
          <w:tcPr>
            <w:tcW w:w="3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Reclassification adjustments for (gains) losses included in</w:t>
            </w:r>
          </w:p>
        </w:tc>
        <w:tc>
          <w:tcPr>
            <w:tcW w:w="320" w:type="dxa"/>
            <w:vAlign w:val="bottom"/>
            <w:shd w:val="clear" w:color="auto" w:fill="E5E5E5"/>
          </w:tcPr>
          <w:p>
            <w:pPr>
              <w:spacing w:after="0"/>
              <w:rPr>
                <w:sz w:val="15"/>
                <w:szCs w:val="15"/>
                <w:color w:val="auto"/>
              </w:rPr>
            </w:pPr>
          </w:p>
        </w:tc>
        <w:tc>
          <w:tcPr>
            <w:tcW w:w="10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00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E5E5E5"/>
          </w:tcPr>
          <w:p>
            <w:pPr>
              <w:spacing w:after="0"/>
              <w:rPr>
                <w:sz w:val="17"/>
                <w:szCs w:val="17"/>
                <w:color w:val="auto"/>
              </w:rPr>
            </w:pPr>
          </w:p>
        </w:tc>
        <w:tc>
          <w:tcPr>
            <w:tcW w:w="1040" w:type="dxa"/>
            <w:vAlign w:val="bottom"/>
            <w:gridSpan w:val="2"/>
            <w:vMerge w:val="continue"/>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420"/>
              <w:spacing w:after="0" w:line="203" w:lineRule="exact"/>
              <w:rPr>
                <w:sz w:val="20"/>
                <w:szCs w:val="20"/>
                <w:color w:val="auto"/>
              </w:rPr>
            </w:pPr>
            <w:r>
              <w:rPr>
                <w:rFonts w:ascii="Arial" w:cs="Arial" w:eastAsia="Arial" w:hAnsi="Arial"/>
                <w:sz w:val="18"/>
                <w:szCs w:val="18"/>
                <w:color w:val="auto"/>
              </w:rPr>
              <w:t>5</w:t>
            </w:r>
          </w:p>
        </w:tc>
        <w:tc>
          <w:tcPr>
            <w:tcW w:w="380" w:type="dxa"/>
            <w:vAlign w:val="bottom"/>
            <w:shd w:val="clear" w:color="auto" w:fill="E5E5E5"/>
          </w:tcPr>
          <w:p>
            <w:pPr>
              <w:spacing w:after="0"/>
              <w:rPr>
                <w:sz w:val="17"/>
                <w:szCs w:val="17"/>
                <w:color w:val="auto"/>
              </w:rPr>
            </w:pPr>
          </w:p>
        </w:tc>
        <w:tc>
          <w:tcPr>
            <w:tcW w:w="1000" w:type="dxa"/>
            <w:vAlign w:val="bottom"/>
            <w:gridSpan w:val="2"/>
            <w:vMerge w:val="continue"/>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3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0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Amounts reclassified from accumulated other</w:t>
            </w:r>
          </w:p>
        </w:tc>
        <w:tc>
          <w:tcPr>
            <w:tcW w:w="320" w:type="dxa"/>
            <w:vAlign w:val="bottom"/>
            <w:shd w:val="clear" w:color="auto" w:fill="E5E5E5"/>
          </w:tcPr>
          <w:p>
            <w:pPr>
              <w:spacing w:after="0"/>
              <w:rPr>
                <w:sz w:val="15"/>
                <w:szCs w:val="15"/>
                <w:color w:val="auto"/>
              </w:rPr>
            </w:pPr>
          </w:p>
        </w:tc>
        <w:tc>
          <w:tcPr>
            <w:tcW w:w="10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00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E5E5E5"/>
          </w:tcPr>
          <w:p>
            <w:pPr>
              <w:spacing w:after="0"/>
              <w:rPr>
                <w:sz w:val="17"/>
                <w:szCs w:val="17"/>
                <w:color w:val="auto"/>
              </w:rPr>
            </w:pPr>
          </w:p>
        </w:tc>
        <w:tc>
          <w:tcPr>
            <w:tcW w:w="1040" w:type="dxa"/>
            <w:vAlign w:val="bottom"/>
            <w:gridSpan w:val="2"/>
            <w:vMerge w:val="continue"/>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420"/>
              <w:spacing w:after="0" w:line="203" w:lineRule="exact"/>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7"/>
                <w:szCs w:val="17"/>
                <w:color w:val="auto"/>
              </w:rPr>
            </w:pPr>
          </w:p>
        </w:tc>
        <w:tc>
          <w:tcPr>
            <w:tcW w:w="1000" w:type="dxa"/>
            <w:vAlign w:val="bottom"/>
            <w:gridSpan w:val="2"/>
            <w:vMerge w:val="continue"/>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$(453)</w:t>
            </w: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(1,705)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(2,398)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Arial" w:cs="Arial" w:eastAsia="Arial" w:hAnsi="Arial"/>
                <w:sz w:val="18"/>
                <w:szCs w:val="18"/>
                <w:color w:val="auto"/>
              </w:rPr>
              <w:t xml:space="preserve">$933, </w:t>
            </w:r>
            <w:r>
              <w:rPr>
                <w:rFonts w:ascii="Arial" w:cs="Arial" w:eastAsia="Arial" w:hAnsi="Arial"/>
                <w:sz w:val="18"/>
                <w:szCs w:val="18"/>
                <w:b w:val="1"/>
                <w:bCs w:val="1"/>
                <w:color w:val="auto"/>
              </w:rPr>
              <w:t>$(639)</w:t>
            </w:r>
            <w:r>
              <w:rPr>
                <w:rFonts w:ascii="Arial" w:cs="Arial" w:eastAsia="Arial" w:hAnsi="Arial"/>
                <w:sz w:val="18"/>
                <w:szCs w:val="18"/>
                <w:color w:val="auto"/>
              </w:rPr>
              <w:t>, and $977</w:t>
            </w:r>
          </w:p>
        </w:tc>
        <w:tc>
          <w:tcPr>
            <w:tcW w:w="3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3,508</w:t>
            </w:r>
          </w:p>
        </w:tc>
        <w:tc>
          <w:tcPr>
            <w:tcW w:w="3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3,090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5,153</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3,090</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54"/>
        </w:trPr>
        <w:tc>
          <w:tcPr>
            <w:tcW w:w="5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(1,402)</w:t>
            </w:r>
          </w:p>
        </w:tc>
        <w:tc>
          <w:tcPr>
            <w:tcW w:w="5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(1,894)</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(2,254)</w:t>
            </w:r>
          </w:p>
        </w:tc>
        <w:tc>
          <w:tcPr>
            <w:tcW w:w="5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153"/>
        </w:trPr>
        <w:tc>
          <w:tcPr>
            <w:tcW w:w="5020" w:type="dxa"/>
            <w:vAlign w:val="bottom"/>
          </w:tcPr>
          <w:p>
            <w:pPr>
              <w:spacing w:after="0" w:line="153" w:lineRule="exact"/>
              <w:rPr>
                <w:sz w:val="20"/>
                <w:szCs w:val="20"/>
                <w:color w:val="auto"/>
              </w:rPr>
            </w:pPr>
            <w:r>
              <w:rPr>
                <w:rFonts w:ascii="Arial" w:cs="Arial" w:eastAsia="Arial" w:hAnsi="Arial"/>
                <w:sz w:val="17"/>
                <w:szCs w:val="17"/>
                <w:color w:val="auto"/>
              </w:rPr>
              <w:t xml:space="preserve">Translation adjustments and other, net of tax of </w:t>
            </w:r>
            <w:r>
              <w:rPr>
                <w:rFonts w:ascii="Arial" w:cs="Arial" w:eastAsia="Arial" w:hAnsi="Arial"/>
                <w:sz w:val="17"/>
                <w:szCs w:val="17"/>
                <w:b w:val="1"/>
                <w:bCs w:val="1"/>
                <w:color w:val="auto"/>
              </w:rPr>
              <w:t>$0</w:t>
            </w:r>
            <w:r>
              <w:rPr>
                <w:rFonts w:ascii="Arial" w:cs="Arial" w:eastAsia="Arial" w:hAnsi="Arial"/>
                <w:sz w:val="17"/>
                <w:szCs w:val="17"/>
                <w:color w:val="auto"/>
              </w:rPr>
              <w:t>, $(51),</w:t>
            </w:r>
          </w:p>
        </w:tc>
        <w:tc>
          <w:tcPr>
            <w:tcW w:w="3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(218)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634</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20"/>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 and $(59)</w:t>
            </w:r>
          </w:p>
        </w:tc>
        <w:tc>
          <w:tcPr>
            <w:tcW w:w="3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(541)</w:t>
            </w:r>
          </w:p>
        </w:tc>
        <w:tc>
          <w:tcPr>
            <w:tcW w:w="3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54"/>
        </w:trPr>
        <w:tc>
          <w:tcPr>
            <w:tcW w:w="5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(1,620)</w:t>
            </w:r>
          </w:p>
        </w:tc>
        <w:tc>
          <w:tcPr>
            <w:tcW w:w="5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color w:val="auto"/>
              </w:rPr>
              <w:t>(2,435)</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(1,620)</w:t>
            </w:r>
          </w:p>
        </w:tc>
        <w:tc>
          <w:tcPr>
            <w:tcW w:w="5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0"/>
                <w:szCs w:val="20"/>
                <w:color w:val="auto"/>
              </w:rPr>
            </w:pPr>
            <w:r>
              <w:rPr>
                <w:rFonts w:ascii="Arial" w:cs="Arial" w:eastAsia="Arial" w:hAnsi="Arial"/>
                <w:sz w:val="18"/>
                <w:szCs w:val="18"/>
                <w:color w:val="auto"/>
              </w:rPr>
              <w:t>Accumulated other comprehensive income, end of period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1,462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2,676</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1,462</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412"/>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the Office 365 portion of Microsoft 365 Commercial subscriptions, and Office licensed on-premises, comprising Office, Exchange, SharePoint, Microsoft Teams, Office 365 Security and Compliance, and Skype for Business, and related Client Access Licenses (“CALs”).</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and Office licensed on-premises, and Office Consumer Services, including Skype, Outlook.com, and OneDrive.</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LinkedIn, including Talent Solutions, Learning Solutions, Marketing Solutions, Sales Solutions, and Premium Subscriptions.</w:t>
      </w:r>
    </w:p>
    <w:p>
      <w:pPr>
        <w:spacing w:after="0" w:line="63" w:lineRule="exact"/>
        <w:rPr>
          <w:rFonts w:ascii="Arial" w:cs="Arial" w:eastAsia="Arial" w:hAnsi="Arial"/>
          <w:sz w:val="18"/>
          <w:szCs w:val="18"/>
          <w:color w:val="auto"/>
        </w:rPr>
      </w:pPr>
    </w:p>
    <w:p>
      <w:pPr>
        <w:jc w:val="both"/>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and Customer Data Platform; low-code application platform and automation solutions; and on-premises ERP and CRM applications.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48" w:lineRule="exact"/>
        <w:rPr>
          <w:sz w:val="20"/>
          <w:szCs w:val="20"/>
          <w:color w:val="auto"/>
        </w:rPr>
      </w:pPr>
    </w:p>
    <w:p>
      <w:pPr>
        <w:ind w:left="1060" w:hanging="391"/>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SQL Server, Windows Server, Visual Studio, System Center, and related CALs; and GitHub.</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62" w:lineRule="exact"/>
        <w:rPr>
          <w:sz w:val="20"/>
          <w:szCs w:val="20"/>
          <w:color w:val="auto"/>
        </w:rPr>
      </w:pPr>
    </w:p>
    <w:p>
      <w:pPr>
        <w:jc w:val="both"/>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Windows Internet of Things; and MSN advertising.</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Xbox Live (transactions, Xbox Game Pass and other subscriptions, cloud services, and advertising), video games, and third-party video game royalties.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Search advertising.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55"/>
        </w:trPr>
        <w:tc>
          <w:tcPr>
            <w:tcW w:w="50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13,552</w:t>
            </w:r>
          </w:p>
        </w:tc>
        <w:tc>
          <w:tcPr>
            <w:tcW w:w="52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11,743</w:t>
            </w:r>
          </w:p>
        </w:tc>
        <w:tc>
          <w:tcPr>
            <w:tcW w:w="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39,224</w:t>
            </w:r>
          </w:p>
        </w:tc>
        <w:tc>
          <w:tcPr>
            <w:tcW w:w="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34,646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15,118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12,281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42,705</w:t>
            </w:r>
          </w:p>
        </w:tc>
        <w:tc>
          <w:tcPr>
            <w:tcW w:w="1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34,995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13,036</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10,997</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40,007</w:t>
            </w:r>
          </w:p>
        </w:tc>
        <w:tc>
          <w:tcPr>
            <w:tcW w:w="10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35,341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41,706</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35,021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121,936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104,982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0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6,029</w:t>
            </w:r>
          </w:p>
        </w:tc>
        <w:tc>
          <w:tcPr>
            <w:tcW w:w="52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4,788</w:t>
            </w:r>
          </w:p>
        </w:tc>
        <w:tc>
          <w:tcPr>
            <w:tcW w:w="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17,916</w:t>
            </w:r>
          </w:p>
        </w:tc>
        <w:tc>
          <w:tcPr>
            <w:tcW w:w="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14,752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6,425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4,560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18,339</w:t>
            </w:r>
          </w:p>
        </w:tc>
        <w:tc>
          <w:tcPr>
            <w:tcW w:w="1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12,980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4,594</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3,627</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14,566</w:t>
            </w:r>
          </w:p>
        </w:tc>
        <w:tc>
          <w:tcPr>
            <w:tcW w:w="10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11,820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17,048</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12,975</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50,821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0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nine months ended March 31, 2021 or 2020. Revenue, classified by the major geographic areas in which our customers were located,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0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March 31,</w:t>
            </w:r>
          </w:p>
        </w:tc>
      </w:tr>
      <w:tr>
        <w:trPr>
          <w:trHeight w:val="55"/>
        </w:trPr>
        <w:tc>
          <w:tcPr>
            <w:tcW w:w="50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5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9"/>
                <w:szCs w:val="19"/>
                <w:color w:val="auto"/>
              </w:rPr>
            </w:pPr>
          </w:p>
        </w:tc>
      </w:tr>
      <w:tr>
        <w:trPr>
          <w:trHeight w:val="55"/>
        </w:trPr>
        <w:tc>
          <w:tcPr>
            <w:tcW w:w="5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20,373</w:t>
            </w:r>
          </w:p>
        </w:tc>
        <w:tc>
          <w:tcPr>
            <w:tcW w:w="52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17,428</w:t>
            </w:r>
          </w:p>
        </w:tc>
        <w:tc>
          <w:tcPr>
            <w:tcW w:w="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61,234</w:t>
            </w:r>
          </w:p>
        </w:tc>
        <w:tc>
          <w:tcPr>
            <w:tcW w:w="2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53,847</w:t>
            </w:r>
          </w:p>
        </w:tc>
      </w:tr>
      <w:tr>
        <w:trPr>
          <w:trHeight w:val="250"/>
        </w:trPr>
        <w:tc>
          <w:tcPr>
            <w:tcW w:w="5020" w:type="dxa"/>
            <w:vAlign w:val="bottom"/>
          </w:tcPr>
          <w:p>
            <w:pPr>
              <w:spacing w:after="0"/>
              <w:rPr>
                <w:sz w:val="20"/>
                <w:szCs w:val="20"/>
                <w:color w:val="auto"/>
              </w:rPr>
            </w:pPr>
            <w:r>
              <w:rPr>
                <w:rFonts w:ascii="Arial" w:cs="Arial" w:eastAsia="Arial" w:hAnsi="Arial"/>
                <w:sz w:val="18"/>
                <w:szCs w:val="18"/>
                <w:color w:val="auto"/>
              </w:rPr>
              <w:t>Other countries</w:t>
            </w: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51,135</w:t>
            </w:r>
          </w:p>
        </w:tc>
      </w:tr>
      <w:tr>
        <w:trPr>
          <w:trHeight w:val="68"/>
        </w:trPr>
        <w:tc>
          <w:tcPr>
            <w:tcW w:w="50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189"/>
        </w:trPr>
        <w:tc>
          <w:tcPr>
            <w:tcW w:w="50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41,706</w:t>
            </w:r>
          </w:p>
        </w:tc>
        <w:tc>
          <w:tcPr>
            <w:tcW w:w="52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35,021</w:t>
            </w:r>
          </w:p>
        </w:tc>
        <w:tc>
          <w:tcPr>
            <w:tcW w:w="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121,936</w:t>
            </w:r>
          </w:p>
        </w:tc>
        <w:tc>
          <w:tcPr>
            <w:tcW w:w="2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104,982</w:t>
            </w:r>
          </w:p>
        </w:tc>
        <w:tc>
          <w:tcPr>
            <w:tcW w:w="80" w:type="dxa"/>
            <w:vAlign w:val="bottom"/>
            <w:shd w:val="clear" w:color="auto" w:fill="E5E5E5"/>
          </w:tcPr>
          <w:p>
            <w:pPr>
              <w:spacing w:after="0"/>
              <w:rPr>
                <w:sz w:val="16"/>
                <w:szCs w:val="16"/>
                <w:color w:val="auto"/>
              </w:rPr>
            </w:pPr>
          </w:p>
        </w:tc>
      </w:tr>
      <w:tr>
        <w:trPr>
          <w:trHeight w:val="75"/>
        </w:trPr>
        <w:tc>
          <w:tcPr>
            <w:tcW w:w="50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62" w:lineRule="exact"/>
        <w:rPr>
          <w:sz w:val="20"/>
          <w:szCs w:val="20"/>
          <w:color w:val="auto"/>
        </w:rPr>
      </w:pPr>
    </w:p>
    <w:p>
      <w:pPr>
        <w:ind w:left="540" w:right="20" w:hanging="532"/>
        <w:spacing w:after="0" w:line="26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9" w:name="page30"/>
    <w:bookmarkEnd w:id="2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0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r>
      <w:tr>
        <w:trPr>
          <w:trHeight w:val="55"/>
        </w:trPr>
        <w:tc>
          <w:tcPr>
            <w:tcW w:w="50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5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4"/>
        </w:trPr>
        <w:tc>
          <w:tcPr>
            <w:tcW w:w="5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4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13,204</w:t>
            </w:r>
          </w:p>
        </w:tc>
        <w:tc>
          <w:tcPr>
            <w:tcW w:w="500" w:type="dxa"/>
            <w:vAlign w:val="bottom"/>
            <w:gridSpan w:val="2"/>
            <w:shd w:val="clear" w:color="auto" w:fill="E5E5E5"/>
          </w:tcPr>
          <w:p>
            <w:pPr>
              <w:ind w:left="10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10,490</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37,128</w:t>
            </w:r>
          </w:p>
        </w:tc>
        <w:tc>
          <w:tcPr>
            <w:tcW w:w="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29,801</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10,016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8,920</w:t>
            </w:r>
          </w:p>
        </w:tc>
        <w:tc>
          <w:tcPr>
            <w:tcW w:w="40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29,175</w:t>
            </w: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26,369</w:t>
            </w: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5,646</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5,220</w:t>
            </w:r>
          </w:p>
        </w:tc>
        <w:tc>
          <w:tcPr>
            <w:tcW w:w="40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16,667</w:t>
            </w:r>
          </w:p>
        </w:tc>
        <w:tc>
          <w:tcPr>
            <w:tcW w:w="10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16,166</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3,533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2,349</w:t>
            </w:r>
          </w:p>
        </w:tc>
        <w:tc>
          <w:tcPr>
            <w:tcW w:w="40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11,656</w:t>
            </w: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8,218</w:t>
            </w: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2,562</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2,050</w:t>
            </w:r>
          </w:p>
        </w:tc>
        <w:tc>
          <w:tcPr>
            <w:tcW w:w="40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7,345</w:t>
            </w:r>
          </w:p>
        </w:tc>
        <w:tc>
          <w:tcPr>
            <w:tcW w:w="10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6,061</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Search advertising</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2,218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1,986</w:t>
            </w:r>
          </w:p>
        </w:tc>
        <w:tc>
          <w:tcPr>
            <w:tcW w:w="40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6,191</w:t>
            </w: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6,140</w:t>
            </w: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Devices</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1,599</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1,412</w:t>
            </w:r>
          </w:p>
        </w:tc>
        <w:tc>
          <w:tcPr>
            <w:tcW w:w="40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5,339</w:t>
            </w:r>
          </w:p>
        </w:tc>
        <w:tc>
          <w:tcPr>
            <w:tcW w:w="10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4,662</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8"/>
                <w:szCs w:val="18"/>
                <w:color w:val="auto"/>
              </w:rPr>
              <w:t>Enterprise Services</w:t>
            </w:r>
          </w:p>
        </w:tc>
        <w:tc>
          <w:tcPr>
            <w:tcW w:w="4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1,803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1,633</w:t>
            </w:r>
          </w:p>
        </w:tc>
        <w:tc>
          <w:tcPr>
            <w:tcW w:w="40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5,135</w:t>
            </w: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4,790</w:t>
            </w:r>
          </w:p>
        </w:tc>
      </w:tr>
      <w:tr>
        <w:trPr>
          <w:trHeight w:val="189"/>
        </w:trPr>
        <w:tc>
          <w:tcPr>
            <w:tcW w:w="50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4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1,125</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961</w:t>
            </w:r>
          </w:p>
        </w:tc>
        <w:tc>
          <w:tcPr>
            <w:tcW w:w="40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3,300</w:t>
            </w:r>
          </w:p>
        </w:tc>
        <w:tc>
          <w:tcPr>
            <w:tcW w:w="10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2,775</w:t>
            </w:r>
          </w:p>
        </w:tc>
      </w:tr>
      <w:tr>
        <w:trPr>
          <w:trHeight w:val="68"/>
        </w:trPr>
        <w:tc>
          <w:tcPr>
            <w:tcW w:w="5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tcBorders>
            <w:gridSpan w:val="2"/>
          </w:tcPr>
          <w:p>
            <w:pPr>
              <w:spacing w:after="0"/>
              <w:rPr>
                <w:sz w:val="5"/>
                <w:szCs w:val="5"/>
                <w:color w:val="auto"/>
              </w:rPr>
            </w:pPr>
          </w:p>
        </w:tc>
        <w:tc>
          <w:tcPr>
            <w:tcW w:w="11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502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41,706</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35,021</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121,936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104,982</w:t>
            </w:r>
          </w:p>
        </w:tc>
        <w:tc>
          <w:tcPr>
            <w:tcW w:w="100" w:type="dxa"/>
            <w:vAlign w:val="bottom"/>
          </w:tcPr>
          <w:p>
            <w:pPr>
              <w:spacing w:after="0"/>
              <w:rPr>
                <w:sz w:val="22"/>
                <w:szCs w:val="22"/>
                <w:color w:val="auto"/>
              </w:rPr>
            </w:pPr>
          </w:p>
        </w:tc>
      </w:tr>
      <w:tr>
        <w:trPr>
          <w:trHeight w:val="61"/>
        </w:trPr>
        <w:tc>
          <w:tcPr>
            <w:tcW w:w="50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commercial cloud revenue, which includes Office 365 Commercial, Azure, the commercial portion of LinkedIn, Dynamics 365, and other commercial cloud properties, was $17.7 billion and $49.6 billion for the three and nine months ended March 31, 2021, respectively, and $13.3 billion and $37.4 billion for the three and nine months ended March 31, 2020, respectively. These amounts are primarily included in Office products and cloud services, Server products and cloud services, and LinkedIn in the table above.</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18 — SUBSEQUENT EVENT</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$19.7 billion, inclusive of Nuance’s net debt. Nuance is a cloud and artificial intelligence (“AI”) software provider with healthcare and enterprise AI experience, and the acquisition will build on our industry-specific cloud offerings. We expect this acquisition to close by the end of calendar year 2021, subject to approval by Nuance’s shareholders, the satisfaction of certain regulatory approvals, and other customary closing conditions.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0" w:name="page31"/>
    <w:bookmarkEnd w:id="30"/>
    <w:p>
      <w:pPr>
        <w:ind w:left="5200"/>
        <w:spacing w:after="0"/>
        <w:rPr>
          <w:sz w:val="20"/>
          <w:szCs w:val="20"/>
          <w:color w:val="auto"/>
        </w:rPr>
      </w:pPr>
      <w:r>
        <w:rPr>
          <w:rFonts w:ascii="Arial" w:cs="Arial" w:eastAsia="Arial" w:hAnsi="Arial"/>
          <w:sz w:val="13"/>
          <w:szCs w:val="13"/>
          <w:u w:val="single" w:color="auto"/>
          <w:color w:val="auto"/>
        </w:rPr>
        <w:t>PART I</w:t>
      </w:r>
    </w:p>
    <w:p>
      <w:pPr>
        <w:ind w:left="522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ind w:right="460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Results of Review of Interim Financial Information</w:t>
      </w:r>
    </w:p>
    <w:p>
      <w:pPr>
        <w:jc w:val="both"/>
        <w:spacing w:after="0" w:line="237"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March 31, 2021, the related consolidated statements of income, comprehensive income, cash flows, and stockholders' equity for the three-month and nine-month periods ended March 31, 2021 and 2020,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2020, and the related consolidated statements of income, comprehensive income, cash flows, and stockholders’ equity for the year then ended (not presented herein); and in our report dated July 30, 2020, we expressed an unqualified opinion on those consolidated financial statements. In our opinion, the information set forth in the accompanying consolidated balance sheet as of June 30, 2020, is fairly stated, in all material respects, in relation to the consolidated balance sheet from which it has been derived.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38" w:right="67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ind w:left="340" w:right="38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2020, and our financial statements and the accompanying Notes to Financial Statements (Part I, Item 1 of this Form 10-Q).</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world continues to respond to the coronavirus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third quarter of fiscal year 2021 compared with the third quarter of fiscal year 2020 included:</w:t>
      </w:r>
    </w:p>
    <w:p>
      <w:pPr>
        <w:spacing w:after="0" w:line="77" w:lineRule="exact"/>
        <w:rPr>
          <w:sz w:val="20"/>
          <w:szCs w:val="20"/>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cloud revenue increased 33% to $17.7 billion.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14%, driven by Office 365 Commercial growth of 22%.</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5%, and Microsoft 365 Consumer subscribers increased to 50.2 million.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LinkedIn revenue increased 25%.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26%, driven by Dynamics 365 growth of 45%.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26%, driven by Azure growth of 50%.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10%.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10%.</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Xbox content and services revenue increased 34%.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17%.</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Surface revenue increased 12%.</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for a total purchase price of $8.1 billion, consisting primarily of cash. The purchase price included $768 million of cash and cash equivalents acquired. The financial results of ZeniMax have been included in our consolidated financial statements since the date of the acquisition. ZeniMax is reported as part of our More Personal Computing segment. Refer to Note 7 – Business Combinations of the Notes to Financial Statements (Part I, Item 1 of this Form 10-Q)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Weakening of the U.S. dollar relative to certain foreign currencies increased reported revenue and expenses from our international operations for the three months ended March 31, 2021, and did not have a material impact on reported revenue or expenses from our international operations for the nine months ended March 31,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fiscal year 2021, the COVID-19 pandemic continued to impact our business operations and financial results. Cloud usage and demand benefited as customers accelerate their digital transformation priorities. Our consumer businesses also benefited from the remote environment, with continued demand for PCs and productivity tools, as well as strong engagement across our Gaming platform. We saw improvement in customer advertising spend, but continued to experience weakness in transactional licensing and savings in operating expenses related to COVID-19. The COVID-19 pandemic may continue to impact our business operations and financial operating results, and there is uncertainty in the nature and degree of its continued effects over time. Refer to Risk Factors (Part II, Item 1A of this Form 10-Q)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2020, we completed an assessment of the useful lives of our server and network equipment and determined we should increase the estimated useful life of server equipment from three years to four years and increase the estimated useful life of network equipment from two years to four years. This change in accounting estimate was effective beginning fiscal year 2021. Based on the carrying amount of server and network equipment included in property and equipment, net as of June 30, 2020, the effect of this change in estimate for the three months ended March 31, 2021, was an increase in operating income of $611 million and net income of $505 million, or $0.07 per both basic and diluted share. The effect of this change for the nine months ended March 31, 2021, was an increase in operating income of $2.3 billion and net income of $1.9 billion, or $0.25 per both basic and diluted share. It is estimated this change will increase our fiscal year 2021 annual operating income by $2.7 billion.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Metrics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GAAP results and growth comparisons relate to the corresponding period of last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69"/>
        </w:trPr>
        <w:tc>
          <w:tcPr>
            <w:tcW w:w="4180" w:type="dxa"/>
            <w:vAlign w:val="bottom"/>
          </w:tcPr>
          <w:p>
            <w:pPr>
              <w:ind w:left="180"/>
              <w:spacing w:after="0"/>
              <w:rPr>
                <w:sz w:val="20"/>
                <w:szCs w:val="20"/>
                <w:color w:val="auto"/>
              </w:rPr>
            </w:pPr>
            <w:r>
              <w:rPr>
                <w:rFonts w:ascii="Arial" w:cs="Arial" w:eastAsia="Arial" w:hAnsi="Arial"/>
                <w:sz w:val="18"/>
                <w:szCs w:val="18"/>
                <w:color w:val="auto"/>
              </w:rPr>
              <w:t>Commercial cloud revenue</w:t>
            </w:r>
          </w:p>
        </w:tc>
        <w:tc>
          <w:tcPr>
            <w:tcW w:w="7060" w:type="dxa"/>
            <w:vAlign w:val="bottom"/>
          </w:tcPr>
          <w:p>
            <w:pPr>
              <w:ind w:left="320"/>
              <w:spacing w:after="0"/>
              <w:rPr>
                <w:sz w:val="20"/>
                <w:szCs w:val="20"/>
                <w:color w:val="auto"/>
              </w:rPr>
            </w:pPr>
            <w:r>
              <w:rPr>
                <w:rFonts w:ascii="Arial" w:cs="Arial" w:eastAsia="Arial" w:hAnsi="Arial"/>
                <w:sz w:val="18"/>
                <w:szCs w:val="18"/>
                <w:color w:val="auto"/>
              </w:rPr>
              <w:t>Revenue  from  our  commercial  cloud  business,  which  includes  Office  365</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Commercial, Azure, the commercial portion of LinkedIn, Dynamics 365, and other</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cloud properties</w:t>
            </w:r>
          </w:p>
        </w:tc>
      </w:tr>
      <w:tr>
        <w:trPr>
          <w:trHeight w:val="284"/>
        </w:trPr>
        <w:tc>
          <w:tcPr>
            <w:tcW w:w="4180" w:type="dxa"/>
            <w:vAlign w:val="bottom"/>
          </w:tcPr>
          <w:p>
            <w:pPr>
              <w:ind w:left="180"/>
              <w:spacing w:after="0"/>
              <w:rPr>
                <w:sz w:val="20"/>
                <w:szCs w:val="20"/>
                <w:color w:val="auto"/>
              </w:rPr>
            </w:pPr>
            <w:r>
              <w:rPr>
                <w:rFonts w:ascii="Arial" w:cs="Arial" w:eastAsia="Arial" w:hAnsi="Arial"/>
                <w:sz w:val="18"/>
                <w:szCs w:val="18"/>
                <w:color w:val="auto"/>
              </w:rPr>
              <w:t>Commercial cloud gross margin percentage</w:t>
            </w:r>
          </w:p>
        </w:tc>
        <w:tc>
          <w:tcPr>
            <w:tcW w:w="7060" w:type="dxa"/>
            <w:vAlign w:val="bottom"/>
          </w:tcPr>
          <w:p>
            <w:pPr>
              <w:ind w:left="320"/>
              <w:spacing w:after="0"/>
              <w:rPr>
                <w:sz w:val="20"/>
                <w:szCs w:val="20"/>
                <w:color w:val="auto"/>
              </w:rPr>
            </w:pPr>
            <w:r>
              <w:rPr>
                <w:rFonts w:ascii="Arial" w:cs="Arial" w:eastAsia="Arial" w:hAnsi="Arial"/>
                <w:sz w:val="18"/>
                <w:szCs w:val="18"/>
                <w:color w:val="auto"/>
              </w:rPr>
              <w:t>Gross margin percentage for our commercial cloud business</w:t>
            </w:r>
          </w:p>
        </w:tc>
      </w:tr>
      <w:tr>
        <w:trPr>
          <w:trHeight w:val="582"/>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34</w:t>
            </w:r>
          </w:p>
        </w:tc>
      </w:tr>
      <w:tr>
        <w:trPr>
          <w:trHeight w:val="100"/>
        </w:trPr>
        <w:tc>
          <w:tcPr>
            <w:tcW w:w="41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83" w:lineRule="exact"/>
        <w:rPr>
          <w:sz w:val="20"/>
          <w:szCs w:val="20"/>
          <w:color w:val="auto"/>
        </w:rPr>
      </w:pPr>
    </w:p>
    <w:p>
      <w:pPr>
        <w:jc w:val="both"/>
        <w:ind w:left="5320" w:hanging="5142"/>
        <w:spacing w:after="0" w:line="237"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including Office 365 subscriptions, the Office 365 portion of Microsoft 365 Commercial subscriptions, and Office licensed on-premises, comprising Office, Exchange, SharePoint, Microsoft Teams, Office 365 Security and Compliance, and Skype for Business, and related Client Access Licenses (“CALs”)</w:t>
      </w:r>
    </w:p>
    <w:p>
      <w:pPr>
        <w:sectPr>
          <w:pgSz w:w="11900" w:h="16838" w:orient="portrait"/>
          <w:cols w:equalWidth="0" w:num="1">
            <w:col w:w="11240"/>
          </w:cols>
          <w:pgMar w:left="320" w:top="138" w:right="339" w:bottom="1440" w:gutter="0" w:footer="0" w:header="0"/>
        </w:sectPr>
      </w:pPr>
    </w:p>
    <w:p>
      <w:pPr>
        <w:spacing w:after="0" w:line="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Revenue from Office Consumer products and cloud services, including Microsoft 365 Consumer subscriptions and Office licensed on-premises</w:t>
      </w:r>
    </w:p>
    <w:p>
      <w:pPr>
        <w:spacing w:after="0" w:line="62" w:lineRule="exact"/>
        <w:rPr>
          <w:sz w:val="20"/>
          <w:szCs w:val="20"/>
          <w:color w:val="auto"/>
        </w:rPr>
      </w:pPr>
    </w:p>
    <w:p>
      <w:pPr>
        <w:sectPr>
          <w:pgSz w:w="11900" w:h="16838" w:orient="portrait"/>
          <w:cols w:equalWidth="0" w:num="2">
            <w:col w:w="5080" w:space="24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57"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number of Microsoft 365 Consumer (formerly Office 365 Consumer)</w:t>
      </w:r>
    </w:p>
    <w:p>
      <w:pPr>
        <w:spacing w:after="0"/>
        <w:rPr>
          <w:sz w:val="20"/>
          <w:szCs w:val="20"/>
          <w:color w:val="auto"/>
        </w:rPr>
      </w:pPr>
      <w:r>
        <w:rPr>
          <w:rFonts w:ascii="Arial" w:cs="Arial" w:eastAsia="Arial" w:hAnsi="Arial"/>
          <w:sz w:val="18"/>
          <w:szCs w:val="18"/>
          <w:color w:val="auto"/>
        </w:rPr>
        <w:t>subscribers at end of period</w:t>
      </w:r>
    </w:p>
    <w:p>
      <w:pPr>
        <w:spacing w:after="0" w:line="77"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and Customer Data Platform; low-code application platform and automation solutions; and on-premises ERP and CRM applications</w:t>
      </w:r>
    </w:p>
    <w:p>
      <w:pPr>
        <w:spacing w:after="0" w:line="7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LinkedIn revenue growth</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auto"/>
        </w:rPr>
        <w:t>Revenue from LinkedIn, including Talent Solutions, Learning Solutions, Marketing Solutions, Sales Solutions, and Premium Subscriptions</w:t>
      </w:r>
    </w:p>
    <w:p>
      <w:pPr>
        <w:spacing w:after="0" w:line="62"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ind w:right="20"/>
        <w:spacing w:after="0"/>
        <w:rPr>
          <w:sz w:val="20"/>
          <w:szCs w:val="20"/>
          <w:color w:val="auto"/>
        </w:rPr>
      </w:pPr>
      <w:r>
        <w:rPr>
          <w:rFonts w:ascii="Arial" w:cs="Arial" w:eastAsia="Arial" w:hAnsi="Arial"/>
          <w:sz w:val="18"/>
          <w:szCs w:val="18"/>
          <w:color w:val="auto"/>
        </w:rPr>
        <w:t>Revenue from Server products and cloud services, including Azure; SQL Server, Windows Server, Visual Studio, System Center, and related CALs; and GitHub</w:t>
      </w:r>
    </w:p>
    <w:p>
      <w:pPr>
        <w:spacing w:after="0" w:line="20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38" w:right="339" w:bottom="1440" w:gutter="0" w:footer="0" w:header="0"/>
          <w:type w:val="continuous"/>
        </w:sectPr>
      </w:pPr>
    </w:p>
    <w:p>
      <w:pPr>
        <w:spacing w:after="0" w:line="19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Windows OEM Pro revenue growth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from sales of Windows Pro licenses sold through the OEM channel, which primarily addresses demand in the commercial market</w:t>
      </w:r>
    </w:p>
    <w:p>
      <w:pPr>
        <w:spacing w:after="0" w:line="62" w:lineRule="exact"/>
        <w:rPr>
          <w:sz w:val="20"/>
          <w:szCs w:val="20"/>
          <w:color w:val="auto"/>
        </w:rPr>
      </w:pPr>
    </w:p>
    <w:p>
      <w:pPr>
        <w:sectPr>
          <w:pgSz w:w="11900" w:h="16838" w:orient="portrait"/>
          <w:cols w:equalWidth="0" w:num="2">
            <w:col w:w="4860" w:space="720"/>
            <w:col w:w="566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Windows OEM non-Pro revenue growth</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Revenue from sales of Windows non-Pro licenses sold through the OEM channel, which primarily addresses demand in the consumer market</w:t>
      </w:r>
    </w:p>
    <w:p>
      <w:pPr>
        <w:spacing w:after="0" w:line="68" w:lineRule="exact"/>
        <w:rPr>
          <w:sz w:val="20"/>
          <w:szCs w:val="20"/>
          <w:color w:val="auto"/>
        </w:rPr>
      </w:pPr>
    </w:p>
    <w:p>
      <w:pPr>
        <w:sectPr>
          <w:pgSz w:w="11900" w:h="16838" w:orient="portrait"/>
          <w:cols w:equalWidth="0" w:num="2">
            <w:col w:w="4860" w:space="720"/>
            <w:col w:w="5660"/>
          </w:cols>
          <w:pgMar w:left="320" w:top="138" w:right="339" w:bottom="1440" w:gutter="0" w:footer="0" w:header="0"/>
          <w:type w:val="continuous"/>
        </w:sectPr>
      </w:pPr>
    </w:p>
    <w:p>
      <w:pPr>
        <w:jc w:val="both"/>
        <w:ind w:left="5580" w:hanging="5412"/>
        <w:spacing w:after="0"/>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ind w:left="180"/>
              <w:spacing w:after="0"/>
              <w:rPr>
                <w:sz w:val="20"/>
                <w:szCs w:val="20"/>
                <w:color w:val="auto"/>
              </w:rPr>
            </w:pPr>
            <w:r>
              <w:rPr>
                <w:rFonts w:ascii="Arial" w:cs="Arial" w:eastAsia="Arial" w:hAnsi="Arial"/>
                <w:sz w:val="18"/>
                <w:szCs w:val="18"/>
                <w:color w:val="auto"/>
              </w:rPr>
              <w:t>Surface revenue</w:t>
            </w:r>
          </w:p>
        </w:tc>
        <w:tc>
          <w:tcPr>
            <w:tcW w:w="6340" w:type="dxa"/>
            <w:vAlign w:val="bottom"/>
          </w:tcPr>
          <w:p>
            <w:pPr>
              <w:ind w:left="680"/>
              <w:spacing w:after="0"/>
              <w:rPr>
                <w:sz w:val="20"/>
                <w:szCs w:val="20"/>
                <w:color w:val="auto"/>
              </w:rPr>
            </w:pPr>
            <w:r>
              <w:rPr>
                <w:rFonts w:ascii="Arial" w:cs="Arial" w:eastAsia="Arial" w:hAnsi="Arial"/>
                <w:sz w:val="18"/>
                <w:szCs w:val="18"/>
                <w:color w:val="auto"/>
              </w:rPr>
              <w:t>Revenue from Surface devices and accessories</w:t>
            </w:r>
          </w:p>
        </w:tc>
      </w:tr>
      <w:tr>
        <w:trPr>
          <w:trHeight w:val="269"/>
        </w:trPr>
        <w:tc>
          <w:tcPr>
            <w:tcW w:w="4900" w:type="dxa"/>
            <w:vAlign w:val="bottom"/>
          </w:tcPr>
          <w:p>
            <w:pPr>
              <w:ind w:left="180"/>
              <w:spacing w:after="0"/>
              <w:rPr>
                <w:sz w:val="20"/>
                <w:szCs w:val="20"/>
                <w:color w:val="auto"/>
              </w:rPr>
            </w:pPr>
            <w:r>
              <w:rPr>
                <w:rFonts w:ascii="Arial" w:cs="Arial" w:eastAsia="Arial" w:hAnsi="Arial"/>
                <w:sz w:val="18"/>
                <w:szCs w:val="18"/>
                <w:color w:val="auto"/>
              </w:rPr>
              <w:t>Xbox content and services revenue growth</w:t>
            </w:r>
          </w:p>
        </w:tc>
        <w:tc>
          <w:tcPr>
            <w:tcW w:w="6340" w:type="dxa"/>
            <w:vAlign w:val="bottom"/>
          </w:tcPr>
          <w:p>
            <w:pPr>
              <w:ind w:left="680"/>
              <w:spacing w:after="0"/>
              <w:rPr>
                <w:sz w:val="20"/>
                <w:szCs w:val="20"/>
                <w:color w:val="auto"/>
              </w:rPr>
            </w:pPr>
            <w:r>
              <w:rPr>
                <w:rFonts w:ascii="Arial" w:cs="Arial" w:eastAsia="Arial" w:hAnsi="Arial"/>
                <w:sz w:val="18"/>
                <w:szCs w:val="18"/>
                <w:color w:val="auto"/>
              </w:rPr>
              <w:t>Revenue from Xbox content and services, comprising Xbox Live</w:t>
            </w:r>
          </w:p>
        </w:tc>
      </w:tr>
      <w:tr>
        <w:trPr>
          <w:trHeight w:val="203"/>
        </w:trPr>
        <w:tc>
          <w:tcPr>
            <w:tcW w:w="4900" w:type="dxa"/>
            <w:vAlign w:val="bottom"/>
          </w:tcPr>
          <w:p>
            <w:pPr>
              <w:spacing w:after="0"/>
              <w:rPr>
                <w:sz w:val="17"/>
                <w:szCs w:val="17"/>
                <w:color w:val="auto"/>
              </w:rPr>
            </w:pPr>
          </w:p>
        </w:tc>
        <w:tc>
          <w:tcPr>
            <w:tcW w:w="6340" w:type="dxa"/>
            <w:vAlign w:val="bottom"/>
          </w:tcPr>
          <w:p>
            <w:pPr>
              <w:ind w:left="680"/>
              <w:spacing w:after="0" w:line="202" w:lineRule="exact"/>
              <w:rPr>
                <w:sz w:val="20"/>
                <w:szCs w:val="20"/>
                <w:color w:val="auto"/>
              </w:rPr>
            </w:pPr>
            <w:r>
              <w:rPr>
                <w:rFonts w:ascii="Arial" w:cs="Arial" w:eastAsia="Arial" w:hAnsi="Arial"/>
                <w:sz w:val="18"/>
                <w:szCs w:val="18"/>
                <w:color w:val="auto"/>
              </w:rPr>
              <w:t>(transactions,  Xbox  Game  Pass  and  other  subscriptions,  cloud</w:t>
            </w:r>
          </w:p>
        </w:tc>
      </w:tr>
      <w:tr>
        <w:trPr>
          <w:trHeight w:val="203"/>
        </w:trPr>
        <w:tc>
          <w:tcPr>
            <w:tcW w:w="4900" w:type="dxa"/>
            <w:vAlign w:val="bottom"/>
          </w:tcPr>
          <w:p>
            <w:pPr>
              <w:spacing w:after="0"/>
              <w:rPr>
                <w:sz w:val="17"/>
                <w:szCs w:val="17"/>
                <w:color w:val="auto"/>
              </w:rPr>
            </w:pPr>
          </w:p>
        </w:tc>
        <w:tc>
          <w:tcPr>
            <w:tcW w:w="6340" w:type="dxa"/>
            <w:vAlign w:val="bottom"/>
          </w:tcPr>
          <w:p>
            <w:pPr>
              <w:ind w:left="680"/>
              <w:spacing w:after="0" w:line="202" w:lineRule="exact"/>
              <w:rPr>
                <w:sz w:val="20"/>
                <w:szCs w:val="20"/>
                <w:color w:val="auto"/>
              </w:rPr>
            </w:pPr>
            <w:r>
              <w:rPr>
                <w:rFonts w:ascii="Arial" w:cs="Arial" w:eastAsia="Arial" w:hAnsi="Arial"/>
                <w:sz w:val="18"/>
                <w:szCs w:val="18"/>
                <w:color w:val="auto"/>
              </w:rPr>
              <w:t>services, and advertising), video games, and third-party video game</w:t>
            </w:r>
          </w:p>
        </w:tc>
      </w:tr>
      <w:tr>
        <w:trPr>
          <w:trHeight w:val="217"/>
        </w:trPr>
        <w:tc>
          <w:tcPr>
            <w:tcW w:w="4900" w:type="dxa"/>
            <w:vAlign w:val="bottom"/>
          </w:tcPr>
          <w:p>
            <w:pPr>
              <w:spacing w:after="0"/>
              <w:rPr>
                <w:sz w:val="18"/>
                <w:szCs w:val="18"/>
                <w:color w:val="auto"/>
              </w:rPr>
            </w:pPr>
          </w:p>
        </w:tc>
        <w:tc>
          <w:tcPr>
            <w:tcW w:w="6340" w:type="dxa"/>
            <w:vAlign w:val="bottom"/>
          </w:tcPr>
          <w:p>
            <w:pPr>
              <w:ind w:left="680"/>
              <w:spacing w:after="0"/>
              <w:rPr>
                <w:sz w:val="20"/>
                <w:szCs w:val="20"/>
                <w:color w:val="auto"/>
              </w:rPr>
            </w:pPr>
            <w:r>
              <w:rPr>
                <w:rFonts w:ascii="Arial" w:cs="Arial" w:eastAsia="Arial" w:hAnsi="Arial"/>
                <w:sz w:val="18"/>
                <w:szCs w:val="18"/>
                <w:color w:val="auto"/>
              </w:rPr>
              <w:t>royalties</w:t>
            </w:r>
          </w:p>
        </w:tc>
      </w:tr>
      <w:tr>
        <w:trPr>
          <w:trHeight w:val="269"/>
        </w:trPr>
        <w:tc>
          <w:tcPr>
            <w:tcW w:w="4900" w:type="dxa"/>
            <w:vAlign w:val="bottom"/>
          </w:tcPr>
          <w:p>
            <w:pPr>
              <w:ind w:left="180"/>
              <w:spacing w:after="0"/>
              <w:rPr>
                <w:sz w:val="20"/>
                <w:szCs w:val="20"/>
                <w:color w:val="auto"/>
              </w:rPr>
            </w:pPr>
            <w:r>
              <w:rPr>
                <w:rFonts w:ascii="Arial" w:cs="Arial" w:eastAsia="Arial" w:hAnsi="Arial"/>
                <w:sz w:val="18"/>
                <w:szCs w:val="18"/>
                <w:color w:val="auto"/>
              </w:rPr>
              <w:t>Search advertising revenue, excluding TAC, growth</w:t>
            </w:r>
          </w:p>
        </w:tc>
        <w:tc>
          <w:tcPr>
            <w:tcW w:w="6340" w:type="dxa"/>
            <w:vAlign w:val="bottom"/>
          </w:tcPr>
          <w:p>
            <w:pPr>
              <w:ind w:left="680"/>
              <w:spacing w:after="0"/>
              <w:rPr>
                <w:sz w:val="20"/>
                <w:szCs w:val="20"/>
                <w:color w:val="auto"/>
              </w:rPr>
            </w:pPr>
            <w:r>
              <w:rPr>
                <w:rFonts w:ascii="Arial" w:cs="Arial" w:eastAsia="Arial" w:hAnsi="Arial"/>
                <w:sz w:val="18"/>
                <w:szCs w:val="18"/>
                <w:color w:val="auto"/>
              </w:rPr>
              <w:t>Revenue from search advertising excluding traffic acquisition costs</w:t>
            </w:r>
          </w:p>
        </w:tc>
      </w:tr>
      <w:tr>
        <w:trPr>
          <w:trHeight w:val="217"/>
        </w:trPr>
        <w:tc>
          <w:tcPr>
            <w:tcW w:w="4900" w:type="dxa"/>
            <w:vAlign w:val="bottom"/>
          </w:tcPr>
          <w:p>
            <w:pPr>
              <w:spacing w:after="0"/>
              <w:rPr>
                <w:sz w:val="18"/>
                <w:szCs w:val="18"/>
                <w:color w:val="auto"/>
              </w:rPr>
            </w:pPr>
          </w:p>
        </w:tc>
        <w:tc>
          <w:tcPr>
            <w:tcW w:w="6340" w:type="dxa"/>
            <w:vAlign w:val="bottom"/>
          </w:tcPr>
          <w:p>
            <w:pPr>
              <w:ind w:left="680"/>
              <w:spacing w:after="0"/>
              <w:rPr>
                <w:sz w:val="20"/>
                <w:szCs w:val="20"/>
                <w:color w:val="auto"/>
              </w:rPr>
            </w:pPr>
            <w:r>
              <w:rPr>
                <w:rFonts w:ascii="Arial" w:cs="Arial" w:eastAsia="Arial" w:hAnsi="Arial"/>
                <w:sz w:val="18"/>
                <w:szCs w:val="18"/>
                <w:color w:val="auto"/>
              </w:rPr>
              <w:t>(“TAC”) paid to Bing Ads network publishers</w:t>
            </w:r>
          </w:p>
        </w:tc>
      </w:tr>
      <w:tr>
        <w:trPr>
          <w:trHeight w:val="582"/>
        </w:trPr>
        <w:tc>
          <w:tcPr>
            <w:tcW w:w="4900" w:type="dxa"/>
            <w:vAlign w:val="bottom"/>
          </w:tcPr>
          <w:p>
            <w:pPr>
              <w:spacing w:after="0"/>
              <w:rPr>
                <w:sz w:val="24"/>
                <w:szCs w:val="24"/>
                <w:color w:val="auto"/>
              </w:rPr>
            </w:pPr>
          </w:p>
        </w:tc>
        <w:tc>
          <w:tcPr>
            <w:tcW w:w="6340" w:type="dxa"/>
            <w:vAlign w:val="bottom"/>
          </w:tcPr>
          <w:p>
            <w:pPr>
              <w:ind w:left="640"/>
              <w:spacing w:after="0"/>
              <w:rPr>
                <w:sz w:val="20"/>
                <w:szCs w:val="20"/>
                <w:color w:val="auto"/>
              </w:rPr>
            </w:pPr>
            <w:r>
              <w:rPr>
                <w:rFonts w:ascii="Arial" w:cs="Arial" w:eastAsia="Arial" w:hAnsi="Arial"/>
                <w:sz w:val="14"/>
                <w:szCs w:val="14"/>
                <w:color w:val="auto"/>
              </w:rPr>
              <w:t>35</w:t>
            </w:r>
          </w:p>
        </w:tc>
      </w:tr>
      <w:tr>
        <w:trPr>
          <w:trHeight w:val="100"/>
        </w:trPr>
        <w:tc>
          <w:tcPr>
            <w:tcW w:w="4900" w:type="dxa"/>
            <w:vAlign w:val="bottom"/>
            <w:tcBorders>
              <w:bottom w:val="single" w:sz="8" w:color="9A9A9A"/>
            </w:tcBorders>
          </w:tcPr>
          <w:p>
            <w:pPr>
              <w:spacing w:after="0"/>
              <w:rPr>
                <w:sz w:val="8"/>
                <w:szCs w:val="8"/>
                <w:color w:val="auto"/>
              </w:rPr>
            </w:pPr>
          </w:p>
        </w:tc>
        <w:tc>
          <w:tcPr>
            <w:tcW w:w="6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620" w:type="dxa"/>
            <w:vAlign w:val="bottom"/>
            <w:gridSpan w:val="3"/>
          </w:tcPr>
          <w:p>
            <w:pPr>
              <w:jc w:val="right"/>
              <w:ind w:right="155"/>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35"/>
              <w:spacing w:after="0"/>
              <w:rPr>
                <w:sz w:val="20"/>
                <w:szCs w:val="20"/>
                <w:color w:val="auto"/>
              </w:rPr>
            </w:pPr>
            <w:r>
              <w:rPr>
                <w:rFonts w:ascii="Arial" w:cs="Arial" w:eastAsia="Arial" w:hAnsi="Arial"/>
                <w:sz w:val="13"/>
                <w:szCs w:val="13"/>
                <w:b w:val="1"/>
                <w:bCs w:val="1"/>
                <w:color w:val="auto"/>
              </w:rPr>
              <w:t>Percentage</w:t>
            </w:r>
          </w:p>
        </w:tc>
        <w:tc>
          <w:tcPr>
            <w:tcW w:w="2460" w:type="dxa"/>
            <w:vAlign w:val="bottom"/>
            <w:gridSpan w:val="2"/>
          </w:tcPr>
          <w:p>
            <w:pPr>
              <w:jc w:val="right"/>
              <w:ind w:right="95"/>
              <w:spacing w:after="0"/>
              <w:rPr>
                <w:sz w:val="20"/>
                <w:szCs w:val="20"/>
                <w:color w:val="auto"/>
              </w:rPr>
            </w:pPr>
            <w:r>
              <w:rPr>
                <w:rFonts w:ascii="Arial" w:cs="Arial" w:eastAsia="Arial" w:hAnsi="Arial"/>
                <w:sz w:val="13"/>
                <w:szCs w:val="13"/>
                <w:b w:val="1"/>
                <w:bCs w:val="1"/>
                <w:color w:val="auto"/>
              </w:rPr>
              <w:t>Nine Months Ended</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4060" w:type="dxa"/>
            <w:vAlign w:val="bottom"/>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55"/>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35"/>
              <w:spacing w:after="0"/>
              <w:rPr>
                <w:sz w:val="20"/>
                <w:szCs w:val="20"/>
                <w:color w:val="auto"/>
              </w:rPr>
            </w:pPr>
            <w:r>
              <w:rPr>
                <w:rFonts w:ascii="Arial" w:cs="Arial" w:eastAsia="Arial" w:hAnsi="Arial"/>
                <w:sz w:val="13"/>
                <w:szCs w:val="13"/>
                <w:b w:val="1"/>
                <w:bCs w:val="1"/>
                <w:color w:val="auto"/>
              </w:rPr>
              <w:t>Change</w:t>
            </w:r>
          </w:p>
        </w:tc>
        <w:tc>
          <w:tcPr>
            <w:tcW w:w="1180" w:type="dxa"/>
            <w:vAlign w:val="bottom"/>
          </w:tcPr>
          <w:p>
            <w:pPr>
              <w:spacing w:after="0"/>
              <w:rPr>
                <w:sz w:val="15"/>
                <w:szCs w:val="15"/>
                <w:color w:val="auto"/>
              </w:rPr>
            </w:pPr>
          </w:p>
        </w:tc>
        <w:tc>
          <w:tcPr>
            <w:tcW w:w="1280" w:type="dxa"/>
            <w:vAlign w:val="bottom"/>
          </w:tcPr>
          <w:p>
            <w:pPr>
              <w:jc w:val="right"/>
              <w:ind w:right="95"/>
              <w:spacing w:after="0"/>
              <w:rPr>
                <w:sz w:val="20"/>
                <w:szCs w:val="20"/>
                <w:color w:val="auto"/>
              </w:rPr>
            </w:pPr>
            <w:r>
              <w:rPr>
                <w:rFonts w:ascii="Arial" w:cs="Arial" w:eastAsia="Arial" w:hAnsi="Arial"/>
                <w:sz w:val="13"/>
                <w:szCs w:val="13"/>
                <w:b w:val="1"/>
                <w:bCs w:val="1"/>
                <w:color w:val="auto"/>
              </w:rPr>
              <w:t>March 31,</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Change</w:t>
            </w:r>
          </w:p>
        </w:tc>
      </w:tr>
      <w:tr>
        <w:trPr>
          <w:trHeight w:val="54"/>
        </w:trPr>
        <w:tc>
          <w:tcPr>
            <w:tcW w:w="40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40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3"/>
                <w:szCs w:val="13"/>
                <w:b w:val="1"/>
                <w:bCs w:val="1"/>
                <w:color w:val="auto"/>
              </w:rPr>
              <w:t>2021</w:t>
            </w:r>
          </w:p>
        </w:tc>
        <w:tc>
          <w:tcPr>
            <w:tcW w:w="1280" w:type="dxa"/>
            <w:vAlign w:val="bottom"/>
          </w:tcPr>
          <w:p>
            <w:pPr>
              <w:jc w:val="right"/>
              <w:ind w:right="95"/>
              <w:spacing w:after="0"/>
              <w:rPr>
                <w:sz w:val="20"/>
                <w:szCs w:val="20"/>
                <w:color w:val="auto"/>
              </w:rPr>
            </w:pPr>
            <w:r>
              <w:rPr>
                <w:rFonts w:ascii="Arial" w:cs="Arial" w:eastAsia="Arial" w:hAnsi="Arial"/>
                <w:sz w:val="13"/>
                <w:szCs w:val="13"/>
                <w:b w:val="1"/>
                <w:bCs w:val="1"/>
                <w:color w:val="auto"/>
              </w:rPr>
              <w:t>2020</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4"/>
        </w:trPr>
        <w:tc>
          <w:tcPr>
            <w:tcW w:w="4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12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   41,706</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35,021</w:t>
            </w:r>
          </w:p>
        </w:tc>
        <w:tc>
          <w:tcPr>
            <w:tcW w:w="11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19%</w:t>
            </w:r>
          </w:p>
        </w:tc>
        <w:tc>
          <w:tcPr>
            <w:tcW w:w="11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  121,936</w:t>
            </w:r>
          </w:p>
        </w:tc>
        <w:tc>
          <w:tcPr>
            <w:tcW w:w="1280" w:type="dxa"/>
            <w:vAlign w:val="bottom"/>
            <w:shd w:val="clear" w:color="auto" w:fill="E5E5E5"/>
          </w:tcPr>
          <w:p>
            <w:pPr>
              <w:jc w:val="right"/>
              <w:ind w:right="95"/>
              <w:spacing w:after="0" w:line="189" w:lineRule="exact"/>
              <w:rPr>
                <w:sz w:val="20"/>
                <w:szCs w:val="20"/>
                <w:color w:val="auto"/>
              </w:rPr>
            </w:pPr>
            <w:r>
              <w:rPr>
                <w:rFonts w:ascii="Arial" w:cs="Arial" w:eastAsia="Arial" w:hAnsi="Arial"/>
                <w:sz w:val="18"/>
                <w:szCs w:val="18"/>
                <w:color w:val="auto"/>
              </w:rPr>
              <w:t>$  104,982</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16%</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126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28,661</w:t>
            </w:r>
          </w:p>
        </w:tc>
        <w:tc>
          <w:tcPr>
            <w:tcW w:w="360" w:type="dxa"/>
            <w:vAlign w:val="bottom"/>
          </w:tcPr>
          <w:p>
            <w:pPr>
              <w:spacing w:after="0"/>
              <w:rPr>
                <w:sz w:val="16"/>
                <w:szCs w:val="16"/>
                <w:color w:val="auto"/>
              </w:rPr>
            </w:pPr>
          </w:p>
        </w:tc>
        <w:tc>
          <w:tcPr>
            <w:tcW w:w="100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24,046</w:t>
            </w:r>
          </w:p>
        </w:tc>
        <w:tc>
          <w:tcPr>
            <w:tcW w:w="1100" w:type="dxa"/>
            <w:vAlign w:val="bottom"/>
          </w:tcPr>
          <w:p>
            <w:pPr>
              <w:jc w:val="right"/>
              <w:ind w:right="35"/>
              <w:spacing w:after="0" w:line="189" w:lineRule="exact"/>
              <w:rPr>
                <w:sz w:val="20"/>
                <w:szCs w:val="20"/>
                <w:color w:val="auto"/>
              </w:rPr>
            </w:pPr>
            <w:r>
              <w:rPr>
                <w:rFonts w:ascii="Arial" w:cs="Arial" w:eastAsia="Arial" w:hAnsi="Arial"/>
                <w:sz w:val="18"/>
                <w:szCs w:val="18"/>
                <w:color w:val="auto"/>
              </w:rPr>
              <w:t>19%</w:t>
            </w:r>
          </w:p>
        </w:tc>
        <w:tc>
          <w:tcPr>
            <w:tcW w:w="118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83,695</w:t>
            </w:r>
          </w:p>
        </w:tc>
        <w:tc>
          <w:tcPr>
            <w:tcW w:w="1280" w:type="dxa"/>
            <w:vAlign w:val="bottom"/>
          </w:tcPr>
          <w:p>
            <w:pPr>
              <w:jc w:val="right"/>
              <w:ind w:right="95"/>
              <w:spacing w:after="0" w:line="189" w:lineRule="exact"/>
              <w:rPr>
                <w:sz w:val="20"/>
                <w:szCs w:val="20"/>
                <w:color w:val="auto"/>
              </w:rPr>
            </w:pPr>
            <w:r>
              <w:rPr>
                <w:rFonts w:ascii="Arial" w:cs="Arial" w:eastAsia="Arial" w:hAnsi="Arial"/>
                <w:sz w:val="18"/>
                <w:szCs w:val="18"/>
                <w:color w:val="auto"/>
              </w:rPr>
              <w:t>71,243</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w:t>
            </w: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12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17,048</w:t>
            </w:r>
          </w:p>
        </w:tc>
        <w:tc>
          <w:tcPr>
            <w:tcW w:w="36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12,975</w:t>
            </w:r>
          </w:p>
        </w:tc>
        <w:tc>
          <w:tcPr>
            <w:tcW w:w="11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31%</w:t>
            </w:r>
          </w:p>
        </w:tc>
        <w:tc>
          <w:tcPr>
            <w:tcW w:w="11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50,821</w:t>
            </w:r>
          </w:p>
        </w:tc>
        <w:tc>
          <w:tcPr>
            <w:tcW w:w="1280" w:type="dxa"/>
            <w:vAlign w:val="bottom"/>
            <w:shd w:val="clear" w:color="auto" w:fill="E5E5E5"/>
          </w:tcPr>
          <w:p>
            <w:pPr>
              <w:jc w:val="right"/>
              <w:ind w:right="95"/>
              <w:spacing w:after="0" w:line="189" w:lineRule="exact"/>
              <w:rPr>
                <w:sz w:val="20"/>
                <w:szCs w:val="20"/>
                <w:color w:val="auto"/>
              </w:rPr>
            </w:pPr>
            <w:r>
              <w:rPr>
                <w:rFonts w:ascii="Arial" w:cs="Arial" w:eastAsia="Arial" w:hAnsi="Arial"/>
                <w:sz w:val="18"/>
                <w:szCs w:val="18"/>
                <w:color w:val="auto"/>
              </w:rPr>
              <w:t>39,552</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28%</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126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15,457</w:t>
            </w:r>
          </w:p>
        </w:tc>
        <w:tc>
          <w:tcPr>
            <w:tcW w:w="360" w:type="dxa"/>
            <w:vAlign w:val="bottom"/>
          </w:tcPr>
          <w:p>
            <w:pPr>
              <w:spacing w:after="0"/>
              <w:rPr>
                <w:sz w:val="16"/>
                <w:szCs w:val="16"/>
                <w:color w:val="auto"/>
              </w:rPr>
            </w:pPr>
          </w:p>
        </w:tc>
        <w:tc>
          <w:tcPr>
            <w:tcW w:w="100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10,752</w:t>
            </w:r>
          </w:p>
        </w:tc>
        <w:tc>
          <w:tcPr>
            <w:tcW w:w="1100" w:type="dxa"/>
            <w:vAlign w:val="bottom"/>
          </w:tcPr>
          <w:p>
            <w:pPr>
              <w:jc w:val="right"/>
              <w:ind w:right="35"/>
              <w:spacing w:after="0" w:line="189" w:lineRule="exact"/>
              <w:rPr>
                <w:sz w:val="20"/>
                <w:szCs w:val="20"/>
                <w:color w:val="auto"/>
              </w:rPr>
            </w:pPr>
            <w:r>
              <w:rPr>
                <w:rFonts w:ascii="Arial" w:cs="Arial" w:eastAsia="Arial" w:hAnsi="Arial"/>
                <w:sz w:val="18"/>
                <w:szCs w:val="18"/>
                <w:color w:val="auto"/>
              </w:rPr>
              <w:t>44%</w:t>
            </w:r>
          </w:p>
        </w:tc>
        <w:tc>
          <w:tcPr>
            <w:tcW w:w="118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44,813</w:t>
            </w:r>
          </w:p>
        </w:tc>
        <w:tc>
          <w:tcPr>
            <w:tcW w:w="1280" w:type="dxa"/>
            <w:vAlign w:val="bottom"/>
          </w:tcPr>
          <w:p>
            <w:pPr>
              <w:jc w:val="right"/>
              <w:ind w:right="95"/>
              <w:spacing w:after="0" w:line="189" w:lineRule="exact"/>
              <w:rPr>
                <w:sz w:val="20"/>
                <w:szCs w:val="20"/>
                <w:color w:val="auto"/>
              </w:rPr>
            </w:pPr>
            <w:r>
              <w:rPr>
                <w:rFonts w:ascii="Arial" w:cs="Arial" w:eastAsia="Arial" w:hAnsi="Arial"/>
                <w:sz w:val="18"/>
                <w:szCs w:val="18"/>
                <w:color w:val="auto"/>
              </w:rPr>
              <w:t>33,079</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35%</w:t>
            </w: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12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2.03</w:t>
            </w:r>
          </w:p>
        </w:tc>
        <w:tc>
          <w:tcPr>
            <w:tcW w:w="36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1.40</w:t>
            </w:r>
          </w:p>
        </w:tc>
        <w:tc>
          <w:tcPr>
            <w:tcW w:w="11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45%</w:t>
            </w:r>
          </w:p>
        </w:tc>
        <w:tc>
          <w:tcPr>
            <w:tcW w:w="11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5.88</w:t>
            </w:r>
          </w:p>
        </w:tc>
        <w:tc>
          <w:tcPr>
            <w:tcW w:w="1280" w:type="dxa"/>
            <w:vAlign w:val="bottom"/>
            <w:shd w:val="clear" w:color="auto" w:fill="E5E5E5"/>
          </w:tcPr>
          <w:p>
            <w:pPr>
              <w:jc w:val="right"/>
              <w:ind w:right="95"/>
              <w:spacing w:after="0" w:line="189" w:lineRule="exact"/>
              <w:rPr>
                <w:sz w:val="20"/>
                <w:szCs w:val="20"/>
                <w:color w:val="auto"/>
              </w:rPr>
            </w:pPr>
            <w:r>
              <w:rPr>
                <w:rFonts w:ascii="Arial" w:cs="Arial" w:eastAsia="Arial" w:hAnsi="Arial"/>
                <w:sz w:val="18"/>
                <w:szCs w:val="18"/>
                <w:color w:val="auto"/>
              </w:rPr>
              <w:t>4.30</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37%</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8"/>
                <w:szCs w:val="18"/>
                <w:color w:val="auto"/>
              </w:rPr>
              <w:t>Adjusted net income (non-GAAP)</w:t>
            </w:r>
          </w:p>
        </w:tc>
        <w:tc>
          <w:tcPr>
            <w:tcW w:w="1260" w:type="dxa"/>
            <w:vAlign w:val="bottom"/>
          </w:tcPr>
          <w:p>
            <w:pPr>
              <w:jc w:val="right"/>
              <w:ind w:right="35"/>
              <w:spacing w:after="0" w:line="189" w:lineRule="exact"/>
              <w:rPr>
                <w:sz w:val="20"/>
                <w:szCs w:val="20"/>
                <w:color w:val="auto"/>
              </w:rPr>
            </w:pPr>
            <w:r>
              <w:rPr>
                <w:rFonts w:ascii="Arial" w:cs="Arial" w:eastAsia="Arial" w:hAnsi="Arial"/>
                <w:sz w:val="18"/>
                <w:szCs w:val="18"/>
                <w:b w:val="1"/>
                <w:bCs w:val="1"/>
                <w:color w:val="auto"/>
              </w:rPr>
              <w:t>14,837</w:t>
            </w:r>
          </w:p>
        </w:tc>
        <w:tc>
          <w:tcPr>
            <w:tcW w:w="360" w:type="dxa"/>
            <w:vAlign w:val="bottom"/>
          </w:tcPr>
          <w:p>
            <w:pPr>
              <w:spacing w:after="0"/>
              <w:rPr>
                <w:sz w:val="16"/>
                <w:szCs w:val="16"/>
                <w:color w:val="auto"/>
              </w:rPr>
            </w:pPr>
          </w:p>
        </w:tc>
        <w:tc>
          <w:tcPr>
            <w:tcW w:w="1000" w:type="dxa"/>
            <w:vAlign w:val="bottom"/>
          </w:tcPr>
          <w:p>
            <w:pPr>
              <w:jc w:val="right"/>
              <w:ind w:right="155"/>
              <w:spacing w:after="0" w:line="189" w:lineRule="exact"/>
              <w:rPr>
                <w:sz w:val="20"/>
                <w:szCs w:val="20"/>
                <w:color w:val="auto"/>
              </w:rPr>
            </w:pPr>
            <w:r>
              <w:rPr>
                <w:rFonts w:ascii="Arial" w:cs="Arial" w:eastAsia="Arial" w:hAnsi="Arial"/>
                <w:sz w:val="18"/>
                <w:szCs w:val="18"/>
                <w:color w:val="auto"/>
              </w:rPr>
              <w:t>10,752</w:t>
            </w:r>
          </w:p>
        </w:tc>
        <w:tc>
          <w:tcPr>
            <w:tcW w:w="1100" w:type="dxa"/>
            <w:vAlign w:val="bottom"/>
          </w:tcPr>
          <w:p>
            <w:pPr>
              <w:jc w:val="right"/>
              <w:ind w:right="35"/>
              <w:spacing w:after="0" w:line="189" w:lineRule="exact"/>
              <w:rPr>
                <w:sz w:val="20"/>
                <w:szCs w:val="20"/>
                <w:color w:val="auto"/>
              </w:rPr>
            </w:pPr>
            <w:r>
              <w:rPr>
                <w:rFonts w:ascii="Arial" w:cs="Arial" w:eastAsia="Arial" w:hAnsi="Arial"/>
                <w:sz w:val="18"/>
                <w:szCs w:val="18"/>
                <w:color w:val="auto"/>
              </w:rPr>
              <w:t>38%</w:t>
            </w:r>
          </w:p>
        </w:tc>
        <w:tc>
          <w:tcPr>
            <w:tcW w:w="118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44,193</w:t>
            </w:r>
          </w:p>
        </w:tc>
        <w:tc>
          <w:tcPr>
            <w:tcW w:w="1280" w:type="dxa"/>
            <w:vAlign w:val="bottom"/>
          </w:tcPr>
          <w:p>
            <w:pPr>
              <w:jc w:val="right"/>
              <w:ind w:right="95"/>
              <w:spacing w:after="0" w:line="189" w:lineRule="exact"/>
              <w:rPr>
                <w:sz w:val="20"/>
                <w:szCs w:val="20"/>
                <w:color w:val="auto"/>
              </w:rPr>
            </w:pPr>
            <w:r>
              <w:rPr>
                <w:rFonts w:ascii="Arial" w:cs="Arial" w:eastAsia="Arial" w:hAnsi="Arial"/>
                <w:sz w:val="18"/>
                <w:szCs w:val="18"/>
                <w:color w:val="auto"/>
              </w:rPr>
              <w:t>33,079</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34%</w:t>
            </w:r>
          </w:p>
        </w:tc>
      </w:tr>
      <w:tr>
        <w:trPr>
          <w:trHeight w:val="189"/>
        </w:trPr>
        <w:tc>
          <w:tcPr>
            <w:tcW w:w="40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Adjusted diluted earnings per share (non-GAAP)</w:t>
            </w:r>
          </w:p>
        </w:tc>
        <w:tc>
          <w:tcPr>
            <w:tcW w:w="126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1.95</w:t>
            </w:r>
          </w:p>
        </w:tc>
        <w:tc>
          <w:tcPr>
            <w:tcW w:w="36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55"/>
              <w:spacing w:after="0" w:line="189" w:lineRule="exact"/>
              <w:rPr>
                <w:sz w:val="20"/>
                <w:szCs w:val="20"/>
                <w:color w:val="auto"/>
              </w:rPr>
            </w:pPr>
            <w:r>
              <w:rPr>
                <w:rFonts w:ascii="Arial" w:cs="Arial" w:eastAsia="Arial" w:hAnsi="Arial"/>
                <w:sz w:val="18"/>
                <w:szCs w:val="18"/>
                <w:color w:val="auto"/>
              </w:rPr>
              <w:t>1.40</w:t>
            </w:r>
          </w:p>
        </w:tc>
        <w:tc>
          <w:tcPr>
            <w:tcW w:w="110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39%</w:t>
            </w:r>
          </w:p>
        </w:tc>
        <w:tc>
          <w:tcPr>
            <w:tcW w:w="118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5.80</w:t>
            </w:r>
          </w:p>
        </w:tc>
        <w:tc>
          <w:tcPr>
            <w:tcW w:w="1280" w:type="dxa"/>
            <w:vAlign w:val="bottom"/>
            <w:shd w:val="clear" w:color="auto" w:fill="E5E5E5"/>
          </w:tcPr>
          <w:p>
            <w:pPr>
              <w:jc w:val="right"/>
              <w:ind w:right="95"/>
              <w:spacing w:after="0" w:line="189" w:lineRule="exact"/>
              <w:rPr>
                <w:sz w:val="20"/>
                <w:szCs w:val="20"/>
                <w:color w:val="auto"/>
              </w:rPr>
            </w:pPr>
            <w:r>
              <w:rPr>
                <w:rFonts w:ascii="Arial" w:cs="Arial" w:eastAsia="Arial" w:hAnsi="Arial"/>
                <w:sz w:val="18"/>
                <w:szCs w:val="18"/>
                <w:color w:val="auto"/>
              </w:rPr>
              <w:t>4.30</w:t>
            </w: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35%</w:t>
            </w:r>
          </w:p>
        </w:tc>
      </w:tr>
      <w:tr>
        <w:trPr>
          <w:trHeight w:val="68"/>
        </w:trPr>
        <w:tc>
          <w:tcPr>
            <w:tcW w:w="40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adjusted diluted earnings per share (“EPS”) are non-GAAP financial measures which exclude tax benefits related to an India Supreme Court decision on withholding taxes. Refer to the Non-GAAP Financial Measures section below for a reconciliation of our financial results reported in accordance with GAAP to non-GAAP financial results. See Note 11 – Income Taxes of the Notes to Financial Statements (Part I, Item 1 of this Form 10-Q)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$6.7 billion or 19%, driven by growth across each of our segments. Intelligent Cloud revenue increased, driven by Azure. More Personal Computing revenue increased, driven by Gaming. Productivity and Business Processes revenue increased, driven by Office 365 Commercial and LinkedIn.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Cost of revenue increased $2.1 billion or 19%, driven by growth in commercial cloud and Gaming, offset in part by a reduction in depreciation expense due to the change in estimated useful lives of our server and network equipment.</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margin increased $4.6 billion or 19%, driven by growth across each of our segments and the change in estimated useful lives of our server and network equipment. Gross margin percentage was relatively unchanged with the change in estimated useful lives of our server and network equipment. Excluding this impact, gross margin percentage decreased, driven by gross margin percentage reductions in More Personal Computing and Productivity and Business Processes. Commercial cloud gross margin percentage increased 3 points to 70% with the change in estimated useful lives of our server and network equipment. Excluding this impact, commercial cloud gross margin percentage increased slightly, driven by gross margin percentage improvement in Azure, offset in part by sales mix shift to Azure.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expenses increased $542 million or 5%, driven by investments in cloud engineering and commercial sales, offset in part by savings related to COVID-19 across each of our segments.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expenses increased $317 million or 6%, driven by investments in cloud engineering.</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expenses increased $171 million or 3%, driven by investments in commercial sales. Sales and marketing included an unfavorable foreign currency impact of 2%.</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administrative expenses increased $54 million or 4%.</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Operating income increased $4.1 billion or 31%, driven by growth across each of our segments and the change in estimated useful lives of our server and network equipment.</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Current year net income and diluted EPS were positively impacted by the tax benefit related to the India Supreme Court decision on withholding taxes, which resulted in an increase to net income and diluted EPS of $620 million and $0.08, respectively.</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Revenue, gross margin, and operating income included a favorable foreign currency impact of 3%, 3%, and 4%, respectively. Cost of revenue and operating expenses both included an unfavorable foreign currency impact of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2021 Compared with Nine Months Ended March 31, 2020</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$ 17.0 billion or 16%, driven by growth across each of our segments. Intelligent Cloud revenue increased, driven by Azure. More Personal Computing revenue increased, driven by Gaming. Productivity and Business Processes revenue increased, driven by Office 365 Commercial and LinkedIn.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Cost of revenue increased $4.5 billion or 13%, driven by growth in commercial cloud and Gaming, offset in part by the change in estimated useful lives of our server and network equipment.</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margin increased $12.5 billion or 17%, driven by growth across each of our segments and the change in estimated useful lives of our server and network equipment. Gross margin percentage increased slightly with the change in estimated useful lives of our server and network equipment. Excluding this impact, gross margin percentage decreased, driven by gross margin percentage reductions in More Personal Computing and Productivity and Business Processes. Commercial cloud gross margin percentage increased 4 points to 71% with the change in estimated useful lives of our server and network equipment. Excluding this impact, commercial cloud gross margin percentage increased slightly, driven by gross margin percentage improvement in Azure, offset in part by sales mix shift to Azure.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expenses increased $1.2 billion or 4%, driven by investments in cloud engineering and commercial sales, offset in part by savings related to COVID-19 across each of our segments.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77" w:lineRule="exact"/>
        <w:rPr>
          <w:sz w:val="20"/>
          <w:szCs w:val="20"/>
          <w:color w:val="auto"/>
        </w:rPr>
      </w:pPr>
    </w:p>
    <w:p>
      <w:pPr>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expenses increased $974 million or 7%, driven by investments in cloud engineering.</w:t>
      </w:r>
    </w:p>
    <w:p>
      <w:pPr>
        <w:spacing w:after="0" w:line="63" w:lineRule="exact"/>
        <w:rPr>
          <w:rFonts w:ascii="Arial" w:cs="Arial" w:eastAsia="Arial" w:hAnsi="Arial"/>
          <w:sz w:val="18"/>
          <w:szCs w:val="18"/>
          <w:color w:val="auto"/>
        </w:rPr>
      </w:pPr>
    </w:p>
    <w:p>
      <w:pPr>
        <w:jc w:val="both"/>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expenses increased $79 million or 1%, driven by investments in commercial sales, offset in part by reductions in advertising and retail store expenses. Sales and marketing included an unfavorable foreign currency impact of 2%.</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expenses increased $130 million or 4%, driven by an increase in business taxes.</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Operating income increased $11.3 billion or 28%, including a favorable foreign currency impact of 2%, driven by growth across each of our segments and the change in estimated useful lives of our server and network equipment.</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Current year net income and diluted EPS were positively impacted by the tax benefit related to the India Supreme Court decision on withholding taxes, which resulted in an increase to net income and diluted EPS of $620 million and $0.08, respectively.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35"/>
              <w:spacing w:after="0"/>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35"/>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March 31,</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5"/>
        </w:trPr>
        <w:tc>
          <w:tcPr>
            <w:tcW w:w="3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2020</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9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13,552</w:t>
            </w:r>
          </w:p>
        </w:tc>
        <w:tc>
          <w:tcPr>
            <w:tcW w:w="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11,743</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15%</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39,224</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34,646</w:t>
            </w: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15,118</w:t>
            </w:r>
          </w:p>
        </w:tc>
        <w:tc>
          <w:tcPr>
            <w:tcW w:w="280" w:type="dxa"/>
            <w:vAlign w:val="bottom"/>
          </w:tcPr>
          <w:p>
            <w:pPr>
              <w:spacing w:after="0"/>
              <w:rPr>
                <w:sz w:val="16"/>
                <w:szCs w:val="16"/>
                <w:color w:val="auto"/>
              </w:rPr>
            </w:pPr>
          </w:p>
        </w:tc>
        <w:tc>
          <w:tcPr>
            <w:tcW w:w="10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12,281</w:t>
            </w:r>
          </w:p>
        </w:tc>
        <w:tc>
          <w:tcPr>
            <w:tcW w:w="1100" w:type="dxa"/>
            <w:vAlign w:val="bottom"/>
          </w:tcPr>
          <w:p>
            <w:pPr>
              <w:jc w:val="right"/>
              <w:ind w:right="15"/>
              <w:spacing w:after="0" w:line="189"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42,705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34,995</w:t>
            </w: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6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13,036</w:t>
            </w: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10,997</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19%</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40,007</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35,341</w:t>
            </w: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81"/>
        </w:trPr>
        <w:tc>
          <w:tcPr>
            <w:tcW w:w="36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41,706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35,021</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121,936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104,982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1"/>
        </w:trPr>
        <w:tc>
          <w:tcPr>
            <w:tcW w:w="36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6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9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6,029</w:t>
            </w:r>
          </w:p>
        </w:tc>
        <w:tc>
          <w:tcPr>
            <w:tcW w:w="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4,788</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26%</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17,916</w:t>
            </w:r>
          </w:p>
        </w:tc>
        <w:tc>
          <w:tcPr>
            <w:tcW w:w="2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14,752</w:t>
            </w: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6,425</w:t>
            </w:r>
          </w:p>
        </w:tc>
        <w:tc>
          <w:tcPr>
            <w:tcW w:w="280" w:type="dxa"/>
            <w:vAlign w:val="bottom"/>
          </w:tcPr>
          <w:p>
            <w:pPr>
              <w:spacing w:after="0"/>
              <w:rPr>
                <w:sz w:val="16"/>
                <w:szCs w:val="16"/>
                <w:color w:val="auto"/>
              </w:rPr>
            </w:pPr>
          </w:p>
        </w:tc>
        <w:tc>
          <w:tcPr>
            <w:tcW w:w="10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4,560</w:t>
            </w:r>
          </w:p>
        </w:tc>
        <w:tc>
          <w:tcPr>
            <w:tcW w:w="1100" w:type="dxa"/>
            <w:vAlign w:val="bottom"/>
          </w:tcPr>
          <w:p>
            <w:pPr>
              <w:jc w:val="right"/>
              <w:ind w:right="15"/>
              <w:spacing w:after="0" w:line="189"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18,339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12,980</w:t>
            </w: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9"/>
        </w:trPr>
        <w:tc>
          <w:tcPr>
            <w:tcW w:w="3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6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4,594</w:t>
            </w: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3,627</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27%</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14,566</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11,820</w:t>
            </w: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8"/>
        </w:trPr>
        <w:tc>
          <w:tcPr>
            <w:tcW w:w="3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17,048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12,975</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50,821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39,552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75"/>
        </w:trPr>
        <w:tc>
          <w:tcPr>
            <w:tcW w:w="3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3"/>
        </w:trPr>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37</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$1.8 billion or 15%.</w:t>
      </w:r>
    </w:p>
    <w:p>
      <w:pPr>
        <w:spacing w:after="0" w:line="63" w:lineRule="exact"/>
        <w:rPr>
          <w:sz w:val="20"/>
          <w:szCs w:val="20"/>
          <w:color w:val="auto"/>
        </w:rPr>
      </w:pPr>
    </w:p>
    <w:p>
      <w:pPr>
        <w:jc w:val="both"/>
        <w:ind w:left="1060" w:right="2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$1.0 billion or 14%. Office 365 Commercial revenue grew 22%, due to seat growth of 15% and higher revenue per user. Office Commercial products revenue declined 25%, driven by accelerated customer shift to cloud offerings and continued transactional weakness.</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$59 million or 5%, driven by Microsoft 365 Consumer subscription revenue, on a strong prior year comparable that benefited from transactional strength in Japan. Microsoft 365 Consumer subscribers increased 27% to 50.2 million.</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LinkedIn revenue increased $512 million or 25%, driven by advertising demand in our Marketing Solutions business.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26%, driven by Dynamics 365 growth of 45%.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$1.2 billion or 26%.</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$1.4 billion or 15%, driven by growth in Office 365 Commercial and LinkedIn, and the change in estimated useful lives of our server and network equipment. Gross margin percentage was relatively unchanged as the increase from the change in estimated useful lives of our server and network equipment was offset by increased usage of Office 365 Commercial and a sales mix shift to cloud offerings.</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$157 million or 4%, driven by investments in commercial sales, cloud engineering, and LinkedIn.</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gross margin, and operating income included a favorable foreign currency impact of 3%, 3%, and 6%, respectively. Operating expenses included an unfavorable foreign currency impact of 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$2.8 billion or 23%.</w:t>
      </w:r>
    </w:p>
    <w:p>
      <w:pPr>
        <w:spacing w:after="0" w:line="77" w:lineRule="exact"/>
        <w:rPr>
          <w:sz w:val="20"/>
          <w:szCs w:val="20"/>
          <w:color w:val="auto"/>
        </w:rPr>
      </w:pPr>
    </w:p>
    <w:p>
      <w:pPr>
        <w:jc w:val="both"/>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$2.7 billion or 26%, driven by Azure. Azure revenue grew 50%, due to growth in our consumption-based services. Server products revenue increased 3%, driven by hybrid and premium solutions, on a strong prior year comparable that benefited from demand related to Windows Server 2008 end of support.</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Enterprise Services revenue increased $170 million or 10%, driven by growth in Premier Support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$1.9 billion or 41%.</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increased $2.3 billion or 27%, driven by growth in Azure and the change in estimated useful lives of our server and network equipment. Gross margin percentage increased with the change in estimated useful lives of our server and network equipment. Excluding this impact, gross margin percentage increased slightly, driven by gross margin percentage improvement in Azure, offset in part by sales mix shift to Azure.</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increased $460 million or 12%, driven by investments in Azure.</w:t>
      </w:r>
    </w:p>
    <w:p>
      <w:pPr>
        <w:spacing w:after="0" w:line="1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Revenue, gross margin, and operating income included a favorable foreign currency impact of 3%, 3%, and 5%, respectively. Cost of revenue and operating expenses included an unfavorable foreign currency impact of 3% and 2%,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$2.0 billion or 19%.</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Windows revenue increased $426 million or 8%, driven by growth in Windows OEM and Windows Commercial. Windows OEM revenue increased 10%, driven by consumer PC demand. Windows OEM Pro revenue decreased 2% and Windows OEM non-Pro revenue grew 44%. Windows Commercial products and cloud services revenue increased 10%, driven by demand for Microsoft 365.</w:t>
      </w:r>
    </w:p>
    <w:p>
      <w:pPr>
        <w:spacing w:after="0" w:line="56" w:lineRule="exact"/>
        <w:rPr>
          <w:rFonts w:ascii="Arial" w:cs="Arial" w:eastAsia="Arial" w:hAnsi="Arial"/>
          <w:sz w:val="18"/>
          <w:szCs w:val="18"/>
          <w:color w:val="auto"/>
        </w:rPr>
      </w:pPr>
    </w:p>
    <w:p>
      <w:pPr>
        <w:jc w:val="both"/>
        <w:ind w:left="1060" w:hanging="391"/>
        <w:spacing w:after="0" w:line="23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Gaming revenue increased $1.2 billion or 50%, driven by growth in Xbox content and services and Xbox hardware. Xbox content and services revenue increased $739 million or 34%, driven by growth in third-party titles, Xbox Game Pass subscriptions, and first-party titles. Xbox hardware revenue increased 232%, driven by higher price and volume of consoles sold due to the Xbox Series X|S launches.</w:t>
      </w:r>
    </w:p>
    <w:p>
      <w:pPr>
        <w:spacing w:after="0" w:line="56"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Search advertising revenue increased $232 million or 12%. Search advertising revenue, excluding traffic acquisition costs, increased 17%, driven by higher search volume and revenue per search.</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Surface revenue increased $164 million or 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$967 million or 27%.</w:t>
      </w:r>
    </w:p>
    <w:p>
      <w:pPr>
        <w:spacing w:after="0" w:line="77" w:lineRule="exact"/>
        <w:rPr>
          <w:sz w:val="20"/>
          <w:szCs w:val="20"/>
          <w:color w:val="auto"/>
        </w:rPr>
      </w:pPr>
    </w:p>
    <w:p>
      <w:pPr>
        <w:ind w:left="1060" w:hanging="391"/>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$892 million or 14%, driven by growth in Windows, Gaming, and Search advertising. Gross margin percentage decreased, driven by sales mix shift to Gaming.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decreased $75 million or 3%, driven by reductions in retail store expenses and marketing.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3%, 3%, and 5%,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2021 Compared with Nine Months Ended March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$4.6 billion or 13%.</w:t>
      </w:r>
    </w:p>
    <w:p>
      <w:pPr>
        <w:spacing w:after="0" w:line="63" w:lineRule="exact"/>
        <w:rPr>
          <w:sz w:val="20"/>
          <w:szCs w:val="20"/>
          <w:color w:val="auto"/>
        </w:rPr>
      </w:pPr>
    </w:p>
    <w:p>
      <w:pPr>
        <w:jc w:val="both"/>
        <w:ind w:left="1060" w:right="20" w:hanging="391"/>
        <w:spacing w:after="0" w:line="23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$2.5 billion or 11%, on a strong prior year comparable. Office 365 Commercial revenue grew 21%, due to seat growth and higher revenue per user. Office Commercial products revenue declined 27%, driven by accelerated customer shift to cloud offerings from multi-year on-premises agreements and continued transactional weakness, on a strong prior year comparable that benefited from transactional strength in Japan.</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$278 million or 8%, driven by Microsoft 365 Consumer subscription revenue, on a strong prior year comparable that benefited from transactional strength in Japan.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LinkedIn revenue increased $1.3 billion or 21%, driven by advertising demand in our Marketing Solutions business.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22%, driven by Dynamics 365 growth of 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$3.2 billion or 21%.</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$3.6 billion or 14%, driven by growth in Office 365 Commercial and LinkedIn, and the change in estimated useful lives of our server and network equipment. Gross margin percentage increased slightly with the change in estimated useful lives of our server and network equipment. Excluding this impact, gross margin percentage decreased, driven by increased usage of Office 365 Commercial and a sales mix shift to cloud offerings.</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$479 million or 4%, driven by investments in commercial sales, cloud engineering, and Teams marketing.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both included a favorable foreign currency impact of 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$7.7 billion or 22%.</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$7.3 billion or 25%, driven by Azure. Azure revenue grew 49%, due to growth in our consumption-based services. Server products revenue increased 2%, driven by hybrid and premium solutions, offset in part by continued transactional weakness, on a strong prior year comparable that benefited from demand related to Windows Server 2008 and SQL Server 2008 end of support.</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Services revenue increased $345 million or 7%, driven by growth in Premier Support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$5.4 billion or 41%.</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increased $6.6 billion or 27%, driven by growth in Azure and the change in estimated useful lives of our server and network equipment. Gross margin percentage increased with the change in estimated useful lives of our server and network equipment. Excluding this impact, gross margin percentage increased slightly, driven by gross margin percentage improvement in Azure, offset in part by sales mix shift to Azure.</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increased $1.3 billion or 11%, driven by investments in Azure.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2%, and 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$4.7 billion or 13%.</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Windows revenue increased $501 million or 3%, driven by growth in Windows Commercial. Windows Commercial products and cloud services revenue increased 11%, driven by demand for Microsoft 365. Windows OEM revenue increased 2%, driven by consumer PC demand, on a strong prior year OEM Pro comparable that benefited from Windows 7 end of support. Windows OEM Pro revenue decreased 11% and Windows OEM non-Pro revenue grew 32%.</w:t>
      </w:r>
    </w:p>
    <w:p>
      <w:pPr>
        <w:spacing w:after="0" w:line="56" w:lineRule="exact"/>
        <w:rPr>
          <w:rFonts w:ascii="Arial" w:cs="Arial" w:eastAsia="Arial" w:hAnsi="Arial"/>
          <w:sz w:val="18"/>
          <w:szCs w:val="18"/>
          <w:color w:val="auto"/>
        </w:rPr>
      </w:pPr>
    </w:p>
    <w:p>
      <w:pPr>
        <w:jc w:val="both"/>
        <w:ind w:left="1060" w:hanging="391"/>
        <w:spacing w:after="0" w:line="238"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Gaming revenue increased $3.4 billion or 42%, driven by growth in Xbox content and services and Xbox hardware. Xbox content and services revenue increased $2.4 billion or 35%, driven by growth in third-party titles, Xbox Game Pass subscriptions, and first-party titles. Xbox hardware revenue increased 76%, driven by higher price of consoles sold due to the Xbox Series X|S launches.</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Surface revenue increased $650 million or 15%.</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Search advertising revenue increased $51 million or 1%. Search advertising revenue, excluding traffic acquisition costs, increased 3%, primarily driven by higher search volume, offset in part by lower revenue per search.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$2.7 billion or 23%.</w:t>
      </w:r>
    </w:p>
    <w:p>
      <w:pPr>
        <w:spacing w:after="0" w:line="63" w:lineRule="exact"/>
        <w:rPr>
          <w:sz w:val="20"/>
          <w:szCs w:val="20"/>
          <w:color w:val="auto"/>
        </w:rPr>
      </w:pPr>
    </w:p>
    <w:p>
      <w:pPr>
        <w:ind w:left="1060" w:hanging="391"/>
        <w:spacing w:after="0" w:line="24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Gross margin increased $2.2 billion or 11%, driven by growth in Gaming and Windows. Gross margin percentage decreased, driven by sales mix shift to Gaming.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expenses decreased $561 million or 7%, driven by reductions in marketing and retail store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operating income both included a favorable foreign currency impact of 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0" w:name="page41"/>
    <w:bookmarkEnd w:id="4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360" w:type="dxa"/>
            <w:vAlign w:val="bottom"/>
          </w:tcPr>
          <w:p>
            <w:pPr>
              <w:spacing w:after="0"/>
              <w:rPr>
                <w:sz w:val="13"/>
                <w:szCs w:val="13"/>
                <w:color w:val="auto"/>
              </w:rPr>
            </w:pPr>
          </w:p>
        </w:tc>
        <w:tc>
          <w:tcPr>
            <w:tcW w:w="2000" w:type="dxa"/>
            <w:vAlign w:val="bottom"/>
            <w:gridSpan w:val="3"/>
          </w:tcPr>
          <w:p>
            <w:pPr>
              <w:jc w:val="right"/>
              <w:ind w:right="101"/>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324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81"/>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01"/>
              <w:spacing w:after="0"/>
              <w:rPr>
                <w:sz w:val="20"/>
                <w:szCs w:val="20"/>
                <w:color w:val="auto"/>
              </w:rPr>
            </w:pPr>
            <w:r>
              <w:rPr>
                <w:rFonts w:ascii="Arial" w:cs="Arial" w:eastAsia="Arial" w:hAnsi="Arial"/>
                <w:sz w:val="13"/>
                <w:szCs w:val="13"/>
                <w:b w:val="1"/>
                <w:bCs w:val="1"/>
                <w:color w:val="auto"/>
              </w:rPr>
              <w:t>March 31,</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r>
      <w:tr>
        <w:trPr>
          <w:trHeight w:val="55"/>
        </w:trPr>
        <w:tc>
          <w:tcPr>
            <w:tcW w:w="32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9"/>
                <w:szCs w:val="19"/>
                <w:color w:val="auto"/>
              </w:rPr>
            </w:pPr>
          </w:p>
        </w:tc>
        <w:tc>
          <w:tcPr>
            <w:tcW w:w="1040" w:type="dxa"/>
            <w:vAlign w:val="bottom"/>
          </w:tcPr>
          <w:p>
            <w:pPr>
              <w:jc w:val="right"/>
              <w:ind w:right="181"/>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9"/>
                <w:szCs w:val="19"/>
                <w:color w:val="auto"/>
              </w:rPr>
            </w:pPr>
          </w:p>
        </w:tc>
        <w:tc>
          <w:tcPr>
            <w:tcW w:w="920" w:type="dxa"/>
            <w:vAlign w:val="bottom"/>
          </w:tcPr>
          <w:p>
            <w:pPr>
              <w:jc w:val="right"/>
              <w:ind w:right="101"/>
              <w:spacing w:after="0"/>
              <w:rPr>
                <w:sz w:val="20"/>
                <w:szCs w:val="20"/>
                <w:color w:val="auto"/>
              </w:rPr>
            </w:pPr>
            <w:r>
              <w:rPr>
                <w:rFonts w:ascii="Arial" w:cs="Arial" w:eastAsia="Arial" w:hAnsi="Arial"/>
                <w:sz w:val="13"/>
                <w:szCs w:val="13"/>
                <w:b w:val="1"/>
                <w:bCs w:val="1"/>
                <w:color w:val="auto"/>
              </w:rPr>
              <w:t>2020</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
        </w:trPr>
        <w:tc>
          <w:tcPr>
            <w:tcW w:w="3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3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b w:val="1"/>
                <w:bCs w:val="1"/>
                <w:color w:val="auto"/>
              </w:rPr>
              <w:t>5,204</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4,887</w:t>
            </w:r>
          </w:p>
        </w:tc>
        <w:tc>
          <w:tcPr>
            <w:tcW w:w="110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6%</w:t>
            </w:r>
          </w:p>
        </w:tc>
        <w:tc>
          <w:tcPr>
            <w:tcW w:w="3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1"/>
              <w:spacing w:after="0" w:line="189" w:lineRule="exact"/>
              <w:rPr>
                <w:sz w:val="20"/>
                <w:szCs w:val="20"/>
                <w:color w:val="auto"/>
              </w:rPr>
            </w:pPr>
            <w:r>
              <w:rPr>
                <w:rFonts w:ascii="Arial" w:cs="Arial" w:eastAsia="Arial" w:hAnsi="Arial"/>
                <w:sz w:val="18"/>
                <w:szCs w:val="18"/>
                <w:b w:val="1"/>
                <w:bCs w:val="1"/>
                <w:color w:val="auto"/>
              </w:rPr>
              <w:t>15,029</w:t>
            </w:r>
          </w:p>
        </w:tc>
        <w:tc>
          <w:tcPr>
            <w:tcW w:w="28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01"/>
              <w:spacing w:after="0" w:line="189" w:lineRule="exact"/>
              <w:rPr>
                <w:sz w:val="20"/>
                <w:szCs w:val="20"/>
                <w:color w:val="auto"/>
              </w:rPr>
            </w:pPr>
            <w:r>
              <w:rPr>
                <w:rFonts w:ascii="Arial" w:cs="Arial" w:eastAsia="Arial" w:hAnsi="Arial"/>
                <w:sz w:val="18"/>
                <w:szCs w:val="18"/>
                <w:color w:val="auto"/>
              </w:rPr>
              <w:t>14,055</w:t>
            </w: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w:t>
            </w:r>
          </w:p>
        </w:tc>
        <w:tc>
          <w:tcPr>
            <w:tcW w:w="60" w:type="dxa"/>
            <w:vAlign w:val="bottom"/>
            <w:shd w:val="clear" w:color="auto" w:fill="E5E5E5"/>
          </w:tcPr>
          <w:p>
            <w:pPr>
              <w:spacing w:after="0"/>
              <w:rPr>
                <w:sz w:val="16"/>
                <w:szCs w:val="16"/>
                <w:color w:val="auto"/>
              </w:rPr>
            </w:pPr>
          </w:p>
        </w:tc>
      </w:tr>
      <w:tr>
        <w:trPr>
          <w:trHeight w:val="25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(2)ppt</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12%</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60" w:type="dxa"/>
            <w:vAlign w:val="bottom"/>
          </w:tcPr>
          <w:p>
            <w:pPr>
              <w:spacing w:after="0"/>
              <w:rPr>
                <w:sz w:val="21"/>
                <w:szCs w:val="2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$317 million or 6%, driven by investments in cloud engineering.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2021 Compared with Nine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$974 million or 7%, driven by investments in cloud engineering.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4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380" w:type="dxa"/>
            <w:vAlign w:val="bottom"/>
          </w:tcPr>
          <w:p>
            <w:pPr>
              <w:spacing w:after="0"/>
              <w:rPr>
                <w:sz w:val="13"/>
                <w:szCs w:val="13"/>
                <w:color w:val="auto"/>
              </w:rPr>
            </w:pPr>
          </w:p>
        </w:tc>
        <w:tc>
          <w:tcPr>
            <w:tcW w:w="2020" w:type="dxa"/>
            <w:vAlign w:val="bottom"/>
            <w:gridSpan w:val="3"/>
          </w:tcPr>
          <w:p>
            <w:pPr>
              <w:jc w:val="right"/>
              <w:ind w:right="101"/>
              <w:spacing w:after="0"/>
              <w:rPr>
                <w:sz w:val="20"/>
                <w:szCs w:val="20"/>
                <w:color w:val="auto"/>
              </w:rPr>
            </w:pPr>
            <w:r>
              <w:rPr>
                <w:rFonts w:ascii="Arial" w:cs="Arial" w:eastAsia="Arial" w:hAnsi="Arial"/>
                <w:sz w:val="13"/>
                <w:szCs w:val="13"/>
                <w:b w:val="1"/>
                <w:bCs w:val="1"/>
                <w:color w:val="auto"/>
              </w:rPr>
              <w:t>Nine Months Ended</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March 31,</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101"/>
              <w:spacing w:after="0"/>
              <w:rPr>
                <w:sz w:val="20"/>
                <w:szCs w:val="20"/>
                <w:color w:val="auto"/>
              </w:rPr>
            </w:pPr>
            <w:r>
              <w:rPr>
                <w:rFonts w:ascii="Arial" w:cs="Arial" w:eastAsia="Arial" w:hAnsi="Arial"/>
                <w:sz w:val="13"/>
                <w:szCs w:val="13"/>
                <w:b w:val="1"/>
                <w:bCs w:val="1"/>
                <w:color w:val="auto"/>
              </w:rPr>
              <w:t>March 31,</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3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9"/>
                <w:szCs w:val="19"/>
                <w:color w:val="auto"/>
              </w:rPr>
            </w:pPr>
          </w:p>
        </w:tc>
        <w:tc>
          <w:tcPr>
            <w:tcW w:w="102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2020</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9"/>
                <w:szCs w:val="19"/>
                <w:color w:val="auto"/>
              </w:rPr>
            </w:pPr>
          </w:p>
        </w:tc>
        <w:tc>
          <w:tcPr>
            <w:tcW w:w="920" w:type="dxa"/>
            <w:vAlign w:val="bottom"/>
          </w:tcPr>
          <w:p>
            <w:pPr>
              <w:jc w:val="right"/>
              <w:ind w:right="101"/>
              <w:spacing w:after="0"/>
              <w:rPr>
                <w:sz w:val="20"/>
                <w:szCs w:val="20"/>
                <w:color w:val="auto"/>
              </w:rPr>
            </w:pPr>
            <w:r>
              <w:rPr>
                <w:rFonts w:ascii="Arial" w:cs="Arial" w:eastAsia="Arial" w:hAnsi="Arial"/>
                <w:sz w:val="13"/>
                <w:szCs w:val="13"/>
                <w:b w:val="1"/>
                <w:bCs w:val="1"/>
                <w:color w:val="auto"/>
              </w:rPr>
              <w:t>2020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b w:val="1"/>
                <w:bCs w:val="1"/>
                <w:color w:val="auto"/>
              </w:rPr>
              <w:t>5,082</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4,911</w:t>
            </w:r>
          </w:p>
        </w:tc>
        <w:tc>
          <w:tcPr>
            <w:tcW w:w="108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3%</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1"/>
              <w:spacing w:after="0" w:line="189" w:lineRule="exact"/>
              <w:rPr>
                <w:sz w:val="20"/>
                <w:szCs w:val="20"/>
                <w:color w:val="auto"/>
              </w:rPr>
            </w:pPr>
            <w:r>
              <w:rPr>
                <w:rFonts w:ascii="Arial" w:cs="Arial" w:eastAsia="Arial" w:hAnsi="Arial"/>
                <w:sz w:val="18"/>
                <w:szCs w:val="18"/>
                <w:b w:val="1"/>
                <w:bCs w:val="1"/>
                <w:color w:val="auto"/>
              </w:rPr>
              <w:t>14,260</w:t>
            </w:r>
          </w:p>
        </w:tc>
        <w:tc>
          <w:tcPr>
            <w:tcW w:w="30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01"/>
              <w:spacing w:after="0" w:line="189" w:lineRule="exact"/>
              <w:rPr>
                <w:sz w:val="20"/>
                <w:szCs w:val="20"/>
                <w:color w:val="auto"/>
              </w:rPr>
            </w:pPr>
            <w:r>
              <w:rPr>
                <w:rFonts w:ascii="Arial" w:cs="Arial" w:eastAsia="Arial" w:hAnsi="Arial"/>
                <w:sz w:val="18"/>
                <w:szCs w:val="18"/>
                <w:color w:val="auto"/>
              </w:rPr>
              <w:t>14,181</w:t>
            </w: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14%</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(2)ppt</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(2)ppt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and marketing expenses increased $171 million or 3%, driven by investments in commercial sales. Sales and marketing included an unfavorable foreign currency impact of 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2021 Compared with Nine Months Ended March 31, 2020</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and marketing expenses increased $79 million or 1%, driven by investments in commercial sales, offset in part by reductions in advertising and retail store expenses. Sales and marketing included an unfavorable foreign currency impact of 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2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2"/>
                <w:szCs w:val="12"/>
                <w:color w:val="auto"/>
              </w:rPr>
            </w:pPr>
          </w:p>
        </w:tc>
        <w:tc>
          <w:tcPr>
            <w:tcW w:w="1940" w:type="dxa"/>
            <w:vAlign w:val="bottom"/>
            <w:gridSpan w:val="3"/>
          </w:tcPr>
          <w:p>
            <w:pPr>
              <w:jc w:val="right"/>
              <w:ind w:right="81"/>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322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81"/>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2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81"/>
              <w:spacing w:after="0"/>
              <w:rPr>
                <w:sz w:val="20"/>
                <w:szCs w:val="20"/>
                <w:color w:val="auto"/>
              </w:rPr>
            </w:pPr>
            <w:r>
              <w:rPr>
                <w:rFonts w:ascii="Arial" w:cs="Arial" w:eastAsia="Arial" w:hAnsi="Arial"/>
                <w:sz w:val="13"/>
                <w:szCs w:val="13"/>
                <w:b w:val="1"/>
                <w:bCs w:val="1"/>
                <w:color w:val="auto"/>
              </w:rPr>
              <w:t>March 31,</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5"/>
        </w:trPr>
        <w:tc>
          <w:tcPr>
            <w:tcW w:w="3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9"/>
                <w:szCs w:val="19"/>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9"/>
                <w:szCs w:val="19"/>
                <w:color w:val="auto"/>
              </w:rPr>
            </w:pPr>
          </w:p>
        </w:tc>
        <w:tc>
          <w:tcPr>
            <w:tcW w:w="900" w:type="dxa"/>
            <w:vAlign w:val="bottom"/>
          </w:tcPr>
          <w:p>
            <w:pPr>
              <w:jc w:val="right"/>
              <w:ind w:right="81"/>
              <w:spacing w:after="0"/>
              <w:rPr>
                <w:sz w:val="20"/>
                <w:szCs w:val="20"/>
                <w:color w:val="auto"/>
              </w:rPr>
            </w:pPr>
            <w:r>
              <w:rPr>
                <w:rFonts w:ascii="Arial" w:cs="Arial" w:eastAsia="Arial" w:hAnsi="Arial"/>
                <w:sz w:val="13"/>
                <w:szCs w:val="13"/>
                <w:b w:val="1"/>
                <w:bCs w:val="1"/>
                <w:color w:val="auto"/>
              </w:rPr>
              <w:t>2020</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b w:val="1"/>
                <w:bCs w:val="1"/>
                <w:color w:val="auto"/>
              </w:rPr>
              <w:t>1,327</w:t>
            </w:r>
          </w:p>
        </w:tc>
        <w:tc>
          <w:tcPr>
            <w:tcW w:w="36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81"/>
              <w:spacing w:after="0" w:line="189" w:lineRule="exact"/>
              <w:rPr>
                <w:sz w:val="20"/>
                <w:szCs w:val="20"/>
                <w:color w:val="auto"/>
              </w:rPr>
            </w:pPr>
            <w:r>
              <w:rPr>
                <w:rFonts w:ascii="Arial" w:cs="Arial" w:eastAsia="Arial" w:hAnsi="Arial"/>
                <w:sz w:val="18"/>
                <w:szCs w:val="18"/>
                <w:color w:val="auto"/>
              </w:rPr>
              <w:t>1,273</w:t>
            </w:r>
          </w:p>
        </w:tc>
        <w:tc>
          <w:tcPr>
            <w:tcW w:w="1100" w:type="dxa"/>
            <w:vAlign w:val="bottom"/>
            <w:shd w:val="clear" w:color="auto" w:fill="E5E5E5"/>
          </w:tcPr>
          <w:p>
            <w:pPr>
              <w:jc w:val="right"/>
              <w:ind w:right="21"/>
              <w:spacing w:after="0" w:line="189" w:lineRule="exact"/>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3,585</w:t>
            </w:r>
          </w:p>
        </w:tc>
        <w:tc>
          <w:tcPr>
            <w:tcW w:w="30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81"/>
              <w:spacing w:after="0" w:line="189" w:lineRule="exact"/>
              <w:rPr>
                <w:sz w:val="20"/>
                <w:szCs w:val="20"/>
                <w:color w:val="auto"/>
              </w:rPr>
            </w:pPr>
            <w:r>
              <w:rPr>
                <w:rFonts w:ascii="Arial" w:cs="Arial" w:eastAsia="Arial" w:hAnsi="Arial"/>
                <w:sz w:val="18"/>
                <w:szCs w:val="18"/>
                <w:color w:val="auto"/>
              </w:rPr>
              <w:t>3,455</w:t>
            </w:r>
          </w:p>
        </w:tc>
        <w:tc>
          <w:tcPr>
            <w:tcW w:w="9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22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400" w:type="dxa"/>
            <w:vAlign w:val="bottom"/>
          </w:tcPr>
          <w:p>
            <w:pPr>
              <w:spacing w:after="0"/>
              <w:rPr>
                <w:sz w:val="21"/>
                <w:szCs w:val="21"/>
                <w:color w:val="auto"/>
              </w:rPr>
            </w:pPr>
          </w:p>
        </w:tc>
        <w:tc>
          <w:tcPr>
            <w:tcW w:w="800" w:type="dxa"/>
            <w:vAlign w:val="bottom"/>
          </w:tcPr>
          <w:p>
            <w:pPr>
              <w:jc w:val="right"/>
              <w:ind w:right="41"/>
              <w:spacing w:after="0"/>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21"/>
                <w:szCs w:val="21"/>
                <w:color w:val="auto"/>
              </w:rPr>
            </w:pPr>
          </w:p>
        </w:tc>
        <w:tc>
          <w:tcPr>
            <w:tcW w:w="1040" w:type="dxa"/>
            <w:vAlign w:val="bottom"/>
          </w:tcPr>
          <w:p>
            <w:pPr>
              <w:jc w:val="right"/>
              <w:ind w:right="181"/>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(1)ppt</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1"/>
                <w:szCs w:val="21"/>
                <w:color w:val="auto"/>
              </w:rPr>
            </w:pPr>
          </w:p>
        </w:tc>
        <w:tc>
          <w:tcPr>
            <w:tcW w:w="900" w:type="dxa"/>
            <w:vAlign w:val="bottom"/>
          </w:tcPr>
          <w:p>
            <w:pPr>
              <w:jc w:val="right"/>
              <w:ind w:right="81"/>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0ppt</w:t>
            </w:r>
          </w:p>
        </w:tc>
        <w:tc>
          <w:tcPr>
            <w:tcW w:w="0" w:type="dxa"/>
            <w:vAlign w:val="bottom"/>
          </w:tcPr>
          <w:p>
            <w:pPr>
              <w:spacing w:after="0"/>
              <w:rPr>
                <w:sz w:val="1"/>
                <w:szCs w:val="1"/>
                <w:color w:val="auto"/>
              </w:rPr>
            </w:pPr>
          </w:p>
        </w:tc>
      </w:tr>
      <w:tr>
        <w:trPr>
          <w:trHeight w:val="22"/>
        </w:trPr>
        <w:tc>
          <w:tcPr>
            <w:tcW w:w="3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ind w:right="3620"/>
        <w:spacing w:after="0" w:line="459" w:lineRule="auto"/>
        <w:rPr>
          <w:sz w:val="20"/>
          <w:szCs w:val="20"/>
          <w:color w:val="auto"/>
        </w:rPr>
      </w:pPr>
      <w:r>
        <w:rPr>
          <w:rFonts w:ascii="Arial" w:cs="Arial" w:eastAsia="Arial" w:hAnsi="Arial"/>
          <w:sz w:val="18"/>
          <w:szCs w:val="18"/>
          <w:b w:val="1"/>
          <w:bCs w:val="1"/>
          <w:i w:val="1"/>
          <w:iCs w:val="1"/>
          <w:color w:val="auto"/>
        </w:rPr>
        <w:t xml:space="preserve">Three Months Ended March 31, 2021 Compared with Three Months Ended March 31, 2020 </w:t>
      </w:r>
      <w:r>
        <w:rPr>
          <w:rFonts w:ascii="Arial" w:cs="Arial" w:eastAsia="Arial" w:hAnsi="Arial"/>
          <w:sz w:val="18"/>
          <w:szCs w:val="18"/>
          <w:color w:val="auto"/>
        </w:rPr>
        <w:t>General and administrative expenses increased $54 million or 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2021 Compared with Nine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$130 million or 4%, driven by an increase in business taxes.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Nine Months Ended</w:t>
            </w:r>
          </w:p>
        </w:tc>
      </w:tr>
      <w:tr>
        <w:trPr>
          <w:trHeight w:val="178"/>
        </w:trPr>
        <w:tc>
          <w:tcPr>
            <w:tcW w:w="52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r>
      <w:tr>
        <w:trPr>
          <w:trHeight w:val="54"/>
        </w:trPr>
        <w:tc>
          <w:tcPr>
            <w:tcW w:w="5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5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9"/>
                <w:szCs w:val="19"/>
                <w:color w:val="auto"/>
              </w:rPr>
            </w:pPr>
          </w:p>
        </w:tc>
      </w:tr>
      <w:tr>
        <w:trPr>
          <w:trHeight w:val="55"/>
        </w:trPr>
        <w:tc>
          <w:tcPr>
            <w:tcW w:w="5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12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519</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673</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1,634</w:t>
            </w: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2,085</w:t>
            </w:r>
          </w:p>
        </w:tc>
        <w:tc>
          <w:tcPr>
            <w:tcW w:w="120" w:type="dxa"/>
            <w:vAlign w:val="bottom"/>
            <w:shd w:val="clear" w:color="auto" w:fill="E5E5E5"/>
          </w:tcPr>
          <w:p>
            <w:pPr>
              <w:spacing w:after="0"/>
              <w:rPr>
                <w:sz w:val="16"/>
                <w:szCs w:val="16"/>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(633)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(614)</w:t>
            </w:r>
          </w:p>
        </w:tc>
        <w:tc>
          <w:tcPr>
            <w:tcW w:w="36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(1,793)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(1,905)</w:t>
            </w:r>
          </w:p>
        </w:tc>
      </w:tr>
      <w:tr>
        <w:trPr>
          <w:trHeight w:val="189"/>
        </w:trPr>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(losses) on investments</w:t>
            </w:r>
          </w:p>
        </w:tc>
        <w:tc>
          <w:tcPr>
            <w:tcW w:w="7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353</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(101)</w:t>
            </w:r>
          </w:p>
        </w:tc>
        <w:tc>
          <w:tcPr>
            <w:tcW w:w="3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837</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w:t>
            </w:r>
          </w:p>
        </w:tc>
        <w:tc>
          <w:tcPr>
            <w:tcW w:w="120" w:type="dxa"/>
            <w:vAlign w:val="bottom"/>
            <w:shd w:val="clear" w:color="auto" w:fill="E5E5E5"/>
          </w:tcPr>
          <w:p>
            <w:pPr>
              <w:spacing w:after="0"/>
              <w:rPr>
                <w:sz w:val="16"/>
                <w:szCs w:val="16"/>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49</w:t>
            </w:r>
          </w:p>
        </w:tc>
        <w:tc>
          <w:tcPr>
            <w:tcW w:w="36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136</w:t>
            </w:r>
          </w:p>
        </w:tc>
        <w:tc>
          <w:tcPr>
            <w:tcW w:w="120" w:type="dxa"/>
            <w:vAlign w:val="bottom"/>
          </w:tcPr>
          <w:p>
            <w:pPr>
              <w:spacing w:after="0"/>
              <w:rPr>
                <w:sz w:val="16"/>
                <w:szCs w:val="16"/>
                <w:color w:val="auto"/>
              </w:rPr>
            </w:pPr>
          </w:p>
        </w:tc>
      </w:tr>
      <w:tr>
        <w:trPr>
          <w:trHeight w:val="189"/>
        </w:trPr>
        <w:tc>
          <w:tcPr>
            <w:tcW w:w="5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7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(55)</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(136)</w:t>
            </w:r>
          </w:p>
        </w:tc>
        <w:tc>
          <w:tcPr>
            <w:tcW w:w="3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126</w:t>
            </w:r>
          </w:p>
        </w:tc>
        <w:tc>
          <w:tcPr>
            <w:tcW w:w="1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(218)</w:t>
            </w:r>
          </w:p>
        </w:tc>
      </w:tr>
      <w:tr>
        <w:trPr>
          <w:trHeight w:val="250"/>
        </w:trPr>
        <w:tc>
          <w:tcPr>
            <w:tcW w:w="5220" w:type="dxa"/>
            <w:vAlign w:val="bottom"/>
          </w:tcPr>
          <w:p>
            <w:pPr>
              <w:spacing w:after="0"/>
              <w:rPr>
                <w:sz w:val="20"/>
                <w:szCs w:val="20"/>
                <w:color w:val="auto"/>
              </w:rPr>
            </w:pPr>
            <w:r>
              <w:rPr>
                <w:rFonts w:ascii="Arial" w:cs="Arial" w:eastAsia="Arial" w:hAnsi="Arial"/>
                <w:sz w:val="18"/>
                <w:szCs w:val="18"/>
                <w:color w:val="auto"/>
              </w:rPr>
              <w:t>Other, net</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68"/>
        </w:trPr>
        <w:tc>
          <w:tcPr>
            <w:tcW w:w="52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52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188</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(132)</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876</w:t>
            </w:r>
          </w:p>
        </w:tc>
        <w:tc>
          <w:tcPr>
            <w:tcW w:w="4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62</w:t>
            </w:r>
          </w:p>
        </w:tc>
        <w:tc>
          <w:tcPr>
            <w:tcW w:w="120" w:type="dxa"/>
            <w:vAlign w:val="bottom"/>
            <w:shd w:val="clear" w:color="auto" w:fill="E5E5E5"/>
          </w:tcPr>
          <w:p>
            <w:pPr>
              <w:spacing w:after="0"/>
              <w:rPr>
                <w:sz w:val="16"/>
                <w:szCs w:val="16"/>
                <w:color w:val="auto"/>
              </w:rPr>
            </w:pPr>
          </w:p>
        </w:tc>
      </w:tr>
      <w:tr>
        <w:trPr>
          <w:trHeight w:val="74"/>
        </w:trPr>
        <w:tc>
          <w:tcPr>
            <w:tcW w:w="5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Interest and dividends income decreased due to lower yields on fixed-income securities. Interest expense increased due to debt exchange transaction fees and higher finance lease expense, offset in part by a decrease in outstanding long-term debt due to debt maturities. Net recognized gains on investments increased due to higher gains on equity securities. Net losses on derivatives increased due to losses on interest rate derivatives as compared to gains in the prior period and lower gains on foreign currency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2021 Compared with Nine Months Ended March 31, 2020</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Interest and dividends income decreased due to lower yields on fixed-income securities. Interest expense decreased due to a decrease in outstanding long-term debt due to debt maturities and higher capitalization of interest expense, offset in part by debt exchange transaction fees and higher finance lease expense. Net recognized gains on investments increased due to higher gains on equity securities. Net losses on derivatives increased due to lower gains on foreign currency contracts and losses on interest rate derivatives as compared to gains in the prior period.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10% and 16% for the three months ended March 31, 2021 and 2020, respectively, and 13% and 16% for the nine months ended March 31, 2021 and 2020, respectively. The decrease in our effective tax rate for the three and nine months ended March 31, 2021 compared to the prior year was primarily due to tax benefits from a decision by the India Supreme Court on withholding taxes in the case of Engineering Analysis Centre of Excellence Private Limited vs The Commissioner of Income Tax, as well as an agreement between</w:t>
      </w:r>
    </w:p>
    <w:p>
      <w:pPr>
        <w:spacing w:after="0" w:line="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and India tax authorities related to transfer pricing. The Commissioner of Income Tax decision involves appeals filed by 86 individual companies operating in India, some dating back to 2012. Microsoft was not a party to any of the appeals but is impacted by the decision.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2" w:name="page43"/>
    <w:bookmarkEnd w:id="4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historically paid India withholding taxes on software sales through distributor withholding and tax audit assessments in India. In March 2021, the India Supreme Court ruled favorably for the companies in the 86 separate appeals, holding that software sales are not subject to India withholding taxes. Although we were not a party to the appeals, our software sales in India were determined to be not subject to withholding taxes. Therefore, we recorded a net income tax benefit of $620 million in the third quarter of fiscal year 2021 to reflect the results of the India Supreme Court decision impacting fiscal year 1996 through fiscal year 2016.</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lower than the U.S. federal statutory rate for the three and nine months ended March 31, 2021, primarily due to earnings taxed at lower rates in foreign jurisdictions resulting from producing and distributing our products and services through our foreign regional operations centers in Ireland and Puerto Rico, tax benefits relating to stock-based compensation, and tax benefits from the India Supreme Court decision on withholding taxes.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2020, some of which are currently under audit by local tax authorities. The resolution of each of these audits is not expected to be material to our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adjusted diluted EPS are non-GAAP financial measures which exclude the tax benefits related to the India Supreme Court decision on withholding taxes.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Percentage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16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64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15,457</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10,752</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44%</w:t>
            </w:r>
          </w:p>
        </w:tc>
        <w:tc>
          <w:tcPr>
            <w:tcW w:w="2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44,813</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33,079</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5"/>
        </w:trPr>
        <w:tc>
          <w:tcPr>
            <w:tcW w:w="4640" w:type="dxa"/>
            <w:vAlign w:val="bottom"/>
            <w:gridSpan w:val="2"/>
          </w:tcPr>
          <w:p>
            <w:pPr>
              <w:spacing w:after="0" w:line="175" w:lineRule="exact"/>
              <w:rPr>
                <w:sz w:val="20"/>
                <w:szCs w:val="20"/>
                <w:color w:val="auto"/>
              </w:rPr>
            </w:pPr>
            <w:r>
              <w:rPr>
                <w:rFonts w:ascii="Arial" w:cs="Arial" w:eastAsia="Arial" w:hAnsi="Arial"/>
                <w:sz w:val="18"/>
                <w:szCs w:val="18"/>
                <w:color w:val="auto"/>
              </w:rPr>
              <w:t>Net income tax benefit related to India Supreme Court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(620)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480" w:type="dxa"/>
            <w:vAlign w:val="bottom"/>
          </w:tcPr>
          <w:p>
            <w:pPr>
              <w:ind w:left="60"/>
              <w:spacing w:after="0"/>
              <w:rPr>
                <w:sz w:val="20"/>
                <w:szCs w:val="20"/>
                <w:color w:val="auto"/>
              </w:rPr>
            </w:pPr>
            <w:r>
              <w:rPr>
                <w:rFonts w:ascii="Arial" w:cs="Arial" w:eastAsia="Arial" w:hAnsi="Arial"/>
                <w:sz w:val="18"/>
                <w:szCs w:val="18"/>
                <w:color w:val="auto"/>
              </w:rPr>
              <w:t>decision on withholding taxes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6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4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Adjusted net income (non-GAAP)</w:t>
            </w:r>
          </w:p>
        </w:tc>
        <w:tc>
          <w:tcPr>
            <w:tcW w:w="5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14,837</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10,752</w:t>
            </w: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w:t>
            </w:r>
          </w:p>
        </w:tc>
        <w:tc>
          <w:tcPr>
            <w:tcW w:w="2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44,193</w:t>
            </w:r>
          </w:p>
        </w:tc>
        <w:tc>
          <w:tcPr>
            <w:tcW w:w="2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33,079</w:t>
            </w:r>
          </w:p>
        </w:tc>
        <w:tc>
          <w:tcPr>
            <w:tcW w:w="9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75"/>
        </w:trPr>
        <w:tc>
          <w:tcPr>
            <w:tcW w:w="464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6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E5E5E5"/>
          </w:tcPr>
          <w:p>
            <w:pPr>
              <w:spacing w:after="0" w:line="175" w:lineRule="exact"/>
              <w:rPr>
                <w:sz w:val="20"/>
                <w:szCs w:val="20"/>
                <w:color w:val="auto"/>
              </w:rPr>
            </w:pPr>
            <w:r>
              <w:rPr>
                <w:rFonts w:ascii="Arial" w:cs="Arial" w:eastAsia="Arial" w:hAnsi="Arial"/>
                <w:sz w:val="18"/>
                <w:szCs w:val="18"/>
                <w:color w:val="auto"/>
              </w:rPr>
              <w:t>Net income tax benefit related to India Supreme Court</w:t>
            </w:r>
          </w:p>
        </w:tc>
        <w:tc>
          <w:tcPr>
            <w:tcW w:w="3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4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(0.08)</w:t>
            </w: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82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(0.08)</w:t>
            </w:r>
          </w:p>
        </w:tc>
        <w:tc>
          <w:tcPr>
            <w:tcW w:w="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E5E5E5"/>
          </w:tcPr>
          <w:p>
            <w:pPr>
              <w:spacing w:after="0"/>
              <w:rPr>
                <w:sz w:val="17"/>
                <w:szCs w:val="17"/>
                <w:color w:val="auto"/>
              </w:rPr>
            </w:pPr>
          </w:p>
        </w:tc>
        <w:tc>
          <w:tcPr>
            <w:tcW w:w="448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decision on withholding taxes</w:t>
            </w:r>
          </w:p>
        </w:tc>
        <w:tc>
          <w:tcPr>
            <w:tcW w:w="3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40" w:type="dxa"/>
            <w:vAlign w:val="bottom"/>
            <w:gridSpan w:val="2"/>
            <w:vMerge w:val="continue"/>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40"/>
              <w:spacing w:after="0" w:line="203" w:lineRule="exact"/>
              <w:rPr>
                <w:sz w:val="20"/>
                <w:szCs w:val="20"/>
                <w:color w:val="auto"/>
              </w:rPr>
            </w:pPr>
            <w:r>
              <w:rPr>
                <w:rFonts w:ascii="Arial" w:cs="Arial" w:eastAsia="Arial" w:hAnsi="Arial"/>
                <w:sz w:val="18"/>
                <w:szCs w:val="18"/>
                <w:color w:val="auto"/>
              </w:rPr>
              <w:t>0</w:t>
            </w:r>
          </w:p>
        </w:tc>
        <w:tc>
          <w:tcPr>
            <w:tcW w:w="9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gridSpan w:val="2"/>
            <w:vMerge w:val="continue"/>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40"/>
              <w:spacing w:after="0" w:line="203" w:lineRule="exact"/>
              <w:rPr>
                <w:sz w:val="20"/>
                <w:szCs w:val="20"/>
                <w:color w:val="auto"/>
              </w:rPr>
            </w:pPr>
            <w:r>
              <w:rPr>
                <w:rFonts w:ascii="Arial" w:cs="Arial" w:eastAsia="Arial" w:hAnsi="Arial"/>
                <w:sz w:val="18"/>
                <w:szCs w:val="18"/>
                <w:color w:val="auto"/>
              </w:rPr>
              <w:t>0.00</w:t>
            </w:r>
          </w:p>
        </w:tc>
        <w:tc>
          <w:tcPr>
            <w:tcW w:w="96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64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40" w:type="dxa"/>
            <w:vAlign w:val="bottom"/>
            <w:gridSpan w:val="2"/>
          </w:tcPr>
          <w:p>
            <w:pPr>
              <w:spacing w:after="0"/>
              <w:rPr>
                <w:sz w:val="20"/>
                <w:szCs w:val="20"/>
                <w:color w:val="auto"/>
              </w:rPr>
            </w:pPr>
            <w:r>
              <w:rPr>
                <w:rFonts w:ascii="Arial" w:cs="Arial" w:eastAsia="Arial" w:hAnsi="Arial"/>
                <w:sz w:val="18"/>
                <w:szCs w:val="18"/>
                <w:color w:val="auto"/>
              </w:rPr>
              <w:t>Adjusted diluted earnings per share (non-GAAP)</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1"/>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448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3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60" w:type="dxa"/>
            <w:vAlign w:val="bottom"/>
            <w:vMerge w:val="continue"/>
          </w:tcPr>
          <w:p>
            <w:pPr>
              <w:spacing w:after="0"/>
              <w:rPr>
                <w:sz w:val="24"/>
                <w:szCs w:val="24"/>
                <w:color w:val="auto"/>
              </w:rPr>
            </w:pPr>
          </w:p>
        </w:tc>
        <w:tc>
          <w:tcPr>
            <w:tcW w:w="4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3" w:name="page44"/>
    <w:bookmarkEnd w:id="4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$ 125.4 billion and $136.5 billion as of March 31, 2021 and June 30, 2020. Equity investments were $5.4 billion and $3.0 billion as of March 31, 2021 and June 30, 2020,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from operations increased $ 12.0 billion to $54.0 billion for the nine months ended March 31, 2021, mainly due to an increase in cash received from customers, offset in part by an increase in cash paid to suppliers and employees. Cash used in financing increased $3.3 billion to $37.1 billion for the nine months ended March 31, 2021, mainly due to a $3.0 billion increase in common stock repurchases, $1.8 billion of cash premium paid on debt exchange, and a $1.0 billion increase in dividends paid, offset in part by a $1.8 billion decrease in repayments of debt. Cash used in investing increased $9.0 billion to $16.7 billion for the nine months ended March 31, 2021, mainly due to a $7.5 billion increase in cash used for acquisitions of companies, net of cash acquired, and purchases of intangible and other assets, and a $3.5 billion increase in additions to property and equipment, offset in part by a $3.4 billion increase in cash from net investment purchases, sales, and maturities.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March 2021 and June 2020, we exchanged a portion of our existing debt at a premium for cash and new debt with longer maturities to take advantage of favorable financing rates in the debt markets, reflecting our credit rating and the low interest rate environment. Refer to Note 10 – Debt of the Notes to Financial Statements (Part I, Item 1 of this Form 10-Q) for further discussion.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4" w:name="page45"/>
    <w:bookmarkEnd w:id="4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March 31,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8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4"/>
        </w:trPr>
        <w:tc>
          <w:tcPr>
            <w:tcW w:w="10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0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30, 2021</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14,184</w:t>
            </w:r>
          </w:p>
        </w:tc>
        <w:tc>
          <w:tcPr>
            <w:tcW w:w="120" w:type="dxa"/>
            <w:vAlign w:val="bottom"/>
            <w:shd w:val="clear" w:color="auto" w:fill="E5E5E5"/>
          </w:tcPr>
          <w:p>
            <w:pPr>
              <w:spacing w:after="0"/>
              <w:rPr>
                <w:sz w:val="16"/>
                <w:szCs w:val="16"/>
                <w:color w:val="auto"/>
              </w:rPr>
            </w:pPr>
          </w:p>
        </w:tc>
      </w:tr>
      <w:tr>
        <w:trPr>
          <w:trHeight w:val="189"/>
        </w:trPr>
        <w:tc>
          <w:tcPr>
            <w:tcW w:w="10080" w:type="dxa"/>
            <w:vAlign w:val="bottom"/>
          </w:tcPr>
          <w:p>
            <w:pPr>
              <w:spacing w:after="0" w:line="189" w:lineRule="exact"/>
              <w:rPr>
                <w:sz w:val="20"/>
                <w:szCs w:val="20"/>
                <w:color w:val="auto"/>
              </w:rPr>
            </w:pPr>
            <w:r>
              <w:rPr>
                <w:rFonts w:ascii="Arial" w:cs="Arial" w:eastAsia="Arial" w:hAnsi="Arial"/>
                <w:sz w:val="18"/>
                <w:szCs w:val="18"/>
                <w:color w:val="auto"/>
              </w:rPr>
              <w:t>September 30, 2021</w:t>
            </w:r>
          </w:p>
        </w:tc>
        <w:tc>
          <w:tcPr>
            <w:tcW w:w="3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7,851</w:t>
            </w:r>
          </w:p>
        </w:tc>
        <w:tc>
          <w:tcPr>
            <w:tcW w:w="120" w:type="dxa"/>
            <w:vAlign w:val="bottom"/>
          </w:tcPr>
          <w:p>
            <w:pPr>
              <w:spacing w:after="0"/>
              <w:rPr>
                <w:sz w:val="16"/>
                <w:szCs w:val="16"/>
                <w:color w:val="auto"/>
              </w:rPr>
            </w:pPr>
          </w:p>
        </w:tc>
      </w:tr>
      <w:tr>
        <w:trPr>
          <w:trHeight w:val="189"/>
        </w:trPr>
        <w:tc>
          <w:tcPr>
            <w:tcW w:w="10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31, 2021</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5,781</w:t>
            </w:r>
          </w:p>
        </w:tc>
        <w:tc>
          <w:tcPr>
            <w:tcW w:w="120" w:type="dxa"/>
            <w:vAlign w:val="bottom"/>
            <w:shd w:val="clear" w:color="auto" w:fill="E5E5E5"/>
          </w:tcPr>
          <w:p>
            <w:pPr>
              <w:spacing w:after="0"/>
              <w:rPr>
                <w:sz w:val="16"/>
                <w:szCs w:val="16"/>
                <w:color w:val="auto"/>
              </w:rPr>
            </w:pPr>
          </w:p>
        </w:tc>
      </w:tr>
      <w:tr>
        <w:trPr>
          <w:trHeight w:val="189"/>
        </w:trPr>
        <w:tc>
          <w:tcPr>
            <w:tcW w:w="10080" w:type="dxa"/>
            <w:vAlign w:val="bottom"/>
          </w:tcPr>
          <w:p>
            <w:pPr>
              <w:spacing w:after="0" w:line="189" w:lineRule="exact"/>
              <w:rPr>
                <w:sz w:val="20"/>
                <w:szCs w:val="20"/>
                <w:color w:val="auto"/>
              </w:rPr>
            </w:pPr>
            <w:r>
              <w:rPr>
                <w:rFonts w:ascii="Arial" w:cs="Arial" w:eastAsia="Arial" w:hAnsi="Arial"/>
                <w:sz w:val="18"/>
                <w:szCs w:val="18"/>
                <w:color w:val="auto"/>
              </w:rPr>
              <w:t>March 31, 2022</w:t>
            </w:r>
          </w:p>
        </w:tc>
        <w:tc>
          <w:tcPr>
            <w:tcW w:w="3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2,267</w:t>
            </w:r>
          </w:p>
        </w:tc>
        <w:tc>
          <w:tcPr>
            <w:tcW w:w="120" w:type="dxa"/>
            <w:vAlign w:val="bottom"/>
          </w:tcPr>
          <w:p>
            <w:pPr>
              <w:spacing w:after="0"/>
              <w:rPr>
                <w:sz w:val="16"/>
                <w:szCs w:val="16"/>
                <w:color w:val="auto"/>
              </w:rPr>
            </w:pPr>
          </w:p>
        </w:tc>
      </w:tr>
      <w:tr>
        <w:trPr>
          <w:trHeight w:val="189"/>
        </w:trPr>
        <w:tc>
          <w:tcPr>
            <w:tcW w:w="10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2,631</w:t>
            </w:r>
          </w:p>
        </w:tc>
        <w:tc>
          <w:tcPr>
            <w:tcW w:w="120" w:type="dxa"/>
            <w:vAlign w:val="bottom"/>
            <w:shd w:val="clear" w:color="auto" w:fill="E5E5E5"/>
          </w:tcPr>
          <w:p>
            <w:pPr>
              <w:spacing w:after="0"/>
              <w:rPr>
                <w:sz w:val="16"/>
                <w:szCs w:val="16"/>
                <w:color w:val="auto"/>
              </w:rPr>
            </w:pPr>
          </w:p>
        </w:tc>
      </w:tr>
      <w:tr>
        <w:trPr>
          <w:trHeight w:val="68"/>
        </w:trPr>
        <w:tc>
          <w:tcPr>
            <w:tcW w:w="100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4"/>
        </w:trPr>
        <w:tc>
          <w:tcPr>
            <w:tcW w:w="100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32,714</w:t>
            </w:r>
          </w:p>
        </w:tc>
        <w:tc>
          <w:tcPr>
            <w:tcW w:w="120" w:type="dxa"/>
            <w:vAlign w:val="bottom"/>
          </w:tcPr>
          <w:p>
            <w:pPr>
              <w:spacing w:after="0"/>
              <w:rPr>
                <w:sz w:val="22"/>
                <w:szCs w:val="22"/>
                <w:color w:val="auto"/>
              </w:rPr>
            </w:pPr>
          </w:p>
        </w:tc>
      </w:tr>
      <w:tr>
        <w:trPr>
          <w:trHeight w:val="61"/>
        </w:trPr>
        <w:tc>
          <w:tcPr>
            <w:tcW w:w="100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nine months ended March 31, 2021 and 2020, we repurchased 77 million shares and 98 million shares of our common stock for $16.8 billion and $14.6 billion, respectively, through our share repurchase programs. All repurchases were made using cash resources. Refer to Note 15 – Stockholders’ Equity of the Notes to Financial Statements (Part I, Item 1 of this Form 10-Q)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 Stockholders’ Equity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$19.7 billion, inclusive of Nuance’s net debt. We expect this acquisition to close by the end of calendar year 2021, subject to approval by Nuance’s shareholders, the satisfaction of certain regulatory approvals, and other customary closing conditions.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5" w:name="page46"/>
    <w:bookmarkEnd w:id="4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$4.7 billion, which included $1.5 billion during the nine months ended March 31, 2021. The remaining transition tax of $13.6 billion is payable over the next five years with a final payment in fiscal year 2026.</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32"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as well as uncertainty in the current economic environment due to COVID-19. Critical accounting policies for us include revenue recognition, impairment of investment securities, goodwill, research and development costs, contingencies, income taxes, and inventories.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6" w:name="page47"/>
    <w:bookmarkEnd w:id="4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7" w:name="page48"/>
    <w:bookmarkEnd w:id="4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3"/>
          <w:szCs w:val="13"/>
          <w:u w:val="single" w:color="auto"/>
          <w:color w:val="auto"/>
        </w:rPr>
        <w:t>PART I</w:t>
      </w:r>
    </w:p>
    <w:p>
      <w:pPr>
        <w:jc w:val="center"/>
        <w:spacing w:after="0"/>
        <w:rPr>
          <w:sz w:val="20"/>
          <w:szCs w:val="20"/>
          <w:color w:val="auto"/>
        </w:rPr>
      </w:pPr>
      <w:r>
        <w:rPr>
          <w:rFonts w:ascii="Arial" w:cs="Arial" w:eastAsia="Arial" w:hAnsi="Arial"/>
          <w:sz w:val="13"/>
          <w:szCs w:val="13"/>
          <w:color w:val="auto"/>
        </w:rPr>
        <w:t>Item 3, 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b w:val="1"/>
                <w:bCs w:val="1"/>
                <w:color w:val="auto"/>
              </w:rPr>
              <w:t>March 31,</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920" w:type="dxa"/>
            <w:vAlign w:val="bottom"/>
          </w:tcPr>
          <w:p>
            <w:pPr>
              <w:spacing w:after="0"/>
              <w:rPr>
                <w:sz w:val="20"/>
                <w:szCs w:val="20"/>
                <w:color w:val="auto"/>
              </w:rPr>
            </w:pPr>
            <w:r>
              <w:rPr>
                <w:rFonts w:ascii="Arial" w:cs="Arial" w:eastAsia="Arial" w:hAnsi="Arial"/>
                <w:sz w:val="13"/>
                <w:szCs w:val="13"/>
                <w:b w:val="1"/>
                <w:bCs w:val="1"/>
                <w:color w:val="auto"/>
              </w:rPr>
              <w:t>Risk Categories</w:t>
            </w:r>
          </w:p>
        </w:tc>
        <w:tc>
          <w:tcPr>
            <w:tcW w:w="5200" w:type="dxa"/>
            <w:vAlign w:val="bottom"/>
          </w:tcPr>
          <w:p>
            <w:pPr>
              <w:ind w:left="460"/>
              <w:spacing w:after="0"/>
              <w:rPr>
                <w:sz w:val="20"/>
                <w:szCs w:val="20"/>
                <w:color w:val="auto"/>
              </w:rPr>
            </w:pPr>
            <w:r>
              <w:rPr>
                <w:rFonts w:ascii="Arial" w:cs="Arial" w:eastAsia="Arial" w:hAnsi="Arial"/>
                <w:sz w:val="13"/>
                <w:szCs w:val="13"/>
                <w:b w:val="1"/>
                <w:bCs w:val="1"/>
                <w:color w:val="auto"/>
              </w:rPr>
              <w:t>Hypothetical Change</w:t>
            </w:r>
          </w:p>
        </w:tc>
        <w:tc>
          <w:tcPr>
            <w:tcW w:w="82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Impact</w:t>
            </w:r>
          </w:p>
        </w:tc>
      </w:tr>
      <w:tr>
        <w:trPr>
          <w:trHeight w:val="55"/>
        </w:trPr>
        <w:tc>
          <w:tcPr>
            <w:tcW w:w="2920" w:type="dxa"/>
            <w:vAlign w:val="bottom"/>
          </w:tcPr>
          <w:p>
            <w:pPr>
              <w:spacing w:after="0"/>
              <w:rPr>
                <w:sz w:val="4"/>
                <w:szCs w:val="4"/>
                <w:color w:val="auto"/>
              </w:rPr>
            </w:pPr>
          </w:p>
        </w:tc>
        <w:tc>
          <w:tcPr>
            <w:tcW w:w="5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292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Foreign currency</w:t>
            </w:r>
            <w:r>
              <w:rPr>
                <w:rFonts w:ascii="Arial" w:cs="Arial" w:eastAsia="Arial" w:hAnsi="Arial"/>
                <w:sz w:val="21"/>
                <w:szCs w:val="21"/>
                <w:color w:val="auto"/>
              </w:rPr>
              <w:t>–</w:t>
            </w:r>
            <w:r>
              <w:rPr>
                <w:rFonts w:ascii="Arial" w:cs="Arial" w:eastAsia="Arial" w:hAnsi="Arial"/>
                <w:sz w:val="18"/>
                <w:szCs w:val="18"/>
                <w:color w:val="auto"/>
              </w:rPr>
              <w:t>Revenue</w:t>
            </w:r>
          </w:p>
        </w:tc>
        <w:tc>
          <w:tcPr>
            <w:tcW w:w="520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color w:val="auto"/>
              </w:rPr>
              <w:t>10% decrease in foreign exchange rates</w:t>
            </w:r>
          </w:p>
        </w:tc>
        <w:tc>
          <w:tcPr>
            <w:tcW w:w="82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(5,983)</w:t>
            </w:r>
          </w:p>
        </w:tc>
        <w:tc>
          <w:tcPr>
            <w:tcW w:w="1220" w:type="dxa"/>
            <w:vAlign w:val="bottom"/>
            <w:gridSpan w:val="2"/>
            <w:shd w:val="clear" w:color="auto" w:fill="E5E5E5"/>
          </w:tcPr>
          <w:p>
            <w:pPr>
              <w:ind w:left="80"/>
              <w:spacing w:after="0" w:line="202" w:lineRule="exact"/>
              <w:rPr>
                <w:sz w:val="20"/>
                <w:szCs w:val="20"/>
                <w:color w:val="auto"/>
              </w:rPr>
            </w:pPr>
            <w:r>
              <w:rPr>
                <w:rFonts w:ascii="Arial" w:cs="Arial" w:eastAsia="Arial" w:hAnsi="Arial"/>
                <w:sz w:val="18"/>
                <w:szCs w:val="18"/>
                <w:color w:val="auto"/>
              </w:rPr>
              <w:t>Earnings</w:t>
            </w:r>
          </w:p>
        </w:tc>
      </w:tr>
      <w:tr>
        <w:trPr>
          <w:trHeight w:val="203"/>
        </w:trPr>
        <w:tc>
          <w:tcPr>
            <w:tcW w:w="2920" w:type="dxa"/>
            <w:vAlign w:val="bottom"/>
          </w:tcPr>
          <w:p>
            <w:pPr>
              <w:spacing w:after="0" w:line="203" w:lineRule="exact"/>
              <w:rPr>
                <w:sz w:val="20"/>
                <w:szCs w:val="20"/>
                <w:color w:val="auto"/>
              </w:rPr>
            </w:pPr>
            <w:r>
              <w:rPr>
                <w:rFonts w:ascii="Arial" w:cs="Arial" w:eastAsia="Arial" w:hAnsi="Arial"/>
                <w:sz w:val="18"/>
                <w:szCs w:val="18"/>
                <w:color w:val="auto"/>
              </w:rPr>
              <w:t>Foreign currency</w:t>
            </w:r>
            <w:r>
              <w:rPr>
                <w:rFonts w:ascii="Arial" w:cs="Arial" w:eastAsia="Arial" w:hAnsi="Arial"/>
                <w:sz w:val="21"/>
                <w:szCs w:val="21"/>
                <w:color w:val="auto"/>
              </w:rPr>
              <w:t>–</w:t>
            </w:r>
            <w:r>
              <w:rPr>
                <w:rFonts w:ascii="Arial" w:cs="Arial" w:eastAsia="Arial" w:hAnsi="Arial"/>
                <w:sz w:val="18"/>
                <w:szCs w:val="18"/>
                <w:color w:val="auto"/>
              </w:rPr>
              <w:t>Investments</w:t>
            </w:r>
          </w:p>
        </w:tc>
        <w:tc>
          <w:tcPr>
            <w:tcW w:w="5200" w:type="dxa"/>
            <w:vAlign w:val="bottom"/>
          </w:tcPr>
          <w:p>
            <w:pPr>
              <w:ind w:left="460"/>
              <w:spacing w:after="0" w:line="202" w:lineRule="exact"/>
              <w:rPr>
                <w:sz w:val="20"/>
                <w:szCs w:val="20"/>
                <w:color w:val="auto"/>
              </w:rPr>
            </w:pPr>
            <w:r>
              <w:rPr>
                <w:rFonts w:ascii="Arial" w:cs="Arial" w:eastAsia="Arial" w:hAnsi="Arial"/>
                <w:sz w:val="18"/>
                <w:szCs w:val="18"/>
                <w:color w:val="auto"/>
              </w:rPr>
              <w:t>10% decrease in foreign exchange rates</w:t>
            </w:r>
          </w:p>
        </w:tc>
        <w:tc>
          <w:tcPr>
            <w:tcW w:w="8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(141)</w:t>
            </w:r>
          </w:p>
        </w:tc>
        <w:tc>
          <w:tcPr>
            <w:tcW w:w="1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Fair Value</w:t>
            </w:r>
          </w:p>
        </w:tc>
      </w:tr>
      <w:tr>
        <w:trPr>
          <w:trHeight w:val="189"/>
        </w:trPr>
        <w:tc>
          <w:tcPr>
            <w:tcW w:w="2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20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820" w:type="dxa"/>
            <w:vAlign w:val="bottom"/>
            <w:shd w:val="clear" w:color="auto" w:fill="E5E5E5"/>
          </w:tcPr>
          <w:p>
            <w:pPr>
              <w:spacing w:after="0"/>
              <w:rPr>
                <w:sz w:val="16"/>
                <w:szCs w:val="16"/>
                <w:color w:val="auto"/>
              </w:rPr>
            </w:pPr>
          </w:p>
        </w:tc>
        <w:tc>
          <w:tcPr>
            <w:tcW w:w="10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(3,707)</w:t>
            </w:r>
          </w:p>
        </w:tc>
        <w:tc>
          <w:tcPr>
            <w:tcW w:w="122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2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200" w:type="dxa"/>
            <w:vAlign w:val="bottom"/>
          </w:tcPr>
          <w:p>
            <w:pPr>
              <w:ind w:left="46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8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(293)</w:t>
            </w:r>
          </w:p>
        </w:tc>
        <w:tc>
          <w:tcPr>
            <w:tcW w:w="122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200" w:type="dxa"/>
            <w:vAlign w:val="bottom"/>
            <w:shd w:val="clear" w:color="auto" w:fill="E5E5E5"/>
          </w:tcPr>
          <w:p>
            <w:pPr>
              <w:ind w:left="460"/>
              <w:spacing w:after="0" w:line="189" w:lineRule="exact"/>
              <w:rPr>
                <w:sz w:val="20"/>
                <w:szCs w:val="20"/>
                <w:color w:val="auto"/>
              </w:rPr>
            </w:pPr>
            <w:r>
              <w:rPr>
                <w:rFonts w:ascii="Arial" w:cs="Arial" w:eastAsia="Arial" w:hAnsi="Arial"/>
                <w:sz w:val="18"/>
                <w:szCs w:val="18"/>
                <w:color w:val="auto"/>
              </w:rPr>
              <w:t>10% decrease in equity market prices</w:t>
            </w:r>
          </w:p>
        </w:tc>
        <w:tc>
          <w:tcPr>
            <w:tcW w:w="820" w:type="dxa"/>
            <w:vAlign w:val="bottom"/>
            <w:shd w:val="clear" w:color="auto" w:fill="E5E5E5"/>
          </w:tcPr>
          <w:p>
            <w:pPr>
              <w:spacing w:after="0"/>
              <w:rPr>
                <w:sz w:val="16"/>
                <w:szCs w:val="16"/>
                <w:color w:val="auto"/>
              </w:rPr>
            </w:pPr>
          </w:p>
        </w:tc>
        <w:tc>
          <w:tcPr>
            <w:tcW w:w="10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(526)</w:t>
            </w:r>
          </w:p>
        </w:tc>
        <w:tc>
          <w:tcPr>
            <w:tcW w:w="122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Earnings</w:t>
            </w:r>
          </w:p>
        </w:tc>
      </w:tr>
      <w:tr>
        <w:trPr>
          <w:trHeight w:val="68"/>
        </w:trPr>
        <w:tc>
          <w:tcPr>
            <w:tcW w:w="292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u w:val="single" w:color="auto"/>
          <w:color w:val="auto"/>
        </w:rPr>
        <w:t>PART II</w:t>
      </w:r>
    </w:p>
    <w:p>
      <w:pPr>
        <w:jc w:val="center"/>
        <w:spacing w:after="0"/>
        <w:rPr>
          <w:sz w:val="20"/>
          <w:szCs w:val="20"/>
          <w:color w:val="auto"/>
        </w:rPr>
      </w:pPr>
      <w:r>
        <w:rPr>
          <w:rFonts w:ascii="Arial" w:cs="Arial" w:eastAsia="Arial" w:hAnsi="Arial"/>
          <w:sz w:val="13"/>
          <w:szCs w:val="13"/>
          <w:color w:val="auto"/>
        </w:rPr>
        <w:t>Item 1, 1A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6" w:lineRule="exact"/>
        <w:rPr>
          <w:sz w:val="20"/>
          <w:szCs w:val="20"/>
          <w:color w:val="auto"/>
        </w:rPr>
      </w:pPr>
    </w:p>
    <w:p>
      <w:pPr>
        <w:jc w:val="both"/>
        <w:ind w:left="1060" w:hanging="391"/>
        <w:spacing w:after="0" w:line="23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54" w:lineRule="exact"/>
        <w:rPr>
          <w:rFonts w:ascii="Arial" w:cs="Arial" w:eastAsia="Arial" w:hAnsi="Arial"/>
          <w:sz w:val="18"/>
          <w:szCs w:val="18"/>
          <w:color w:val="auto"/>
        </w:rPr>
      </w:pPr>
    </w:p>
    <w:p>
      <w:pPr>
        <w:jc w:val="both"/>
        <w:ind w:left="1060" w:hanging="391"/>
        <w:spacing w:after="0" w:line="23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jc w:val="both"/>
        <w:ind w:left="1060" w:hanging="391"/>
        <w:spacing w:after="0" w:line="23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3" w:lineRule="exact"/>
        <w:rPr>
          <w:rFonts w:ascii="Arial" w:cs="Arial" w:eastAsia="Arial" w:hAnsi="Arial"/>
          <w:sz w:val="18"/>
          <w:szCs w:val="18"/>
          <w:color w:val="auto"/>
        </w:rPr>
      </w:pPr>
    </w:p>
    <w:p>
      <w:pPr>
        <w:jc w:val="both"/>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achieve our business objectives.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8" w:lineRule="exact"/>
        <w:rPr>
          <w:sz w:val="20"/>
          <w:szCs w:val="20"/>
          <w:color w:val="auto"/>
        </w:rPr>
      </w:pPr>
    </w:p>
    <w:p>
      <w:pPr>
        <w:ind w:left="1060" w:hanging="391"/>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379" w:lineRule="exact"/>
        <w:rPr>
          <w:sz w:val="20"/>
          <w:szCs w:val="20"/>
          <w:color w:val="auto"/>
        </w:rPr>
      </w:pPr>
    </w:p>
    <w:p>
      <w:pPr>
        <w:ind w:left="1060" w:hanging="391"/>
        <w:spacing w:after="0" w:line="246"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SQL Server, Windows Server, Azure, Office 365, Xbox Live,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For example, in October 2018 we completed our acquisition of GitHub, Inc. (“GitHub”) for $7.5 billion, in March 2021 we completed our acquisition of ZeniMax Media Inc. for $8.1 billion, and in April 2021 we announced a definitive agreement to acquire Nuance Communications, Inc. for $19.7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 technologies or remediate the impacts of attacks, or otherwise adversely affect our business.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Solorigate/Nobelium or similar cyberattacks may adversely impact our customers even if our production services are not directly compromised. We are committed to notifying our customers whose systems have been impacted as we become aware and have available information and actions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 and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and social platform abuses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MSN, and Xbox Live, our reputation or user engagement may be negatively affected by activity that is hostile or inappropriate. This activity may come from users impersonating other people or organizations, use of our products or services to spread terrorist or violent extremist content or to disseminate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safety and service misuse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hosted consumer services as well as our enterprise services may be used by third parties to disseminate harmful or illegal content in violation of our terms or applicable law. We may not proactively discover such content due to scale and the limitations of existing technologies, and when discovered by users, such content may negatively affect our reputation, our brands, and user engagement. Regulations and other initiatives to make platforms responsible for preventing or eliminating harmful content online are gaining momentum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Issues in the use of AI in our offerings may result in reputational harm or liability</w:t>
      </w:r>
      <w:r>
        <w:rPr>
          <w:rFonts w:ascii="Arial" w:cs="Arial" w:eastAsia="Arial" w:hAnsi="Arial"/>
          <w:sz w:val="18"/>
          <w:szCs w:val="18"/>
          <w:color w:val="auto"/>
        </w:rPr>
        <w:t>. We are building AI into many of our offerings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this element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Inappropriate or controversial data practices by Microsoft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brand or reputational harm.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Microsoft 365, Microsoft Teams, Dynamics 365, OneDrive, SharePoint Online, Skype, Xbox Live,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70" w:lineRule="exact"/>
        <w:rPr>
          <w:sz w:val="20"/>
          <w:szCs w:val="20"/>
          <w:color w:val="auto"/>
        </w:rPr>
      </w:pPr>
    </w:p>
    <w:p>
      <w:pPr>
        <w:jc w:val="both"/>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jc w:val="both"/>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On July 22, 2019, our Hungarian subsidiary entered into a non-prosecution agreement (“NPA”) with the U.S. Department of Justice (“DOJ”) and we agreed to the terms of a cease and desist order with the Securities and Exchange Commission. These agreements required us to pay $25.3 million in monetary penalties, disgorgement, and interest pertaining to activities at Microsoft’s subsidiary in Hungary. The NPA, which has a three-year term, also contains certain ongoing compliance requirements, including the obligations to disclose to the DOJ issues that may implicate the FCPA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Operations outside the U.S. may be affected by changes in trade protection laws, policies, sanctions, and other regulatory requirements affecting trade and investment. We may be subject to legal liability and reputational damage if we sell goods or services in violation of U.S. trade sanctions on restricted entities or countries such as Crimea, Cuba, Iran, North Korea, Sudan, and Syria.</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and other data is inconsistent with their laws and regulations. Legislative or regulatory action relating to cybersecurity requirements may increase the costs to develop, implement, or secure our products and services. Legislative or regulatory action could also emerge in the area of AI and content moderation, increasing costs or restricting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has led to uncertainty about the legal requirements for data transfers from the EU under other legal mechanisms. Potential new rules and restrictions on the flow of data across borders could increase the cost and complexity of delivering our products and services in some markets. In May 2018, the EU General Data Protection Regulation (“GDPR”), became effective. The law, which applies to all of our activities conducted from an establishment in the EU or related to products and services offered in the EU, imposes a range of compliance obligations regarding the handling of personal data. Engineering efforts to build and maintain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our implementation to comply with the GDPR makes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it may lead to regulatory enforcement actions, which can result in monetary penalties of up to 4% of worldwide revenue, private lawsuits, reputational damage, and loss of customers. Countries around the world, and states in the U.S. such as California, have adopted, or are considering adopting or expanding, laws and regulations imposing obligations regarding the handling of personal data.</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66" w:lineRule="exact"/>
        <w:rPr>
          <w:sz w:val="20"/>
          <w:szCs w:val="20"/>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8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occurrence of regional epidemics or a global pandemic may adversely affect our operations, financial condition, and results of operations. The COVID-19 pandemic is having widespread,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 from home, supply chain logistical changes, and closure of non-essential businesses. To protect the health and well-being of our employees, suppliers, and customers, we have made substantial modifications to employee travel policies, implemented office closures as employees are advised to work from home, and cancelled or shifted our conferences and other marketing events to virtual-only through fiscal year 2021.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the COVID-19 pandemic began, we have experienced a range of impacts on our business, including adverse impacts to our supply chain and a slowdown in transactional licensing. 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15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Measures to contain the virus that impact us, our partners, distributors, and suppliers may further intensify these impacts and other risks described in these Risk Factors. Any of these may adversely impact our ability to:</w:t>
      </w:r>
    </w:p>
    <w:p>
      <w:pPr>
        <w:spacing w:after="0" w:line="48" w:lineRule="exact"/>
        <w:rPr>
          <w:sz w:val="20"/>
          <w:szCs w:val="20"/>
          <w:color w:val="auto"/>
        </w:rPr>
      </w:pPr>
    </w:p>
    <w:p>
      <w:pPr>
        <w:ind w:left="1060" w:hanging="391"/>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7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ind w:left="1060" w:hanging="391"/>
        <w:spacing w:after="0" w:line="246"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in specific countries may significantly alter the trade and commercial environments. Changes to trade policy or agreements as a result of populism, protectionism, or economic nationalism may result in higher tariffs, local sourcing initiatives,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third quarter of fiscal year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 Number</w:t>
            </w:r>
          </w:p>
        </w:tc>
        <w:tc>
          <w:tcPr>
            <w:tcW w:w="34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Approximate</w:t>
            </w:r>
          </w:p>
        </w:tc>
      </w:tr>
      <w:tr>
        <w:trPr>
          <w:trHeight w:val="148"/>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of Shares</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Dollar Value of</w:t>
            </w:r>
          </w:p>
        </w:tc>
      </w:tr>
      <w:tr>
        <w:trPr>
          <w:trHeight w:val="148"/>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 as</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 that May</w:t>
            </w:r>
          </w:p>
        </w:tc>
      </w:tr>
      <w:tr>
        <w:trPr>
          <w:trHeight w:val="148"/>
        </w:trPr>
        <w:tc>
          <w:tcPr>
            <w:tcW w:w="45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620" w:type="dxa"/>
            <w:vAlign w:val="bottom"/>
          </w:tcPr>
          <w:p>
            <w:pPr>
              <w:spacing w:after="0"/>
              <w:rPr>
                <w:sz w:val="12"/>
                <w:szCs w:val="12"/>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Average</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Part of Publicly</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Yet be Purchased</w:t>
            </w:r>
          </w:p>
        </w:tc>
      </w:tr>
      <w:tr>
        <w:trPr>
          <w:trHeight w:val="149"/>
        </w:trPr>
        <w:tc>
          <w:tcPr>
            <w:tcW w:w="45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620" w:type="dxa"/>
            <w:vAlign w:val="bottom"/>
          </w:tcPr>
          <w:p>
            <w:pPr>
              <w:spacing w:after="0"/>
              <w:rPr>
                <w:sz w:val="12"/>
                <w:szCs w:val="12"/>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Price Paid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Announced Plans</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under the Plans</w:t>
            </w:r>
          </w:p>
        </w:tc>
      </w:tr>
      <w:tr>
        <w:trPr>
          <w:trHeight w:val="178"/>
        </w:trPr>
        <w:tc>
          <w:tcPr>
            <w:tcW w:w="454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w:t>
            </w:r>
          </w:p>
        </w:tc>
        <w:tc>
          <w:tcPr>
            <w:tcW w:w="62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per Share</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c>
          <w:tcPr>
            <w:tcW w:w="34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r>
      <w:tr>
        <w:trPr>
          <w:trHeight w:val="55"/>
        </w:trPr>
        <w:tc>
          <w:tcPr>
            <w:tcW w:w="45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4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January 1, 2021 – January 31, 2021</w:t>
            </w:r>
          </w:p>
        </w:tc>
        <w:tc>
          <w:tcPr>
            <w:tcW w:w="15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8,066,091</w:t>
            </w:r>
          </w:p>
        </w:tc>
        <w:tc>
          <w:tcPr>
            <w:tcW w:w="62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221.76</w:t>
            </w:r>
          </w:p>
        </w:tc>
        <w:tc>
          <w:tcPr>
            <w:tcW w:w="15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8,066,091</w:t>
            </w:r>
          </w:p>
        </w:tc>
        <w:tc>
          <w:tcPr>
            <w:tcW w:w="3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18,903</w:t>
            </w:r>
          </w:p>
        </w:tc>
        <w:tc>
          <w:tcPr>
            <w:tcW w:w="100" w:type="dxa"/>
            <w:vAlign w:val="bottom"/>
            <w:shd w:val="clear" w:color="auto" w:fill="E5E5E5"/>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February 1, 2021 – February 28, 2021</w:t>
            </w:r>
          </w:p>
        </w:tc>
        <w:tc>
          <w:tcPr>
            <w:tcW w:w="15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7,767,601</w:t>
            </w:r>
          </w:p>
        </w:tc>
        <w:tc>
          <w:tcPr>
            <w:tcW w:w="620" w:type="dxa"/>
            <w:vAlign w:val="bottom"/>
          </w:tcPr>
          <w:p>
            <w:pPr>
              <w:spacing w:after="0"/>
              <w:rPr>
                <w:sz w:val="16"/>
                <w:szCs w:val="16"/>
                <w:color w:val="auto"/>
              </w:rPr>
            </w:pPr>
          </w:p>
        </w:tc>
        <w:tc>
          <w:tcPr>
            <w:tcW w:w="1360" w:type="dxa"/>
            <w:vAlign w:val="bottom"/>
          </w:tcPr>
          <w:p>
            <w:pPr>
              <w:jc w:val="right"/>
              <w:ind w:right="241"/>
              <w:spacing w:after="0" w:line="189" w:lineRule="exact"/>
              <w:rPr>
                <w:sz w:val="20"/>
                <w:szCs w:val="20"/>
                <w:color w:val="auto"/>
              </w:rPr>
            </w:pPr>
            <w:r>
              <w:rPr>
                <w:rFonts w:ascii="Arial" w:cs="Arial" w:eastAsia="Arial" w:hAnsi="Arial"/>
                <w:sz w:val="18"/>
                <w:szCs w:val="18"/>
                <w:b w:val="1"/>
                <w:bCs w:val="1"/>
                <w:color w:val="auto"/>
              </w:rPr>
              <w:t>239.58</w:t>
            </w:r>
          </w:p>
        </w:tc>
        <w:tc>
          <w:tcPr>
            <w:tcW w:w="15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7,767,601</w:t>
            </w:r>
          </w:p>
        </w:tc>
        <w:tc>
          <w:tcPr>
            <w:tcW w:w="3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17,043</w:t>
            </w:r>
          </w:p>
        </w:tc>
        <w:tc>
          <w:tcPr>
            <w:tcW w:w="100" w:type="dxa"/>
            <w:vAlign w:val="bottom"/>
          </w:tcPr>
          <w:p>
            <w:pPr>
              <w:spacing w:after="0"/>
              <w:rPr>
                <w:sz w:val="16"/>
                <w:szCs w:val="16"/>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1, 2021 – March 31, 2021</w:t>
            </w:r>
          </w:p>
        </w:tc>
        <w:tc>
          <w:tcPr>
            <w:tcW w:w="15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8,986,076</w:t>
            </w:r>
          </w:p>
        </w:tc>
        <w:tc>
          <w:tcPr>
            <w:tcW w:w="620" w:type="dxa"/>
            <w:vAlign w:val="bottom"/>
            <w:shd w:val="clear" w:color="auto" w:fill="E5E5E5"/>
          </w:tcPr>
          <w:p>
            <w:pPr>
              <w:spacing w:after="0"/>
              <w:rPr>
                <w:sz w:val="16"/>
                <w:szCs w:val="16"/>
                <w:color w:val="auto"/>
              </w:rPr>
            </w:pPr>
          </w:p>
        </w:tc>
        <w:tc>
          <w:tcPr>
            <w:tcW w:w="136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233.73</w:t>
            </w:r>
          </w:p>
        </w:tc>
        <w:tc>
          <w:tcPr>
            <w:tcW w:w="15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8,986,076</w:t>
            </w:r>
          </w:p>
        </w:tc>
        <w:tc>
          <w:tcPr>
            <w:tcW w:w="34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14,942</w:t>
            </w:r>
          </w:p>
        </w:tc>
        <w:tc>
          <w:tcPr>
            <w:tcW w:w="100" w:type="dxa"/>
            <w:vAlign w:val="bottom"/>
            <w:shd w:val="clear" w:color="auto" w:fill="E5E5E5"/>
          </w:tcPr>
          <w:p>
            <w:pPr>
              <w:spacing w:after="0"/>
              <w:rPr>
                <w:sz w:val="16"/>
                <w:szCs w:val="16"/>
                <w:color w:val="auto"/>
              </w:rPr>
            </w:pPr>
          </w:p>
        </w:tc>
      </w:tr>
      <w:tr>
        <w:trPr>
          <w:trHeight w:val="68"/>
        </w:trPr>
        <w:tc>
          <w:tcPr>
            <w:tcW w:w="45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540" w:type="dxa"/>
            <w:vAlign w:val="bottom"/>
          </w:tcPr>
          <w:p>
            <w:pPr>
              <w:spacing w:after="0"/>
              <w:rPr>
                <w:sz w:val="22"/>
                <w:szCs w:val="2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24,819,768</w:t>
            </w:r>
          </w:p>
        </w:tc>
        <w:tc>
          <w:tcPr>
            <w:tcW w:w="6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24,819,768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1"/>
        </w:trPr>
        <w:tc>
          <w:tcPr>
            <w:tcW w:w="454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third quarter of fiscal year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256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920" w:type="dxa"/>
            <w:vAlign w:val="bottom"/>
          </w:tcPr>
          <w:p>
            <w:pPr>
              <w:ind w:left="1260"/>
              <w:spacing w:after="0"/>
              <w:rPr>
                <w:sz w:val="20"/>
                <w:szCs w:val="20"/>
                <w:color w:val="auto"/>
              </w:rPr>
            </w:pPr>
            <w:r>
              <w:rPr>
                <w:rFonts w:ascii="Arial" w:cs="Arial" w:eastAsia="Arial" w:hAnsi="Arial"/>
                <w:sz w:val="13"/>
                <w:szCs w:val="13"/>
                <w:b w:val="1"/>
                <w:bCs w:val="1"/>
                <w:color w:val="auto"/>
              </w:rPr>
              <w:t>Record Date</w:t>
            </w:r>
          </w:p>
        </w:tc>
        <w:tc>
          <w:tcPr>
            <w:tcW w:w="2220" w:type="dxa"/>
            <w:vAlign w:val="bottom"/>
          </w:tcPr>
          <w:p>
            <w:pPr>
              <w:ind w:left="560"/>
              <w:spacing w:after="0"/>
              <w:rPr>
                <w:sz w:val="20"/>
                <w:szCs w:val="20"/>
                <w:color w:val="auto"/>
              </w:rPr>
            </w:pPr>
            <w:r>
              <w:rPr>
                <w:rFonts w:ascii="Arial" w:cs="Arial" w:eastAsia="Arial" w:hAnsi="Arial"/>
                <w:sz w:val="13"/>
                <w:szCs w:val="13"/>
                <w:b w:val="1"/>
                <w:bCs w:val="1"/>
                <w:color w:val="auto"/>
              </w:rPr>
              <w:t>Payment Date</w:t>
            </w:r>
          </w:p>
        </w:tc>
        <w:tc>
          <w:tcPr>
            <w:tcW w:w="9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4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r>
      <w:tr>
        <w:trPr>
          <w:trHeight w:val="54"/>
        </w:trPr>
        <w:tc>
          <w:tcPr>
            <w:tcW w:w="25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25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r>
      <w:tr>
        <w:trPr>
          <w:trHeight w:val="55"/>
        </w:trPr>
        <w:tc>
          <w:tcPr>
            <w:tcW w:w="25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25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16, 2021</w:t>
            </w:r>
          </w:p>
        </w:tc>
        <w:tc>
          <w:tcPr>
            <w:tcW w:w="2920" w:type="dxa"/>
            <w:vAlign w:val="bottom"/>
            <w:shd w:val="clear" w:color="auto" w:fill="E5E5E5"/>
          </w:tcPr>
          <w:p>
            <w:pPr>
              <w:ind w:left="1260"/>
              <w:spacing w:after="0" w:line="189" w:lineRule="exact"/>
              <w:rPr>
                <w:sz w:val="20"/>
                <w:szCs w:val="20"/>
                <w:color w:val="auto"/>
              </w:rPr>
            </w:pPr>
            <w:r>
              <w:rPr>
                <w:rFonts w:ascii="Arial" w:cs="Arial" w:eastAsia="Arial" w:hAnsi="Arial"/>
                <w:sz w:val="18"/>
                <w:szCs w:val="18"/>
                <w:b w:val="1"/>
                <w:bCs w:val="1"/>
                <w:color w:val="auto"/>
              </w:rPr>
              <w:t>May 20, 2021</w:t>
            </w:r>
          </w:p>
        </w:tc>
        <w:tc>
          <w:tcPr>
            <w:tcW w:w="2220" w:type="dxa"/>
            <w:vAlign w:val="bottom"/>
            <w:shd w:val="clear" w:color="auto" w:fill="E5E5E5"/>
          </w:tcPr>
          <w:p>
            <w:pPr>
              <w:ind w:left="560"/>
              <w:spacing w:after="0" w:line="189" w:lineRule="exact"/>
              <w:rPr>
                <w:sz w:val="20"/>
                <w:szCs w:val="20"/>
                <w:color w:val="auto"/>
              </w:rPr>
            </w:pPr>
            <w:r>
              <w:rPr>
                <w:rFonts w:ascii="Arial" w:cs="Arial" w:eastAsia="Arial" w:hAnsi="Arial"/>
                <w:sz w:val="18"/>
                <w:szCs w:val="18"/>
                <w:b w:val="1"/>
                <w:bCs w:val="1"/>
                <w:color w:val="auto"/>
              </w:rPr>
              <w:t>June 10, 2021</w:t>
            </w:r>
          </w:p>
        </w:tc>
        <w:tc>
          <w:tcPr>
            <w:tcW w:w="90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25"/>
              <w:spacing w:after="0" w:line="189" w:lineRule="exact"/>
              <w:rPr>
                <w:sz w:val="20"/>
                <w:szCs w:val="20"/>
                <w:color w:val="auto"/>
              </w:rPr>
            </w:pPr>
            <w:r>
              <w:rPr>
                <w:rFonts w:ascii="Arial" w:cs="Arial" w:eastAsia="Arial" w:hAnsi="Arial"/>
                <w:sz w:val="18"/>
                <w:szCs w:val="18"/>
                <w:b w:val="1"/>
                <w:bCs w:val="1"/>
                <w:color w:val="auto"/>
              </w:rPr>
              <w:t>0.56</w:t>
            </w:r>
          </w:p>
        </w:tc>
        <w:tc>
          <w:tcPr>
            <w:tcW w:w="48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4,219</w:t>
            </w:r>
          </w:p>
        </w:tc>
      </w:tr>
      <w:tr>
        <w:trPr>
          <w:trHeight w:val="68"/>
        </w:trPr>
        <w:tc>
          <w:tcPr>
            <w:tcW w:w="256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returned $10.0 billion to shareholders in the form of share repurchases and dividends in the third quarter of fiscal year 2021. Refer to Note 15 – Stockholders’ Equity of the Notes to Financial Statements (Part I, Item 1 of this Form 10-Q)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9980" w:type="dxa"/>
            <w:vAlign w:val="bottom"/>
            <w:gridSpan w:val="8"/>
          </w:tcPr>
          <w:p>
            <w:pPr>
              <w:jc w:val="center"/>
              <w:ind w:right="1200"/>
              <w:spacing w:after="0"/>
              <w:rPr>
                <w:sz w:val="20"/>
                <w:szCs w:val="20"/>
                <w:color w:val="auto"/>
              </w:rPr>
            </w:pPr>
            <w:r>
              <w:rPr>
                <w:rFonts w:ascii="Arial" w:cs="Arial" w:eastAsia="Arial" w:hAnsi="Arial"/>
                <w:sz w:val="13"/>
                <w:szCs w:val="13"/>
                <w:color w:val="auto"/>
              </w:rPr>
              <w:t>PART II</w:t>
            </w:r>
          </w:p>
        </w:tc>
      </w:tr>
      <w:tr>
        <w:trPr>
          <w:trHeight w:val="156"/>
        </w:trPr>
        <w:tc>
          <w:tcPr>
            <w:tcW w:w="12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Item 6</w:t>
            </w: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658"/>
        </w:trPr>
        <w:tc>
          <w:tcPr>
            <w:tcW w:w="1240" w:type="dxa"/>
            <w:vAlign w:val="bottom"/>
          </w:tcPr>
          <w:p>
            <w:pPr>
              <w:spacing w:after="0"/>
              <w:rPr>
                <w:sz w:val="24"/>
                <w:szCs w:val="24"/>
                <w:color w:val="auto"/>
              </w:rPr>
            </w:pPr>
          </w:p>
        </w:tc>
        <w:tc>
          <w:tcPr>
            <w:tcW w:w="9980" w:type="dxa"/>
            <w:vAlign w:val="bottom"/>
            <w:gridSpan w:val="8"/>
          </w:tcPr>
          <w:p>
            <w:pPr>
              <w:jc w:val="center"/>
              <w:ind w:right="1200"/>
              <w:spacing w:after="0"/>
              <w:rPr>
                <w:sz w:val="20"/>
                <w:szCs w:val="20"/>
                <w:color w:val="auto"/>
              </w:rPr>
            </w:pPr>
            <w:r>
              <w:rPr>
                <w:rFonts w:ascii="Arial" w:cs="Arial" w:eastAsia="Arial" w:hAnsi="Arial"/>
                <w:sz w:val="22"/>
                <w:szCs w:val="22"/>
                <w:b w:val="1"/>
                <w:bCs w:val="1"/>
                <w:color w:val="auto"/>
                <w:w w:val="98"/>
              </w:rPr>
              <w:t>ITEM 6. EXHIBITS</w:t>
            </w:r>
          </w:p>
        </w:tc>
      </w:tr>
      <w:tr>
        <w:trPr>
          <w:trHeight w:val="354"/>
        </w:trPr>
        <w:tc>
          <w:tcPr>
            <w:tcW w:w="1240" w:type="dxa"/>
            <w:vAlign w:val="bottom"/>
          </w:tcPr>
          <w:p>
            <w:pPr>
              <w:spacing w:after="0"/>
              <w:rPr>
                <w:sz w:val="20"/>
                <w:szCs w:val="20"/>
                <w:color w:val="auto"/>
              </w:rPr>
            </w:pPr>
            <w:r>
              <w:rPr>
                <w:rFonts w:ascii="Arial" w:cs="Arial" w:eastAsia="Arial" w:hAnsi="Arial"/>
                <w:sz w:val="18"/>
                <w:szCs w:val="18"/>
                <w:color w:val="auto"/>
              </w:rPr>
              <w:t>15.1</w:t>
            </w:r>
          </w:p>
        </w:tc>
        <w:tc>
          <w:tcPr>
            <w:tcW w:w="9980" w:type="dxa"/>
            <w:vAlign w:val="bottom"/>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Letter regarding unaudited interim financial information</w:t>
              </w:r>
            </w:hyperlink>
          </w:p>
        </w:tc>
      </w:tr>
      <w:tr>
        <w:trPr>
          <w:trHeight w:val="20"/>
        </w:trPr>
        <w:tc>
          <w:tcPr>
            <w:tcW w:w="1240" w:type="dxa"/>
            <w:vAlign w:val="bottom"/>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Certifications of Chief Executive Officer Pursuant to Section 302 of the Sarbanes-Oxley Act of 2002</w:t>
              </w:r>
            </w:hyperlink>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7880" w:type="dxa"/>
            <w:vAlign w:val="bottom"/>
            <w:tcBorders>
              <w:top w:val="single" w:sz="8" w:color="0000EE"/>
            </w:tcBorders>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Certifications of Chief Financial Officer Pursuant to Section 302 of the Sarbanes-Oxley Act of 2002</w:t>
              </w:r>
            </w:hyperlink>
          </w:p>
        </w:tc>
        <w:tc>
          <w:tcPr>
            <w:tcW w:w="2100" w:type="dxa"/>
            <w:vAlign w:val="bottom"/>
          </w:tcPr>
          <w:p>
            <w:pPr>
              <w:spacing w:after="0"/>
              <w:rPr>
                <w:sz w:val="24"/>
                <w:szCs w:val="2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78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Certification of Chief Executive Officer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2160" w:type="dxa"/>
            <w:vAlign w:val="bottom"/>
            <w:gridSpan w:val="2"/>
          </w:tcPr>
          <w:p>
            <w:pPr>
              <w:spacing w:after="0"/>
              <w:rPr>
                <w:sz w:val="24"/>
                <w:szCs w:val="2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1">
              <w:r>
                <w:rPr>
                  <w:rFonts w:ascii="Arial" w:cs="Arial" w:eastAsia="Arial" w:hAnsi="Arial"/>
                  <w:sz w:val="18"/>
                  <w:szCs w:val="18"/>
                  <w:color w:val="0000EE"/>
                  <w:w w:val="99"/>
                </w:rPr>
                <w:t>Certification of Chief Financial Officer Pursuant to Section 906 of the Sarbanes-Oxley Act of 2002</w:t>
              </w:r>
            </w:hyperlink>
          </w:p>
        </w:tc>
        <w:tc>
          <w:tcPr>
            <w:tcW w:w="2240" w:type="dxa"/>
            <w:vAlign w:val="bottom"/>
            <w:gridSpan w:val="4"/>
          </w:tcPr>
          <w:p>
            <w:pPr>
              <w:spacing w:after="0"/>
              <w:rPr>
                <w:sz w:val="24"/>
                <w:szCs w:val="24"/>
                <w:color w:val="auto"/>
              </w:rPr>
            </w:pPr>
          </w:p>
        </w:tc>
      </w:tr>
      <w:tr>
        <w:trPr>
          <w:trHeight w:val="303"/>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Instance Document–the instance document does not appear in the Interactive Data File as its XBRL tags are</w:t>
            </w:r>
          </w:p>
        </w:tc>
      </w:tr>
      <w:tr>
        <w:trPr>
          <w:trHeight w:val="217"/>
        </w:trPr>
        <w:tc>
          <w:tcPr>
            <w:tcW w:w="12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94" w:lineRule="exact"/>
        <w:rPr>
          <w:sz w:val="20"/>
          <w:szCs w:val="20"/>
          <w:color w:val="auto"/>
        </w:rPr>
      </w:pPr>
    </w:p>
    <w:p>
      <w:pPr>
        <w:ind w:left="1240" w:hanging="1232"/>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4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775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20"/>
          </w:cols>
          <w:pgMar w:left="320" w:top="576"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234" w:lineRule="auto"/>
        <w:rPr>
          <w:sz w:val="20"/>
          <w:szCs w:val="20"/>
          <w:color w:val="auto"/>
        </w:rPr>
      </w:pPr>
      <w:r>
        <w:rPr>
          <w:rFonts w:ascii="Arial" w:cs="Arial" w:eastAsia="Arial" w:hAnsi="Arial"/>
          <w:sz w:val="18"/>
          <w:szCs w:val="18"/>
          <w:color w:val="auto"/>
        </w:rPr>
        <w:t>One Microsoft 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Redmond, WA 98052-6399</w:t>
      </w:r>
    </w:p>
    <w:p>
      <w:pPr>
        <w:spacing w:after="0" w:line="158"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are aware that our report dated April 27, 2021, on our review of the interim financial information of Microsoft Corporation and subsidiaries (“Microsoft”) appearing in Microsoft’s Quarterly Report on Form 10-Q for the quarter ended March 31, 2021, is incorporated by reference in Registration Statement Nos. 333-109185, 333-118764, 333-52852, 333-132100, 333-161516, 333-75243, 333-185757, and 333-221833 on Form S-8 and Registration Statement Nos. 333-228062, 333-228244, and 333-240227 on Form S-3.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ectPr>
          <w:pgSz w:w="11900" w:h="16838" w:orient="portrait"/>
          <w:cols w:equalWidth="0" w:num="1">
            <w:col w:w="11020"/>
          </w:cols>
          <w:pgMar w:left="540" w:top="36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ectPr>
          <w:pgSz w:w="11900" w:h="16838" w:orient="portrait"/>
          <w:cols w:equalWidth="0" w:num="1">
            <w:col w:w="11240"/>
          </w:cols>
          <w:pgMar w:left="320" w:top="14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ectPr>
          <w:pgSz w:w="11900" w:h="16838" w:orient="portrait"/>
          <w:cols w:equalWidth="0" w:num="1">
            <w:col w:w="11240"/>
          </w:cols>
          <w:pgMar w:left="320" w:top="14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2021,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14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2021,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46" w:lineRule="auto"/>
        <w:tabs>
          <w:tab w:leader="none" w:pos="2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425"/>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lowerLetter"/>
      <w:start w:val="1"/>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04"/>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2021-04-27T15:39:23Z</dcterms:created>
  <dcterms:modified xsi:type="dcterms:W3CDTF">2021-04-27T15:39:23Z</dcterms:modified>
</cp:coreProperties>
</file>