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8304ds8.htm"/>
      <w:bookmarkStart w:id="1" w:name="ksd98304ds8"/>
      <w:bookmarkEnd w:id="0"/>
      <w:bookmarkEnd w:id="1"/>
      <w:r>
        <w:rPr>
          <w:rFonts w:ascii="Times New Roman" w:hAnsi="Times New Roman"/>
          <w:b/>
          <w:sz w:val="20"/>
        </w:rPr>
        <w:t xml:space="preserve">As filed with the Securities and Exchange Commission on December 30,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MICROSOFT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Washington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91-1144442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One Microsoft Way </w:t>
      </w:r>
    </w:p>
    <w:p>
      <w:pPr>
        <w:pStyle w:val="TextBody"/>
        <w:bidi w:val="0"/>
        <w:spacing w:before="0" w:after="0"/>
        <w:jc w:val="center"/>
        <w:rPr>
          <w:rFonts w:ascii="Times New Roman" w:hAnsi="Times New Roman"/>
          <w:b/>
          <w:sz w:val="20"/>
        </w:rPr>
      </w:pPr>
      <w:r>
        <w:rPr>
          <w:rFonts w:ascii="Times New Roman" w:hAnsi="Times New Roman"/>
          <w:b/>
          <w:sz w:val="20"/>
        </w:rPr>
        <w:t xml:space="preserve">Redmond, Washington 98052-6399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Microsoft Corporation Deferred Compensation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Keith R. Dolliver, Esq. </w:t>
      </w:r>
    </w:p>
    <w:p>
      <w:pPr>
        <w:pStyle w:val="TextBody"/>
        <w:bidi w:val="0"/>
        <w:spacing w:before="0" w:after="0"/>
        <w:jc w:val="center"/>
        <w:rPr>
          <w:rFonts w:ascii="Times New Roman" w:hAnsi="Times New Roman"/>
          <w:b/>
          <w:sz w:val="20"/>
        </w:rPr>
      </w:pPr>
      <w:r>
        <w:rPr>
          <w:rFonts w:ascii="Times New Roman" w:hAnsi="Times New Roman"/>
          <w:b/>
          <w:sz w:val="20"/>
        </w:rPr>
        <w:t xml:space="preserve">Deputy 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Microsoft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One Microsoft Way </w:t>
      </w:r>
    </w:p>
    <w:p>
      <w:pPr>
        <w:pStyle w:val="TextBody"/>
        <w:bidi w:val="0"/>
        <w:spacing w:before="0" w:after="0"/>
        <w:jc w:val="center"/>
        <w:rPr>
          <w:rFonts w:ascii="Times New Roman" w:hAnsi="Times New Roman"/>
          <w:b/>
          <w:sz w:val="20"/>
        </w:rPr>
      </w:pPr>
      <w:r>
        <w:rPr>
          <w:rFonts w:ascii="Times New Roman" w:hAnsi="Times New Roman"/>
          <w:b/>
          <w:sz w:val="20"/>
        </w:rPr>
        <w:t xml:space="preserve">Redmond, Washington 98052-6399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(425) 882-8080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Microsoft with the Securities and Exchange Commission (the “Commission”) are hereby incorporated by reference in this registration statement: </w:t>
      </w:r>
    </w:p>
    <w:p>
      <w:pPr>
        <w:pStyle w:val="TextBody"/>
        <w:bidi w:val="0"/>
        <w:spacing w:before="120" w:after="0"/>
        <w:jc w:val="left"/>
        <w:rPr/>
      </w:pPr>
      <w:r>
        <w:rPr>
          <w:rFonts w:ascii="Times New Roman" w:hAnsi="Times New Roman"/>
          <w:sz w:val="20"/>
        </w:rPr>
        <w:t xml:space="preserve">(a) Microsoft’s Annual Report on Form 10-K for the fiscal year ended June 30, 2025, filed on </w:t>
      </w:r>
      <w:hyperlink r:id="rId2">
        <w:r>
          <w:rPr>
            <w:rStyle w:val="InternetLink"/>
            <w:rFonts w:ascii="Times New Roman" w:hAnsi="Times New Roman"/>
            <w:sz w:val="20"/>
          </w:rPr>
          <w:t>July 30, 2025,</w:t>
        </w:r>
      </w:hyperlink>
      <w:r>
        <w:rPr>
          <w:rFonts w:ascii="Times New Roman" w:hAnsi="Times New Roman"/>
          <w:sz w:val="20"/>
        </w:rPr>
        <w:t xml:space="preserve"> which contains Microsoft’s audited financial statements for the latest fiscal year for which such statements have been filed; and </w:t>
      </w:r>
    </w:p>
    <w:p>
      <w:pPr>
        <w:pStyle w:val="TextBody"/>
        <w:bidi w:val="0"/>
        <w:spacing w:before="120" w:after="0"/>
        <w:jc w:val="left"/>
        <w:rPr>
          <w:rFonts w:ascii="Times New Roman" w:hAnsi="Times New Roman"/>
          <w:sz w:val="20"/>
        </w:rPr>
      </w:pPr>
      <w:r>
        <w:rPr>
          <w:rFonts w:ascii="Times New Roman" w:hAnsi="Times New Roman"/>
          <w:sz w:val="20"/>
        </w:rPr>
        <w:t xml:space="preserve">(b) All other reports of Microsoft filed with the Commission, pursuant to Section 13(a) or 15(d) of the Securities Exchange Act of 1934, as amended (the “Exchange Act”) since the end of the fiscal year covered by Microsoft’s Annual Report referred to in (a) above. </w:t>
      </w:r>
    </w:p>
    <w:p>
      <w:pPr>
        <w:pStyle w:val="TextBody"/>
        <w:bidi w:val="0"/>
        <w:spacing w:before="240" w:after="0"/>
        <w:jc w:val="left"/>
        <w:rPr>
          <w:rFonts w:ascii="Times New Roman" w:hAnsi="Times New Roman"/>
          <w:sz w:val="20"/>
        </w:rPr>
      </w:pPr>
      <w:r>
        <w:rPr>
          <w:rFonts w:ascii="Times New Roman" w:hAnsi="Times New Roman"/>
          <w:sz w:val="20"/>
        </w:rPr>
        <w:t xml:space="preserve">All documents filed by Microsoft pursuant to Section 13(a), 13(c), 14 or 15(d) of the Exchange Act, after the date hereof (excluding any documents or portions of such documents that are furnished under Item 2.02 or Item 7.01 of a current report on Form 8-K and any exhibits included with such Items), and prior to the filing of a post-effective amendment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being registered pursuant to the Microsoft Corporation Deferred Compensation Plan (the “Plan”) represent obligations (“Obligations”) of the Registrant to pay deferred compensation in the future in accordance with the terms of the Plan, which is filed as Exhibit 99.1 to this registration statement. Eligible employees of the Registrant are entitled to defer receipt of certain compensation into the Plan.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are general unsecured obligations of the Registrant subject to the claims of its general creditors. The Plan is considered unfunded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compensation to be deferred by each participating eligible employee (individually, a “Participant” and collectively, the “Participants”) is determined in accordance with the Plan based on elections by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Under the Plan, amounts credited to a Participant’s account are credited with deemed investment returns equal to the experience of certain investment funds offered under the Plan and selected by the Participant. The Obligations are generally payable upon a date or dates selected by the Participant under the Plan, subject to exceptions for in-service withdrawals for an Unforeseeable Emergency (as defined in the Plan) or certain terminations of employment. The Obligations generally are payable in cash in the form of a lump-sum distribution or in installments, at the election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A Participant may designate one or more beneficiaries to receive any portion of the Obligations payable in the event of death. Participants or beneficiaries generally may not anticipate, alienate, sell, transfer, assign or otherwise dispose of any right or interest in the plan in which they are participating. The Registrant reserves the right to amend or terminate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Sections 23B.08.510 and 23B.08.570 of the Washington Business Corporation Act (“WBCA”) authorize Washington corporations to indemnify their officers and directors under certain circumstances against expenses and liabilities incurred in legal proceedings involving them as a result of their service as an officer or director. Section 23B.08.560 of the WBCA authorizes a corporation by provision in its articles of incorporation to indemnify or agree to indemnify a director made a party to a proceeding, or obligate itself to advance or reimburse expenses incurred in a proceeding, without regard to the limitations imposed by Sections 23B.08.510 through .550 of the WBCA; provided, however, that no such indemnity shall be made for or on account of (a) acts or omissions of the director finally adjudged to be intentional misconduct or a knowing violation of law, (b) conduct of the director finally adjudged to be in violation of Section 23B.08.310 of the WBCA (relating to unlawful distributions) or (c) any transaction with respect to which it was finally adjudged that the director personally received a benefit in money, property, or services to which the director is not legally entitled. </w:t>
      </w:r>
    </w:p>
    <w:p>
      <w:pPr>
        <w:pStyle w:val="TextBody"/>
        <w:bidi w:val="0"/>
        <w:spacing w:before="240" w:after="0"/>
        <w:jc w:val="left"/>
        <w:rPr>
          <w:rFonts w:ascii="Times New Roman" w:hAnsi="Times New Roman"/>
          <w:sz w:val="20"/>
        </w:rPr>
      </w:pPr>
      <w:r>
        <w:rPr>
          <w:rFonts w:ascii="Times New Roman" w:hAnsi="Times New Roman"/>
          <w:sz w:val="20"/>
        </w:rPr>
        <w:t xml:space="preserve">Microsoft’s Amended and Restated Articles of Incorporation require indemnification of Microsoft’s officers and directors and advancement of expenses to the fullest extent not prohibited by applicable law. Microsoft’s Amended and Restated Articles of Incorporation provide for procedures for those seeking indemnification and/or advancement of expenses. In addition, as authorized by Section 23B.08.320 of the WBCA, Microsoft’s Amended and Restated Articles of Incorporation contain a provision eliminating the personal liability of directors to Microsoft or its shareholders for monetary damages for conduct as a director, except for (a) omissions involving intentional misconduct by the director or a knowing violation of law by the director, (b) conduct violating Section 23B.08.310 of the WBCA or (c) any transaction from which the director will personally receive a benefit in money, property or services to which the director is not legally entitled. </w:t>
      </w:r>
    </w:p>
    <w:p>
      <w:pPr>
        <w:pStyle w:val="TextBody"/>
        <w:bidi w:val="0"/>
        <w:spacing w:before="240" w:after="0"/>
        <w:jc w:val="left"/>
        <w:rPr>
          <w:rFonts w:ascii="Times New Roman" w:hAnsi="Times New Roman"/>
          <w:sz w:val="20"/>
        </w:rPr>
      </w:pPr>
      <w:r>
        <w:rPr>
          <w:rFonts w:ascii="Times New Roman" w:hAnsi="Times New Roman"/>
          <w:sz w:val="20"/>
        </w:rPr>
        <w:t xml:space="preserve">Microsoft has established an indemnification trust (“2025 Directors’ Trust”) to fund Microsoft’s obligations to indemnify and/or advance expenses to directors arising from their board service in the event Microsoft does not or is financially unable to provide the indemnification and/or advancement. As required by the 2025 Directors’ Trust agreement, Microsoft has funded a minimum balance of principal assets of no less than $50 million in the trust. Microsoft also has an indemnification trust (“2025 Officers’ Trust”) that funds Microsoft’s indemnification obligations to certain past and present officers arising from their activities as such. As required by the 2025 Officers’ Trust agreement, Microsoft has funded a minimum balance of principal assets of no less than $50 million in the trust. The 2025 Directors’ Trust and 2025 Officers’ Trust are successors to certain trusts originally established in 1993, and amended from time to time, to fund Microsoft’s indemnification obligations to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1"/>
        <w:gridCol w:w="415"/>
        <w:gridCol w:w="9169"/>
      </w:tblGrid>
      <w:tr>
        <w:trPr/>
        <w:tc>
          <w:tcPr>
            <w:tcW w:w="621"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9169" w:type="dxa"/>
            <w:tcBorders/>
            <w:vAlign w:val="center"/>
          </w:tcPr>
          <w:p>
            <w:pPr>
              <w:pStyle w:val="TableContents"/>
              <w:bidi w:val="0"/>
              <w:spacing w:before="0" w:after="283"/>
              <w:jc w:val="left"/>
              <w:rPr>
                <w:sz w:val="4"/>
                <w:szCs w:val="4"/>
              </w:rPr>
            </w:pPr>
            <w:r>
              <w:rPr>
                <w:sz w:val="4"/>
                <w:szCs w:val="4"/>
              </w:rPr>
            </w:r>
          </w:p>
        </w:tc>
      </w:tr>
      <w:tr>
        <w:trPr/>
        <w:tc>
          <w:tcPr>
            <w:tcW w:w="62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415" w:type="dxa"/>
            <w:tcBorders/>
            <w:vAlign w:val="bottom"/>
          </w:tcPr>
          <w:p>
            <w:pPr>
              <w:pStyle w:val="TableContents"/>
              <w:bidi w:val="0"/>
              <w:spacing w:before="0" w:after="283"/>
              <w:jc w:val="left"/>
              <w:rPr/>
            </w:pPr>
            <w:r>
              <w:rPr/>
              <w:t>  </w:t>
            </w:r>
          </w:p>
        </w:tc>
        <w:tc>
          <w:tcPr>
            <w:tcW w:w="91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5.1+</w:t>
            </w:r>
          </w:p>
        </w:tc>
        <w:tc>
          <w:tcPr>
            <w:tcW w:w="415" w:type="dxa"/>
            <w:tcBorders/>
            <w:vAlign w:val="bottom"/>
          </w:tcPr>
          <w:p>
            <w:pPr>
              <w:pStyle w:val="TableContents"/>
              <w:bidi w:val="0"/>
              <w:spacing w:before="0" w:after="283"/>
              <w:jc w:val="left"/>
              <w:rPr/>
            </w:pPr>
            <w:r>
              <w:rPr/>
              <w:t>  </w:t>
            </w:r>
          </w:p>
        </w:tc>
        <w:tc>
          <w:tcPr>
            <w:tcW w:w="9169" w:type="dxa"/>
            <w:tcBorders/>
          </w:tcPr>
          <w:p>
            <w:pPr>
              <w:pStyle w:val="TableContents"/>
              <w:bidi w:val="0"/>
              <w:spacing w:before="0" w:after="283"/>
              <w:jc w:val="left"/>
              <w:rPr/>
            </w:pPr>
            <w:hyperlink w:anchor="d98304dex51.htm">
              <w:r>
                <w:rPr>
                  <w:rStyle w:val="InternetLink"/>
                </w:rPr>
                <w:t xml:space="preserve">Opinion of Counsel regarding legality of the obligations being registered </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15+</w:t>
            </w:r>
          </w:p>
        </w:tc>
        <w:tc>
          <w:tcPr>
            <w:tcW w:w="415" w:type="dxa"/>
            <w:tcBorders/>
            <w:vAlign w:val="bottom"/>
          </w:tcPr>
          <w:p>
            <w:pPr>
              <w:pStyle w:val="TableContents"/>
              <w:bidi w:val="0"/>
              <w:spacing w:before="0" w:after="283"/>
              <w:jc w:val="left"/>
              <w:rPr/>
            </w:pPr>
            <w:r>
              <w:rPr/>
              <w:t>  </w:t>
            </w:r>
          </w:p>
        </w:tc>
        <w:tc>
          <w:tcPr>
            <w:tcW w:w="9169" w:type="dxa"/>
            <w:tcBorders/>
          </w:tcPr>
          <w:p>
            <w:pPr>
              <w:pStyle w:val="TableContents"/>
              <w:bidi w:val="0"/>
              <w:spacing w:before="0" w:after="283"/>
              <w:jc w:val="left"/>
              <w:rPr/>
            </w:pPr>
            <w:hyperlink w:anchor="d98304dex15.htm">
              <w:r>
                <w:rPr>
                  <w:rStyle w:val="InternetLink"/>
                </w:rPr>
                <w:t xml:space="preserve">Letter re unaudited interim financial information </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23.1+</w:t>
            </w:r>
          </w:p>
        </w:tc>
        <w:tc>
          <w:tcPr>
            <w:tcW w:w="415" w:type="dxa"/>
            <w:tcBorders/>
            <w:vAlign w:val="bottom"/>
          </w:tcPr>
          <w:p>
            <w:pPr>
              <w:pStyle w:val="TableContents"/>
              <w:bidi w:val="0"/>
              <w:spacing w:before="0" w:after="283"/>
              <w:jc w:val="left"/>
              <w:rPr/>
            </w:pPr>
            <w:r>
              <w:rPr/>
              <w:t>  </w:t>
            </w:r>
          </w:p>
        </w:tc>
        <w:tc>
          <w:tcPr>
            <w:tcW w:w="9169" w:type="dxa"/>
            <w:tcBorders/>
          </w:tcPr>
          <w:p>
            <w:pPr>
              <w:pStyle w:val="TableContents"/>
              <w:bidi w:val="0"/>
              <w:spacing w:before="0" w:after="283"/>
              <w:jc w:val="left"/>
              <w:rPr/>
            </w:pPr>
            <w:hyperlink w:anchor="d98304dex231.htm">
              <w:r>
                <w:rPr>
                  <w:rStyle w:val="InternetLink"/>
                </w:rPr>
                <w:t xml:space="preserve">Consent of Independent Registered Public Accounting Firm </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23.2+</w:t>
            </w:r>
          </w:p>
        </w:tc>
        <w:tc>
          <w:tcPr>
            <w:tcW w:w="415" w:type="dxa"/>
            <w:tcBorders/>
            <w:vAlign w:val="bottom"/>
          </w:tcPr>
          <w:p>
            <w:pPr>
              <w:pStyle w:val="TableContents"/>
              <w:bidi w:val="0"/>
              <w:spacing w:before="0" w:after="283"/>
              <w:jc w:val="left"/>
              <w:rPr/>
            </w:pPr>
            <w:r>
              <w:rPr/>
              <w:t>  </w:t>
            </w:r>
          </w:p>
        </w:tc>
        <w:tc>
          <w:tcPr>
            <w:tcW w:w="9169" w:type="dxa"/>
            <w:tcBorders/>
          </w:tcPr>
          <w:p>
            <w:pPr>
              <w:pStyle w:val="TableContents"/>
              <w:bidi w:val="0"/>
              <w:spacing w:before="0" w:after="283"/>
              <w:jc w:val="left"/>
              <w:rPr/>
            </w:pPr>
            <w:hyperlink w:anchor="d98304dex51.htm">
              <w:r>
                <w:rPr>
                  <w:rStyle w:val="InternetLink"/>
                </w:rPr>
                <w:t xml:space="preserve">Consent of Counsel (included in opinion filed as Exhibit 5.1) </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24.1+</w:t>
            </w:r>
          </w:p>
        </w:tc>
        <w:tc>
          <w:tcPr>
            <w:tcW w:w="415" w:type="dxa"/>
            <w:tcBorders/>
            <w:vAlign w:val="bottom"/>
          </w:tcPr>
          <w:p>
            <w:pPr>
              <w:pStyle w:val="TableContents"/>
              <w:bidi w:val="0"/>
              <w:spacing w:before="0" w:after="283"/>
              <w:jc w:val="left"/>
              <w:rPr/>
            </w:pPr>
            <w:r>
              <w:rPr/>
              <w:t>  </w:t>
            </w:r>
          </w:p>
        </w:tc>
        <w:tc>
          <w:tcPr>
            <w:tcW w:w="9169" w:type="dxa"/>
            <w:tcBorders/>
          </w:tcPr>
          <w:p>
            <w:pPr>
              <w:pStyle w:val="TableContents"/>
              <w:bidi w:val="0"/>
              <w:spacing w:before="0" w:after="283"/>
              <w:jc w:val="left"/>
              <w:rPr/>
            </w:pPr>
            <w:hyperlink w:anchor="sig">
              <w:r>
                <w:rPr>
                  <w:rStyle w:val="InternetLink"/>
                </w:rPr>
                <w:t xml:space="preserve">Power of Attorney (see signature page)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0"/>
        <w:gridCol w:w="315"/>
        <w:gridCol w:w="9330"/>
      </w:tblGrid>
      <w:tr>
        <w:trPr/>
        <w:tc>
          <w:tcPr>
            <w:tcW w:w="5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99.1*</w:t>
            </w:r>
          </w:p>
        </w:tc>
        <w:tc>
          <w:tcPr>
            <w:tcW w:w="315" w:type="dxa"/>
            <w:tcBorders/>
            <w:vAlign w:val="bottom"/>
          </w:tcPr>
          <w:p>
            <w:pPr>
              <w:pStyle w:val="TableContents"/>
              <w:bidi w:val="0"/>
              <w:spacing w:before="0" w:after="283"/>
              <w:jc w:val="left"/>
              <w:rPr/>
            </w:pPr>
            <w:r>
              <w:rPr/>
              <w:t>  </w:t>
            </w:r>
          </w:p>
        </w:tc>
        <w:tc>
          <w:tcPr>
            <w:tcW w:w="9330" w:type="dxa"/>
            <w:tcBorders/>
          </w:tcPr>
          <w:p>
            <w:pPr>
              <w:pStyle w:val="TableContents"/>
              <w:bidi w:val="0"/>
              <w:spacing w:before="0" w:after="283"/>
              <w:jc w:val="left"/>
              <w:rPr/>
            </w:pPr>
            <w:hyperlink r:id="rId3">
              <w:r>
                <w:rPr>
                  <w:rStyle w:val="InternetLink"/>
                </w:rPr>
                <w:t xml:space="preserve">Microsoft Corporation Deferred Compensation Plan (incorporated by reference to Exhibit 10.5 to Microsoft’s Annual Report on Form 10-K for the fiscal year ended June 30, 2024, filed on July 30, 2024) </w:t>
              </w:r>
            </w:hyperlink>
          </w:p>
        </w:tc>
      </w:tr>
      <w:tr>
        <w:trPr>
          <w:trHeight w:val="120" w:hRule="atLeast"/>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107+</w:t>
            </w:r>
          </w:p>
        </w:tc>
        <w:tc>
          <w:tcPr>
            <w:tcW w:w="315" w:type="dxa"/>
            <w:tcBorders/>
            <w:vAlign w:val="bottom"/>
          </w:tcPr>
          <w:p>
            <w:pPr>
              <w:pStyle w:val="TableContents"/>
              <w:bidi w:val="0"/>
              <w:spacing w:before="0" w:after="283"/>
              <w:jc w:val="left"/>
              <w:rPr/>
            </w:pPr>
            <w:r>
              <w:rPr/>
              <w:t>  </w:t>
            </w:r>
          </w:p>
        </w:tc>
        <w:tc>
          <w:tcPr>
            <w:tcW w:w="9330" w:type="dxa"/>
            <w:tcBorders/>
          </w:tcPr>
          <w:p>
            <w:pPr>
              <w:pStyle w:val="TableContents"/>
              <w:bidi w:val="0"/>
              <w:spacing w:before="0" w:after="283"/>
              <w:jc w:val="left"/>
              <w:rPr/>
            </w:pPr>
            <w:hyperlink w:anchor="d98304dexfilingfees.htm">
              <w:r>
                <w:rPr>
                  <w:rStyle w:val="InternetLink"/>
                </w:rPr>
                <w:t xml:space="preserve">Filing Fee Table </w:t>
              </w:r>
            </w:hyperlink>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lineRule="atLeast" w:line="160" w:before="0" w:after="40"/>
              <w:jc w:val="left"/>
              <w:rPr>
                <w:bdr w:val="single" w:sz="2" w:space="1" w:color="000000"/>
              </w:rPr>
            </w:pPr>
            <w:r>
              <w:rPr>
                <w:bdr w:val="single" w:sz="2" w:space="1" w:color="000000"/>
              </w:rPr>
              <w:t> </w:t>
            </w:r>
          </w:p>
          <w:p>
            <w:pPr>
              <w:pStyle w:val="TableContents"/>
              <w:bidi w:val="0"/>
              <w:spacing w:before="0" w:after="0"/>
              <w:jc w:val="left"/>
              <w:rPr>
                <w:rFonts w:ascii="Times New Roman" w:hAnsi="Times New Roman"/>
                <w:sz w:val="20"/>
              </w:rPr>
            </w:pPr>
            <w:r>
              <w:rPr>
                <w:rFonts w:ascii="Times New Roman" w:hAnsi="Times New Roman"/>
                <w:sz w:val="20"/>
              </w:rPr>
              <w:t>+   Filed herewith.</w:t>
            </w:r>
          </w:p>
          <w:p>
            <w:pPr>
              <w:pStyle w:val="TableContents"/>
              <w:bidi w:val="0"/>
              <w:spacing w:before="0" w:after="20"/>
              <w:jc w:val="left"/>
              <w:rPr>
                <w:rFonts w:ascii="Times New Roman" w:hAnsi="Times New Roman"/>
                <w:sz w:val="20"/>
              </w:rPr>
            </w:pPr>
            <w:r>
              <w:rPr>
                <w:rFonts w:ascii="Times New Roman" w:hAnsi="Times New Roman"/>
                <w:sz w:val="20"/>
              </w:rPr>
              <w:t>*  Incorporated herein by reference.</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(a) To include any prospectus required by Section 10(a)(3) of the Securities Act of 1933, as amended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(c) To include any material information with respect to the plan of distribution not previously disclosed in this registration statement or any material change to such information in this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(1)(a) and (1)(b)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Redmond, State of Washington, on December 30,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MICROSOFT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Amy E. Hood</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Amy E. Hood</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Executive Vice President and Chief Financial Officer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Amy E. Hood, Alice L. Jolla, and Keith R. Dolliver, Esq., each of them with power to act alone, as his or her true and lawful attorney-in-fact and agent, with full power of substitution and re-substitution, for him or her and in his or her name, place and stead, in any and all capacities, to sign any and all amendments of this registration statement, including post-effective amendments, and to file the same, together with exhibits thereto, and other documents in connection therewith, with the Commission, granting unto such attorney-in-fact full power and authority to do and perform each and every act and thing requisite and necessary to be done in and about the premises hereof, as fully to all intents and purposes as he or she might do or could do in person, thereby ratifying and confirming all that said attorney-in-fact or his or her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indicated below on December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7"/>
        <w:gridCol w:w="120"/>
        <w:gridCol w:w="6298"/>
      </w:tblGrid>
      <w:tr>
        <w:trPr/>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98" w:type="dxa"/>
            <w:tcBorders/>
            <w:vAlign w:val="center"/>
          </w:tcPr>
          <w:p>
            <w:pPr>
              <w:pStyle w:val="TableContents"/>
              <w:bidi w:val="0"/>
              <w:spacing w:before="0" w:after="283"/>
              <w:jc w:val="left"/>
              <w:rPr>
                <w:sz w:val="4"/>
                <w:szCs w:val="4"/>
              </w:rPr>
            </w:pPr>
            <w:r>
              <w:rPr>
                <w:sz w:val="4"/>
                <w:szCs w:val="4"/>
              </w:rPr>
            </w:r>
          </w:p>
        </w:tc>
      </w:tr>
      <w:tr>
        <w:trPr/>
        <w:tc>
          <w:tcPr>
            <w:tcW w:w="37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62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Satya Nadella</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Chairman and Chief Executive Officer</w:t>
            </w:r>
          </w:p>
        </w:tc>
      </w:tr>
      <w:tr>
        <w:trPr/>
        <w:tc>
          <w:tcPr>
            <w:tcW w:w="3787" w:type="dxa"/>
            <w:tcBorders/>
          </w:tcPr>
          <w:p>
            <w:pPr>
              <w:pStyle w:val="TableContents"/>
              <w:bidi w:val="0"/>
              <w:spacing w:before="0" w:after="283"/>
              <w:jc w:val="left"/>
              <w:rPr/>
            </w:pPr>
            <w:r>
              <w:rPr/>
              <w:t>Satya Nadella</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(Principal Executive Officer)</w:t>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Amy E. Hood</w:t>
            </w:r>
          </w:p>
          <w:p>
            <w:pPr>
              <w:pStyle w:val="TableContents"/>
              <w:bidi w:val="0"/>
              <w:spacing w:before="0" w:after="20"/>
              <w:jc w:val="left"/>
              <w:rPr>
                <w:rFonts w:ascii="Times New Roman" w:hAnsi="Times New Roman"/>
                <w:sz w:val="20"/>
              </w:rPr>
            </w:pPr>
            <w:r>
              <w:rPr>
                <w:rFonts w:ascii="Times New Roman" w:hAnsi="Times New Roman"/>
                <w:sz w:val="20"/>
              </w:rPr>
              <w:t>Amy E. Hood</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Alice L. Jolla</w:t>
            </w:r>
          </w:p>
          <w:p>
            <w:pPr>
              <w:pStyle w:val="TableContents"/>
              <w:bidi w:val="0"/>
              <w:spacing w:before="0" w:after="20"/>
              <w:jc w:val="left"/>
              <w:rPr>
                <w:rFonts w:ascii="Times New Roman" w:hAnsi="Times New Roman"/>
                <w:sz w:val="20"/>
              </w:rPr>
            </w:pPr>
            <w:r>
              <w:rPr>
                <w:rFonts w:ascii="Times New Roman" w:hAnsi="Times New Roman"/>
                <w:sz w:val="20"/>
              </w:rPr>
              <w:t>Alice L. Jolla</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0"/>
              <w:jc w:val="left"/>
              <w:rPr>
                <w:rFonts w:ascii="Times New Roman" w:hAnsi="Times New Roman"/>
                <w:sz w:val="20"/>
              </w:rPr>
            </w:pPr>
            <w:r>
              <w:rPr>
                <w:rFonts w:ascii="Times New Roman" w:hAnsi="Times New Roman"/>
                <w:sz w:val="20"/>
              </w:rPr>
              <w:t>Corporate Vice President and Chief Accounting Officer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Sandra E. Peterson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Lead Independent Director</w:t>
            </w:r>
          </w:p>
        </w:tc>
      </w:tr>
      <w:tr>
        <w:trPr/>
        <w:tc>
          <w:tcPr>
            <w:tcW w:w="3787" w:type="dxa"/>
            <w:tcBorders/>
          </w:tcPr>
          <w:p>
            <w:pPr>
              <w:pStyle w:val="TableContents"/>
              <w:bidi w:val="0"/>
              <w:spacing w:before="0" w:after="283"/>
              <w:jc w:val="left"/>
              <w:rPr/>
            </w:pPr>
            <w:r>
              <w:rPr/>
              <w:t>Sandra E. Peterson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sz w:val="4"/>
                <w:szCs w:val="4"/>
              </w:rPr>
            </w:pPr>
            <w:r>
              <w:rPr>
                <w:sz w:val="4"/>
                <w:szCs w:val="4"/>
              </w:rPr>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Reid G. Hoffman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Director</w:t>
            </w:r>
          </w:p>
        </w:tc>
      </w:tr>
      <w:tr>
        <w:trPr/>
        <w:tc>
          <w:tcPr>
            <w:tcW w:w="3787" w:type="dxa"/>
            <w:tcBorders/>
          </w:tcPr>
          <w:p>
            <w:pPr>
              <w:pStyle w:val="TableContents"/>
              <w:bidi w:val="0"/>
              <w:spacing w:before="0" w:after="283"/>
              <w:jc w:val="left"/>
              <w:rPr/>
            </w:pPr>
            <w:r>
              <w:rPr/>
              <w:t>Reid G. Hoffman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sz w:val="4"/>
                <w:szCs w:val="4"/>
              </w:rPr>
            </w:pPr>
            <w:r>
              <w:rPr>
                <w:sz w:val="4"/>
                <w:szCs w:val="4"/>
              </w:rPr>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Hugh F. Johnston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Director</w:t>
            </w:r>
          </w:p>
        </w:tc>
      </w:tr>
      <w:tr>
        <w:trPr/>
        <w:tc>
          <w:tcPr>
            <w:tcW w:w="3787" w:type="dxa"/>
            <w:tcBorders/>
          </w:tcPr>
          <w:p>
            <w:pPr>
              <w:pStyle w:val="TableContents"/>
              <w:bidi w:val="0"/>
              <w:spacing w:before="0" w:after="283"/>
              <w:jc w:val="left"/>
              <w:rPr/>
            </w:pPr>
            <w:r>
              <w:rPr/>
              <w:t>Hugh F. Johnston</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sz w:val="4"/>
                <w:szCs w:val="4"/>
              </w:rPr>
            </w:pPr>
            <w:r>
              <w:rPr>
                <w:sz w:val="4"/>
                <w:szCs w:val="4"/>
              </w:rPr>
            </w:r>
          </w:p>
        </w:tc>
      </w:tr>
      <w:tr>
        <w:trPr>
          <w:trHeight w:val="240" w:hRule="atLeast"/>
        </w:trPr>
        <w:tc>
          <w:tcPr>
            <w:tcW w:w="3787" w:type="dxa"/>
            <w:tcBorders/>
            <w:vAlign w:val="center"/>
          </w:tcPr>
          <w:p>
            <w:pPr>
              <w:pStyle w:val="TableContents"/>
              <w:bidi w:val="0"/>
              <w:spacing w:before="0" w:after="283"/>
              <w:jc w:val="left"/>
              <w:rPr>
                <w:sz w:val="4"/>
                <w:szCs w:val="4"/>
              </w:rPr>
            </w:pPr>
            <w:r>
              <w:rPr>
                <w:sz w:val="4"/>
                <w:szCs w:val="4"/>
              </w:rPr>
            </w:r>
          </w:p>
        </w:tc>
        <w:tc>
          <w:tcPr>
            <w:tcW w:w="6418" w:type="dxa"/>
            <w:gridSpan w:val="2"/>
            <w:tcBorders/>
            <w:vAlign w:val="center"/>
          </w:tcPr>
          <w:p>
            <w:pPr>
              <w:pStyle w:val="TableContents"/>
              <w:bidi w:val="0"/>
              <w:spacing w:before="0" w:after="283"/>
              <w:jc w:val="left"/>
              <w:rPr>
                <w:sz w:val="4"/>
                <w:szCs w:val="4"/>
              </w:rPr>
            </w:pPr>
            <w:r>
              <w:rPr>
                <w:sz w:val="4"/>
                <w:szCs w:val="4"/>
              </w:rPr>
            </w:r>
          </w:p>
        </w:tc>
      </w:tr>
      <w:tr>
        <w:trPr/>
        <w:tc>
          <w:tcPr>
            <w:tcW w:w="37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Teri L. List</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pPr>
            <w:r>
              <w:rPr/>
              <w:t>Director</w:t>
            </w:r>
          </w:p>
        </w:tc>
      </w:tr>
      <w:tr>
        <w:trPr/>
        <w:tc>
          <w:tcPr>
            <w:tcW w:w="3787" w:type="dxa"/>
            <w:tcBorders/>
          </w:tcPr>
          <w:p>
            <w:pPr>
              <w:pStyle w:val="TableContents"/>
              <w:bidi w:val="0"/>
              <w:spacing w:before="0" w:after="283"/>
              <w:jc w:val="left"/>
              <w:rPr/>
            </w:pPr>
            <w:r>
              <w:rPr/>
              <w:t>Teri L. List</w:t>
            </w:r>
          </w:p>
        </w:tc>
        <w:tc>
          <w:tcPr>
            <w:tcW w:w="120" w:type="dxa"/>
            <w:tcBorders/>
            <w:vAlign w:val="bottom"/>
          </w:tcPr>
          <w:p>
            <w:pPr>
              <w:pStyle w:val="TableContents"/>
              <w:bidi w:val="0"/>
              <w:spacing w:before="0" w:after="283"/>
              <w:jc w:val="left"/>
              <w:rPr/>
            </w:pPr>
            <w:r>
              <w:rPr/>
              <w:t>  </w:t>
            </w:r>
          </w:p>
        </w:tc>
        <w:tc>
          <w:tcPr>
            <w:tcW w:w="629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59"/>
        <w:gridCol w:w="125"/>
        <w:gridCol w:w="6221"/>
      </w:tblGrid>
      <w:tr>
        <w:trPr/>
        <w:tc>
          <w:tcPr>
            <w:tcW w:w="385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221" w:type="dxa"/>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Catherine MacGregor</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Catherine MacGregor</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A. L. Mason</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Mark A. L. Mason</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Penny S. Pritzker</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Penny S. Pritzker</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David Rainey</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John David Rainey</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W. Scharf</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Charles W. Scharf</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W. Stanton</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John W. Stanton</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r>
        <w:trPr>
          <w:trHeight w:val="240" w:hRule="atLeast"/>
        </w:trPr>
        <w:tc>
          <w:tcPr>
            <w:tcW w:w="3859" w:type="dxa"/>
            <w:tcBorders/>
            <w:vAlign w:val="center"/>
          </w:tcPr>
          <w:p>
            <w:pPr>
              <w:pStyle w:val="TableContents"/>
              <w:bidi w:val="0"/>
              <w:spacing w:before="0" w:after="283"/>
              <w:jc w:val="left"/>
              <w:rPr>
                <w:sz w:val="4"/>
                <w:szCs w:val="4"/>
              </w:rPr>
            </w:pPr>
            <w:r>
              <w:rPr>
                <w:sz w:val="4"/>
                <w:szCs w:val="4"/>
              </w:rPr>
            </w:r>
          </w:p>
        </w:tc>
        <w:tc>
          <w:tcPr>
            <w:tcW w:w="6346"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Emma N. Walmsley</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pPr>
            <w:r>
              <w:rPr/>
              <w:t>Director</w:t>
            </w:r>
          </w:p>
        </w:tc>
      </w:tr>
      <w:tr>
        <w:trPr/>
        <w:tc>
          <w:tcPr>
            <w:tcW w:w="3859" w:type="dxa"/>
            <w:tcBorders/>
          </w:tcPr>
          <w:p>
            <w:pPr>
              <w:pStyle w:val="TableContents"/>
              <w:bidi w:val="0"/>
              <w:spacing w:before="0" w:after="283"/>
              <w:jc w:val="left"/>
              <w:rPr/>
            </w:pPr>
            <w:r>
              <w:rPr/>
              <w:t>Emma N. Walmsley</w:t>
            </w:r>
          </w:p>
        </w:tc>
        <w:tc>
          <w:tcPr>
            <w:tcW w:w="125" w:type="dxa"/>
            <w:tcBorders/>
            <w:vAlign w:val="bottom"/>
          </w:tcPr>
          <w:p>
            <w:pPr>
              <w:pStyle w:val="TableContents"/>
              <w:bidi w:val="0"/>
              <w:spacing w:before="0" w:after="283"/>
              <w:jc w:val="left"/>
              <w:rPr/>
            </w:pPr>
            <w:r>
              <w:rPr/>
              <w:t>  </w:t>
            </w:r>
          </w:p>
        </w:tc>
        <w:tc>
          <w:tcPr>
            <w:tcW w:w="62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3" w:name="d98304dex51.htm"/>
      <w:bookmarkStart w:id="4" w:name="ksd98304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143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143000" cy="647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5"/>
        <w:gridCol w:w="102"/>
        <w:gridCol w:w="2858"/>
      </w:tblGrid>
      <w:tr>
        <w:trPr/>
        <w:tc>
          <w:tcPr>
            <w:tcW w:w="7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724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b/>
              </w:rPr>
            </w:pPr>
            <w:r>
              <w:rPr>
                <w:b/>
              </w:rPr>
              <w:t>Orrick, Herrington &amp; Sutcliffe LLP</w:t>
            </w:r>
          </w:p>
        </w:tc>
      </w:tr>
      <w:tr>
        <w:trPr/>
        <w:tc>
          <w:tcPr>
            <w:tcW w:w="724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pPr>
            <w:r>
              <w:rPr/>
              <w:t>401 UNION STREET - SUITE 3300</w:t>
            </w:r>
          </w:p>
        </w:tc>
      </w:tr>
      <w:tr>
        <w:trPr/>
        <w:tc>
          <w:tcPr>
            <w:tcW w:w="724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pPr>
            <w:r>
              <w:rPr/>
              <w:t>SEATTLE, WA 98101</w:t>
            </w:r>
          </w:p>
        </w:tc>
      </w:tr>
      <w:tr>
        <w:trPr/>
        <w:tc>
          <w:tcPr>
            <w:tcW w:w="724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pPr>
            <w:r>
              <w:rPr/>
              <w:t xml:space="preserve">+1 206 839 4300 </w:t>
            </w:r>
          </w:p>
        </w:tc>
      </w:tr>
      <w:tr>
        <w:trPr/>
        <w:tc>
          <w:tcPr>
            <w:tcW w:w="724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b/>
              </w:rPr>
            </w:pPr>
            <w:r>
              <w:rPr>
                <w:b/>
              </w:rPr>
              <w:t>orrick.com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240" w:after="0"/>
        <w:jc w:val="left"/>
        <w:rPr>
          <w:rFonts w:ascii="Times New Roman" w:hAnsi="Times New Roman"/>
          <w:sz w:val="20"/>
        </w:rPr>
      </w:pPr>
      <w:r>
        <w:rPr>
          <w:rFonts w:ascii="Times New Roman" w:hAnsi="Times New Roman"/>
          <w:sz w:val="20"/>
        </w:rPr>
        <w:t xml:space="preserve">Microsoft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Microsoft Way </w:t>
      </w:r>
    </w:p>
    <w:p>
      <w:pPr>
        <w:pStyle w:val="TextBody"/>
        <w:bidi w:val="0"/>
        <w:spacing w:before="0" w:after="0"/>
        <w:jc w:val="left"/>
        <w:rPr>
          <w:rFonts w:ascii="Times New Roman" w:hAnsi="Times New Roman"/>
          <w:sz w:val="20"/>
        </w:rPr>
      </w:pPr>
      <w:r>
        <w:rPr>
          <w:rFonts w:ascii="Times New Roman" w:hAnsi="Times New Roman"/>
          <w:sz w:val="20"/>
        </w:rPr>
        <w:t xml:space="preserve">Redmond, Washington 98052-6399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Microsoft Corporation Registration Statement on Form S-8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Microsoft Corporation, a Washington corporation (“Microsoft”), in connection with the preparation and filing with the Securities and Exchange Commission (the “Commission”) of Microsoft’s Registration Statement on Form S-8 (the “Registration Statement”) under the Securities Act of 1933, as amended (the “Securities Act”), relating to the registration of an aggregate of $1,200,000,000 in deferred compensation obligations that may be offered pursuant to the Microsoft Corporation Deferred Compensation Plan (the “Plan”). </w:t>
      </w:r>
    </w:p>
    <w:p>
      <w:pPr>
        <w:pStyle w:val="TextBody"/>
        <w:bidi w:val="0"/>
        <w:spacing w:before="240" w:after="0"/>
        <w:jc w:val="left"/>
        <w:rPr>
          <w:rFonts w:ascii="Times New Roman" w:hAnsi="Times New Roman"/>
          <w:sz w:val="20"/>
        </w:rPr>
      </w:pPr>
      <w:r>
        <w:rPr>
          <w:rFonts w:ascii="Times New Roman" w:hAnsi="Times New Roman"/>
          <w:sz w:val="20"/>
        </w:rPr>
        <w:t xml:space="preserve">As your legal counsel, we have reviewed the actions proposed to be taken by you in connection with the deferred compensation obligations that may be offered pursuant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originals or copies, certified or otherwise identified to our satisfaction, of (i) the Amended and Restated Articles of Incorporation of Microsoft Corporation, (ii) the Bylaws of Microsoft Corporation, (iii) the Registration Statement, (iv) the Plan, and (v) such corporate records, agreements, documents and other instruments, and such certificates or comparable documents of public officials and of officers and representatives of Microsoft, and have made such inquiries of such officers and representatives, as we have deemed relevant and necessary or appropriate as a basis for the opinion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Microsoft,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Microsoft and others and of public officials.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152525" cy="6477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expressed herein is limited to the corporate laws of the State of Washington and the federal laws of the United States of America, and we express no opinion as to the effect on the matters covered by this letter of the laws of any other jurisdictions. For purposes of the opinion set forth below, we have assumed that the Plan has been established and is intended to be maintained as a “top hat” plan under the Employee Retirement Income Security Act of 1974, as amended, which is a plan that is unfunded and maintained by an employer primarily for the purpose of providing deferred compensation for a select group of management or highly compensated employees.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limitations, qualifications and assumptions set forth herein, we are of the opinion that the deferred compensation obligations offered pursuant to the terms of the Plan will be valid and binding obligations of Microsoft, enforceable against Microsoft in accordance with their terms and the terms of the Plan, except that such enforceability (i) may be limited by bankruptcy, insolvency, reorganization or other similar laws effecting creditors’ rights generally, and (ii) subject to general principles of equity (regardless of whether such enforceability is considered in a proceeding in equity or at law). In addition, the manner in which any particular issue relating to the foregoing opinions would be treated in any actual court case would depend in part on facts and circumstances particular to the case and would also depend on how the court involved chose to exercise the wide discretionary authority generally available to it.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In giving such consent, we do not hereby admit that we are included 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Orrick, Herrington &amp; Sutcliffe LLP </w:t>
      </w:r>
    </w:p>
    <w:p>
      <w:pPr>
        <w:pStyle w:val="TextBody"/>
        <w:bidi w:val="0"/>
        <w:spacing w:before="240" w:after="0"/>
        <w:jc w:val="left"/>
        <w:rPr>
          <w:rFonts w:ascii="Times New Roman" w:hAnsi="Times New Roman"/>
          <w:sz w:val="20"/>
        </w:rPr>
      </w:pPr>
      <w:r>
        <w:rPr>
          <w:rFonts w:ascii="Times New Roman" w:hAnsi="Times New Roman"/>
          <w:sz w:val="20"/>
        </w:rPr>
        <w:t xml:space="preserve">ORRICK, HERRINGTON &amp; SUTCLIFFE LLP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5" w:name="d98304dex15.htm"/>
      <w:bookmarkStart w:id="6" w:name="ksd98304dex15"/>
      <w:bookmarkEnd w:id="5"/>
      <w:bookmarkEnd w:id="6"/>
      <w:r>
        <w:rPr>
          <w:rFonts w:ascii="Times New Roman" w:hAnsi="Times New Roman"/>
          <w:b/>
          <w:sz w:val="20"/>
        </w:rPr>
        <w:t xml:space="preserve">Exhibit 15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Stockholders of Microsoft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Microsoft Way </w:t>
      </w:r>
    </w:p>
    <w:p>
      <w:pPr>
        <w:pStyle w:val="TextBody"/>
        <w:bidi w:val="0"/>
        <w:spacing w:before="0" w:after="0"/>
        <w:jc w:val="left"/>
        <w:rPr>
          <w:rFonts w:ascii="Times New Roman" w:hAnsi="Times New Roman"/>
          <w:sz w:val="20"/>
        </w:rPr>
      </w:pPr>
      <w:r>
        <w:rPr>
          <w:rFonts w:ascii="Times New Roman" w:hAnsi="Times New Roman"/>
          <w:sz w:val="20"/>
        </w:rPr>
        <w:t xml:space="preserve">Redmond, Washington 98052-6399 </w:t>
      </w:r>
    </w:p>
    <w:p>
      <w:pPr>
        <w:pStyle w:val="TextBody"/>
        <w:bidi w:val="0"/>
        <w:spacing w:before="240" w:after="0"/>
        <w:jc w:val="left"/>
        <w:rPr>
          <w:rFonts w:ascii="Times New Roman" w:hAnsi="Times New Roman"/>
          <w:sz w:val="20"/>
        </w:rPr>
      </w:pPr>
      <w:r>
        <w:rPr>
          <w:rFonts w:ascii="Times New Roman" w:hAnsi="Times New Roman"/>
          <w:sz w:val="20"/>
        </w:rPr>
        <w:t xml:space="preserve">We are aware that our reports dated October 29, 2025, on our review of interim financial information of Microsoft Corporation appearing in Microsoft Corporation’s Quarterly Report on Form 10-Q for the quarter ended September 30, 2025 are incorporated by reference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right"/>
        <w:rPr>
          <w:rFonts w:ascii="Times New Roman" w:hAnsi="Times New Roman"/>
          <w:b/>
          <w:sz w:val="20"/>
        </w:rPr>
      </w:pPr>
      <w:bookmarkStart w:id="7" w:name="d98304dex231.htm"/>
      <w:bookmarkStart w:id="8" w:name="ksd98304dex231"/>
      <w:bookmarkEnd w:id="7"/>
      <w:bookmarkEnd w:id="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reports dated July 30, 2025, relating to the consolidated financial statements of Microsoft Corporation and subsidiaries (the “Company”), and the effectiveness of the Company’s internal control over financial reporting, appearing in the Annual Report on Form 10-K of Microsoft Corporation for the year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December 30, 2025 </w:t>
      </w:r>
    </w:p>
    <w:p>
      <w:pPr>
        <w:pStyle w:val="Normal"/>
        <w:bidi w:val="0"/>
        <w:spacing w:before="0" w:after="0"/>
        <w:jc w:val="left"/>
        <w:rPr>
          <w:sz w:val="4"/>
          <w:szCs w:val="4"/>
        </w:rPr>
      </w:pPr>
      <w:r>
        <w:rPr>
          <w:sz w:val="4"/>
          <w:szCs w:val="4"/>
        </w:rPr>
      </w:r>
      <w:bookmarkStart w:id="9" w:name="d98304dexfilingfees.htm"/>
      <w:bookmarkStart w:id="10" w:name="ksd98304dexfilingfees"/>
      <w:bookmarkStart w:id="11" w:name="d98304dexfilingfees.htm"/>
      <w:bookmarkStart w:id="12" w:name="ksd98304dexfilingfees"/>
      <w:bookmarkEnd w:id="11"/>
      <w:bookmarkEnd w:id="12"/>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MICROSOFT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1079" w:type="dxa"/>
        <w:jc w:val="left"/>
        <w:tblInd w:w="0" w:type="dxa"/>
        <w:tblLayout w:type="fixed"/>
        <w:tblCellMar>
          <w:top w:w="28" w:type="dxa"/>
          <w:left w:w="28" w:type="dxa"/>
          <w:bottom w:w="28" w:type="dxa"/>
          <w:right w:w="28" w:type="dxa"/>
        </w:tblCellMar>
      </w:tblPr>
      <w:tblGrid>
        <w:gridCol w:w="241"/>
        <w:gridCol w:w="946"/>
        <w:gridCol w:w="1471"/>
        <w:gridCol w:w="1276"/>
        <w:gridCol w:w="14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Other </w:t>
            </w:r>
          </w:p>
        </w:tc>
        <w:tc>
          <w:tcPr>
            <w:tcW w:w="1471" w:type="dxa"/>
            <w:tcBorders/>
            <w:shd w:fill="E7E7E2" w:val="clear"/>
            <w:vAlign w:val="center"/>
          </w:tcPr>
          <w:p>
            <w:pPr>
              <w:pStyle w:val="TableContents"/>
              <w:bidi w:val="0"/>
              <w:spacing w:before="0" w:after="283"/>
              <w:jc w:val="left"/>
              <w:rPr/>
            </w:pPr>
            <w:r>
              <w:rPr/>
              <w:t xml:space="preserve">Deferred Compensation Obligations </w:t>
            </w:r>
          </w:p>
        </w:tc>
        <w:tc>
          <w:tcPr>
            <w:tcW w:w="1276" w:type="dxa"/>
            <w:tcBorders/>
            <w:shd w:fill="E7E7E2" w:val="clear"/>
            <w:vAlign w:val="center"/>
          </w:tcPr>
          <w:p>
            <w:pPr>
              <w:pStyle w:val="TableContents"/>
              <w:bidi w:val="0"/>
              <w:spacing w:before="0" w:after="283"/>
              <w:jc w:val="center"/>
              <w:rPr/>
            </w:pPr>
            <w:r>
              <w:rPr/>
              <w:t xml:space="preserve">Other </w:t>
            </w:r>
          </w:p>
        </w:tc>
        <w:tc>
          <w:tcPr>
            <w:tcW w:w="1486" w:type="dxa"/>
            <w:tcBorders/>
            <w:shd w:fill="E7E7E2" w:val="clear"/>
            <w:vAlign w:val="center"/>
          </w:tcPr>
          <w:p>
            <w:pPr>
              <w:pStyle w:val="TableContents"/>
              <w:bidi w:val="0"/>
              <w:spacing w:before="0" w:after="283"/>
              <w:jc w:val="right"/>
              <w:rPr/>
            </w:pPr>
            <w:r>
              <w:rPr/>
              <w:t xml:space="preserve">1,200,000,000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$ 165,720.00 </w:t>
            </w:r>
          </w:p>
        </w:tc>
      </w:tr>
      <w:tr>
        <w:trPr/>
        <w:tc>
          <w:tcPr>
            <w:tcW w:w="542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3" w:name="MaxAggtOfferingPrice"/>
            <w:bookmarkEnd w:id="13"/>
            <w:r>
              <w:rPr/>
              <w:t xml:space="preserve">$ 1,200,000,000.00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$ 165,720.00 </w:t>
            </w:r>
          </w:p>
        </w:tc>
      </w:tr>
      <w:tr>
        <w:trPr/>
        <w:tc>
          <w:tcPr>
            <w:tcW w:w="542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542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6" w:name="NetFeeAmt"/>
            <w:bookmarkEnd w:id="16"/>
            <w:r>
              <w:rPr/>
              <w:t xml:space="preserve">$ 165,720.00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2"/>
        <w:gridCol w:w="8706"/>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Note 1.A.: The deferred compensation obligations are unsecured obligations of the Microsoft Corporation (the "Registrant") to pay deferred compensation in the future in accordance with the terms of Microsoft Corporation Deferred Compensation Plan. Note 1.B.: The Maximum Aggregate Offering Price has been estimated solely for the purpose of calculating the amount of the registration fee pursuant to Rule 457(h) under the Securities Act of 1933, as amended.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9019/000095017025100235/msft-20250630.htm" TargetMode="External"/><Relationship Id="rId3" Type="http://schemas.openxmlformats.org/officeDocument/2006/relationships/hyperlink" Target="http://www.sec.gov/Archives/edgar/data/789019/000095017024087843/msft-ex10_5.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3514</Words>
  <Characters>19350</Characters>
  <CharactersWithSpaces>22909</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