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66675</wp:posOffset>
            </wp:positionV>
            <wp:extent cx="16198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97790</wp:posOffset>
            </wp:positionV>
            <wp:extent cx="1619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11" w:lineRule="exact"/>
        <w:rPr>
          <w:sz w:val="24"/>
          <w:szCs w:val="24"/>
          <w:color w:val="auto"/>
        </w:rPr>
      </w:pPr>
    </w:p>
    <w:p>
      <w:pPr>
        <w:ind w:left="540"/>
        <w:spacing w:after="0"/>
        <w:rPr>
          <w:sz w:val="20"/>
          <w:szCs w:val="20"/>
          <w:color w:val="auto"/>
        </w:rPr>
      </w:pPr>
      <w:r>
        <w:rPr>
          <w:rFonts w:ascii="Arial" w:cs="Arial" w:eastAsia="Arial" w:hAnsi="Arial"/>
          <w:sz w:val="14"/>
          <w:szCs w:val="14"/>
          <w:b w:val="1"/>
          <w:bCs w:val="1"/>
          <w:color w:val="auto"/>
        </w:rPr>
        <w:t>For the Quarterly Period Ended March 31, 2022</w:t>
      </w:r>
    </w:p>
    <w:p>
      <w:pPr>
        <w:spacing w:after="0" w:line="86" w:lineRule="exact"/>
        <w:rPr>
          <w:sz w:val="24"/>
          <w:szCs w:val="24"/>
          <w:color w:val="auto"/>
        </w:rPr>
      </w:pPr>
    </w:p>
    <w:p>
      <w:pPr>
        <w:jc w:val="center"/>
        <w:ind w:left="500"/>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11" w:lineRule="exact"/>
        <w:rPr>
          <w:sz w:val="24"/>
          <w:szCs w:val="24"/>
          <w:color w:val="auto"/>
        </w:rPr>
      </w:pPr>
    </w:p>
    <w:p>
      <w:pPr>
        <w:ind w:left="540"/>
        <w:spacing w:after="0"/>
        <w:tabs>
          <w:tab w:leader="none" w:pos="33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80010</wp:posOffset>
            </wp:positionV>
            <wp:extent cx="1619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105410</wp:posOffset>
            </wp:positionV>
            <wp:extent cx="1619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p>
      <w:pPr>
        <w:spacing w:after="0" w:line="240" w:lineRule="exact"/>
        <w:rPr>
          <w:sz w:val="24"/>
          <w:szCs w:val="24"/>
          <w:color w:val="auto"/>
        </w:rPr>
      </w:pPr>
    </w:p>
    <w:p>
      <w:pPr>
        <w:ind w:left="2240"/>
        <w:spacing w:after="0"/>
        <w:rPr>
          <w:sz w:val="20"/>
          <w:szCs w:val="20"/>
          <w:color w:val="auto"/>
        </w:rPr>
      </w:pPr>
      <w:r>
        <w:rPr>
          <w:rFonts w:ascii="Arial" w:cs="Arial" w:eastAsia="Arial" w:hAnsi="Arial"/>
          <w:sz w:val="14"/>
          <w:szCs w:val="14"/>
          <w:b w:val="1"/>
          <w:bCs w:val="1"/>
          <w:color w:val="auto"/>
        </w:rPr>
        <w:t>WASHINGTON</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91-1144442</w:t>
      </w:r>
    </w:p>
    <w:p>
      <w:pPr>
        <w:spacing w:after="0" w:line="23" w:lineRule="exact"/>
        <w:rPr>
          <w:sz w:val="24"/>
          <w:szCs w:val="24"/>
          <w:color w:val="auto"/>
        </w:rPr>
      </w:pPr>
    </w:p>
    <w:p>
      <w:pPr>
        <w:sectPr>
          <w:pgSz w:w="11900" w:h="16838" w:orient="portrait"/>
          <w:cols w:equalWidth="0" w:num="2">
            <w:col w:w="7360" w:space="720"/>
            <w:col w:w="3160"/>
          </w:cols>
          <w:pgMar w:left="320" w:top="522" w:right="339" w:bottom="1440" w:gutter="0" w:footer="0" w:header="0"/>
          <w:type w:val="continuous"/>
        </w:sectPr>
      </w:pPr>
    </w:p>
    <w:p>
      <w:pPr>
        <w:ind w:left="180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ID)</w:t>
      </w:r>
    </w:p>
    <w:p>
      <w:pPr>
        <w:spacing w:after="0" w:line="47" w:lineRule="exact"/>
        <w:rPr>
          <w:sz w:val="24"/>
          <w:szCs w:val="24"/>
          <w:color w:val="auto"/>
        </w:rPr>
      </w:pPr>
    </w:p>
    <w:p>
      <w:pPr>
        <w:sectPr>
          <w:pgSz w:w="11900" w:h="16838" w:orient="portrait"/>
          <w:cols w:equalWidth="0" w:num="2">
            <w:col w:w="7480" w:space="720"/>
            <w:col w:w="3040"/>
          </w:cols>
          <w:pgMar w:left="320" w:top="522" w:right="3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ONE MICROSOFT WAY, REDMOND, WASHINGTON 98052-6399</w:t>
      </w:r>
    </w:p>
    <w:p>
      <w:pPr>
        <w:ind w:left="5500" w:hanging="399"/>
        <w:spacing w:after="0" w:line="235" w:lineRule="auto"/>
        <w:tabs>
          <w:tab w:leader="none" w:pos="550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882-8080</w:t>
      </w:r>
    </w:p>
    <w:p>
      <w:pPr>
        <w:ind w:left="4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www.microsoft.com/investor</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2360" w:type="dxa"/>
            <w:vAlign w:val="bottom"/>
          </w:tcPr>
          <w:p>
            <w:pPr>
              <w:spacing w:after="0"/>
              <w:rPr>
                <w:sz w:val="16"/>
                <w:szCs w:val="16"/>
                <w:color w:val="auto"/>
              </w:rPr>
            </w:pPr>
          </w:p>
        </w:tc>
        <w:tc>
          <w:tcPr>
            <w:tcW w:w="3360" w:type="dxa"/>
            <w:vAlign w:val="bottom"/>
          </w:tcPr>
          <w:p>
            <w:pPr>
              <w:spacing w:after="0"/>
              <w:rPr>
                <w:sz w:val="16"/>
                <w:szCs w:val="16"/>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5"/>
                <w:szCs w:val="15"/>
                <w:color w:val="auto"/>
              </w:rPr>
              <w:t>Title of each class</w:t>
            </w:r>
          </w:p>
        </w:tc>
        <w:tc>
          <w:tcPr>
            <w:tcW w:w="2360" w:type="dxa"/>
            <w:vAlign w:val="bottom"/>
          </w:tcPr>
          <w:p>
            <w:pPr>
              <w:jc w:val="center"/>
              <w:ind w:right="4"/>
              <w:spacing w:after="0"/>
              <w:rPr>
                <w:sz w:val="20"/>
                <w:szCs w:val="20"/>
                <w:color w:val="auto"/>
              </w:rPr>
            </w:pPr>
            <w:r>
              <w:rPr>
                <w:rFonts w:ascii="Arial" w:cs="Arial" w:eastAsia="Arial" w:hAnsi="Arial"/>
                <w:sz w:val="15"/>
                <w:szCs w:val="15"/>
                <w:color w:val="auto"/>
              </w:rPr>
              <w:t>Trading Symbol</w:t>
            </w:r>
          </w:p>
        </w:tc>
        <w:tc>
          <w:tcPr>
            <w:tcW w:w="3360" w:type="dxa"/>
            <w:vAlign w:val="bottom"/>
          </w:tcPr>
          <w:p>
            <w:pPr>
              <w:jc w:val="center"/>
              <w:ind w:left="624"/>
              <w:spacing w:after="0"/>
              <w:rPr>
                <w:sz w:val="20"/>
                <w:szCs w:val="20"/>
                <w:color w:val="auto"/>
              </w:rPr>
            </w:pPr>
            <w:r>
              <w:rPr>
                <w:rFonts w:ascii="Arial" w:cs="Arial" w:eastAsia="Arial" w:hAnsi="Arial"/>
                <w:sz w:val="15"/>
                <w:szCs w:val="15"/>
                <w:color w:val="auto"/>
              </w:rPr>
              <w:t>Name of exchange on which registered</w:t>
            </w:r>
          </w:p>
        </w:tc>
      </w:tr>
      <w:tr>
        <w:trPr>
          <w:trHeight w:val="189"/>
        </w:trPr>
        <w:tc>
          <w:tcPr>
            <w:tcW w:w="4500" w:type="dxa"/>
            <w:vAlign w:val="bottom"/>
          </w:tcPr>
          <w:p>
            <w:pPr>
              <w:spacing w:after="0"/>
              <w:rPr>
                <w:sz w:val="20"/>
                <w:szCs w:val="20"/>
                <w:color w:val="auto"/>
              </w:rPr>
            </w:pPr>
            <w:r>
              <w:rPr>
                <w:rFonts w:ascii="Arial" w:cs="Arial" w:eastAsia="Arial" w:hAnsi="Arial"/>
                <w:sz w:val="15"/>
                <w:szCs w:val="15"/>
                <w:b w:val="1"/>
                <w:bCs w:val="1"/>
                <w:color w:val="auto"/>
              </w:rPr>
              <w:t>Common stock, $0.00000625 par value per share</w:t>
            </w:r>
          </w:p>
        </w:tc>
        <w:tc>
          <w:tcPr>
            <w:tcW w:w="2360" w:type="dxa"/>
            <w:vAlign w:val="bottom"/>
          </w:tcPr>
          <w:p>
            <w:pPr>
              <w:jc w:val="center"/>
              <w:ind w:right="24"/>
              <w:spacing w:after="0"/>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rPr>
                <w:sz w:val="20"/>
                <w:szCs w:val="20"/>
                <w:color w:val="auto"/>
              </w:rPr>
            </w:pPr>
            <w:r>
              <w:rPr>
                <w:rFonts w:ascii="Arial" w:cs="Arial" w:eastAsia="Arial" w:hAnsi="Arial"/>
                <w:sz w:val="15"/>
                <w:szCs w:val="15"/>
                <w:b w:val="1"/>
                <w:bCs w:val="1"/>
                <w:color w:val="auto"/>
              </w:rPr>
              <w:t>NASDAQ</w:t>
            </w:r>
          </w:p>
        </w:tc>
      </w:tr>
      <w:tr>
        <w:trPr>
          <w:trHeight w:val="162"/>
        </w:trPr>
        <w:tc>
          <w:tcPr>
            <w:tcW w:w="4500" w:type="dxa"/>
            <w:vAlign w:val="bottom"/>
          </w:tcPr>
          <w:p>
            <w:pPr>
              <w:spacing w:after="0" w:line="162" w:lineRule="exact"/>
              <w:rPr>
                <w:sz w:val="20"/>
                <w:szCs w:val="20"/>
                <w:color w:val="auto"/>
              </w:rPr>
            </w:pPr>
            <w:r>
              <w:rPr>
                <w:rFonts w:ascii="Arial" w:cs="Arial" w:eastAsia="Arial" w:hAnsi="Arial"/>
                <w:sz w:val="15"/>
                <w:szCs w:val="15"/>
                <w:b w:val="1"/>
                <w:bCs w:val="1"/>
                <w:color w:val="auto"/>
              </w:rPr>
              <w:t>3.125% Notes due 2028</w:t>
            </w:r>
          </w:p>
        </w:tc>
        <w:tc>
          <w:tcPr>
            <w:tcW w:w="2360" w:type="dxa"/>
            <w:vAlign w:val="bottom"/>
          </w:tcPr>
          <w:p>
            <w:pPr>
              <w:jc w:val="center"/>
              <w:ind w:right="24"/>
              <w:spacing w:after="0" w:line="162" w:lineRule="exact"/>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line="162" w:lineRule="exact"/>
              <w:rPr>
                <w:sz w:val="20"/>
                <w:szCs w:val="20"/>
                <w:color w:val="auto"/>
              </w:rPr>
            </w:pPr>
            <w:r>
              <w:rPr>
                <w:rFonts w:ascii="Arial" w:cs="Arial" w:eastAsia="Arial" w:hAnsi="Arial"/>
                <w:sz w:val="15"/>
                <w:szCs w:val="15"/>
                <w:b w:val="1"/>
                <w:bCs w:val="1"/>
                <w:color w:val="auto"/>
              </w:rPr>
              <w:t>NASDAQ</w:t>
            </w:r>
          </w:p>
        </w:tc>
      </w:tr>
      <w:tr>
        <w:trPr>
          <w:trHeight w:val="202"/>
        </w:trPr>
        <w:tc>
          <w:tcPr>
            <w:tcW w:w="4500" w:type="dxa"/>
            <w:vAlign w:val="bottom"/>
          </w:tcPr>
          <w:p>
            <w:pPr>
              <w:spacing w:after="0"/>
              <w:rPr>
                <w:sz w:val="20"/>
                <w:szCs w:val="20"/>
                <w:color w:val="auto"/>
              </w:rPr>
            </w:pPr>
            <w:r>
              <w:rPr>
                <w:rFonts w:ascii="Arial" w:cs="Arial" w:eastAsia="Arial" w:hAnsi="Arial"/>
                <w:sz w:val="15"/>
                <w:szCs w:val="15"/>
                <w:b w:val="1"/>
                <w:bCs w:val="1"/>
                <w:color w:val="auto"/>
              </w:rPr>
              <w:t>2.625% Notes due 2033</w:t>
            </w:r>
          </w:p>
        </w:tc>
        <w:tc>
          <w:tcPr>
            <w:tcW w:w="2360" w:type="dxa"/>
            <w:vAlign w:val="bottom"/>
          </w:tcPr>
          <w:p>
            <w:pPr>
              <w:jc w:val="center"/>
              <w:ind w:right="24"/>
              <w:spacing w:after="0"/>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rPr>
                <w:sz w:val="20"/>
                <w:szCs w:val="20"/>
                <w:color w:val="auto"/>
              </w:rPr>
            </w:pPr>
            <w:r>
              <w:rPr>
                <w:rFonts w:ascii="Arial" w:cs="Arial" w:eastAsia="Arial" w:hAnsi="Arial"/>
                <w:sz w:val="15"/>
                <w:szCs w:val="15"/>
                <w:b w:val="1"/>
                <w:bCs w:val="1"/>
                <w:color w:val="auto"/>
              </w:rPr>
              <w:t>NASDAQ</w:t>
            </w:r>
          </w:p>
        </w:tc>
      </w:tr>
      <w:tr>
        <w:trPr>
          <w:trHeight w:val="230"/>
        </w:trPr>
        <w:tc>
          <w:tcPr>
            <w:tcW w:w="4500" w:type="dxa"/>
            <w:vAlign w:val="bottom"/>
          </w:tcPr>
          <w:p>
            <w:pPr>
              <w:spacing w:after="0"/>
              <w:rPr>
                <w:sz w:val="20"/>
                <w:szCs w:val="20"/>
                <w:color w:val="auto"/>
              </w:rPr>
            </w:pPr>
            <w:r>
              <w:rPr>
                <w:rFonts w:ascii="Arial" w:cs="Arial" w:eastAsia="Arial" w:hAnsi="Arial"/>
                <w:sz w:val="15"/>
                <w:szCs w:val="15"/>
                <w:color w:val="auto"/>
              </w:rPr>
              <w:t>Securities registered pursuant to Section 12(g) of the Act:</w:t>
            </w:r>
          </w:p>
        </w:tc>
        <w:tc>
          <w:tcPr>
            <w:tcW w:w="236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5"/>
                <w:szCs w:val="15"/>
                <w:b w:val="1"/>
                <w:bCs w:val="1"/>
                <w:color w:val="auto"/>
              </w:rPr>
              <w:t>NONE</w:t>
            </w:r>
          </w:p>
        </w:tc>
        <w:tc>
          <w:tcPr>
            <w:tcW w:w="2360" w:type="dxa"/>
            <w:vAlign w:val="bottom"/>
          </w:tcPr>
          <w:p>
            <w:pPr>
              <w:spacing w:after="0"/>
              <w:rPr>
                <w:sz w:val="19"/>
                <w:szCs w:val="19"/>
                <w:color w:val="auto"/>
              </w:rPr>
            </w:pPr>
          </w:p>
        </w:tc>
        <w:tc>
          <w:tcPr>
            <w:tcW w:w="3360" w:type="dxa"/>
            <w:vAlign w:val="bottom"/>
          </w:tcPr>
          <w:p>
            <w:pPr>
              <w:spacing w:after="0"/>
              <w:rPr>
                <w:sz w:val="19"/>
                <w:szCs w:val="19"/>
                <w:color w:val="auto"/>
              </w:rPr>
            </w:pPr>
          </w:p>
        </w:tc>
      </w:tr>
    </w:tbl>
    <w:p>
      <w:pPr>
        <w:spacing w:after="0" w:line="45" w:lineRule="exact"/>
        <w:rPr>
          <w:sz w:val="24"/>
          <w:szCs w:val="24"/>
          <w:color w:val="auto"/>
        </w:rPr>
      </w:pPr>
    </w:p>
    <w:p>
      <w:pPr>
        <w:jc w:val="both"/>
        <w:spacing w:after="0" w:line="23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73" w:lineRule="exact"/>
        <w:tabs>
          <w:tab w:leader="none" w:pos="740" w:val="left"/>
          <w:tab w:leader="none" w:pos="1380" w:val="left"/>
        </w:tabs>
        <w:rPr>
          <w:sz w:val="20"/>
          <w:szCs w:val="20"/>
          <w:color w:val="auto"/>
        </w:rPr>
      </w:pPr>
      <w:r>
        <w:rPr>
          <w:rFonts w:ascii="Arial" w:cs="Arial" w:eastAsia="Arial" w:hAnsi="Arial"/>
          <w:sz w:val="15"/>
          <w:szCs w:val="15"/>
          <w:color w:val="auto"/>
        </w:rPr>
        <w:t>90 days.</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74" w:lineRule="exact"/>
        <w:rPr>
          <w:sz w:val="24"/>
          <w:szCs w:val="24"/>
          <w:color w:val="auto"/>
        </w:rPr>
      </w:pPr>
    </w:p>
    <w:p>
      <w:pPr>
        <w:jc w:val="both"/>
        <w:spacing w:after="0" w:line="18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7" w:lineRule="exact"/>
        <w:rPr>
          <w:sz w:val="24"/>
          <w:szCs w:val="24"/>
          <w:color w:val="auto"/>
        </w:rPr>
      </w:pPr>
    </w:p>
    <w:p>
      <w:pPr>
        <w:jc w:val="both"/>
        <w:spacing w:after="0" w:line="23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22" w:right="339" w:bottom="1440" w:gutter="0" w:footer="0" w:header="0"/>
          <w:type w:val="continuous"/>
        </w:sectPr>
      </w:pPr>
    </w:p>
    <w:p>
      <w:pPr>
        <w:spacing w:after="0" w:line="7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67" w:lineRule="exact"/>
        <w:rPr>
          <w:sz w:val="24"/>
          <w:szCs w:val="24"/>
          <w:color w:val="auto"/>
        </w:rPr>
      </w:pPr>
    </w:p>
    <w:p>
      <w:pPr>
        <w:sectPr>
          <w:pgSz w:w="11900" w:h="16838" w:orient="portrait"/>
          <w:cols w:equalWidth="0" w:num="2">
            <w:col w:w="7640" w:space="720"/>
            <w:col w:w="2880"/>
          </w:cols>
          <w:pgMar w:left="320" w:top="522" w:right="339" w:bottom="1440" w:gutter="0" w:footer="0" w:header="0"/>
          <w:type w:val="continuous"/>
        </w:sect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125" w:lineRule="exact"/>
        <w:rPr>
          <w:sz w:val="24"/>
          <w:szCs w:val="24"/>
          <w:color w:val="auto"/>
        </w:rPr>
      </w:pPr>
    </w:p>
    <w:p>
      <w:pPr>
        <w:sectPr>
          <w:pgSz w:w="11900" w:h="16838" w:orient="portrait"/>
          <w:cols w:equalWidth="0" w:num="2">
            <w:col w:w="7640" w:space="720"/>
            <w:col w:w="2880"/>
          </w:cols>
          <w:pgMar w:left="320" w:top="522" w:right="339" w:bottom="1440" w:gutter="0" w:footer="0" w:header="0"/>
          <w:type w:val="continuous"/>
        </w:sectPr>
      </w:pPr>
    </w:p>
    <w:p>
      <w:pPr>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 w:lineRule="exact"/>
        <w:rPr>
          <w:sz w:val="24"/>
          <w:szCs w:val="24"/>
          <w:color w:val="auto"/>
        </w:rPr>
      </w:pPr>
    </w:p>
    <w:p>
      <w:pPr>
        <w:ind w:right="2360"/>
        <w:spacing w:after="0" w:line="23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the number of shares outstanding of each of the issuer’s classes of common stock, as of the latest practicable date.</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6180" w:type="dxa"/>
            <w:vAlign w:val="bottom"/>
          </w:tcPr>
          <w:p>
            <w:pPr>
              <w:spacing w:after="0"/>
              <w:rPr>
                <w:sz w:val="20"/>
                <w:szCs w:val="20"/>
                <w:color w:val="auto"/>
              </w:rPr>
            </w:pPr>
            <w:r>
              <w:rPr>
                <w:rFonts w:ascii="Arial" w:cs="Arial" w:eastAsia="Arial" w:hAnsi="Arial"/>
                <w:sz w:val="13"/>
                <w:szCs w:val="13"/>
                <w:b w:val="1"/>
                <w:bCs w:val="1"/>
                <w:color w:val="auto"/>
              </w:rPr>
              <w:t>Class</w:t>
            </w:r>
          </w:p>
        </w:tc>
        <w:tc>
          <w:tcPr>
            <w:tcW w:w="5060" w:type="dxa"/>
            <w:vAlign w:val="bottom"/>
          </w:tcPr>
          <w:p>
            <w:pPr>
              <w:ind w:left="2800"/>
              <w:spacing w:after="0"/>
              <w:rPr>
                <w:sz w:val="20"/>
                <w:szCs w:val="20"/>
                <w:color w:val="auto"/>
              </w:rPr>
            </w:pPr>
            <w:r>
              <w:rPr>
                <w:rFonts w:ascii="Arial" w:cs="Arial" w:eastAsia="Arial" w:hAnsi="Arial"/>
                <w:sz w:val="13"/>
                <w:szCs w:val="13"/>
                <w:b w:val="1"/>
                <w:bCs w:val="1"/>
                <w:color w:val="auto"/>
              </w:rPr>
              <w:t>Outstanding as of April 21, 2022</w:t>
            </w:r>
          </w:p>
        </w:tc>
      </w:tr>
      <w:tr>
        <w:trPr>
          <w:trHeight w:val="28"/>
        </w:trPr>
        <w:tc>
          <w:tcPr>
            <w:tcW w:w="618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r>
      <w:tr>
        <w:trPr>
          <w:trHeight w:val="196"/>
        </w:trPr>
        <w:tc>
          <w:tcPr>
            <w:tcW w:w="6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Common Stock, $0.00000625 par value per share</w:t>
            </w:r>
          </w:p>
        </w:tc>
        <w:tc>
          <w:tcPr>
            <w:tcW w:w="5060" w:type="dxa"/>
            <w:vAlign w:val="bottom"/>
            <w:tcBorders>
              <w:bottom w:val="single" w:sz="8" w:color="auto"/>
            </w:tcBorders>
          </w:tcPr>
          <w:p>
            <w:pPr>
              <w:ind w:left="3400"/>
              <w:spacing w:after="0"/>
              <w:rPr>
                <w:sz w:val="20"/>
                <w:szCs w:val="20"/>
                <w:color w:val="auto"/>
              </w:rPr>
            </w:pPr>
            <w:r>
              <w:rPr>
                <w:rFonts w:ascii="Arial" w:cs="Arial" w:eastAsia="Arial" w:hAnsi="Arial"/>
                <w:sz w:val="15"/>
                <w:szCs w:val="15"/>
                <w:color w:val="auto"/>
              </w:rPr>
              <w:t>7,479,033,135 shares</w:t>
            </w:r>
          </w:p>
        </w:tc>
      </w:tr>
      <w:tr>
        <w:trPr>
          <w:trHeight w:val="743"/>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MICROSOFT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3"/>
        </w:trPr>
        <w:tc>
          <w:tcPr>
            <w:tcW w:w="900" w:type="dxa"/>
            <w:vAlign w:val="bottom"/>
            <w:vMerge w:val="continue"/>
          </w:tcPr>
          <w:p>
            <w:pPr>
              <w:spacing w:after="0"/>
              <w:rPr>
                <w:sz w:val="17"/>
                <w:szCs w:val="17"/>
                <w:color w:val="auto"/>
              </w:rPr>
            </w:pPr>
          </w:p>
        </w:tc>
        <w:tc>
          <w:tcPr>
            <w:tcW w:w="2280" w:type="dxa"/>
            <w:vAlign w:val="bottom"/>
            <w:tcBorders>
              <w:bottom w:val="single" w:sz="8" w:color="0000EE"/>
            </w:tcBorders>
            <w:gridSpan w:val="7"/>
          </w:tcPr>
          <w:p>
            <w:pPr>
              <w:spacing w:after="0" w:line="203" w:lineRule="exact"/>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FINANCIAL INFORMATION</w:t>
              </w:r>
            </w:hyperlink>
          </w:p>
        </w:tc>
        <w:tc>
          <w:tcPr>
            <w:tcW w:w="7400" w:type="dxa"/>
            <w:vAlign w:val="bottom"/>
            <w:gridSpan w:val="12"/>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680" w:type="dxa"/>
            <w:vAlign w:val="bottom"/>
            <w:tcBorders>
              <w:bottom w:val="single" w:sz="8" w:color="0000EE"/>
            </w:tcBorders>
            <w:gridSpan w:val="7"/>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Financial Statements</w:t>
              </w:r>
            </w:hyperlink>
          </w:p>
        </w:tc>
        <w:tc>
          <w:tcPr>
            <w:tcW w:w="7000" w:type="dxa"/>
            <w:vAlign w:val="bottom"/>
            <w:gridSpan w:val="10"/>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a)</w:t>
            </w:r>
          </w:p>
        </w:tc>
        <w:tc>
          <w:tcPr>
            <w:tcW w:w="672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Income Statements for the Three and Nine Months Ended March 31, 2022 and 2021</w:t>
              </w:r>
            </w:hyperlink>
          </w:p>
        </w:tc>
        <w:tc>
          <w:tcPr>
            <w:tcW w:w="164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b)</w:t>
            </w:r>
          </w:p>
        </w:tc>
        <w:tc>
          <w:tcPr>
            <w:tcW w:w="83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Comprehensive Income Statements for the Three and Nine Months Ended March 31, 2022 and 2021</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c)</w:t>
            </w:r>
          </w:p>
        </w:tc>
        <w:tc>
          <w:tcPr>
            <w:tcW w:w="8020" w:type="dxa"/>
            <w:vAlign w:val="bottom"/>
            <w:tcBorders>
              <w:top w:val="single" w:sz="8" w:color="0000EE"/>
            </w:tcBorders>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Balance Sheets as of March 31, 2022 and June 30, 2021</w:t>
              </w:r>
            </w:hyperlink>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d)</w:t>
            </w: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83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Cash Flows Statements for the Three and Nine Months Ended March 31, 2022 and 2021</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e)</w:t>
            </w: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776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Stockholders’ Equity Statements for the Three and Nine Months Ended March 31, 2022 and 2021</w:t>
              </w:r>
            </w:hyperlink>
          </w:p>
        </w:tc>
        <w:tc>
          <w:tcPr>
            <w:tcW w:w="60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f)</w:t>
            </w:r>
          </w:p>
        </w:tc>
        <w:tc>
          <w:tcPr>
            <w:tcW w:w="836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g)</w:t>
            </w: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8360" w:type="dxa"/>
            <w:vAlign w:val="bottom"/>
            <w:gridSpan w:val="1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Report of Independent Registered Public Accounting Firm</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20" w:type="dxa"/>
            <w:vAlign w:val="bottom"/>
            <w:tcBorders>
              <w:left w:val="single" w:sz="8" w:color="0000EE"/>
            </w:tcBorders>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Management’s Discussion and Analysis of Financial Condition and Results of Operations</w:t>
              </w:r>
            </w:hyperlink>
          </w:p>
        </w:tc>
        <w:tc>
          <w:tcPr>
            <w:tcW w:w="160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680" w:type="dxa"/>
            <w:vAlign w:val="bottom"/>
            <w:gridSpan w:val="1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00" w:type="dxa"/>
            <w:vAlign w:val="bottom"/>
            <w:tcBorders>
              <w:top w:val="single" w:sz="8" w:color="0000EE"/>
            </w:tcBorders>
            <w:gridSpan w:val="1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398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52">
              <w:r>
                <w:rPr>
                  <w:rFonts w:ascii="Arial" w:cs="Arial" w:eastAsia="Arial" w:hAnsi="Arial"/>
                  <w:sz w:val="18"/>
                  <w:szCs w:val="18"/>
                  <w:b w:val="1"/>
                  <w:bCs w:val="1"/>
                  <w:color w:val="0000EE"/>
                  <w:w w:val="98"/>
                </w:rPr>
                <w:t>OTHER INFORMATION</w:t>
              </w:r>
            </w:hyperlink>
          </w:p>
        </w:tc>
        <w:tc>
          <w:tcPr>
            <w:tcW w:w="7740" w:type="dxa"/>
            <w:vAlign w:val="bottom"/>
            <w:gridSpan w:val="14"/>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680" w:type="dxa"/>
            <w:vAlign w:val="bottom"/>
            <w:gridSpan w:val="1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7"/>
              </w:rPr>
            </w:pPr>
            <w:hyperlink w:anchor="page52">
              <w:r>
                <w:rPr>
                  <w:rFonts w:ascii="Arial" w:cs="Arial" w:eastAsia="Arial" w:hAnsi="Arial"/>
                  <w:sz w:val="18"/>
                  <w:szCs w:val="18"/>
                  <w:color w:val="0000EE"/>
                  <w:w w:val="97"/>
                </w:rPr>
                <w:t>Risk Factors</w:t>
              </w:r>
            </w:hyperlink>
          </w:p>
        </w:tc>
        <w:tc>
          <w:tcPr>
            <w:tcW w:w="480" w:type="dxa"/>
            <w:vAlign w:val="bottom"/>
            <w:tcBorders>
              <w:top w:val="single" w:sz="8" w:color="0000EE"/>
            </w:tcBorders>
            <w:gridSpan w:val="2"/>
          </w:tcPr>
          <w:p>
            <w:pPr>
              <w:spacing w:after="0"/>
              <w:rPr>
                <w:sz w:val="24"/>
                <w:szCs w:val="24"/>
                <w:color w:val="auto"/>
              </w:rPr>
            </w:pPr>
          </w:p>
        </w:tc>
        <w:tc>
          <w:tcPr>
            <w:tcW w:w="7200" w:type="dxa"/>
            <w:vAlign w:val="bottom"/>
            <w:gridSpan w:val="11"/>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680" w:type="dxa"/>
            <w:vAlign w:val="bottom"/>
            <w:gridSpan w:val="17"/>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860" w:type="dxa"/>
            <w:vAlign w:val="bottom"/>
            <w:tcBorders>
              <w:top w:val="single" w:sz="8" w:color="0000EE"/>
            </w:tcBorders>
            <w:gridSpan w:val="1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Exhibits</w:t>
              </w:r>
            </w:hyperlink>
          </w:p>
        </w:tc>
        <w:tc>
          <w:tcPr>
            <w:tcW w:w="382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25"/>
        </w:trPr>
        <w:tc>
          <w:tcPr>
            <w:tcW w:w="1060" w:type="dxa"/>
            <w:vAlign w:val="bottom"/>
            <w:tcBorders>
              <w:bottom w:val="single" w:sz="8" w:color="0000EE"/>
            </w:tcBorders>
            <w:gridSpan w:val="2"/>
          </w:tcPr>
          <w:p>
            <w:pPr>
              <w:spacing w:after="0"/>
              <w:rPr>
                <w:rFonts w:ascii="Arial" w:cs="Arial" w:eastAsia="Arial" w:hAnsi="Arial"/>
                <w:sz w:val="18"/>
                <w:szCs w:val="18"/>
                <w:b w:val="1"/>
                <w:bCs w:val="1"/>
                <w:color w:val="0000EE"/>
                <w:w w:val="98"/>
              </w:rPr>
            </w:pPr>
            <w:hyperlink w:anchor="page68">
              <w:r>
                <w:rPr>
                  <w:rFonts w:ascii="Arial" w:cs="Arial" w:eastAsia="Arial" w:hAnsi="Arial"/>
                  <w:sz w:val="18"/>
                  <w:szCs w:val="18"/>
                  <w:b w:val="1"/>
                  <w:bCs w:val="1"/>
                  <w:color w:val="0000EE"/>
                  <w:w w:val="98"/>
                </w:rPr>
                <w:t>SIGNATURE</w:t>
              </w:r>
            </w:hyperlink>
          </w:p>
        </w:tc>
        <w:tc>
          <w:tcPr>
            <w:tcW w:w="84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FINANCIAL STATEMENTS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Three Months Ended</w:t>
            </w: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8"/>
        </w:trPr>
        <w:tc>
          <w:tcPr>
            <w:tcW w:w="4600" w:type="dxa"/>
            <w:vAlign w:val="bottom"/>
          </w:tcPr>
          <w:p>
            <w:pPr>
              <w:spacing w:after="0"/>
              <w:rPr>
                <w:sz w:val="20"/>
                <w:szCs w:val="20"/>
                <w:color w:val="auto"/>
              </w:rPr>
            </w:pPr>
            <w:r>
              <w:rPr>
                <w:rFonts w:ascii="Arial" w:cs="Arial" w:eastAsia="Arial" w:hAnsi="Arial"/>
                <w:sz w:val="13"/>
                <w:szCs w:val="13"/>
                <w:b w:val="1"/>
                <w:bCs w:val="1"/>
                <w:color w:val="auto"/>
              </w:rPr>
              <w:t>(In millions, except per share amounts) (Unaudited)</w:t>
            </w: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March 31,</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54"/>
        </w:trPr>
        <w:tc>
          <w:tcPr>
            <w:tcW w:w="46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2021</w:t>
            </w:r>
          </w:p>
        </w:tc>
        <w:tc>
          <w:tcPr>
            <w:tcW w:w="4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5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4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3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tcPr>
          <w:p>
            <w:pPr>
              <w:ind w:left="220"/>
              <w:spacing w:after="0" w:line="189" w:lineRule="exact"/>
              <w:rPr>
                <w:sz w:val="20"/>
                <w:szCs w:val="20"/>
                <w:color w:val="auto"/>
              </w:rPr>
            </w:pPr>
            <w:r>
              <w:rPr>
                <w:rFonts w:ascii="Arial" w:cs="Arial" w:eastAsia="Arial" w:hAnsi="Arial"/>
                <w:sz w:val="18"/>
                <w:szCs w:val="18"/>
                <w:color w:val="auto"/>
              </w:rPr>
              <w:t>Product</w:t>
            </w:r>
          </w:p>
        </w:tc>
        <w:tc>
          <w:tcPr>
            <w:tcW w:w="500" w:type="dxa"/>
            <w:vAlign w:val="bottom"/>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17,366</w:t>
            </w:r>
          </w:p>
        </w:tc>
        <w:tc>
          <w:tcPr>
            <w:tcW w:w="2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16,873</w:t>
            </w:r>
          </w:p>
        </w:tc>
        <w:tc>
          <w:tcPr>
            <w:tcW w:w="460" w:type="dxa"/>
            <w:vAlign w:val="bottom"/>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54,776</w:t>
            </w:r>
          </w:p>
        </w:tc>
        <w:tc>
          <w:tcPr>
            <w:tcW w:w="2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52,136</w:t>
            </w: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Service and other</w:t>
            </w:r>
          </w:p>
        </w:tc>
        <w:tc>
          <w:tcPr>
            <w:tcW w:w="5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31,994</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6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24,833</w:t>
            </w:r>
          </w:p>
        </w:tc>
        <w:tc>
          <w:tcPr>
            <w:tcW w:w="4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91,629</w:t>
            </w:r>
          </w:p>
        </w:tc>
        <w:tc>
          <w:tcPr>
            <w:tcW w:w="1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69,800</w:t>
            </w:r>
          </w:p>
        </w:tc>
        <w:tc>
          <w:tcPr>
            <w:tcW w:w="0" w:type="dxa"/>
            <w:vAlign w:val="bottom"/>
          </w:tcPr>
          <w:p>
            <w:pPr>
              <w:spacing w:after="0"/>
              <w:rPr>
                <w:sz w:val="1"/>
                <w:szCs w:val="1"/>
                <w:color w:val="auto"/>
              </w:rPr>
            </w:pPr>
          </w:p>
        </w:tc>
      </w:tr>
      <w:tr>
        <w:trPr>
          <w:trHeight w:val="68"/>
        </w:trPr>
        <w:tc>
          <w:tcPr>
            <w:tcW w:w="46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6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50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49,360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41,706</w:t>
            </w:r>
          </w:p>
        </w:tc>
        <w:tc>
          <w:tcPr>
            <w:tcW w:w="4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146,405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121,936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6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Cost of revenue:</w:t>
            </w:r>
          </w:p>
        </w:tc>
        <w:tc>
          <w:tcPr>
            <w:tcW w:w="5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4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3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tcPr>
          <w:p>
            <w:pPr>
              <w:ind w:left="220"/>
              <w:spacing w:after="0" w:line="189" w:lineRule="exact"/>
              <w:rPr>
                <w:sz w:val="20"/>
                <w:szCs w:val="20"/>
                <w:color w:val="auto"/>
              </w:rPr>
            </w:pPr>
            <w:r>
              <w:rPr>
                <w:rFonts w:ascii="Arial" w:cs="Arial" w:eastAsia="Arial" w:hAnsi="Arial"/>
                <w:sz w:val="18"/>
                <w:szCs w:val="18"/>
                <w:color w:val="auto"/>
              </w:rPr>
              <w:t>Product</w:t>
            </w:r>
          </w:p>
        </w:tc>
        <w:tc>
          <w:tcPr>
            <w:tcW w:w="500" w:type="dxa"/>
            <w:vAlign w:val="bottom"/>
          </w:tcPr>
          <w:p>
            <w:pPr>
              <w:spacing w:after="0"/>
              <w:rPr>
                <w:sz w:val="16"/>
                <w:szCs w:val="16"/>
                <w:color w:val="auto"/>
              </w:rPr>
            </w:pPr>
          </w:p>
        </w:tc>
        <w:tc>
          <w:tcPr>
            <w:tcW w:w="10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4,584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4,277</w:t>
            </w:r>
          </w:p>
        </w:tc>
        <w:tc>
          <w:tcPr>
            <w:tcW w:w="460" w:type="dxa"/>
            <w:vAlign w:val="bottom"/>
          </w:tcPr>
          <w:p>
            <w:pPr>
              <w:spacing w:after="0"/>
              <w:rPr>
                <w:sz w:val="16"/>
                <w:szCs w:val="16"/>
                <w:color w:val="auto"/>
              </w:rPr>
            </w:pPr>
          </w:p>
        </w:tc>
        <w:tc>
          <w:tcPr>
            <w:tcW w:w="11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14,707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13,932</w:t>
            </w: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Service and other</w:t>
            </w:r>
          </w:p>
        </w:tc>
        <w:tc>
          <w:tcPr>
            <w:tcW w:w="5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11,031</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6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8,768</w:t>
            </w:r>
          </w:p>
        </w:tc>
        <w:tc>
          <w:tcPr>
            <w:tcW w:w="4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31,514</w:t>
            </w:r>
          </w:p>
        </w:tc>
        <w:tc>
          <w:tcPr>
            <w:tcW w:w="1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24,309</w:t>
            </w:r>
          </w:p>
        </w:tc>
        <w:tc>
          <w:tcPr>
            <w:tcW w:w="0" w:type="dxa"/>
            <w:vAlign w:val="bottom"/>
          </w:tcPr>
          <w:p>
            <w:pPr>
              <w:spacing w:after="0"/>
              <w:rPr>
                <w:sz w:val="1"/>
                <w:szCs w:val="1"/>
                <w:color w:val="auto"/>
              </w:rPr>
            </w:pPr>
          </w:p>
        </w:tc>
      </w:tr>
      <w:tr>
        <w:trPr>
          <w:trHeight w:val="68"/>
        </w:trPr>
        <w:tc>
          <w:tcPr>
            <w:tcW w:w="46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600" w:type="dxa"/>
            <w:vAlign w:val="bottom"/>
          </w:tcPr>
          <w:p>
            <w:pPr>
              <w:ind w:left="440"/>
              <w:spacing w:after="0"/>
              <w:rPr>
                <w:sz w:val="20"/>
                <w:szCs w:val="20"/>
                <w:color w:val="auto"/>
              </w:rPr>
            </w:pPr>
            <w:r>
              <w:rPr>
                <w:rFonts w:ascii="Arial" w:cs="Arial" w:eastAsia="Arial" w:hAnsi="Arial"/>
                <w:sz w:val="18"/>
                <w:szCs w:val="18"/>
                <w:color w:val="auto"/>
              </w:rPr>
              <w:t>Total cost of revenue</w:t>
            </w:r>
          </w:p>
        </w:tc>
        <w:tc>
          <w:tcPr>
            <w:tcW w:w="50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15,615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13,045</w:t>
            </w:r>
          </w:p>
        </w:tc>
        <w:tc>
          <w:tcPr>
            <w:tcW w:w="4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46,221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38,241</w:t>
            </w:r>
          </w:p>
        </w:tc>
        <w:tc>
          <w:tcPr>
            <w:tcW w:w="0" w:type="dxa"/>
            <w:vAlign w:val="bottom"/>
          </w:tcPr>
          <w:p>
            <w:pPr>
              <w:spacing w:after="0"/>
              <w:rPr>
                <w:sz w:val="1"/>
                <w:szCs w:val="1"/>
                <w:color w:val="auto"/>
              </w:rPr>
            </w:pPr>
          </w:p>
        </w:tc>
      </w:tr>
      <w:tr>
        <w:trPr>
          <w:trHeight w:val="54"/>
        </w:trPr>
        <w:tc>
          <w:tcPr>
            <w:tcW w:w="46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Gross margin</w:t>
            </w:r>
          </w:p>
        </w:tc>
        <w:tc>
          <w:tcPr>
            <w:tcW w:w="5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33,745</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6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28,661</w:t>
            </w:r>
          </w:p>
        </w:tc>
        <w:tc>
          <w:tcPr>
            <w:tcW w:w="4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100,184</w:t>
            </w:r>
          </w:p>
        </w:tc>
        <w:tc>
          <w:tcPr>
            <w:tcW w:w="1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83,695</w:t>
            </w:r>
          </w:p>
        </w:tc>
        <w:tc>
          <w:tcPr>
            <w:tcW w:w="0" w:type="dxa"/>
            <w:vAlign w:val="bottom"/>
          </w:tcPr>
          <w:p>
            <w:pPr>
              <w:spacing w:after="0"/>
              <w:rPr>
                <w:sz w:val="1"/>
                <w:szCs w:val="1"/>
                <w:color w:val="auto"/>
              </w:rPr>
            </w:pPr>
          </w:p>
        </w:tc>
      </w:tr>
      <w:tr>
        <w:trPr>
          <w:trHeight w:val="189"/>
        </w:trPr>
        <w:tc>
          <w:tcPr>
            <w:tcW w:w="4600" w:type="dxa"/>
            <w:vAlign w:val="bottom"/>
          </w:tcPr>
          <w:p>
            <w:pPr>
              <w:spacing w:after="0" w:line="189" w:lineRule="exact"/>
              <w:rPr>
                <w:sz w:val="20"/>
                <w:szCs w:val="20"/>
                <w:color w:val="auto"/>
              </w:rPr>
            </w:pPr>
            <w:r>
              <w:rPr>
                <w:rFonts w:ascii="Arial" w:cs="Arial" w:eastAsia="Arial" w:hAnsi="Arial"/>
                <w:sz w:val="18"/>
                <w:szCs w:val="18"/>
                <w:color w:val="auto"/>
              </w:rPr>
              <w:t>Research and development</w:t>
            </w:r>
          </w:p>
        </w:tc>
        <w:tc>
          <w:tcPr>
            <w:tcW w:w="500" w:type="dxa"/>
            <w:vAlign w:val="bottom"/>
          </w:tcPr>
          <w:p>
            <w:pPr>
              <w:spacing w:after="0"/>
              <w:rPr>
                <w:sz w:val="16"/>
                <w:szCs w:val="16"/>
                <w:color w:val="auto"/>
              </w:rPr>
            </w:pPr>
          </w:p>
        </w:tc>
        <w:tc>
          <w:tcPr>
            <w:tcW w:w="10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6,306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5,204</w:t>
            </w:r>
          </w:p>
        </w:tc>
        <w:tc>
          <w:tcPr>
            <w:tcW w:w="460" w:type="dxa"/>
            <w:vAlign w:val="bottom"/>
          </w:tcPr>
          <w:p>
            <w:pPr>
              <w:spacing w:after="0"/>
              <w:rPr>
                <w:sz w:val="16"/>
                <w:szCs w:val="16"/>
                <w:color w:val="auto"/>
              </w:rPr>
            </w:pPr>
          </w:p>
        </w:tc>
        <w:tc>
          <w:tcPr>
            <w:tcW w:w="11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17,663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15,029</w:t>
            </w: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and marketing</w:t>
            </w:r>
          </w:p>
        </w:tc>
        <w:tc>
          <w:tcPr>
            <w:tcW w:w="5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5,595</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6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5,082</w:t>
            </w:r>
          </w:p>
        </w:tc>
        <w:tc>
          <w:tcPr>
            <w:tcW w:w="4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15,521</w:t>
            </w:r>
          </w:p>
        </w:tc>
        <w:tc>
          <w:tcPr>
            <w:tcW w:w="1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14,260</w:t>
            </w: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1,480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1,327</w:t>
            </w:r>
          </w:p>
        </w:tc>
        <w:tc>
          <w:tcPr>
            <w:tcW w:w="4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68"/>
        </w:trPr>
        <w:tc>
          <w:tcPr>
            <w:tcW w:w="460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4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3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5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20,364</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6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17,048</w:t>
            </w:r>
          </w:p>
        </w:tc>
        <w:tc>
          <w:tcPr>
            <w:tcW w:w="4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62,849</w:t>
            </w:r>
          </w:p>
        </w:tc>
        <w:tc>
          <w:tcPr>
            <w:tcW w:w="1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50,821</w:t>
            </w: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188</w:t>
            </w:r>
          </w:p>
        </w:tc>
        <w:tc>
          <w:tcPr>
            <w:tcW w:w="4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460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4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3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Income before income taxes</w:t>
            </w:r>
          </w:p>
        </w:tc>
        <w:tc>
          <w:tcPr>
            <w:tcW w:w="5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20,190</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6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17,236</w:t>
            </w:r>
          </w:p>
        </w:tc>
        <w:tc>
          <w:tcPr>
            <w:tcW w:w="4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63,229</w:t>
            </w:r>
          </w:p>
        </w:tc>
        <w:tc>
          <w:tcPr>
            <w:tcW w:w="1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51,697</w:t>
            </w: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3,462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1,779</w:t>
            </w:r>
          </w:p>
        </w:tc>
        <w:tc>
          <w:tcPr>
            <w:tcW w:w="4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6,884</w:t>
            </w:r>
          </w:p>
        </w:tc>
        <w:tc>
          <w:tcPr>
            <w:tcW w:w="0" w:type="dxa"/>
            <w:vAlign w:val="bottom"/>
          </w:tcPr>
          <w:p>
            <w:pPr>
              <w:spacing w:after="0"/>
              <w:rPr>
                <w:sz w:val="1"/>
                <w:szCs w:val="1"/>
                <w:color w:val="auto"/>
              </w:rPr>
            </w:pPr>
          </w:p>
        </w:tc>
      </w:tr>
      <w:tr>
        <w:trPr>
          <w:trHeight w:val="68"/>
        </w:trPr>
        <w:tc>
          <w:tcPr>
            <w:tcW w:w="460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4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3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16,728</w:t>
            </w:r>
          </w:p>
        </w:tc>
        <w:tc>
          <w:tcPr>
            <w:tcW w:w="2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15,457</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55,998</w:t>
            </w:r>
          </w:p>
        </w:tc>
        <w:tc>
          <w:tcPr>
            <w:tcW w:w="2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44,813</w:t>
            </w:r>
          </w:p>
        </w:tc>
        <w:tc>
          <w:tcPr>
            <w:tcW w:w="0" w:type="dxa"/>
            <w:vAlign w:val="bottom"/>
          </w:tcPr>
          <w:p>
            <w:pPr>
              <w:spacing w:after="0"/>
              <w:rPr>
                <w:sz w:val="1"/>
                <w:szCs w:val="1"/>
                <w:color w:val="auto"/>
              </w:rPr>
            </w:pPr>
          </w:p>
        </w:tc>
      </w:tr>
      <w:tr>
        <w:trPr>
          <w:trHeight w:val="75"/>
        </w:trPr>
        <w:tc>
          <w:tcPr>
            <w:tcW w:w="460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5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460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Basic</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2.23</w:t>
            </w:r>
          </w:p>
        </w:tc>
        <w:tc>
          <w:tcPr>
            <w:tcW w:w="2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2.05</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7.46</w:t>
            </w:r>
          </w:p>
        </w:tc>
        <w:tc>
          <w:tcPr>
            <w:tcW w:w="2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5.93</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600" w:type="dxa"/>
            <w:vAlign w:val="bottom"/>
          </w:tcPr>
          <w:p>
            <w:pPr>
              <w:ind w:left="220"/>
              <w:spacing w:after="0"/>
              <w:rPr>
                <w:sz w:val="20"/>
                <w:szCs w:val="20"/>
                <w:color w:val="auto"/>
              </w:rPr>
            </w:pPr>
            <w:r>
              <w:rPr>
                <w:rFonts w:ascii="Arial" w:cs="Arial" w:eastAsia="Arial" w:hAnsi="Arial"/>
                <w:sz w:val="18"/>
                <w:szCs w:val="18"/>
                <w:color w:val="auto"/>
              </w:rPr>
              <w:t>Diluted</w:t>
            </w: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7.41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600" w:type="dxa"/>
            <w:vAlign w:val="bottom"/>
            <w:shd w:val="clear" w:color="auto" w:fill="E5E5E5"/>
          </w:tcPr>
          <w:p>
            <w:pPr>
              <w:spacing w:after="0" w:line="198" w:lineRule="exact"/>
              <w:rPr>
                <w:sz w:val="20"/>
                <w:szCs w:val="20"/>
                <w:color w:val="auto"/>
              </w:rPr>
            </w:pPr>
            <w:r>
              <w:rPr>
                <w:rFonts w:ascii="Arial" w:cs="Arial" w:eastAsia="Arial" w:hAnsi="Arial"/>
                <w:sz w:val="18"/>
                <w:szCs w:val="18"/>
                <w:color w:val="auto"/>
              </w:rPr>
              <w:t>Weighted average shares outstanding:</w:t>
            </w:r>
          </w:p>
        </w:tc>
        <w:tc>
          <w:tcPr>
            <w:tcW w:w="50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4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3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00" w:type="dxa"/>
            <w:vAlign w:val="bottom"/>
          </w:tcPr>
          <w:p>
            <w:pPr>
              <w:ind w:left="220"/>
              <w:spacing w:after="0" w:line="189" w:lineRule="exact"/>
              <w:rPr>
                <w:sz w:val="20"/>
                <w:szCs w:val="20"/>
                <w:color w:val="auto"/>
              </w:rPr>
            </w:pPr>
            <w:r>
              <w:rPr>
                <w:rFonts w:ascii="Arial" w:cs="Arial" w:eastAsia="Arial" w:hAnsi="Arial"/>
                <w:sz w:val="18"/>
                <w:szCs w:val="18"/>
                <w:color w:val="auto"/>
              </w:rPr>
              <w:t>Basic</w:t>
            </w:r>
          </w:p>
        </w:tc>
        <w:tc>
          <w:tcPr>
            <w:tcW w:w="500" w:type="dxa"/>
            <w:vAlign w:val="bottom"/>
          </w:tcPr>
          <w:p>
            <w:pPr>
              <w:spacing w:after="0"/>
              <w:rPr>
                <w:sz w:val="16"/>
                <w:szCs w:val="16"/>
                <w:color w:val="auto"/>
              </w:rPr>
            </w:pPr>
          </w:p>
        </w:tc>
        <w:tc>
          <w:tcPr>
            <w:tcW w:w="10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7,493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7,539</w:t>
            </w:r>
          </w:p>
        </w:tc>
        <w:tc>
          <w:tcPr>
            <w:tcW w:w="460" w:type="dxa"/>
            <w:vAlign w:val="bottom"/>
          </w:tcPr>
          <w:p>
            <w:pPr>
              <w:spacing w:after="0"/>
              <w:rPr>
                <w:sz w:val="16"/>
                <w:szCs w:val="16"/>
                <w:color w:val="auto"/>
              </w:rPr>
            </w:pPr>
          </w:p>
        </w:tc>
        <w:tc>
          <w:tcPr>
            <w:tcW w:w="11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7,504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7,554</w:t>
            </w: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Diluted</w:t>
            </w:r>
          </w:p>
        </w:tc>
        <w:tc>
          <w:tcPr>
            <w:tcW w:w="5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7,534</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6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7,597</w:t>
            </w:r>
          </w:p>
        </w:tc>
        <w:tc>
          <w:tcPr>
            <w:tcW w:w="4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7,552</w:t>
            </w:r>
          </w:p>
        </w:tc>
        <w:tc>
          <w:tcPr>
            <w:tcW w:w="1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7,617</w:t>
            </w:r>
          </w:p>
        </w:tc>
        <w:tc>
          <w:tcPr>
            <w:tcW w:w="0" w:type="dxa"/>
            <w:vAlign w:val="bottom"/>
          </w:tcPr>
          <w:p>
            <w:pPr>
              <w:spacing w:after="0"/>
              <w:rPr>
                <w:sz w:val="1"/>
                <w:szCs w:val="1"/>
                <w:color w:val="auto"/>
              </w:rPr>
            </w:pPr>
          </w:p>
        </w:tc>
      </w:tr>
      <w:tr>
        <w:trPr>
          <w:trHeight w:val="68"/>
        </w:trPr>
        <w:tc>
          <w:tcPr>
            <w:tcW w:w="46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 w:name="page4"/>
    <w:bookmarkEnd w:id="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Three Months Ended</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Nine Months Ended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240" w:type="dxa"/>
            <w:vAlign w:val="bottom"/>
          </w:tcPr>
          <w:p>
            <w:pPr>
              <w:spacing w:after="0"/>
              <w:rPr>
                <w:sz w:val="20"/>
                <w:szCs w:val="20"/>
                <w:color w:val="auto"/>
              </w:rPr>
            </w:pPr>
            <w:r>
              <w:rPr>
                <w:rFonts w:ascii="Arial" w:cs="Arial" w:eastAsia="Arial" w:hAnsi="Arial"/>
                <w:sz w:val="13"/>
                <w:szCs w:val="13"/>
                <w:b w:val="1"/>
                <w:bCs w:val="1"/>
                <w:color w:val="auto"/>
              </w:rPr>
              <w:t>(In millions) (Unaudited)</w:t>
            </w: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March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98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16,728</w:t>
            </w:r>
          </w:p>
        </w:tc>
        <w:tc>
          <w:tcPr>
            <w:tcW w:w="18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15,457</w:t>
            </w:r>
          </w:p>
        </w:tc>
        <w:tc>
          <w:tcPr>
            <w:tcW w:w="56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55,998</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44,813</w:t>
            </w:r>
          </w:p>
        </w:tc>
        <w:tc>
          <w:tcPr>
            <w:tcW w:w="8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240" w:type="dxa"/>
            <w:vAlign w:val="bottom"/>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50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424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Net change related to derivatives</w:t>
            </w:r>
          </w:p>
        </w:tc>
        <w:tc>
          <w:tcPr>
            <w:tcW w:w="50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4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18</w:t>
            </w:r>
          </w:p>
        </w:tc>
        <w:tc>
          <w:tcPr>
            <w:tcW w:w="6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8</w:t>
            </w:r>
          </w:p>
        </w:tc>
        <w:tc>
          <w:tcPr>
            <w:tcW w:w="140" w:type="dxa"/>
            <w:vAlign w:val="bottom"/>
            <w:shd w:val="clear" w:color="auto" w:fill="E5E5E5"/>
          </w:tcPr>
          <w:p>
            <w:pPr>
              <w:spacing w:after="0"/>
              <w:rPr>
                <w:sz w:val="16"/>
                <w:szCs w:val="16"/>
                <w:color w:val="auto"/>
              </w:rPr>
            </w:pPr>
          </w:p>
        </w:tc>
        <w:tc>
          <w:tcPr>
            <w:tcW w:w="13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30</w:t>
            </w:r>
          </w:p>
        </w:tc>
        <w:tc>
          <w:tcPr>
            <w:tcW w:w="8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220"/>
              <w:spacing w:after="0" w:line="189" w:lineRule="exact"/>
              <w:rPr>
                <w:sz w:val="20"/>
                <w:szCs w:val="20"/>
                <w:color w:val="auto"/>
              </w:rPr>
            </w:pPr>
            <w:r>
              <w:rPr>
                <w:rFonts w:ascii="Arial" w:cs="Arial" w:eastAsia="Arial" w:hAnsi="Arial"/>
                <w:sz w:val="18"/>
                <w:szCs w:val="18"/>
                <w:color w:val="auto"/>
              </w:rPr>
              <w:t>Net change related to investments</w:t>
            </w: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(2,882)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(1,705)</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(4,047)</w:t>
            </w:r>
          </w:p>
        </w:tc>
        <w:tc>
          <w:tcPr>
            <w:tcW w:w="140" w:type="dxa"/>
            <w:vAlign w:val="bottom"/>
          </w:tcPr>
          <w:p>
            <w:pPr>
              <w:spacing w:after="0"/>
              <w:rPr>
                <w:sz w:val="16"/>
                <w:szCs w:val="16"/>
                <w:color w:val="auto"/>
              </w:rPr>
            </w:pPr>
          </w:p>
        </w:tc>
        <w:tc>
          <w:tcPr>
            <w:tcW w:w="138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(2,398)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Translation adjustments and other</w:t>
            </w:r>
          </w:p>
        </w:tc>
        <w:tc>
          <w:tcPr>
            <w:tcW w:w="50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(37)</w:t>
            </w:r>
          </w:p>
        </w:tc>
        <w:tc>
          <w:tcPr>
            <w:tcW w:w="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4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(218)</w:t>
            </w:r>
          </w:p>
        </w:tc>
        <w:tc>
          <w:tcPr>
            <w:tcW w:w="6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(259)</w:t>
            </w:r>
          </w:p>
        </w:tc>
        <w:tc>
          <w:tcPr>
            <w:tcW w:w="140" w:type="dxa"/>
            <w:vAlign w:val="bottom"/>
            <w:shd w:val="clear" w:color="auto" w:fill="E5E5E5"/>
          </w:tcPr>
          <w:p>
            <w:pPr>
              <w:spacing w:after="0"/>
              <w:rPr>
                <w:sz w:val="16"/>
                <w:szCs w:val="16"/>
                <w:color w:val="auto"/>
              </w:rPr>
            </w:pPr>
          </w:p>
        </w:tc>
        <w:tc>
          <w:tcPr>
            <w:tcW w:w="13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634</w:t>
            </w:r>
          </w:p>
        </w:tc>
        <w:tc>
          <w:tcPr>
            <w:tcW w:w="8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2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240" w:type="dxa"/>
            <w:vAlign w:val="bottom"/>
          </w:tcPr>
          <w:p>
            <w:pPr>
              <w:ind w:left="440"/>
              <w:spacing w:after="0"/>
              <w:rPr>
                <w:sz w:val="20"/>
                <w:szCs w:val="20"/>
                <w:color w:val="auto"/>
              </w:rPr>
            </w:pPr>
            <w:r>
              <w:rPr>
                <w:rFonts w:ascii="Arial" w:cs="Arial" w:eastAsia="Arial" w:hAnsi="Arial"/>
                <w:sz w:val="18"/>
                <w:szCs w:val="18"/>
                <w:color w:val="auto"/>
              </w:rPr>
              <w:t>Other comprehensive loss</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(2,913)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(1,905)</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(4,298)</w:t>
            </w:r>
          </w:p>
        </w:tc>
        <w:tc>
          <w:tcPr>
            <w:tcW w:w="140" w:type="dxa"/>
            <w:vAlign w:val="bottom"/>
          </w:tcPr>
          <w:p>
            <w:pPr>
              <w:spacing w:after="0"/>
              <w:rPr>
                <w:sz w:val="22"/>
                <w:szCs w:val="22"/>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(1,734)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Comprehensive income</w:t>
            </w:r>
          </w:p>
        </w:tc>
        <w:tc>
          <w:tcPr>
            <w:tcW w:w="98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13,815</w:t>
            </w:r>
          </w:p>
        </w:tc>
        <w:tc>
          <w:tcPr>
            <w:tcW w:w="18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13,552</w:t>
            </w:r>
          </w:p>
        </w:tc>
        <w:tc>
          <w:tcPr>
            <w:tcW w:w="56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51,700</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43,079</w:t>
            </w:r>
          </w:p>
        </w:tc>
        <w:tc>
          <w:tcPr>
            <w:tcW w:w="8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240" w:type="dxa"/>
            <w:vAlign w:val="bottom"/>
            <w:vMerge w:val="restart"/>
          </w:tcPr>
          <w:p>
            <w:pPr>
              <w:spacing w:after="0"/>
              <w:rPr>
                <w:sz w:val="20"/>
                <w:szCs w:val="20"/>
                <w:color w:val="auto"/>
              </w:rPr>
            </w:pPr>
            <w:r>
              <w:rPr>
                <w:rFonts w:ascii="Arial" w:cs="Arial" w:eastAsia="Arial" w:hAnsi="Arial"/>
                <w:sz w:val="18"/>
                <w:szCs w:val="18"/>
                <w:color w:val="auto"/>
              </w:rPr>
              <w:t>Refer to accompanying notes.</w:t>
            </w:r>
          </w:p>
        </w:tc>
        <w:tc>
          <w:tcPr>
            <w:tcW w:w="50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8"/>
        </w:trPr>
        <w:tc>
          <w:tcPr>
            <w:tcW w:w="42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4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ind w:right="455"/>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 w:name="page5"/>
    <w:bookmarkEnd w:id="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548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2"/>
          </w:tcPr>
          <w:p>
            <w:pPr>
              <w:ind w:left="46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9"/>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82"/>
        </w:trPr>
        <w:tc>
          <w:tcPr>
            <w:tcW w:w="7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778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8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12,498</w:t>
            </w:r>
          </w:p>
        </w:tc>
        <w:tc>
          <w:tcPr>
            <w:tcW w:w="54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14,224</w:t>
            </w:r>
          </w:p>
        </w:tc>
        <w:tc>
          <w:tcPr>
            <w:tcW w:w="0" w:type="dxa"/>
            <w:vAlign w:val="bottom"/>
          </w:tcPr>
          <w:p>
            <w:pPr>
              <w:spacing w:after="0"/>
              <w:rPr>
                <w:sz w:val="1"/>
                <w:szCs w:val="1"/>
                <w:color w:val="auto"/>
              </w:rPr>
            </w:pPr>
          </w:p>
        </w:tc>
      </w:tr>
      <w:tr>
        <w:trPr>
          <w:trHeight w:val="250"/>
        </w:trPr>
        <w:tc>
          <w:tcPr>
            <w:tcW w:w="778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92,195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116,110</w:t>
            </w:r>
          </w:p>
        </w:tc>
        <w:tc>
          <w:tcPr>
            <w:tcW w:w="0" w:type="dxa"/>
            <w:vAlign w:val="bottom"/>
          </w:tcPr>
          <w:p>
            <w:pPr>
              <w:spacing w:after="0"/>
              <w:rPr>
                <w:sz w:val="1"/>
                <w:szCs w:val="1"/>
                <w:color w:val="auto"/>
              </w:rPr>
            </w:pPr>
          </w:p>
        </w:tc>
      </w:tr>
      <w:tr>
        <w:trPr>
          <w:trHeight w:val="68"/>
        </w:trPr>
        <w:tc>
          <w:tcPr>
            <w:tcW w:w="778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78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Total cash, cash equivalents, and short-term investments</w:t>
            </w:r>
          </w:p>
        </w:tc>
        <w:tc>
          <w:tcPr>
            <w:tcW w:w="2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104,693</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130,334</w:t>
            </w:r>
          </w:p>
        </w:tc>
        <w:tc>
          <w:tcPr>
            <w:tcW w:w="0" w:type="dxa"/>
            <w:vAlign w:val="bottom"/>
          </w:tcPr>
          <w:p>
            <w:pPr>
              <w:spacing w:after="0"/>
              <w:rPr>
                <w:sz w:val="1"/>
                <w:szCs w:val="1"/>
                <w:color w:val="auto"/>
              </w:rPr>
            </w:pPr>
          </w:p>
        </w:tc>
      </w:tr>
      <w:tr>
        <w:trPr>
          <w:trHeight w:val="239"/>
        </w:trPr>
        <w:tc>
          <w:tcPr>
            <w:tcW w:w="7780" w:type="dxa"/>
            <w:vAlign w:val="bottom"/>
          </w:tcPr>
          <w:p>
            <w:pPr>
              <w:ind w:left="220"/>
              <w:spacing w:after="0"/>
              <w:rPr>
                <w:sz w:val="20"/>
                <w:szCs w:val="20"/>
                <w:color w:val="auto"/>
              </w:rPr>
            </w:pPr>
            <w:r>
              <w:rPr>
                <w:rFonts w:ascii="Arial" w:cs="Arial" w:eastAsia="Arial" w:hAnsi="Arial"/>
                <w:sz w:val="18"/>
                <w:szCs w:val="18"/>
                <w:color w:val="auto"/>
              </w:rPr>
              <w:t xml:space="preserve">Accounts receivable, net of allowance for doubtful accounts of </w:t>
            </w:r>
            <w:r>
              <w:rPr>
                <w:rFonts w:ascii="Arial" w:cs="Arial" w:eastAsia="Arial" w:hAnsi="Arial"/>
                <w:sz w:val="18"/>
                <w:szCs w:val="18"/>
                <w:b w:val="1"/>
                <w:bCs w:val="1"/>
                <w:color w:val="auto"/>
              </w:rPr>
              <w:t>$505</w:t>
            </w:r>
            <w:r>
              <w:rPr>
                <w:rFonts w:ascii="Arial" w:cs="Arial" w:eastAsia="Arial" w:hAnsi="Arial"/>
                <w:sz w:val="18"/>
                <w:szCs w:val="18"/>
                <w:color w:val="auto"/>
              </w:rPr>
              <w:t xml:space="preserve"> and $751</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32,613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38,043</w:t>
            </w:r>
          </w:p>
        </w:tc>
        <w:tc>
          <w:tcPr>
            <w:tcW w:w="0" w:type="dxa"/>
            <w:vAlign w:val="bottom"/>
          </w:tcPr>
          <w:p>
            <w:pPr>
              <w:spacing w:after="0"/>
              <w:rPr>
                <w:sz w:val="1"/>
                <w:szCs w:val="1"/>
                <w:color w:val="auto"/>
              </w:rPr>
            </w:pPr>
          </w:p>
        </w:tc>
      </w:tr>
      <w:tr>
        <w:trPr>
          <w:trHeight w:val="139"/>
        </w:trPr>
        <w:tc>
          <w:tcPr>
            <w:tcW w:w="7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7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Inventories</w:t>
            </w:r>
          </w:p>
        </w:tc>
        <w:tc>
          <w:tcPr>
            <w:tcW w:w="2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3,296</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50"/>
        </w:trPr>
        <w:tc>
          <w:tcPr>
            <w:tcW w:w="77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13,320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13,393</w:t>
            </w:r>
          </w:p>
        </w:tc>
        <w:tc>
          <w:tcPr>
            <w:tcW w:w="0" w:type="dxa"/>
            <w:vAlign w:val="bottom"/>
          </w:tcPr>
          <w:p>
            <w:pPr>
              <w:spacing w:after="0"/>
              <w:rPr>
                <w:sz w:val="1"/>
                <w:szCs w:val="1"/>
                <w:color w:val="auto"/>
              </w:rPr>
            </w:pPr>
          </w:p>
        </w:tc>
      </w:tr>
      <w:tr>
        <w:trPr>
          <w:trHeight w:val="68"/>
        </w:trPr>
        <w:tc>
          <w:tcPr>
            <w:tcW w:w="778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78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153,922</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184,406</w:t>
            </w:r>
          </w:p>
        </w:tc>
        <w:tc>
          <w:tcPr>
            <w:tcW w:w="0" w:type="dxa"/>
            <w:vAlign w:val="bottom"/>
          </w:tcPr>
          <w:p>
            <w:pPr>
              <w:spacing w:after="0"/>
              <w:rPr>
                <w:sz w:val="1"/>
                <w:szCs w:val="1"/>
                <w:color w:val="auto"/>
              </w:rPr>
            </w:pPr>
          </w:p>
        </w:tc>
      </w:tr>
      <w:tr>
        <w:trPr>
          <w:trHeight w:val="189"/>
        </w:trPr>
        <w:tc>
          <w:tcPr>
            <w:tcW w:w="7780" w:type="dxa"/>
            <w:vAlign w:val="bottom"/>
          </w:tcPr>
          <w:p>
            <w:pPr>
              <w:spacing w:after="0" w:line="189"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$58,053</w:t>
            </w:r>
            <w:r>
              <w:rPr>
                <w:rFonts w:ascii="Arial" w:cs="Arial" w:eastAsia="Arial" w:hAnsi="Arial"/>
                <w:sz w:val="18"/>
                <w:szCs w:val="18"/>
                <w:color w:val="auto"/>
              </w:rPr>
              <w:t xml:space="preserve"> and $51,351</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70,298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59,715</w:t>
            </w:r>
          </w:p>
        </w:tc>
        <w:tc>
          <w:tcPr>
            <w:tcW w:w="0" w:type="dxa"/>
            <w:vAlign w:val="bottom"/>
          </w:tcPr>
          <w:p>
            <w:pPr>
              <w:spacing w:after="0"/>
              <w:rPr>
                <w:sz w:val="1"/>
                <w:szCs w:val="1"/>
                <w:color w:val="auto"/>
              </w:rPr>
            </w:pPr>
          </w:p>
        </w:tc>
      </w:tr>
      <w:tr>
        <w:trPr>
          <w:trHeight w:val="189"/>
        </w:trPr>
        <w:tc>
          <w:tcPr>
            <w:tcW w:w="77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12,916</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11,088</w:t>
            </w:r>
          </w:p>
        </w:tc>
        <w:tc>
          <w:tcPr>
            <w:tcW w:w="0" w:type="dxa"/>
            <w:vAlign w:val="bottom"/>
          </w:tcPr>
          <w:p>
            <w:pPr>
              <w:spacing w:after="0"/>
              <w:rPr>
                <w:sz w:val="1"/>
                <w:szCs w:val="1"/>
                <w:color w:val="auto"/>
              </w:rPr>
            </w:pPr>
          </w:p>
        </w:tc>
      </w:tr>
      <w:tr>
        <w:trPr>
          <w:trHeight w:val="189"/>
        </w:trPr>
        <w:tc>
          <w:tcPr>
            <w:tcW w:w="7780" w:type="dxa"/>
            <w:vAlign w:val="bottom"/>
          </w:tcPr>
          <w:p>
            <w:pPr>
              <w:spacing w:after="0" w:line="189" w:lineRule="exact"/>
              <w:rPr>
                <w:sz w:val="20"/>
                <w:szCs w:val="20"/>
                <w:color w:val="auto"/>
              </w:rPr>
            </w:pPr>
            <w:r>
              <w:rPr>
                <w:rFonts w:ascii="Arial" w:cs="Arial" w:eastAsia="Arial" w:hAnsi="Arial"/>
                <w:sz w:val="18"/>
                <w:szCs w:val="18"/>
                <w:color w:val="auto"/>
              </w:rPr>
              <w:t>Equity investments</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6,907</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189"/>
        </w:trPr>
        <w:tc>
          <w:tcPr>
            <w:tcW w:w="77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Goodwill</w:t>
            </w:r>
          </w:p>
        </w:tc>
        <w:tc>
          <w:tcPr>
            <w:tcW w:w="2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67,371</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49,711</w:t>
            </w:r>
          </w:p>
        </w:tc>
        <w:tc>
          <w:tcPr>
            <w:tcW w:w="0" w:type="dxa"/>
            <w:vAlign w:val="bottom"/>
          </w:tcPr>
          <w:p>
            <w:pPr>
              <w:spacing w:after="0"/>
              <w:rPr>
                <w:sz w:val="1"/>
                <w:szCs w:val="1"/>
                <w:color w:val="auto"/>
              </w:rPr>
            </w:pPr>
          </w:p>
        </w:tc>
      </w:tr>
      <w:tr>
        <w:trPr>
          <w:trHeight w:val="189"/>
        </w:trPr>
        <w:tc>
          <w:tcPr>
            <w:tcW w:w="7780" w:type="dxa"/>
            <w:vAlign w:val="bottom"/>
          </w:tcPr>
          <w:p>
            <w:pPr>
              <w:spacing w:after="0" w:line="189" w:lineRule="exact"/>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11,348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189"/>
        </w:trPr>
        <w:tc>
          <w:tcPr>
            <w:tcW w:w="77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assets</w:t>
            </w:r>
          </w:p>
        </w:tc>
        <w:tc>
          <w:tcPr>
            <w:tcW w:w="2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21,845</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15,075</w:t>
            </w:r>
          </w:p>
        </w:tc>
        <w:tc>
          <w:tcPr>
            <w:tcW w:w="0" w:type="dxa"/>
            <w:vAlign w:val="bottom"/>
          </w:tcPr>
          <w:p>
            <w:pPr>
              <w:spacing w:after="0"/>
              <w:rPr>
                <w:sz w:val="1"/>
                <w:szCs w:val="1"/>
                <w:color w:val="auto"/>
              </w:rPr>
            </w:pPr>
          </w:p>
        </w:tc>
      </w:tr>
      <w:tr>
        <w:trPr>
          <w:trHeight w:val="68"/>
        </w:trPr>
        <w:tc>
          <w:tcPr>
            <w:tcW w:w="77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778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344,607</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333,779</w:t>
            </w:r>
          </w:p>
        </w:tc>
        <w:tc>
          <w:tcPr>
            <w:tcW w:w="0" w:type="dxa"/>
            <w:vAlign w:val="bottom"/>
          </w:tcPr>
          <w:p>
            <w:pPr>
              <w:spacing w:after="0"/>
              <w:rPr>
                <w:sz w:val="1"/>
                <w:szCs w:val="1"/>
                <w:color w:val="auto"/>
              </w:rPr>
            </w:pPr>
          </w:p>
        </w:tc>
      </w:tr>
      <w:tr>
        <w:trPr>
          <w:trHeight w:val="61"/>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78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80" w:type="dxa"/>
            <w:vAlign w:val="bottom"/>
          </w:tcPr>
          <w:p>
            <w:pPr>
              <w:spacing w:after="0" w:line="189" w:lineRule="exact"/>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Accounts payable</w:t>
            </w:r>
          </w:p>
        </w:tc>
        <w:tc>
          <w:tcPr>
            <w:tcW w:w="68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16,085</w:t>
            </w:r>
          </w:p>
        </w:tc>
        <w:tc>
          <w:tcPr>
            <w:tcW w:w="54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15,163</w:t>
            </w:r>
          </w:p>
        </w:tc>
        <w:tc>
          <w:tcPr>
            <w:tcW w:w="0" w:type="dxa"/>
            <w:vAlign w:val="bottom"/>
          </w:tcPr>
          <w:p>
            <w:pPr>
              <w:spacing w:after="0"/>
              <w:rPr>
                <w:sz w:val="1"/>
                <w:szCs w:val="1"/>
                <w:color w:val="auto"/>
              </w:rPr>
            </w:pPr>
          </w:p>
        </w:tc>
      </w:tr>
      <w:tr>
        <w:trPr>
          <w:trHeight w:val="189"/>
        </w:trPr>
        <w:tc>
          <w:tcPr>
            <w:tcW w:w="7780" w:type="dxa"/>
            <w:vAlign w:val="bottom"/>
          </w:tcPr>
          <w:p>
            <w:pPr>
              <w:ind w:left="220"/>
              <w:spacing w:after="0" w:line="189" w:lineRule="exact"/>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1,749</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8,072</w:t>
            </w:r>
          </w:p>
        </w:tc>
        <w:tc>
          <w:tcPr>
            <w:tcW w:w="0" w:type="dxa"/>
            <w:vAlign w:val="bottom"/>
          </w:tcPr>
          <w:p>
            <w:pPr>
              <w:spacing w:after="0"/>
              <w:rPr>
                <w:sz w:val="1"/>
                <w:szCs w:val="1"/>
                <w:color w:val="auto"/>
              </w:rPr>
            </w:pPr>
          </w:p>
        </w:tc>
      </w:tr>
      <w:tr>
        <w:trPr>
          <w:trHeight w:val="189"/>
        </w:trPr>
        <w:tc>
          <w:tcPr>
            <w:tcW w:w="77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9,067</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10,057</w:t>
            </w:r>
          </w:p>
        </w:tc>
        <w:tc>
          <w:tcPr>
            <w:tcW w:w="0" w:type="dxa"/>
            <w:vAlign w:val="bottom"/>
          </w:tcPr>
          <w:p>
            <w:pPr>
              <w:spacing w:after="0"/>
              <w:rPr>
                <w:sz w:val="1"/>
                <w:szCs w:val="1"/>
                <w:color w:val="auto"/>
              </w:rPr>
            </w:pPr>
          </w:p>
        </w:tc>
      </w:tr>
      <w:tr>
        <w:trPr>
          <w:trHeight w:val="189"/>
        </w:trPr>
        <w:tc>
          <w:tcPr>
            <w:tcW w:w="7780" w:type="dxa"/>
            <w:vAlign w:val="bottom"/>
          </w:tcPr>
          <w:p>
            <w:pPr>
              <w:ind w:left="220"/>
              <w:spacing w:after="0" w:line="189" w:lineRule="exact"/>
              <w:rPr>
                <w:sz w:val="20"/>
                <w:szCs w:val="20"/>
                <w:color w:val="auto"/>
              </w:rPr>
            </w:pPr>
            <w:r>
              <w:rPr>
                <w:rFonts w:ascii="Arial" w:cs="Arial" w:eastAsia="Arial" w:hAnsi="Arial"/>
                <w:sz w:val="18"/>
                <w:szCs w:val="18"/>
                <w:color w:val="auto"/>
              </w:rPr>
              <w:t>Short-term income taxes</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4,646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189"/>
        </w:trPr>
        <w:tc>
          <w:tcPr>
            <w:tcW w:w="77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Short-term unearned revenue</w:t>
            </w:r>
          </w:p>
        </w:tc>
        <w:tc>
          <w:tcPr>
            <w:tcW w:w="2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34,027</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41,525</w:t>
            </w:r>
          </w:p>
        </w:tc>
        <w:tc>
          <w:tcPr>
            <w:tcW w:w="0" w:type="dxa"/>
            <w:vAlign w:val="bottom"/>
          </w:tcPr>
          <w:p>
            <w:pPr>
              <w:spacing w:after="0"/>
              <w:rPr>
                <w:sz w:val="1"/>
                <w:szCs w:val="1"/>
                <w:color w:val="auto"/>
              </w:rPr>
            </w:pPr>
          </w:p>
        </w:tc>
      </w:tr>
      <w:tr>
        <w:trPr>
          <w:trHeight w:val="250"/>
        </w:trPr>
        <w:tc>
          <w:tcPr>
            <w:tcW w:w="778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11,865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11,666</w:t>
            </w:r>
          </w:p>
        </w:tc>
        <w:tc>
          <w:tcPr>
            <w:tcW w:w="0" w:type="dxa"/>
            <w:vAlign w:val="bottom"/>
          </w:tcPr>
          <w:p>
            <w:pPr>
              <w:spacing w:after="0"/>
              <w:rPr>
                <w:sz w:val="1"/>
                <w:szCs w:val="1"/>
                <w:color w:val="auto"/>
              </w:rPr>
            </w:pPr>
          </w:p>
        </w:tc>
      </w:tr>
      <w:tr>
        <w:trPr>
          <w:trHeight w:val="68"/>
        </w:trPr>
        <w:tc>
          <w:tcPr>
            <w:tcW w:w="778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78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77,439</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88,657</w:t>
            </w:r>
          </w:p>
        </w:tc>
        <w:tc>
          <w:tcPr>
            <w:tcW w:w="0" w:type="dxa"/>
            <w:vAlign w:val="bottom"/>
          </w:tcPr>
          <w:p>
            <w:pPr>
              <w:spacing w:after="0"/>
              <w:rPr>
                <w:sz w:val="1"/>
                <w:szCs w:val="1"/>
                <w:color w:val="auto"/>
              </w:rPr>
            </w:pPr>
          </w:p>
        </w:tc>
      </w:tr>
      <w:tr>
        <w:trPr>
          <w:trHeight w:val="189"/>
        </w:trPr>
        <w:tc>
          <w:tcPr>
            <w:tcW w:w="7780" w:type="dxa"/>
            <w:vAlign w:val="bottom"/>
          </w:tcPr>
          <w:p>
            <w:pPr>
              <w:spacing w:after="0" w:line="189" w:lineRule="exact"/>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48,177</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50,074</w:t>
            </w:r>
          </w:p>
        </w:tc>
        <w:tc>
          <w:tcPr>
            <w:tcW w:w="0" w:type="dxa"/>
            <w:vAlign w:val="bottom"/>
          </w:tcPr>
          <w:p>
            <w:pPr>
              <w:spacing w:after="0"/>
              <w:rPr>
                <w:sz w:val="1"/>
                <w:szCs w:val="1"/>
                <w:color w:val="auto"/>
              </w:rPr>
            </w:pPr>
          </w:p>
        </w:tc>
      </w:tr>
      <w:tr>
        <w:trPr>
          <w:trHeight w:val="189"/>
        </w:trPr>
        <w:tc>
          <w:tcPr>
            <w:tcW w:w="77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Long-term income taxes</w:t>
            </w:r>
          </w:p>
        </w:tc>
        <w:tc>
          <w:tcPr>
            <w:tcW w:w="2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26,483</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27,190</w:t>
            </w:r>
          </w:p>
        </w:tc>
        <w:tc>
          <w:tcPr>
            <w:tcW w:w="0" w:type="dxa"/>
            <w:vAlign w:val="bottom"/>
          </w:tcPr>
          <w:p>
            <w:pPr>
              <w:spacing w:after="0"/>
              <w:rPr>
                <w:sz w:val="1"/>
                <w:szCs w:val="1"/>
                <w:color w:val="auto"/>
              </w:rPr>
            </w:pPr>
          </w:p>
        </w:tc>
      </w:tr>
      <w:tr>
        <w:trPr>
          <w:trHeight w:val="189"/>
        </w:trPr>
        <w:tc>
          <w:tcPr>
            <w:tcW w:w="7780" w:type="dxa"/>
            <w:vAlign w:val="bottom"/>
          </w:tcPr>
          <w:p>
            <w:pPr>
              <w:spacing w:after="0" w:line="189" w:lineRule="exact"/>
              <w:rPr>
                <w:sz w:val="20"/>
                <w:szCs w:val="20"/>
                <w:color w:val="auto"/>
              </w:rPr>
            </w:pPr>
            <w:r>
              <w:rPr>
                <w:rFonts w:ascii="Arial" w:cs="Arial" w:eastAsia="Arial" w:hAnsi="Arial"/>
                <w:sz w:val="18"/>
                <w:szCs w:val="18"/>
                <w:color w:val="auto"/>
              </w:rPr>
              <w:t>Long-term unearned revenue</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2,769</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189"/>
        </w:trPr>
        <w:tc>
          <w:tcPr>
            <w:tcW w:w="77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304</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189"/>
        </w:trPr>
        <w:tc>
          <w:tcPr>
            <w:tcW w:w="7780" w:type="dxa"/>
            <w:vAlign w:val="bottom"/>
          </w:tcPr>
          <w:p>
            <w:pPr>
              <w:spacing w:after="0" w:line="189" w:lineRule="exact"/>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11,357</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9,629</w:t>
            </w:r>
          </w:p>
        </w:tc>
        <w:tc>
          <w:tcPr>
            <w:tcW w:w="0" w:type="dxa"/>
            <w:vAlign w:val="bottom"/>
          </w:tcPr>
          <w:p>
            <w:pPr>
              <w:spacing w:after="0"/>
              <w:rPr>
                <w:sz w:val="1"/>
                <w:szCs w:val="1"/>
                <w:color w:val="auto"/>
              </w:rPr>
            </w:pPr>
          </w:p>
        </w:tc>
      </w:tr>
      <w:tr>
        <w:trPr>
          <w:trHeight w:val="189"/>
        </w:trPr>
        <w:tc>
          <w:tcPr>
            <w:tcW w:w="77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15,154</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13,427</w:t>
            </w:r>
          </w:p>
        </w:tc>
        <w:tc>
          <w:tcPr>
            <w:tcW w:w="0" w:type="dxa"/>
            <w:vAlign w:val="bottom"/>
          </w:tcPr>
          <w:p>
            <w:pPr>
              <w:spacing w:after="0"/>
              <w:rPr>
                <w:sz w:val="1"/>
                <w:szCs w:val="1"/>
                <w:color w:val="auto"/>
              </w:rPr>
            </w:pPr>
          </w:p>
        </w:tc>
      </w:tr>
      <w:tr>
        <w:trPr>
          <w:trHeight w:val="68"/>
        </w:trPr>
        <w:tc>
          <w:tcPr>
            <w:tcW w:w="7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778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181,683</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191,791</w:t>
            </w:r>
          </w:p>
        </w:tc>
        <w:tc>
          <w:tcPr>
            <w:tcW w:w="0" w:type="dxa"/>
            <w:vAlign w:val="bottom"/>
          </w:tcPr>
          <w:p>
            <w:pPr>
              <w:spacing w:after="0"/>
              <w:rPr>
                <w:sz w:val="1"/>
                <w:szCs w:val="1"/>
                <w:color w:val="auto"/>
              </w:rPr>
            </w:pPr>
          </w:p>
        </w:tc>
      </w:tr>
      <w:tr>
        <w:trPr>
          <w:trHeight w:val="54"/>
        </w:trPr>
        <w:tc>
          <w:tcPr>
            <w:tcW w:w="7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7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80" w:type="dxa"/>
            <w:vAlign w:val="bottom"/>
          </w:tcPr>
          <w:p>
            <w:pPr>
              <w:spacing w:after="0" w:line="189" w:lineRule="exact"/>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 xml:space="preserve">Common stock and paid-in capital – shares authorized 24,000; outstanding </w:t>
            </w:r>
            <w:r>
              <w:rPr>
                <w:rFonts w:ascii="Arial" w:cs="Arial" w:eastAsia="Arial" w:hAnsi="Arial"/>
                <w:sz w:val="18"/>
                <w:szCs w:val="18"/>
                <w:b w:val="1"/>
                <w:bCs w:val="1"/>
                <w:color w:val="auto"/>
              </w:rPr>
              <w:t>7,483</w:t>
            </w:r>
            <w:r>
              <w:rPr>
                <w:rFonts w:ascii="Arial" w:cs="Arial" w:eastAsia="Arial" w:hAnsi="Arial"/>
                <w:sz w:val="18"/>
                <w:szCs w:val="18"/>
                <w:color w:val="auto"/>
              </w:rPr>
              <w:t xml:space="preserve"> and 7,519</w:t>
            </w:r>
          </w:p>
        </w:tc>
        <w:tc>
          <w:tcPr>
            <w:tcW w:w="2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85,767</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83,111</w:t>
            </w:r>
          </w:p>
        </w:tc>
        <w:tc>
          <w:tcPr>
            <w:tcW w:w="0" w:type="dxa"/>
            <w:vAlign w:val="bottom"/>
          </w:tcPr>
          <w:p>
            <w:pPr>
              <w:spacing w:after="0"/>
              <w:rPr>
                <w:sz w:val="1"/>
                <w:szCs w:val="1"/>
                <w:color w:val="auto"/>
              </w:rPr>
            </w:pPr>
          </w:p>
        </w:tc>
      </w:tr>
      <w:tr>
        <w:trPr>
          <w:trHeight w:val="189"/>
        </w:trPr>
        <w:tc>
          <w:tcPr>
            <w:tcW w:w="7780" w:type="dxa"/>
            <w:vAlign w:val="bottom"/>
          </w:tcPr>
          <w:p>
            <w:pPr>
              <w:ind w:left="220"/>
              <w:spacing w:after="0" w:line="189" w:lineRule="exact"/>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79,633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57,055</w:t>
            </w:r>
          </w:p>
        </w:tc>
        <w:tc>
          <w:tcPr>
            <w:tcW w:w="0" w:type="dxa"/>
            <w:vAlign w:val="bottom"/>
          </w:tcPr>
          <w:p>
            <w:pPr>
              <w:spacing w:after="0"/>
              <w:rPr>
                <w:sz w:val="1"/>
                <w:szCs w:val="1"/>
                <w:color w:val="auto"/>
              </w:rPr>
            </w:pPr>
          </w:p>
        </w:tc>
      </w:tr>
      <w:tr>
        <w:trPr>
          <w:trHeight w:val="189"/>
        </w:trPr>
        <w:tc>
          <w:tcPr>
            <w:tcW w:w="77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Accumulated other comprehensive income (loss)</w:t>
            </w:r>
          </w:p>
        </w:tc>
        <w:tc>
          <w:tcPr>
            <w:tcW w:w="2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(2,476)</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68"/>
        </w:trPr>
        <w:tc>
          <w:tcPr>
            <w:tcW w:w="7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66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162,924</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141,988</w:t>
            </w:r>
          </w:p>
        </w:tc>
        <w:tc>
          <w:tcPr>
            <w:tcW w:w="0" w:type="dxa"/>
            <w:vAlign w:val="bottom"/>
          </w:tcPr>
          <w:p>
            <w:pPr>
              <w:spacing w:after="0"/>
              <w:rPr>
                <w:sz w:val="1"/>
                <w:szCs w:val="1"/>
                <w:color w:val="auto"/>
              </w:rPr>
            </w:pPr>
          </w:p>
        </w:tc>
      </w:tr>
      <w:tr>
        <w:trPr>
          <w:trHeight w:val="54"/>
        </w:trPr>
        <w:tc>
          <w:tcPr>
            <w:tcW w:w="7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780" w:type="dxa"/>
            <w:vAlign w:val="bottom"/>
            <w:shd w:val="clear" w:color="auto" w:fill="E5E5E5"/>
          </w:tcPr>
          <w:p>
            <w:pPr>
              <w:ind w:left="880"/>
              <w:spacing w:after="0" w:line="189" w:lineRule="exact"/>
              <w:rPr>
                <w:sz w:val="20"/>
                <w:szCs w:val="20"/>
                <w:color w:val="auto"/>
              </w:rPr>
            </w:pPr>
            <w:r>
              <w:rPr>
                <w:rFonts w:ascii="Arial" w:cs="Arial" w:eastAsia="Arial" w:hAnsi="Arial"/>
                <w:sz w:val="18"/>
                <w:szCs w:val="18"/>
                <w:color w:val="auto"/>
              </w:rPr>
              <w:t>Total liabilities and stockholders’ equity</w:t>
            </w:r>
          </w:p>
        </w:tc>
        <w:tc>
          <w:tcPr>
            <w:tcW w:w="68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344,607</w:t>
            </w:r>
          </w:p>
        </w:tc>
        <w:tc>
          <w:tcPr>
            <w:tcW w:w="54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333,779</w:t>
            </w:r>
          </w:p>
        </w:tc>
        <w:tc>
          <w:tcPr>
            <w:tcW w:w="0" w:type="dxa"/>
            <w:vAlign w:val="bottom"/>
          </w:tcPr>
          <w:p>
            <w:pPr>
              <w:spacing w:after="0"/>
              <w:rPr>
                <w:sz w:val="1"/>
                <w:szCs w:val="1"/>
                <w:color w:val="auto"/>
              </w:rPr>
            </w:pPr>
          </w:p>
        </w:tc>
      </w:tr>
      <w:tr>
        <w:trPr>
          <w:trHeight w:val="74"/>
        </w:trPr>
        <w:tc>
          <w:tcPr>
            <w:tcW w:w="7780" w:type="dxa"/>
            <w:vAlign w:val="bottom"/>
            <w:vMerge w:val="restart"/>
          </w:tcPr>
          <w:p>
            <w:pPr>
              <w:spacing w:after="0"/>
              <w:rPr>
                <w:sz w:val="20"/>
                <w:szCs w:val="20"/>
                <w:color w:val="auto"/>
              </w:rPr>
            </w:pPr>
            <w:r>
              <w:rPr>
                <w:rFonts w:ascii="Arial" w:cs="Arial" w:eastAsia="Arial" w:hAnsi="Arial"/>
                <w:sz w:val="18"/>
                <w:szCs w:val="18"/>
                <w:color w:val="auto"/>
              </w:rPr>
              <w:t>Refer to accompanying notes.</w:t>
            </w:r>
          </w:p>
        </w:tc>
        <w:tc>
          <w:tcPr>
            <w:tcW w:w="24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8"/>
        </w:trPr>
        <w:tc>
          <w:tcPr>
            <w:tcW w:w="77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2"/>
        </w:trPr>
        <w:tc>
          <w:tcPr>
            <w:tcW w:w="7780" w:type="dxa"/>
            <w:vAlign w:val="bottom"/>
          </w:tcPr>
          <w:p>
            <w:pPr>
              <w:ind w:left="5580"/>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77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 w:name="page6"/>
    <w:bookmarkEnd w:id="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FLOWS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Three Months Ended</w:t>
            </w: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8"/>
        </w:trPr>
        <w:tc>
          <w:tcPr>
            <w:tcW w:w="4120" w:type="dxa"/>
            <w:vAlign w:val="bottom"/>
          </w:tcPr>
          <w:p>
            <w:pPr>
              <w:spacing w:after="0"/>
              <w:rPr>
                <w:sz w:val="20"/>
                <w:szCs w:val="20"/>
                <w:color w:val="auto"/>
              </w:rPr>
            </w:pPr>
            <w:r>
              <w:rPr>
                <w:rFonts w:ascii="Arial" w:cs="Arial" w:eastAsia="Arial" w:hAnsi="Arial"/>
                <w:sz w:val="13"/>
                <w:szCs w:val="13"/>
                <w:b w:val="1"/>
                <w:bCs w:val="1"/>
                <w:color w:val="auto"/>
              </w:rPr>
              <w:t>(In millions) (Unaudited)</w:t>
            </w: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March 31,</w:t>
            </w: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54"/>
        </w:trPr>
        <w:tc>
          <w:tcPr>
            <w:tcW w:w="4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2022</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2021</w:t>
            </w:r>
          </w:p>
        </w:tc>
        <w:tc>
          <w:tcPr>
            <w:tcW w:w="460" w:type="dxa"/>
            <w:vAlign w:val="bottom"/>
          </w:tcPr>
          <w:p>
            <w:pPr>
              <w:spacing w:after="0"/>
              <w:rPr>
                <w:sz w:val="21"/>
                <w:szCs w:val="21"/>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4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Operations</w:t>
            </w:r>
          </w:p>
        </w:tc>
        <w:tc>
          <w:tcPr>
            <w:tcW w:w="44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440" w:type="dxa"/>
            <w:vAlign w:val="bottom"/>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16,728</w:t>
            </w:r>
          </w:p>
        </w:tc>
        <w:tc>
          <w:tcPr>
            <w:tcW w:w="800" w:type="dxa"/>
            <w:vAlign w:val="bottom"/>
            <w:gridSpan w:val="2"/>
          </w:tcPr>
          <w:p>
            <w:pPr>
              <w:jc w:val="right"/>
              <w:ind w:right="273"/>
              <w:spacing w:after="0" w:line="189"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20"/>
              <w:spacing w:after="0" w:line="189" w:lineRule="exact"/>
              <w:rPr>
                <w:sz w:val="20"/>
                <w:szCs w:val="20"/>
                <w:color w:val="auto"/>
              </w:rPr>
            </w:pPr>
            <w:r>
              <w:rPr>
                <w:rFonts w:ascii="Arial" w:cs="Arial" w:eastAsia="Arial" w:hAnsi="Arial"/>
                <w:sz w:val="18"/>
                <w:szCs w:val="18"/>
                <w:color w:val="auto"/>
              </w:rPr>
              <w:t>15,457</w:t>
            </w:r>
          </w:p>
        </w:tc>
        <w:tc>
          <w:tcPr>
            <w:tcW w:w="460" w:type="dxa"/>
            <w:vAlign w:val="bottom"/>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440"/>
              <w:spacing w:after="0" w:line="189" w:lineRule="exact"/>
              <w:rPr>
                <w:sz w:val="20"/>
                <w:szCs w:val="20"/>
                <w:color w:val="auto"/>
              </w:rPr>
            </w:pPr>
            <w:r>
              <w:rPr>
                <w:rFonts w:ascii="Arial" w:cs="Arial" w:eastAsia="Arial" w:hAnsi="Arial"/>
                <w:sz w:val="18"/>
                <w:szCs w:val="18"/>
                <w:b w:val="1"/>
                <w:bCs w:val="1"/>
                <w:color w:val="auto"/>
              </w:rPr>
              <w:t>55,998</w:t>
            </w: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44,813</w:t>
            </w:r>
          </w:p>
        </w:tc>
        <w:tc>
          <w:tcPr>
            <w:tcW w:w="0" w:type="dxa"/>
            <w:vAlign w:val="bottom"/>
          </w:tcPr>
          <w:p>
            <w:pPr>
              <w:spacing w:after="0"/>
              <w:rPr>
                <w:sz w:val="1"/>
                <w:szCs w:val="1"/>
                <w:color w:val="auto"/>
              </w:rPr>
            </w:pPr>
          </w:p>
        </w:tc>
      </w:tr>
      <w:tr>
        <w:trPr>
          <w:trHeight w:val="175"/>
        </w:trPr>
        <w:tc>
          <w:tcPr>
            <w:tcW w:w="412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Adjustments to reconcile net income to net cash</w:t>
            </w:r>
          </w:p>
        </w:tc>
        <w:tc>
          <w:tcPr>
            <w:tcW w:w="440" w:type="dxa"/>
            <w:vAlign w:val="bottom"/>
            <w:shd w:val="clear" w:color="auto" w:fill="E5E5E5"/>
          </w:tcPr>
          <w:p>
            <w:pPr>
              <w:spacing w:after="0"/>
              <w:rPr>
                <w:sz w:val="15"/>
                <w:szCs w:val="15"/>
                <w:color w:val="auto"/>
              </w:rPr>
            </w:pPr>
          </w:p>
        </w:tc>
        <w:tc>
          <w:tcPr>
            <w:tcW w:w="96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46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2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E5E5E5"/>
          </w:tcPr>
          <w:p>
            <w:pPr>
              <w:ind w:left="220"/>
              <w:spacing w:after="0" w:line="203" w:lineRule="exact"/>
              <w:rPr>
                <w:sz w:val="20"/>
                <w:szCs w:val="20"/>
                <w:color w:val="auto"/>
              </w:rPr>
            </w:pPr>
            <w:r>
              <w:rPr>
                <w:rFonts w:ascii="Arial" w:cs="Arial" w:eastAsia="Arial" w:hAnsi="Arial"/>
                <w:sz w:val="18"/>
                <w:szCs w:val="18"/>
                <w:color w:val="auto"/>
              </w:rPr>
              <w:t>from operations:</w:t>
            </w:r>
          </w:p>
        </w:tc>
        <w:tc>
          <w:tcPr>
            <w:tcW w:w="44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2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20"/>
              <w:spacing w:after="0" w:line="202" w:lineRule="exact"/>
              <w:rPr>
                <w:sz w:val="20"/>
                <w:szCs w:val="20"/>
                <w:color w:val="auto"/>
              </w:rPr>
            </w:pPr>
            <w:r>
              <w:rPr>
                <w:rFonts w:ascii="Arial" w:cs="Arial" w:eastAsia="Arial" w:hAnsi="Arial"/>
                <w:sz w:val="18"/>
                <w:szCs w:val="18"/>
                <w:color w:val="auto"/>
              </w:rPr>
              <w:t>Depreciation, amortization, and other</w:t>
            </w:r>
          </w:p>
        </w:tc>
        <w:tc>
          <w:tcPr>
            <w:tcW w:w="44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3,773</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2,936</w:t>
            </w:r>
          </w:p>
        </w:tc>
        <w:tc>
          <w:tcPr>
            <w:tcW w:w="460" w:type="dxa"/>
            <w:vAlign w:val="bottom"/>
          </w:tcPr>
          <w:p>
            <w:pPr>
              <w:spacing w:after="0"/>
              <w:rPr>
                <w:sz w:val="17"/>
                <w:szCs w:val="17"/>
                <w:color w:val="auto"/>
              </w:rPr>
            </w:pPr>
          </w:p>
        </w:tc>
        <w:tc>
          <w:tcPr>
            <w:tcW w:w="1380" w:type="dxa"/>
            <w:vAlign w:val="bottom"/>
            <w:gridSpan w:val="2"/>
          </w:tcPr>
          <w:p>
            <w:pPr>
              <w:jc w:val="right"/>
              <w:ind w:right="440"/>
              <w:spacing w:after="0" w:line="202" w:lineRule="exact"/>
              <w:rPr>
                <w:sz w:val="20"/>
                <w:szCs w:val="20"/>
                <w:color w:val="auto"/>
              </w:rPr>
            </w:pPr>
            <w:r>
              <w:rPr>
                <w:rFonts w:ascii="Arial" w:cs="Arial" w:eastAsia="Arial" w:hAnsi="Arial"/>
                <w:sz w:val="18"/>
                <w:szCs w:val="18"/>
                <w:b w:val="1"/>
                <w:bCs w:val="1"/>
                <w:color w:val="auto"/>
              </w:rPr>
              <w:t>10,481</w:t>
            </w:r>
          </w:p>
        </w:tc>
        <w:tc>
          <w:tcPr>
            <w:tcW w:w="120" w:type="dxa"/>
            <w:vAlign w:val="bottom"/>
          </w:tcPr>
          <w:p>
            <w:pPr>
              <w:spacing w:after="0"/>
              <w:rPr>
                <w:sz w:val="17"/>
                <w:szCs w:val="17"/>
                <w:color w:val="auto"/>
              </w:rPr>
            </w:pPr>
          </w:p>
        </w:tc>
        <w:tc>
          <w:tcPr>
            <w:tcW w:w="15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8,342</w:t>
            </w:r>
          </w:p>
        </w:tc>
        <w:tc>
          <w:tcPr>
            <w:tcW w:w="0" w:type="dxa"/>
            <w:vAlign w:val="bottom"/>
          </w:tcPr>
          <w:p>
            <w:pPr>
              <w:spacing w:after="0"/>
              <w:rPr>
                <w:sz w:val="1"/>
                <w:szCs w:val="1"/>
                <w:color w:val="auto"/>
              </w:rPr>
            </w:pPr>
          </w:p>
        </w:tc>
      </w:tr>
      <w:tr>
        <w:trPr>
          <w:trHeight w:val="203"/>
        </w:trPr>
        <w:tc>
          <w:tcPr>
            <w:tcW w:w="412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Stock-based compensation expense</w:t>
            </w:r>
          </w:p>
        </w:tc>
        <w:tc>
          <w:tcPr>
            <w:tcW w:w="4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1,906</w:t>
            </w:r>
          </w:p>
        </w:tc>
        <w:tc>
          <w:tcPr>
            <w:tcW w:w="36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400" w:type="dxa"/>
            <w:vAlign w:val="bottom"/>
            <w:gridSpan w:val="2"/>
            <w:shd w:val="clear" w:color="auto" w:fill="E5E5E5"/>
          </w:tcPr>
          <w:p>
            <w:pPr>
              <w:jc w:val="right"/>
              <w:ind w:right="420"/>
              <w:spacing w:after="0" w:line="202" w:lineRule="exact"/>
              <w:rPr>
                <w:sz w:val="20"/>
                <w:szCs w:val="20"/>
                <w:color w:val="auto"/>
              </w:rPr>
            </w:pPr>
            <w:r>
              <w:rPr>
                <w:rFonts w:ascii="Arial" w:cs="Arial" w:eastAsia="Arial" w:hAnsi="Arial"/>
                <w:sz w:val="18"/>
                <w:szCs w:val="18"/>
                <w:color w:val="auto"/>
              </w:rPr>
              <w:t>1,525</w:t>
            </w:r>
          </w:p>
        </w:tc>
        <w:tc>
          <w:tcPr>
            <w:tcW w:w="46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b w:val="1"/>
                <w:bCs w:val="1"/>
                <w:color w:val="auto"/>
              </w:rPr>
              <w:t>5,505</w:t>
            </w:r>
          </w:p>
        </w:tc>
        <w:tc>
          <w:tcPr>
            <w:tcW w:w="120" w:type="dxa"/>
            <w:vAlign w:val="bottom"/>
            <w:shd w:val="clear" w:color="auto" w:fill="E5E5E5"/>
          </w:tcPr>
          <w:p>
            <w:pPr>
              <w:spacing w:after="0"/>
              <w:rPr>
                <w:sz w:val="17"/>
                <w:szCs w:val="17"/>
                <w:color w:val="auto"/>
              </w:rPr>
            </w:pPr>
          </w:p>
        </w:tc>
        <w:tc>
          <w:tcPr>
            <w:tcW w:w="15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4,547</w:t>
            </w:r>
          </w:p>
        </w:tc>
        <w:tc>
          <w:tcPr>
            <w:tcW w:w="0" w:type="dxa"/>
            <w:vAlign w:val="bottom"/>
          </w:tcPr>
          <w:p>
            <w:pPr>
              <w:spacing w:after="0"/>
              <w:rPr>
                <w:sz w:val="1"/>
                <w:szCs w:val="1"/>
                <w:color w:val="auto"/>
              </w:rPr>
            </w:pPr>
          </w:p>
        </w:tc>
      </w:tr>
      <w:tr>
        <w:trPr>
          <w:trHeight w:val="175"/>
        </w:trPr>
        <w:tc>
          <w:tcPr>
            <w:tcW w:w="4120" w:type="dxa"/>
            <w:vAlign w:val="bottom"/>
          </w:tcPr>
          <w:p>
            <w:pPr>
              <w:ind w:left="220"/>
              <w:spacing w:after="0" w:line="175" w:lineRule="exact"/>
              <w:rPr>
                <w:sz w:val="20"/>
                <w:szCs w:val="20"/>
                <w:color w:val="auto"/>
              </w:rPr>
            </w:pPr>
            <w:r>
              <w:rPr>
                <w:rFonts w:ascii="Arial" w:cs="Arial" w:eastAsia="Arial" w:hAnsi="Arial"/>
                <w:sz w:val="18"/>
                <w:szCs w:val="18"/>
                <w:color w:val="auto"/>
              </w:rPr>
              <w:t>Net recognized losses (gains) on investments</w:t>
            </w:r>
          </w:p>
        </w:tc>
        <w:tc>
          <w:tcPr>
            <w:tcW w:w="440" w:type="dxa"/>
            <w:vAlign w:val="bottom"/>
          </w:tcPr>
          <w:p>
            <w:pPr>
              <w:spacing w:after="0"/>
              <w:rPr>
                <w:sz w:val="15"/>
                <w:szCs w:val="15"/>
                <w:color w:val="auto"/>
              </w:rPr>
            </w:pP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105</w:t>
            </w: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(566)</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440"/>
              <w:spacing w:after="0" w:line="203" w:lineRule="exact"/>
              <w:rPr>
                <w:sz w:val="20"/>
                <w:szCs w:val="20"/>
                <w:color w:val="auto"/>
              </w:rPr>
            </w:pPr>
            <w:r>
              <w:rPr>
                <w:rFonts w:ascii="Arial" w:cs="Arial" w:eastAsia="Arial" w:hAnsi="Arial"/>
                <w:sz w:val="18"/>
                <w:szCs w:val="18"/>
                <w:color w:val="auto"/>
              </w:rPr>
              <w:t>and derivatives</w:t>
            </w:r>
          </w:p>
        </w:tc>
        <w:tc>
          <w:tcPr>
            <w:tcW w:w="4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(351)</w:t>
            </w:r>
          </w:p>
        </w:tc>
        <w:tc>
          <w:tcPr>
            <w:tcW w:w="46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3"/>
        </w:trPr>
        <w:tc>
          <w:tcPr>
            <w:tcW w:w="412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(198)</w:t>
            </w:r>
          </w:p>
        </w:tc>
        <w:tc>
          <w:tcPr>
            <w:tcW w:w="36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40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(88)</w:t>
            </w:r>
          </w:p>
        </w:tc>
        <w:tc>
          <w:tcPr>
            <w:tcW w:w="46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b w:val="1"/>
                <w:bCs w:val="1"/>
                <w:color w:val="auto"/>
              </w:rPr>
              <w:t>(5,985)</w:t>
            </w:r>
          </w:p>
        </w:tc>
        <w:tc>
          <w:tcPr>
            <w:tcW w:w="120" w:type="dxa"/>
            <w:vAlign w:val="bottom"/>
            <w:shd w:val="clear" w:color="auto" w:fill="E5E5E5"/>
          </w:tcPr>
          <w:p>
            <w:pPr>
              <w:spacing w:after="0"/>
              <w:rPr>
                <w:sz w:val="17"/>
                <w:szCs w:val="17"/>
                <w:color w:val="auto"/>
              </w:rPr>
            </w:pPr>
          </w:p>
        </w:tc>
        <w:tc>
          <w:tcPr>
            <w:tcW w:w="15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89"/>
        </w:trPr>
        <w:tc>
          <w:tcPr>
            <w:tcW w:w="4120" w:type="dxa"/>
            <w:vAlign w:val="bottom"/>
          </w:tcPr>
          <w:p>
            <w:pPr>
              <w:ind w:left="22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Accounts receivable</w:t>
            </w:r>
          </w:p>
        </w:tc>
        <w:tc>
          <w:tcPr>
            <w:tcW w:w="4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857</w:t>
            </w:r>
          </w:p>
        </w:tc>
        <w:tc>
          <w:tcPr>
            <w:tcW w:w="3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40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290</w:t>
            </w:r>
          </w:p>
        </w:tc>
        <w:tc>
          <w:tcPr>
            <w:tcW w:w="46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5,800</w:t>
            </w:r>
          </w:p>
        </w:tc>
        <w:tc>
          <w:tcPr>
            <w:tcW w:w="120" w:type="dxa"/>
            <w:vAlign w:val="bottom"/>
            <w:shd w:val="clear" w:color="auto" w:fill="E5E5E5"/>
          </w:tcPr>
          <w:p>
            <w:pPr>
              <w:spacing w:after="0"/>
              <w:rPr>
                <w:sz w:val="16"/>
                <w:szCs w:val="16"/>
                <w:color w:val="auto"/>
              </w:rPr>
            </w:pPr>
          </w:p>
        </w:tc>
        <w:tc>
          <w:tcPr>
            <w:tcW w:w="15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5,125</w:t>
            </w:r>
          </w:p>
        </w:tc>
        <w:tc>
          <w:tcPr>
            <w:tcW w:w="0" w:type="dxa"/>
            <w:vAlign w:val="bottom"/>
          </w:tcPr>
          <w:p>
            <w:pPr>
              <w:spacing w:after="0"/>
              <w:rPr>
                <w:sz w:val="1"/>
                <w:szCs w:val="1"/>
                <w:color w:val="auto"/>
              </w:rPr>
            </w:pPr>
          </w:p>
        </w:tc>
      </w:tr>
      <w:tr>
        <w:trPr>
          <w:trHeight w:val="203"/>
        </w:trPr>
        <w:tc>
          <w:tcPr>
            <w:tcW w:w="4120" w:type="dxa"/>
            <w:vAlign w:val="bottom"/>
          </w:tcPr>
          <w:p>
            <w:pPr>
              <w:ind w:left="440"/>
              <w:spacing w:after="0" w:line="202" w:lineRule="exact"/>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(279)</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(329)</w:t>
            </w:r>
          </w:p>
        </w:tc>
        <w:tc>
          <w:tcPr>
            <w:tcW w:w="460" w:type="dxa"/>
            <w:vAlign w:val="bottom"/>
          </w:tcPr>
          <w:p>
            <w:pPr>
              <w:spacing w:after="0"/>
              <w:rPr>
                <w:sz w:val="17"/>
                <w:szCs w:val="17"/>
                <w:color w:val="auto"/>
              </w:rPr>
            </w:pPr>
          </w:p>
        </w:tc>
        <w:tc>
          <w:tcPr>
            <w:tcW w:w="138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(662)</w:t>
            </w:r>
          </w:p>
        </w:tc>
        <w:tc>
          <w:tcPr>
            <w:tcW w:w="120" w:type="dxa"/>
            <w:vAlign w:val="bottom"/>
          </w:tcPr>
          <w:p>
            <w:pPr>
              <w:spacing w:after="0"/>
              <w:rPr>
                <w:sz w:val="17"/>
                <w:szCs w:val="17"/>
                <w:color w:val="auto"/>
              </w:rPr>
            </w:pPr>
          </w:p>
        </w:tc>
        <w:tc>
          <w:tcPr>
            <w:tcW w:w="1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3"/>
        </w:trPr>
        <w:tc>
          <w:tcPr>
            <w:tcW w:w="412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Other current assets</w:t>
            </w:r>
          </w:p>
        </w:tc>
        <w:tc>
          <w:tcPr>
            <w:tcW w:w="4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91</w:t>
            </w:r>
          </w:p>
        </w:tc>
        <w:tc>
          <w:tcPr>
            <w:tcW w:w="36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400" w:type="dxa"/>
            <w:vAlign w:val="bottom"/>
            <w:gridSpan w:val="2"/>
            <w:shd w:val="clear" w:color="auto" w:fill="E5E5E5"/>
          </w:tcPr>
          <w:p>
            <w:pPr>
              <w:jc w:val="right"/>
              <w:ind w:right="420"/>
              <w:spacing w:after="0" w:line="202" w:lineRule="exact"/>
              <w:rPr>
                <w:sz w:val="20"/>
                <w:szCs w:val="20"/>
                <w:color w:val="auto"/>
              </w:rPr>
            </w:pPr>
            <w:r>
              <w:rPr>
                <w:rFonts w:ascii="Arial" w:cs="Arial" w:eastAsia="Arial" w:hAnsi="Arial"/>
                <w:sz w:val="18"/>
                <w:szCs w:val="18"/>
                <w:color w:val="auto"/>
              </w:rPr>
              <w:t>478</w:t>
            </w:r>
          </w:p>
        </w:tc>
        <w:tc>
          <w:tcPr>
            <w:tcW w:w="46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b w:val="1"/>
                <w:bCs w:val="1"/>
                <w:color w:val="auto"/>
              </w:rPr>
              <w:t>1,861</w:t>
            </w:r>
          </w:p>
        </w:tc>
        <w:tc>
          <w:tcPr>
            <w:tcW w:w="120" w:type="dxa"/>
            <w:vAlign w:val="bottom"/>
            <w:shd w:val="clear" w:color="auto" w:fill="E5E5E5"/>
          </w:tcPr>
          <w:p>
            <w:pPr>
              <w:spacing w:after="0"/>
              <w:rPr>
                <w:sz w:val="17"/>
                <w:szCs w:val="17"/>
                <w:color w:val="auto"/>
              </w:rPr>
            </w:pPr>
          </w:p>
        </w:tc>
        <w:tc>
          <w:tcPr>
            <w:tcW w:w="15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189"/>
        </w:trPr>
        <w:tc>
          <w:tcPr>
            <w:tcW w:w="4120" w:type="dxa"/>
            <w:vAlign w:val="bottom"/>
          </w:tcPr>
          <w:p>
            <w:pPr>
              <w:ind w:left="440"/>
              <w:spacing w:after="0" w:line="189" w:lineRule="exact"/>
              <w:rPr>
                <w:sz w:val="20"/>
                <w:szCs w:val="20"/>
                <w:color w:val="auto"/>
              </w:rPr>
            </w:pPr>
            <w:r>
              <w:rPr>
                <w:rFonts w:ascii="Arial" w:cs="Arial" w:eastAsia="Arial" w:hAnsi="Arial"/>
                <w:sz w:val="18"/>
                <w:szCs w:val="18"/>
                <w:color w:val="auto"/>
              </w:rPr>
              <w:t>Other long-term assets</w:t>
            </w:r>
          </w:p>
        </w:tc>
        <w:tc>
          <w:tcPr>
            <w:tcW w:w="440" w:type="dxa"/>
            <w:vAlign w:val="bottom"/>
          </w:tcPr>
          <w:p>
            <w:pPr>
              <w:spacing w:after="0"/>
              <w:rPr>
                <w:sz w:val="16"/>
                <w:szCs w:val="16"/>
                <w:color w:val="auto"/>
              </w:rPr>
            </w:pPr>
          </w:p>
        </w:tc>
        <w:tc>
          <w:tcPr>
            <w:tcW w:w="102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(724)</w:t>
            </w: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gridSpan w:val="2"/>
          </w:tcPr>
          <w:p>
            <w:pPr>
              <w:jc w:val="right"/>
              <w:ind w:right="360"/>
              <w:spacing w:after="0" w:line="189" w:lineRule="exact"/>
              <w:rPr>
                <w:sz w:val="20"/>
                <w:szCs w:val="20"/>
                <w:color w:val="auto"/>
              </w:rPr>
            </w:pPr>
            <w:r>
              <w:rPr>
                <w:rFonts w:ascii="Arial" w:cs="Arial" w:eastAsia="Arial" w:hAnsi="Arial"/>
                <w:sz w:val="18"/>
                <w:szCs w:val="18"/>
                <w:color w:val="auto"/>
              </w:rPr>
              <w:t>(885)</w:t>
            </w:r>
          </w:p>
        </w:tc>
        <w:tc>
          <w:tcPr>
            <w:tcW w:w="460" w:type="dxa"/>
            <w:vAlign w:val="bottom"/>
          </w:tcPr>
          <w:p>
            <w:pPr>
              <w:spacing w:after="0"/>
              <w:rPr>
                <w:sz w:val="16"/>
                <w:szCs w:val="16"/>
                <w:color w:val="auto"/>
              </w:rPr>
            </w:pPr>
          </w:p>
        </w:tc>
        <w:tc>
          <w:tcPr>
            <w:tcW w:w="1380" w:type="dxa"/>
            <w:vAlign w:val="bottom"/>
            <w:gridSpan w:val="2"/>
          </w:tcPr>
          <w:p>
            <w:pPr>
              <w:jc w:val="right"/>
              <w:ind w:right="380"/>
              <w:spacing w:after="0" w:line="189" w:lineRule="exact"/>
              <w:rPr>
                <w:sz w:val="20"/>
                <w:szCs w:val="20"/>
                <w:color w:val="auto"/>
              </w:rPr>
            </w:pPr>
            <w:r>
              <w:rPr>
                <w:rFonts w:ascii="Arial" w:cs="Arial" w:eastAsia="Arial" w:hAnsi="Arial"/>
                <w:sz w:val="18"/>
                <w:szCs w:val="18"/>
                <w:b w:val="1"/>
                <w:bCs w:val="1"/>
                <w:color w:val="auto"/>
              </w:rPr>
              <w:t>(2,230)</w:t>
            </w:r>
          </w:p>
        </w:tc>
        <w:tc>
          <w:tcPr>
            <w:tcW w:w="120" w:type="dxa"/>
            <w:vAlign w:val="bottom"/>
          </w:tcPr>
          <w:p>
            <w:pPr>
              <w:spacing w:after="0"/>
              <w:rPr>
                <w:sz w:val="16"/>
                <w:szCs w:val="16"/>
                <w:color w:val="auto"/>
              </w:rPr>
            </w:pPr>
          </w:p>
        </w:tc>
        <w:tc>
          <w:tcPr>
            <w:tcW w:w="15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189"/>
        </w:trPr>
        <w:tc>
          <w:tcPr>
            <w:tcW w:w="412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Accounts payable</w:t>
            </w:r>
          </w:p>
        </w:tc>
        <w:tc>
          <w:tcPr>
            <w:tcW w:w="4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520</w:t>
            </w:r>
          </w:p>
        </w:tc>
        <w:tc>
          <w:tcPr>
            <w:tcW w:w="3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40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833</w:t>
            </w:r>
          </w:p>
        </w:tc>
        <w:tc>
          <w:tcPr>
            <w:tcW w:w="46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284</w:t>
            </w:r>
          </w:p>
        </w:tc>
        <w:tc>
          <w:tcPr>
            <w:tcW w:w="120" w:type="dxa"/>
            <w:vAlign w:val="bottom"/>
            <w:shd w:val="clear" w:color="auto" w:fill="E5E5E5"/>
          </w:tcPr>
          <w:p>
            <w:pPr>
              <w:spacing w:after="0"/>
              <w:rPr>
                <w:sz w:val="16"/>
                <w:szCs w:val="16"/>
                <w:color w:val="auto"/>
              </w:rPr>
            </w:pPr>
          </w:p>
        </w:tc>
        <w:tc>
          <w:tcPr>
            <w:tcW w:w="15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03"/>
        </w:trPr>
        <w:tc>
          <w:tcPr>
            <w:tcW w:w="4120" w:type="dxa"/>
            <w:vAlign w:val="bottom"/>
          </w:tcPr>
          <w:p>
            <w:pPr>
              <w:ind w:left="440"/>
              <w:spacing w:after="0" w:line="202" w:lineRule="exact"/>
              <w:rPr>
                <w:sz w:val="20"/>
                <w:szCs w:val="20"/>
                <w:color w:val="auto"/>
              </w:rPr>
            </w:pPr>
            <w:r>
              <w:rPr>
                <w:rFonts w:ascii="Arial" w:cs="Arial" w:eastAsia="Arial" w:hAnsi="Arial"/>
                <w:sz w:val="18"/>
                <w:szCs w:val="18"/>
                <w:color w:val="auto"/>
              </w:rPr>
              <w:t>Unearned revenue</w:t>
            </w:r>
          </w:p>
        </w:tc>
        <w:tc>
          <w:tcPr>
            <w:tcW w:w="44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(209)</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(473)</w:t>
            </w:r>
          </w:p>
        </w:tc>
        <w:tc>
          <w:tcPr>
            <w:tcW w:w="460" w:type="dxa"/>
            <w:vAlign w:val="bottom"/>
          </w:tcPr>
          <w:p>
            <w:pPr>
              <w:spacing w:after="0"/>
              <w:rPr>
                <w:sz w:val="17"/>
                <w:szCs w:val="17"/>
                <w:color w:val="auto"/>
              </w:rPr>
            </w:pPr>
          </w:p>
        </w:tc>
        <w:tc>
          <w:tcPr>
            <w:tcW w:w="138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(7,437)</w:t>
            </w:r>
          </w:p>
        </w:tc>
        <w:tc>
          <w:tcPr>
            <w:tcW w:w="120" w:type="dxa"/>
            <w:vAlign w:val="bottom"/>
          </w:tcPr>
          <w:p>
            <w:pPr>
              <w:spacing w:after="0"/>
              <w:rPr>
                <w:sz w:val="17"/>
                <w:szCs w:val="17"/>
                <w:color w:val="auto"/>
              </w:rPr>
            </w:pPr>
          </w:p>
        </w:tc>
        <w:tc>
          <w:tcPr>
            <w:tcW w:w="1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(6,764)</w:t>
            </w:r>
          </w:p>
        </w:tc>
        <w:tc>
          <w:tcPr>
            <w:tcW w:w="0" w:type="dxa"/>
            <w:vAlign w:val="bottom"/>
          </w:tcPr>
          <w:p>
            <w:pPr>
              <w:spacing w:after="0"/>
              <w:rPr>
                <w:sz w:val="1"/>
                <w:szCs w:val="1"/>
                <w:color w:val="auto"/>
              </w:rPr>
            </w:pPr>
          </w:p>
        </w:tc>
      </w:tr>
      <w:tr>
        <w:trPr>
          <w:trHeight w:val="189"/>
        </w:trPr>
        <w:tc>
          <w:tcPr>
            <w:tcW w:w="412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Income taxes</w:t>
            </w:r>
          </w:p>
        </w:tc>
        <w:tc>
          <w:tcPr>
            <w:tcW w:w="4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1,091</w:t>
            </w:r>
          </w:p>
        </w:tc>
        <w:tc>
          <w:tcPr>
            <w:tcW w:w="3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40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1,074</w:t>
            </w:r>
          </w:p>
        </w:tc>
        <w:tc>
          <w:tcPr>
            <w:tcW w:w="46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1,687</w:t>
            </w:r>
          </w:p>
        </w:tc>
        <w:tc>
          <w:tcPr>
            <w:tcW w:w="120" w:type="dxa"/>
            <w:vAlign w:val="bottom"/>
            <w:shd w:val="clear" w:color="auto" w:fill="E5E5E5"/>
          </w:tcPr>
          <w:p>
            <w:pPr>
              <w:spacing w:after="0"/>
              <w:rPr>
                <w:sz w:val="16"/>
                <w:szCs w:val="16"/>
                <w:color w:val="auto"/>
              </w:rPr>
            </w:pPr>
          </w:p>
        </w:tc>
        <w:tc>
          <w:tcPr>
            <w:tcW w:w="15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189"/>
        </w:trPr>
        <w:tc>
          <w:tcPr>
            <w:tcW w:w="4120" w:type="dxa"/>
            <w:vAlign w:val="bottom"/>
          </w:tcPr>
          <w:p>
            <w:pPr>
              <w:ind w:left="440"/>
              <w:spacing w:after="0" w:line="189" w:lineRule="exact"/>
              <w:rPr>
                <w:sz w:val="20"/>
                <w:szCs w:val="20"/>
                <w:color w:val="auto"/>
              </w:rPr>
            </w:pPr>
            <w:r>
              <w:rPr>
                <w:rFonts w:ascii="Arial" w:cs="Arial" w:eastAsia="Arial" w:hAnsi="Arial"/>
                <w:sz w:val="18"/>
                <w:szCs w:val="18"/>
                <w:color w:val="auto"/>
              </w:rPr>
              <w:t>Other current liabilities</w:t>
            </w:r>
          </w:p>
        </w:tc>
        <w:tc>
          <w:tcPr>
            <w:tcW w:w="440" w:type="dxa"/>
            <w:vAlign w:val="bottom"/>
          </w:tcPr>
          <w:p>
            <w:pPr>
              <w:spacing w:after="0"/>
              <w:rPr>
                <w:sz w:val="16"/>
                <w:szCs w:val="16"/>
                <w:color w:val="auto"/>
              </w:rPr>
            </w:pP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1,287</w:t>
            </w: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gridSpan w:val="2"/>
          </w:tcPr>
          <w:p>
            <w:pPr>
              <w:jc w:val="right"/>
              <w:ind w:right="420"/>
              <w:spacing w:after="0" w:line="189" w:lineRule="exact"/>
              <w:rPr>
                <w:sz w:val="20"/>
                <w:szCs w:val="20"/>
                <w:color w:val="auto"/>
              </w:rPr>
            </w:pPr>
            <w:r>
              <w:rPr>
                <w:rFonts w:ascii="Arial" w:cs="Arial" w:eastAsia="Arial" w:hAnsi="Arial"/>
                <w:sz w:val="18"/>
                <w:szCs w:val="18"/>
                <w:color w:val="auto"/>
              </w:rPr>
              <w:t>1,590</w:t>
            </w:r>
          </w:p>
        </w:tc>
        <w:tc>
          <w:tcPr>
            <w:tcW w:w="460" w:type="dxa"/>
            <w:vAlign w:val="bottom"/>
          </w:tcPr>
          <w:p>
            <w:pPr>
              <w:spacing w:after="0"/>
              <w:rPr>
                <w:sz w:val="16"/>
                <w:szCs w:val="16"/>
                <w:color w:val="auto"/>
              </w:rPr>
            </w:pPr>
          </w:p>
        </w:tc>
        <w:tc>
          <w:tcPr>
            <w:tcW w:w="1380" w:type="dxa"/>
            <w:vAlign w:val="bottom"/>
            <w:gridSpan w:val="2"/>
          </w:tcPr>
          <w:p>
            <w:pPr>
              <w:jc w:val="right"/>
              <w:ind w:right="380"/>
              <w:spacing w:after="0" w:line="189" w:lineRule="exact"/>
              <w:rPr>
                <w:sz w:val="20"/>
                <w:szCs w:val="20"/>
                <w:color w:val="auto"/>
              </w:rPr>
            </w:pPr>
            <w:r>
              <w:rPr>
                <w:rFonts w:ascii="Arial" w:cs="Arial" w:eastAsia="Arial" w:hAnsi="Arial"/>
                <w:sz w:val="18"/>
                <w:szCs w:val="18"/>
                <w:b w:val="1"/>
                <w:bCs w:val="1"/>
                <w:color w:val="auto"/>
              </w:rPr>
              <w:t>(1,111)</w:t>
            </w:r>
          </w:p>
        </w:tc>
        <w:tc>
          <w:tcPr>
            <w:tcW w:w="1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394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Other long-term liabilities</w:t>
            </w:r>
          </w:p>
        </w:tc>
        <w:tc>
          <w:tcPr>
            <w:tcW w:w="4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438</w:t>
            </w:r>
          </w:p>
        </w:tc>
        <w:tc>
          <w:tcPr>
            <w:tcW w:w="36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400" w:type="dxa"/>
            <w:vAlign w:val="bottom"/>
            <w:gridSpan w:val="2"/>
            <w:shd w:val="clear" w:color="auto" w:fill="E5E5E5"/>
          </w:tcPr>
          <w:p>
            <w:pPr>
              <w:jc w:val="right"/>
              <w:ind w:right="420"/>
              <w:spacing w:after="0" w:line="202" w:lineRule="exact"/>
              <w:rPr>
                <w:sz w:val="20"/>
                <w:szCs w:val="20"/>
                <w:color w:val="auto"/>
              </w:rPr>
            </w:pPr>
            <w:r>
              <w:rPr>
                <w:rFonts w:ascii="Arial" w:cs="Arial" w:eastAsia="Arial" w:hAnsi="Arial"/>
                <w:sz w:val="18"/>
                <w:szCs w:val="18"/>
                <w:color w:val="auto"/>
              </w:rPr>
              <w:t>122</w:t>
            </w:r>
          </w:p>
        </w:tc>
        <w:tc>
          <w:tcPr>
            <w:tcW w:w="46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b w:val="1"/>
                <w:bCs w:val="1"/>
                <w:color w:val="auto"/>
              </w:rPr>
              <w:t>781</w:t>
            </w:r>
          </w:p>
        </w:tc>
        <w:tc>
          <w:tcPr>
            <w:tcW w:w="120" w:type="dxa"/>
            <w:vAlign w:val="bottom"/>
            <w:shd w:val="clear" w:color="auto" w:fill="E5E5E5"/>
          </w:tcPr>
          <w:p>
            <w:pPr>
              <w:spacing w:after="0"/>
              <w:rPr>
                <w:sz w:val="17"/>
                <w:szCs w:val="17"/>
                <w:color w:val="auto"/>
              </w:rPr>
            </w:pPr>
          </w:p>
        </w:tc>
        <w:tc>
          <w:tcPr>
            <w:tcW w:w="15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68"/>
        </w:trPr>
        <w:tc>
          <w:tcPr>
            <w:tcW w:w="4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120" w:type="dxa"/>
            <w:vAlign w:val="bottom"/>
          </w:tcPr>
          <w:p>
            <w:pPr>
              <w:ind w:left="660"/>
              <w:spacing w:after="0"/>
              <w:rPr>
                <w:sz w:val="20"/>
                <w:szCs w:val="20"/>
                <w:color w:val="auto"/>
              </w:rPr>
            </w:pPr>
            <w:r>
              <w:rPr>
                <w:rFonts w:ascii="Arial" w:cs="Arial" w:eastAsia="Arial" w:hAnsi="Arial"/>
                <w:sz w:val="18"/>
                <w:szCs w:val="18"/>
                <w:color w:val="auto"/>
              </w:rPr>
              <w:t>Net cash from operations</w:t>
            </w:r>
          </w:p>
        </w:tc>
        <w:tc>
          <w:tcPr>
            <w:tcW w:w="44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25,386</w:t>
            </w: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22,179</w:t>
            </w:r>
          </w:p>
        </w:tc>
        <w:tc>
          <w:tcPr>
            <w:tcW w:w="460" w:type="dxa"/>
            <w:vAlign w:val="bottom"/>
          </w:tcPr>
          <w:p>
            <w:pPr>
              <w:spacing w:after="0"/>
              <w:rPr>
                <w:sz w:val="22"/>
                <w:szCs w:val="22"/>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64,406</w:t>
            </w:r>
          </w:p>
        </w:tc>
        <w:tc>
          <w:tcPr>
            <w:tcW w:w="12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54,030</w:t>
            </w:r>
          </w:p>
        </w:tc>
        <w:tc>
          <w:tcPr>
            <w:tcW w:w="0" w:type="dxa"/>
            <w:vAlign w:val="bottom"/>
          </w:tcPr>
          <w:p>
            <w:pPr>
              <w:spacing w:after="0"/>
              <w:rPr>
                <w:sz w:val="1"/>
                <w:szCs w:val="1"/>
                <w:color w:val="auto"/>
              </w:rPr>
            </w:pPr>
          </w:p>
        </w:tc>
      </w:tr>
      <w:tr>
        <w:trPr>
          <w:trHeight w:val="54"/>
        </w:trPr>
        <w:tc>
          <w:tcPr>
            <w:tcW w:w="4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w:t>
            </w:r>
          </w:p>
        </w:tc>
        <w:tc>
          <w:tcPr>
            <w:tcW w:w="44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2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line="189" w:lineRule="exact"/>
              <w:rPr>
                <w:sz w:val="20"/>
                <w:szCs w:val="20"/>
                <w:color w:val="auto"/>
              </w:rPr>
            </w:pPr>
            <w:r>
              <w:rPr>
                <w:rFonts w:ascii="Arial" w:cs="Arial" w:eastAsia="Arial" w:hAnsi="Arial"/>
                <w:sz w:val="18"/>
                <w:szCs w:val="18"/>
                <w:color w:val="auto"/>
              </w:rPr>
              <w:t>Cash premium on debt exchange</w:t>
            </w:r>
          </w:p>
        </w:tc>
        <w:tc>
          <w:tcPr>
            <w:tcW w:w="440" w:type="dxa"/>
            <w:vAlign w:val="bottom"/>
          </w:tcPr>
          <w:p>
            <w:pPr>
              <w:spacing w:after="0"/>
              <w:rPr>
                <w:sz w:val="16"/>
                <w:szCs w:val="16"/>
                <w:color w:val="auto"/>
              </w:rPr>
            </w:pP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gridSpan w:val="2"/>
          </w:tcPr>
          <w:p>
            <w:pPr>
              <w:jc w:val="right"/>
              <w:ind w:right="360"/>
              <w:spacing w:after="0" w:line="189" w:lineRule="exact"/>
              <w:rPr>
                <w:sz w:val="20"/>
                <w:szCs w:val="20"/>
                <w:color w:val="auto"/>
              </w:rPr>
            </w:pPr>
            <w:r>
              <w:rPr>
                <w:rFonts w:ascii="Arial" w:cs="Arial" w:eastAsia="Arial" w:hAnsi="Arial"/>
                <w:sz w:val="18"/>
                <w:szCs w:val="18"/>
                <w:color w:val="auto"/>
              </w:rPr>
              <w:t>(1,754)</w:t>
            </w:r>
          </w:p>
        </w:tc>
        <w:tc>
          <w:tcPr>
            <w:tcW w:w="460" w:type="dxa"/>
            <w:vAlign w:val="bottom"/>
          </w:tcPr>
          <w:p>
            <w:pPr>
              <w:spacing w:after="0"/>
              <w:rPr>
                <w:sz w:val="16"/>
                <w:szCs w:val="16"/>
                <w:color w:val="auto"/>
              </w:rPr>
            </w:pPr>
          </w:p>
        </w:tc>
        <w:tc>
          <w:tcPr>
            <w:tcW w:w="1380" w:type="dxa"/>
            <w:vAlign w:val="bottom"/>
            <w:gridSpan w:val="2"/>
          </w:tcPr>
          <w:p>
            <w:pPr>
              <w:jc w:val="right"/>
              <w:ind w:right="44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6"/>
                <w:szCs w:val="16"/>
                <w:color w:val="auto"/>
              </w:rPr>
            </w:pPr>
          </w:p>
        </w:tc>
        <w:tc>
          <w:tcPr>
            <w:tcW w:w="15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189"/>
        </w:trPr>
        <w:tc>
          <w:tcPr>
            <w:tcW w:w="41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Repayments of debt</w:t>
            </w:r>
          </w:p>
        </w:tc>
        <w:tc>
          <w:tcPr>
            <w:tcW w:w="4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(4,197)</w:t>
            </w:r>
          </w:p>
        </w:tc>
        <w:tc>
          <w:tcPr>
            <w:tcW w:w="3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40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color w:val="auto"/>
              </w:rPr>
              <w:t>(500)</w:t>
            </w:r>
          </w:p>
        </w:tc>
        <w:tc>
          <w:tcPr>
            <w:tcW w:w="46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(9,023)</w:t>
            </w:r>
          </w:p>
        </w:tc>
        <w:tc>
          <w:tcPr>
            <w:tcW w:w="120" w:type="dxa"/>
            <w:vAlign w:val="bottom"/>
            <w:shd w:val="clear" w:color="auto" w:fill="E5E5E5"/>
          </w:tcPr>
          <w:p>
            <w:pPr>
              <w:spacing w:after="0"/>
              <w:rPr>
                <w:sz w:val="16"/>
                <w:szCs w:val="16"/>
                <w:color w:val="auto"/>
              </w:rPr>
            </w:pPr>
          </w:p>
        </w:tc>
        <w:tc>
          <w:tcPr>
            <w:tcW w:w="15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189"/>
        </w:trPr>
        <w:tc>
          <w:tcPr>
            <w:tcW w:w="4120" w:type="dxa"/>
            <w:vAlign w:val="bottom"/>
          </w:tcPr>
          <w:p>
            <w:pPr>
              <w:spacing w:after="0" w:line="189" w:lineRule="exact"/>
              <w:rPr>
                <w:sz w:val="20"/>
                <w:szCs w:val="20"/>
                <w:color w:val="auto"/>
              </w:rPr>
            </w:pPr>
            <w:r>
              <w:rPr>
                <w:rFonts w:ascii="Arial" w:cs="Arial" w:eastAsia="Arial" w:hAnsi="Arial"/>
                <w:sz w:val="18"/>
                <w:szCs w:val="18"/>
                <w:color w:val="auto"/>
              </w:rPr>
              <w:t>Common stock issued</w:t>
            </w:r>
          </w:p>
        </w:tc>
        <w:tc>
          <w:tcPr>
            <w:tcW w:w="440" w:type="dxa"/>
            <w:vAlign w:val="bottom"/>
          </w:tcPr>
          <w:p>
            <w:pPr>
              <w:spacing w:after="0"/>
              <w:rPr>
                <w:sz w:val="16"/>
                <w:szCs w:val="16"/>
                <w:color w:val="auto"/>
              </w:rPr>
            </w:pP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477</w:t>
            </w: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gridSpan w:val="2"/>
          </w:tcPr>
          <w:p>
            <w:pPr>
              <w:jc w:val="right"/>
              <w:ind w:right="420"/>
              <w:spacing w:after="0" w:line="189" w:lineRule="exact"/>
              <w:rPr>
                <w:sz w:val="20"/>
                <w:szCs w:val="20"/>
                <w:color w:val="auto"/>
              </w:rPr>
            </w:pPr>
            <w:r>
              <w:rPr>
                <w:rFonts w:ascii="Arial" w:cs="Arial" w:eastAsia="Arial" w:hAnsi="Arial"/>
                <w:sz w:val="18"/>
                <w:szCs w:val="18"/>
                <w:color w:val="auto"/>
              </w:rPr>
              <w:t>396</w:t>
            </w:r>
          </w:p>
        </w:tc>
        <w:tc>
          <w:tcPr>
            <w:tcW w:w="460" w:type="dxa"/>
            <w:vAlign w:val="bottom"/>
          </w:tcPr>
          <w:p>
            <w:pPr>
              <w:spacing w:after="0"/>
              <w:rPr>
                <w:sz w:val="16"/>
                <w:szCs w:val="16"/>
                <w:color w:val="auto"/>
              </w:rPr>
            </w:pPr>
          </w:p>
        </w:tc>
        <w:tc>
          <w:tcPr>
            <w:tcW w:w="1380" w:type="dxa"/>
            <w:vAlign w:val="bottom"/>
            <w:gridSpan w:val="2"/>
          </w:tcPr>
          <w:p>
            <w:pPr>
              <w:jc w:val="right"/>
              <w:ind w:right="440"/>
              <w:spacing w:after="0" w:line="189" w:lineRule="exact"/>
              <w:rPr>
                <w:sz w:val="20"/>
                <w:szCs w:val="20"/>
                <w:color w:val="auto"/>
              </w:rPr>
            </w:pPr>
            <w:r>
              <w:rPr>
                <w:rFonts w:ascii="Arial" w:cs="Arial" w:eastAsia="Arial" w:hAnsi="Arial"/>
                <w:sz w:val="18"/>
                <w:szCs w:val="18"/>
                <w:b w:val="1"/>
                <w:bCs w:val="1"/>
                <w:color w:val="auto"/>
              </w:rPr>
              <w:t>1,380</w:t>
            </w:r>
          </w:p>
        </w:tc>
        <w:tc>
          <w:tcPr>
            <w:tcW w:w="120" w:type="dxa"/>
            <w:vAlign w:val="bottom"/>
          </w:tcPr>
          <w:p>
            <w:pPr>
              <w:spacing w:after="0"/>
              <w:rPr>
                <w:sz w:val="16"/>
                <w:szCs w:val="16"/>
                <w:color w:val="auto"/>
              </w:rPr>
            </w:pPr>
          </w:p>
        </w:tc>
        <w:tc>
          <w:tcPr>
            <w:tcW w:w="15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03"/>
        </w:trPr>
        <w:tc>
          <w:tcPr>
            <w:tcW w:w="41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repurchased</w:t>
            </w:r>
          </w:p>
        </w:tc>
        <w:tc>
          <w:tcPr>
            <w:tcW w:w="4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(8,822)</w:t>
            </w:r>
          </w:p>
        </w:tc>
        <w:tc>
          <w:tcPr>
            <w:tcW w:w="36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40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(6,930)</w:t>
            </w:r>
          </w:p>
        </w:tc>
        <w:tc>
          <w:tcPr>
            <w:tcW w:w="46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b w:val="1"/>
                <w:bCs w:val="1"/>
                <w:color w:val="auto"/>
              </w:rPr>
              <w:t>(23,939)</w:t>
            </w:r>
          </w:p>
        </w:tc>
        <w:tc>
          <w:tcPr>
            <w:tcW w:w="120" w:type="dxa"/>
            <w:vAlign w:val="bottom"/>
            <w:shd w:val="clear" w:color="auto" w:fill="E5E5E5"/>
          </w:tcPr>
          <w:p>
            <w:pPr>
              <w:spacing w:after="0"/>
              <w:rPr>
                <w:sz w:val="17"/>
                <w:szCs w:val="17"/>
                <w:color w:val="auto"/>
              </w:rPr>
            </w:pPr>
          </w:p>
        </w:tc>
        <w:tc>
          <w:tcPr>
            <w:tcW w:w="15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(20,208)</w:t>
            </w:r>
          </w:p>
        </w:tc>
        <w:tc>
          <w:tcPr>
            <w:tcW w:w="0" w:type="dxa"/>
            <w:vAlign w:val="bottom"/>
          </w:tcPr>
          <w:p>
            <w:pPr>
              <w:spacing w:after="0"/>
              <w:rPr>
                <w:sz w:val="1"/>
                <w:szCs w:val="1"/>
                <w:color w:val="auto"/>
              </w:rPr>
            </w:pPr>
          </w:p>
        </w:tc>
      </w:tr>
      <w:tr>
        <w:trPr>
          <w:trHeight w:val="189"/>
        </w:trPr>
        <w:tc>
          <w:tcPr>
            <w:tcW w:w="4120" w:type="dxa"/>
            <w:vAlign w:val="bottom"/>
          </w:tcPr>
          <w:p>
            <w:pPr>
              <w:spacing w:after="0" w:line="189" w:lineRule="exact"/>
              <w:rPr>
                <w:sz w:val="20"/>
                <w:szCs w:val="20"/>
                <w:color w:val="auto"/>
              </w:rPr>
            </w:pPr>
            <w:r>
              <w:rPr>
                <w:rFonts w:ascii="Arial" w:cs="Arial" w:eastAsia="Arial" w:hAnsi="Arial"/>
                <w:sz w:val="18"/>
                <w:szCs w:val="18"/>
                <w:color w:val="auto"/>
              </w:rPr>
              <w:t>Common stock cash dividends paid</w:t>
            </w:r>
          </w:p>
        </w:tc>
        <w:tc>
          <w:tcPr>
            <w:tcW w:w="440" w:type="dxa"/>
            <w:vAlign w:val="bottom"/>
          </w:tcPr>
          <w:p>
            <w:pPr>
              <w:spacing w:after="0"/>
              <w:rPr>
                <w:sz w:val="16"/>
                <w:szCs w:val="16"/>
                <w:color w:val="auto"/>
              </w:rPr>
            </w:pPr>
          </w:p>
        </w:tc>
        <w:tc>
          <w:tcPr>
            <w:tcW w:w="102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(4,645)</w:t>
            </w: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gridSpan w:val="2"/>
          </w:tcPr>
          <w:p>
            <w:pPr>
              <w:jc w:val="right"/>
              <w:ind w:right="360"/>
              <w:spacing w:after="0" w:line="189" w:lineRule="exact"/>
              <w:rPr>
                <w:sz w:val="20"/>
                <w:szCs w:val="20"/>
                <w:color w:val="auto"/>
              </w:rPr>
            </w:pPr>
            <w:r>
              <w:rPr>
                <w:rFonts w:ascii="Arial" w:cs="Arial" w:eastAsia="Arial" w:hAnsi="Arial"/>
                <w:sz w:val="18"/>
                <w:szCs w:val="18"/>
                <w:color w:val="auto"/>
              </w:rPr>
              <w:t>(4,221)</w:t>
            </w:r>
          </w:p>
        </w:tc>
        <w:tc>
          <w:tcPr>
            <w:tcW w:w="460" w:type="dxa"/>
            <w:vAlign w:val="bottom"/>
          </w:tcPr>
          <w:p>
            <w:pPr>
              <w:spacing w:after="0"/>
              <w:rPr>
                <w:sz w:val="16"/>
                <w:szCs w:val="16"/>
                <w:color w:val="auto"/>
              </w:rPr>
            </w:pPr>
          </w:p>
        </w:tc>
        <w:tc>
          <w:tcPr>
            <w:tcW w:w="1380" w:type="dxa"/>
            <w:vAlign w:val="bottom"/>
            <w:gridSpan w:val="2"/>
          </w:tcPr>
          <w:p>
            <w:pPr>
              <w:jc w:val="right"/>
              <w:ind w:right="380"/>
              <w:spacing w:after="0" w:line="189" w:lineRule="exact"/>
              <w:rPr>
                <w:sz w:val="20"/>
                <w:szCs w:val="20"/>
                <w:color w:val="auto"/>
              </w:rPr>
            </w:pPr>
            <w:r>
              <w:rPr>
                <w:rFonts w:ascii="Arial" w:cs="Arial" w:eastAsia="Arial" w:hAnsi="Arial"/>
                <w:sz w:val="18"/>
                <w:szCs w:val="18"/>
                <w:b w:val="1"/>
                <w:bCs w:val="1"/>
                <w:color w:val="auto"/>
              </w:rPr>
              <w:t>(13,503)</w:t>
            </w:r>
          </w:p>
        </w:tc>
        <w:tc>
          <w:tcPr>
            <w:tcW w:w="120" w:type="dxa"/>
            <w:vAlign w:val="bottom"/>
          </w:tcPr>
          <w:p>
            <w:pPr>
              <w:spacing w:after="0"/>
              <w:rPr>
                <w:sz w:val="16"/>
                <w:szCs w:val="16"/>
                <w:color w:val="auto"/>
              </w:rPr>
            </w:pPr>
          </w:p>
        </w:tc>
        <w:tc>
          <w:tcPr>
            <w:tcW w:w="15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(12,307)</w:t>
            </w:r>
          </w:p>
        </w:tc>
        <w:tc>
          <w:tcPr>
            <w:tcW w:w="0" w:type="dxa"/>
            <w:vAlign w:val="bottom"/>
          </w:tcPr>
          <w:p>
            <w:pPr>
              <w:spacing w:after="0"/>
              <w:rPr>
                <w:sz w:val="1"/>
                <w:szCs w:val="1"/>
                <w:color w:val="auto"/>
              </w:rPr>
            </w:pPr>
          </w:p>
        </w:tc>
      </w:tr>
      <w:tr>
        <w:trPr>
          <w:trHeight w:val="189"/>
        </w:trPr>
        <w:tc>
          <w:tcPr>
            <w:tcW w:w="41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net</w:t>
            </w:r>
          </w:p>
        </w:tc>
        <w:tc>
          <w:tcPr>
            <w:tcW w:w="4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(158)</w:t>
            </w:r>
          </w:p>
        </w:tc>
        <w:tc>
          <w:tcPr>
            <w:tcW w:w="3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40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color w:val="auto"/>
              </w:rPr>
              <w:t>(183)</w:t>
            </w:r>
          </w:p>
        </w:tc>
        <w:tc>
          <w:tcPr>
            <w:tcW w:w="46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(522)</w:t>
            </w:r>
          </w:p>
        </w:tc>
        <w:tc>
          <w:tcPr>
            <w:tcW w:w="120" w:type="dxa"/>
            <w:vAlign w:val="bottom"/>
            <w:shd w:val="clear" w:color="auto" w:fill="E5E5E5"/>
          </w:tcPr>
          <w:p>
            <w:pPr>
              <w:spacing w:after="0"/>
              <w:rPr>
                <w:sz w:val="16"/>
                <w:szCs w:val="16"/>
                <w:color w:val="auto"/>
              </w:rPr>
            </w:pPr>
          </w:p>
        </w:tc>
        <w:tc>
          <w:tcPr>
            <w:tcW w:w="15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68"/>
        </w:trPr>
        <w:tc>
          <w:tcPr>
            <w:tcW w:w="4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660"/>
              <w:spacing w:after="0"/>
              <w:rPr>
                <w:sz w:val="20"/>
                <w:szCs w:val="20"/>
                <w:color w:val="auto"/>
              </w:rPr>
            </w:pPr>
            <w:r>
              <w:rPr>
                <w:rFonts w:ascii="Arial" w:cs="Arial" w:eastAsia="Arial" w:hAnsi="Arial"/>
                <w:sz w:val="18"/>
                <w:szCs w:val="18"/>
                <w:color w:val="auto"/>
              </w:rPr>
              <w:t>Net cash used in financing</w:t>
            </w:r>
          </w:p>
        </w:tc>
        <w:tc>
          <w:tcPr>
            <w:tcW w:w="44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(17,345)</w:t>
            </w: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(13,192)</w:t>
            </w:r>
          </w:p>
        </w:tc>
        <w:tc>
          <w:tcPr>
            <w:tcW w:w="460" w:type="dxa"/>
            <w:vAlign w:val="bottom"/>
          </w:tcPr>
          <w:p>
            <w:pPr>
              <w:spacing w:after="0"/>
              <w:rPr>
                <w:sz w:val="22"/>
                <w:szCs w:val="22"/>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(45,607)</w:t>
            </w:r>
          </w:p>
        </w:tc>
        <w:tc>
          <w:tcPr>
            <w:tcW w:w="120" w:type="dxa"/>
            <w:vAlign w:val="bottom"/>
          </w:tcPr>
          <w:p>
            <w:pPr>
              <w:spacing w:after="0"/>
              <w:rPr>
                <w:sz w:val="22"/>
                <w:szCs w:val="22"/>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(37,115)</w:t>
            </w:r>
          </w:p>
        </w:tc>
        <w:tc>
          <w:tcPr>
            <w:tcW w:w="0" w:type="dxa"/>
            <w:vAlign w:val="bottom"/>
          </w:tcPr>
          <w:p>
            <w:pPr>
              <w:spacing w:after="0"/>
              <w:rPr>
                <w:sz w:val="1"/>
                <w:szCs w:val="1"/>
                <w:color w:val="auto"/>
              </w:rPr>
            </w:pPr>
          </w:p>
        </w:tc>
      </w:tr>
      <w:tr>
        <w:trPr>
          <w:trHeight w:val="54"/>
        </w:trPr>
        <w:tc>
          <w:tcPr>
            <w:tcW w:w="4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Investing</w:t>
            </w:r>
          </w:p>
        </w:tc>
        <w:tc>
          <w:tcPr>
            <w:tcW w:w="44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line="189" w:lineRule="exact"/>
              <w:rPr>
                <w:sz w:val="20"/>
                <w:szCs w:val="20"/>
                <w:color w:val="auto"/>
              </w:rPr>
            </w:pPr>
            <w:r>
              <w:rPr>
                <w:rFonts w:ascii="Arial" w:cs="Arial" w:eastAsia="Arial" w:hAnsi="Arial"/>
                <w:sz w:val="18"/>
                <w:szCs w:val="18"/>
                <w:color w:val="auto"/>
              </w:rPr>
              <w:t>Additions to property and equipment</w:t>
            </w:r>
          </w:p>
        </w:tc>
        <w:tc>
          <w:tcPr>
            <w:tcW w:w="440" w:type="dxa"/>
            <w:vAlign w:val="bottom"/>
          </w:tcPr>
          <w:p>
            <w:pPr>
              <w:spacing w:after="0"/>
              <w:rPr>
                <w:sz w:val="16"/>
                <w:szCs w:val="16"/>
                <w:color w:val="auto"/>
              </w:rPr>
            </w:pPr>
          </w:p>
        </w:tc>
        <w:tc>
          <w:tcPr>
            <w:tcW w:w="102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(5,340)</w:t>
            </w: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gridSpan w:val="2"/>
          </w:tcPr>
          <w:p>
            <w:pPr>
              <w:jc w:val="right"/>
              <w:ind w:right="360"/>
              <w:spacing w:after="0" w:line="189" w:lineRule="exact"/>
              <w:rPr>
                <w:sz w:val="20"/>
                <w:szCs w:val="20"/>
                <w:color w:val="auto"/>
              </w:rPr>
            </w:pPr>
            <w:r>
              <w:rPr>
                <w:rFonts w:ascii="Arial" w:cs="Arial" w:eastAsia="Arial" w:hAnsi="Arial"/>
                <w:sz w:val="18"/>
                <w:szCs w:val="18"/>
                <w:color w:val="auto"/>
              </w:rPr>
              <w:t>(5,089)</w:t>
            </w:r>
          </w:p>
        </w:tc>
        <w:tc>
          <w:tcPr>
            <w:tcW w:w="460" w:type="dxa"/>
            <w:vAlign w:val="bottom"/>
          </w:tcPr>
          <w:p>
            <w:pPr>
              <w:spacing w:after="0"/>
              <w:rPr>
                <w:sz w:val="16"/>
                <w:szCs w:val="16"/>
                <w:color w:val="auto"/>
              </w:rPr>
            </w:pPr>
          </w:p>
        </w:tc>
        <w:tc>
          <w:tcPr>
            <w:tcW w:w="1380" w:type="dxa"/>
            <w:vAlign w:val="bottom"/>
            <w:gridSpan w:val="2"/>
          </w:tcPr>
          <w:p>
            <w:pPr>
              <w:jc w:val="right"/>
              <w:ind w:right="380"/>
              <w:spacing w:after="0" w:line="189" w:lineRule="exact"/>
              <w:rPr>
                <w:sz w:val="20"/>
                <w:szCs w:val="20"/>
                <w:color w:val="auto"/>
              </w:rPr>
            </w:pPr>
            <w:r>
              <w:rPr>
                <w:rFonts w:ascii="Arial" w:cs="Arial" w:eastAsia="Arial" w:hAnsi="Arial"/>
                <w:sz w:val="18"/>
                <w:szCs w:val="18"/>
                <w:b w:val="1"/>
                <w:bCs w:val="1"/>
                <w:color w:val="auto"/>
              </w:rPr>
              <w:t>(17,015)</w:t>
            </w:r>
          </w:p>
        </w:tc>
        <w:tc>
          <w:tcPr>
            <w:tcW w:w="120" w:type="dxa"/>
            <w:vAlign w:val="bottom"/>
          </w:tcPr>
          <w:p>
            <w:pPr>
              <w:spacing w:after="0"/>
              <w:rPr>
                <w:sz w:val="16"/>
                <w:szCs w:val="16"/>
                <w:color w:val="auto"/>
              </w:rPr>
            </w:pPr>
          </w:p>
        </w:tc>
        <w:tc>
          <w:tcPr>
            <w:tcW w:w="15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175"/>
        </w:trPr>
        <w:tc>
          <w:tcPr>
            <w:tcW w:w="412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Acquisition of companies, net of cash acquired,</w:t>
            </w:r>
          </w:p>
        </w:tc>
        <w:tc>
          <w:tcPr>
            <w:tcW w:w="440" w:type="dxa"/>
            <w:vAlign w:val="bottom"/>
            <w:shd w:val="clear" w:color="auto" w:fill="E5E5E5"/>
          </w:tcPr>
          <w:p>
            <w:pPr>
              <w:spacing w:after="0"/>
              <w:rPr>
                <w:sz w:val="15"/>
                <w:szCs w:val="15"/>
                <w:color w:val="auto"/>
              </w:rPr>
            </w:pPr>
          </w:p>
        </w:tc>
        <w:tc>
          <w:tcPr>
            <w:tcW w:w="1020" w:type="dxa"/>
            <w:vAlign w:val="bottom"/>
            <w:gridSpan w:val="2"/>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(18,719)</w:t>
            </w:r>
          </w:p>
        </w:tc>
        <w:tc>
          <w:tcPr>
            <w:tcW w:w="36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460" w:type="dxa"/>
            <w:vAlign w:val="bottom"/>
            <w:shd w:val="clear" w:color="auto" w:fill="E5E5E5"/>
          </w:tcPr>
          <w:p>
            <w:pPr>
              <w:spacing w:after="0"/>
              <w:rPr>
                <w:sz w:val="15"/>
                <w:szCs w:val="15"/>
                <w:color w:val="auto"/>
              </w:rPr>
            </w:pPr>
          </w:p>
        </w:tc>
        <w:tc>
          <w:tcPr>
            <w:tcW w:w="1380" w:type="dxa"/>
            <w:vAlign w:val="bottom"/>
            <w:gridSpan w:val="2"/>
            <w:vMerge w:val="restart"/>
            <w:shd w:val="clear" w:color="auto" w:fill="E5E5E5"/>
          </w:tcPr>
          <w:p>
            <w:pPr>
              <w:jc w:val="right"/>
              <w:ind w:right="380"/>
              <w:spacing w:after="0"/>
              <w:rPr>
                <w:sz w:val="20"/>
                <w:szCs w:val="20"/>
                <w:color w:val="auto"/>
              </w:rPr>
            </w:pPr>
            <w:r>
              <w:rPr>
                <w:rFonts w:ascii="Arial" w:cs="Arial" w:eastAsia="Arial" w:hAnsi="Arial"/>
                <w:sz w:val="18"/>
                <w:szCs w:val="18"/>
                <w:b w:val="1"/>
                <w:bCs w:val="1"/>
                <w:color w:val="auto"/>
              </w:rPr>
              <w:t>(20,775)</w:t>
            </w:r>
          </w:p>
        </w:tc>
        <w:tc>
          <w:tcPr>
            <w:tcW w:w="120" w:type="dxa"/>
            <w:vAlign w:val="bottom"/>
            <w:shd w:val="clear" w:color="auto" w:fill="E5E5E5"/>
          </w:tcPr>
          <w:p>
            <w:pPr>
              <w:spacing w:after="0"/>
              <w:rPr>
                <w:sz w:val="15"/>
                <w:szCs w:val="15"/>
                <w:color w:val="auto"/>
              </w:rPr>
            </w:pPr>
          </w:p>
        </w:tc>
        <w:tc>
          <w:tcPr>
            <w:tcW w:w="12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E5E5E5"/>
          </w:tcPr>
          <w:p>
            <w:pPr>
              <w:ind w:left="220"/>
              <w:spacing w:after="0" w:line="203" w:lineRule="exact"/>
              <w:rPr>
                <w:sz w:val="20"/>
                <w:szCs w:val="20"/>
                <w:color w:val="auto"/>
              </w:rPr>
            </w:pPr>
            <w:r>
              <w:rPr>
                <w:rFonts w:ascii="Arial" w:cs="Arial" w:eastAsia="Arial" w:hAnsi="Arial"/>
                <w:sz w:val="18"/>
                <w:szCs w:val="18"/>
                <w:color w:val="auto"/>
              </w:rPr>
              <w:t>and purchases of intangible and other assets</w:t>
            </w:r>
          </w:p>
        </w:tc>
        <w:tc>
          <w:tcPr>
            <w:tcW w:w="440" w:type="dxa"/>
            <w:vAlign w:val="bottom"/>
            <w:shd w:val="clear" w:color="auto" w:fill="E5E5E5"/>
          </w:tcPr>
          <w:p>
            <w:pPr>
              <w:spacing w:after="0"/>
              <w:rPr>
                <w:sz w:val="17"/>
                <w:szCs w:val="17"/>
                <w:color w:val="auto"/>
              </w:rPr>
            </w:pPr>
          </w:p>
        </w:tc>
        <w:tc>
          <w:tcPr>
            <w:tcW w:w="1020" w:type="dxa"/>
            <w:vAlign w:val="bottom"/>
            <w:gridSpan w:val="2"/>
            <w:vMerge w:val="continue"/>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400" w:type="dxa"/>
            <w:vAlign w:val="bottom"/>
            <w:gridSpan w:val="2"/>
            <w:shd w:val="clear" w:color="auto" w:fill="E5E5E5"/>
          </w:tcPr>
          <w:p>
            <w:pPr>
              <w:jc w:val="right"/>
              <w:ind w:right="360"/>
              <w:spacing w:after="0" w:line="203" w:lineRule="exact"/>
              <w:rPr>
                <w:sz w:val="20"/>
                <w:szCs w:val="20"/>
                <w:color w:val="auto"/>
              </w:rPr>
            </w:pPr>
            <w:r>
              <w:rPr>
                <w:rFonts w:ascii="Arial" w:cs="Arial" w:eastAsia="Arial" w:hAnsi="Arial"/>
                <w:sz w:val="18"/>
                <w:szCs w:val="18"/>
                <w:color w:val="auto"/>
              </w:rPr>
              <w:t>(7,512)</w:t>
            </w:r>
          </w:p>
        </w:tc>
        <w:tc>
          <w:tcPr>
            <w:tcW w:w="460" w:type="dxa"/>
            <w:vAlign w:val="bottom"/>
            <w:shd w:val="clear" w:color="auto" w:fill="E5E5E5"/>
          </w:tcPr>
          <w:p>
            <w:pPr>
              <w:spacing w:after="0"/>
              <w:rPr>
                <w:sz w:val="17"/>
                <w:szCs w:val="17"/>
                <w:color w:val="auto"/>
              </w:rPr>
            </w:pPr>
          </w:p>
        </w:tc>
        <w:tc>
          <w:tcPr>
            <w:tcW w:w="1380" w:type="dxa"/>
            <w:vAlign w:val="bottom"/>
            <w:gridSpan w:val="2"/>
            <w:vMerge w:val="continue"/>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500" w:type="dxa"/>
            <w:vAlign w:val="bottom"/>
            <w:gridSpan w:val="2"/>
            <w:shd w:val="clear" w:color="auto" w:fill="E5E5E5"/>
          </w:tcPr>
          <w:p>
            <w:pPr>
              <w:jc w:val="right"/>
              <w:ind w:right="160"/>
              <w:spacing w:after="0" w:line="203" w:lineRule="exact"/>
              <w:rPr>
                <w:sz w:val="20"/>
                <w:szCs w:val="20"/>
                <w:color w:val="auto"/>
              </w:rPr>
            </w:pPr>
            <w:r>
              <w:rPr>
                <w:rFonts w:ascii="Arial" w:cs="Arial" w:eastAsia="Arial" w:hAnsi="Arial"/>
                <w:sz w:val="18"/>
                <w:szCs w:val="18"/>
                <w:color w:val="auto"/>
              </w:rPr>
              <w:t>(8,408)</w:t>
            </w:r>
          </w:p>
        </w:tc>
        <w:tc>
          <w:tcPr>
            <w:tcW w:w="0" w:type="dxa"/>
            <w:vAlign w:val="bottom"/>
          </w:tcPr>
          <w:p>
            <w:pPr>
              <w:spacing w:after="0"/>
              <w:rPr>
                <w:sz w:val="1"/>
                <w:szCs w:val="1"/>
                <w:color w:val="auto"/>
              </w:rPr>
            </w:pPr>
          </w:p>
        </w:tc>
      </w:tr>
      <w:tr>
        <w:trPr>
          <w:trHeight w:val="189"/>
        </w:trPr>
        <w:tc>
          <w:tcPr>
            <w:tcW w:w="4120" w:type="dxa"/>
            <w:vAlign w:val="bottom"/>
          </w:tcPr>
          <w:p>
            <w:pPr>
              <w:spacing w:after="0" w:line="189" w:lineRule="exact"/>
              <w:rPr>
                <w:sz w:val="20"/>
                <w:szCs w:val="20"/>
                <w:color w:val="auto"/>
              </w:rPr>
            </w:pPr>
            <w:r>
              <w:rPr>
                <w:rFonts w:ascii="Arial" w:cs="Arial" w:eastAsia="Arial" w:hAnsi="Arial"/>
                <w:sz w:val="18"/>
                <w:szCs w:val="18"/>
                <w:color w:val="auto"/>
              </w:rPr>
              <w:t>Purchases of investments</w:t>
            </w:r>
          </w:p>
        </w:tc>
        <w:tc>
          <w:tcPr>
            <w:tcW w:w="440" w:type="dxa"/>
            <w:vAlign w:val="bottom"/>
          </w:tcPr>
          <w:p>
            <w:pPr>
              <w:spacing w:after="0"/>
              <w:rPr>
                <w:sz w:val="16"/>
                <w:szCs w:val="16"/>
                <w:color w:val="auto"/>
              </w:rPr>
            </w:pPr>
          </w:p>
        </w:tc>
        <w:tc>
          <w:tcPr>
            <w:tcW w:w="102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(8,723)</w:t>
            </w: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gridSpan w:val="2"/>
          </w:tcPr>
          <w:p>
            <w:pPr>
              <w:jc w:val="right"/>
              <w:ind w:right="360"/>
              <w:spacing w:after="0" w:line="189" w:lineRule="exact"/>
              <w:rPr>
                <w:sz w:val="20"/>
                <w:szCs w:val="20"/>
                <w:color w:val="auto"/>
              </w:rPr>
            </w:pPr>
            <w:r>
              <w:rPr>
                <w:rFonts w:ascii="Arial" w:cs="Arial" w:eastAsia="Arial" w:hAnsi="Arial"/>
                <w:sz w:val="18"/>
                <w:szCs w:val="18"/>
                <w:color w:val="auto"/>
              </w:rPr>
              <w:t>(18,375)</w:t>
            </w:r>
          </w:p>
        </w:tc>
        <w:tc>
          <w:tcPr>
            <w:tcW w:w="460" w:type="dxa"/>
            <w:vAlign w:val="bottom"/>
          </w:tcPr>
          <w:p>
            <w:pPr>
              <w:spacing w:after="0"/>
              <w:rPr>
                <w:sz w:val="16"/>
                <w:szCs w:val="16"/>
                <w:color w:val="auto"/>
              </w:rPr>
            </w:pPr>
          </w:p>
        </w:tc>
        <w:tc>
          <w:tcPr>
            <w:tcW w:w="1380" w:type="dxa"/>
            <w:vAlign w:val="bottom"/>
            <w:gridSpan w:val="2"/>
          </w:tcPr>
          <w:p>
            <w:pPr>
              <w:jc w:val="right"/>
              <w:ind w:right="380"/>
              <w:spacing w:after="0" w:line="189" w:lineRule="exact"/>
              <w:rPr>
                <w:sz w:val="20"/>
                <w:szCs w:val="20"/>
                <w:color w:val="auto"/>
              </w:rPr>
            </w:pPr>
            <w:r>
              <w:rPr>
                <w:rFonts w:ascii="Arial" w:cs="Arial" w:eastAsia="Arial" w:hAnsi="Arial"/>
                <w:sz w:val="18"/>
                <w:szCs w:val="18"/>
                <w:b w:val="1"/>
                <w:bCs w:val="1"/>
                <w:color w:val="auto"/>
              </w:rPr>
              <w:t>(21,537)</w:t>
            </w:r>
          </w:p>
        </w:tc>
        <w:tc>
          <w:tcPr>
            <w:tcW w:w="120" w:type="dxa"/>
            <w:vAlign w:val="bottom"/>
          </w:tcPr>
          <w:p>
            <w:pPr>
              <w:spacing w:after="0"/>
              <w:rPr>
                <w:sz w:val="16"/>
                <w:szCs w:val="16"/>
                <w:color w:val="auto"/>
              </w:rPr>
            </w:pPr>
          </w:p>
        </w:tc>
        <w:tc>
          <w:tcPr>
            <w:tcW w:w="15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(48,047)</w:t>
            </w:r>
          </w:p>
        </w:tc>
        <w:tc>
          <w:tcPr>
            <w:tcW w:w="0" w:type="dxa"/>
            <w:vAlign w:val="bottom"/>
          </w:tcPr>
          <w:p>
            <w:pPr>
              <w:spacing w:after="0"/>
              <w:rPr>
                <w:sz w:val="1"/>
                <w:szCs w:val="1"/>
                <w:color w:val="auto"/>
              </w:rPr>
            </w:pPr>
          </w:p>
        </w:tc>
      </w:tr>
      <w:tr>
        <w:trPr>
          <w:trHeight w:val="189"/>
        </w:trPr>
        <w:tc>
          <w:tcPr>
            <w:tcW w:w="41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Maturities of investments</w:t>
            </w:r>
          </w:p>
        </w:tc>
        <w:tc>
          <w:tcPr>
            <w:tcW w:w="4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1,099</w:t>
            </w:r>
          </w:p>
        </w:tc>
        <w:tc>
          <w:tcPr>
            <w:tcW w:w="3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40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15,016</w:t>
            </w:r>
          </w:p>
        </w:tc>
        <w:tc>
          <w:tcPr>
            <w:tcW w:w="46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15,214</w:t>
            </w:r>
          </w:p>
        </w:tc>
        <w:tc>
          <w:tcPr>
            <w:tcW w:w="120" w:type="dxa"/>
            <w:vAlign w:val="bottom"/>
            <w:shd w:val="clear" w:color="auto" w:fill="E5E5E5"/>
          </w:tcPr>
          <w:p>
            <w:pPr>
              <w:spacing w:after="0"/>
              <w:rPr>
                <w:sz w:val="16"/>
                <w:szCs w:val="16"/>
                <w:color w:val="auto"/>
              </w:rPr>
            </w:pPr>
          </w:p>
        </w:tc>
        <w:tc>
          <w:tcPr>
            <w:tcW w:w="15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44,546</w:t>
            </w: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Sales of investments</w:t>
            </w:r>
          </w:p>
        </w:tc>
        <w:tc>
          <w:tcPr>
            <w:tcW w:w="44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16,693</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5,876</w:t>
            </w:r>
          </w:p>
        </w:tc>
        <w:tc>
          <w:tcPr>
            <w:tcW w:w="460" w:type="dxa"/>
            <w:vAlign w:val="bottom"/>
          </w:tcPr>
          <w:p>
            <w:pPr>
              <w:spacing w:after="0"/>
              <w:rPr>
                <w:sz w:val="17"/>
                <w:szCs w:val="17"/>
                <w:color w:val="auto"/>
              </w:rPr>
            </w:pPr>
          </w:p>
        </w:tc>
        <w:tc>
          <w:tcPr>
            <w:tcW w:w="1380" w:type="dxa"/>
            <w:vAlign w:val="bottom"/>
            <w:gridSpan w:val="2"/>
          </w:tcPr>
          <w:p>
            <w:pPr>
              <w:jc w:val="right"/>
              <w:ind w:right="440"/>
              <w:spacing w:after="0" w:line="202" w:lineRule="exact"/>
              <w:rPr>
                <w:sz w:val="20"/>
                <w:szCs w:val="20"/>
                <w:color w:val="auto"/>
              </w:rPr>
            </w:pPr>
            <w:r>
              <w:rPr>
                <w:rFonts w:ascii="Arial" w:cs="Arial" w:eastAsia="Arial" w:hAnsi="Arial"/>
                <w:sz w:val="18"/>
                <w:szCs w:val="18"/>
                <w:b w:val="1"/>
                <w:bCs w:val="1"/>
                <w:color w:val="auto"/>
              </w:rPr>
              <w:t>25,218</w:t>
            </w:r>
          </w:p>
        </w:tc>
        <w:tc>
          <w:tcPr>
            <w:tcW w:w="120" w:type="dxa"/>
            <w:vAlign w:val="bottom"/>
          </w:tcPr>
          <w:p>
            <w:pPr>
              <w:spacing w:after="0"/>
              <w:rPr>
                <w:sz w:val="17"/>
                <w:szCs w:val="17"/>
                <w:color w:val="auto"/>
              </w:rPr>
            </w:pPr>
          </w:p>
        </w:tc>
        <w:tc>
          <w:tcPr>
            <w:tcW w:w="15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10,711</w:t>
            </w:r>
          </w:p>
        </w:tc>
        <w:tc>
          <w:tcPr>
            <w:tcW w:w="0" w:type="dxa"/>
            <w:vAlign w:val="bottom"/>
          </w:tcPr>
          <w:p>
            <w:pPr>
              <w:spacing w:after="0"/>
              <w:rPr>
                <w:sz w:val="1"/>
                <w:szCs w:val="1"/>
                <w:color w:val="auto"/>
              </w:rPr>
            </w:pPr>
          </w:p>
        </w:tc>
      </w:tr>
      <w:tr>
        <w:trPr>
          <w:trHeight w:val="189"/>
        </w:trPr>
        <w:tc>
          <w:tcPr>
            <w:tcW w:w="41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net</w:t>
            </w:r>
          </w:p>
        </w:tc>
        <w:tc>
          <w:tcPr>
            <w:tcW w:w="4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(1,181)</w:t>
            </w:r>
          </w:p>
        </w:tc>
        <w:tc>
          <w:tcPr>
            <w:tcW w:w="3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40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400</w:t>
            </w:r>
          </w:p>
        </w:tc>
        <w:tc>
          <w:tcPr>
            <w:tcW w:w="46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(1,687)</w:t>
            </w:r>
          </w:p>
        </w:tc>
        <w:tc>
          <w:tcPr>
            <w:tcW w:w="120" w:type="dxa"/>
            <w:vAlign w:val="bottom"/>
            <w:shd w:val="clear" w:color="auto" w:fill="E5E5E5"/>
          </w:tcPr>
          <w:p>
            <w:pPr>
              <w:spacing w:after="0"/>
              <w:rPr>
                <w:sz w:val="16"/>
                <w:szCs w:val="16"/>
                <w:color w:val="auto"/>
              </w:rPr>
            </w:pPr>
          </w:p>
        </w:tc>
        <w:tc>
          <w:tcPr>
            <w:tcW w:w="15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68"/>
        </w:trPr>
        <w:tc>
          <w:tcPr>
            <w:tcW w:w="4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660"/>
              <w:spacing w:after="0"/>
              <w:rPr>
                <w:sz w:val="20"/>
                <w:szCs w:val="20"/>
                <w:color w:val="auto"/>
              </w:rPr>
            </w:pPr>
            <w:r>
              <w:rPr>
                <w:rFonts w:ascii="Arial" w:cs="Arial" w:eastAsia="Arial" w:hAnsi="Arial"/>
                <w:sz w:val="18"/>
                <w:szCs w:val="18"/>
                <w:color w:val="auto"/>
              </w:rPr>
              <w:t>Net cash used in investing</w:t>
            </w:r>
          </w:p>
        </w:tc>
        <w:tc>
          <w:tcPr>
            <w:tcW w:w="44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(16,171)</w:t>
            </w: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(9,684)</w:t>
            </w:r>
          </w:p>
        </w:tc>
        <w:tc>
          <w:tcPr>
            <w:tcW w:w="460" w:type="dxa"/>
            <w:vAlign w:val="bottom"/>
          </w:tcPr>
          <w:p>
            <w:pPr>
              <w:spacing w:after="0"/>
              <w:rPr>
                <w:sz w:val="22"/>
                <w:szCs w:val="22"/>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(20,582)</w:t>
            </w:r>
          </w:p>
        </w:tc>
        <w:tc>
          <w:tcPr>
            <w:tcW w:w="120" w:type="dxa"/>
            <w:vAlign w:val="bottom"/>
          </w:tcPr>
          <w:p>
            <w:pPr>
              <w:spacing w:after="0"/>
              <w:rPr>
                <w:sz w:val="22"/>
                <w:szCs w:val="22"/>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(16,724)</w:t>
            </w:r>
          </w:p>
        </w:tc>
        <w:tc>
          <w:tcPr>
            <w:tcW w:w="0" w:type="dxa"/>
            <w:vAlign w:val="bottom"/>
          </w:tcPr>
          <w:p>
            <w:pPr>
              <w:spacing w:after="0"/>
              <w:rPr>
                <w:sz w:val="1"/>
                <w:szCs w:val="1"/>
                <w:color w:val="auto"/>
              </w:rPr>
            </w:pPr>
          </w:p>
        </w:tc>
      </w:tr>
      <w:tr>
        <w:trPr>
          <w:trHeight w:val="54"/>
        </w:trPr>
        <w:tc>
          <w:tcPr>
            <w:tcW w:w="4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12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Effect of foreign exchange rates on cash and</w:t>
            </w:r>
          </w:p>
        </w:tc>
        <w:tc>
          <w:tcPr>
            <w:tcW w:w="440" w:type="dxa"/>
            <w:vAlign w:val="bottom"/>
            <w:shd w:val="clear" w:color="auto" w:fill="E5E5E5"/>
          </w:tcPr>
          <w:p>
            <w:pPr>
              <w:spacing w:after="0"/>
              <w:rPr>
                <w:sz w:val="15"/>
                <w:szCs w:val="15"/>
                <w:color w:val="auto"/>
              </w:rPr>
            </w:pPr>
          </w:p>
        </w:tc>
        <w:tc>
          <w:tcPr>
            <w:tcW w:w="1020" w:type="dxa"/>
            <w:vAlign w:val="bottom"/>
            <w:gridSpan w:val="2"/>
            <w:vMerge w:val="restart"/>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24</w:t>
            </w:r>
          </w:p>
        </w:tc>
        <w:tc>
          <w:tcPr>
            <w:tcW w:w="36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460" w:type="dxa"/>
            <w:vAlign w:val="bottom"/>
            <w:shd w:val="clear" w:color="auto" w:fill="E5E5E5"/>
          </w:tcPr>
          <w:p>
            <w:pPr>
              <w:spacing w:after="0"/>
              <w:rPr>
                <w:sz w:val="15"/>
                <w:szCs w:val="15"/>
                <w:color w:val="auto"/>
              </w:rPr>
            </w:pPr>
          </w:p>
        </w:tc>
        <w:tc>
          <w:tcPr>
            <w:tcW w:w="1380" w:type="dxa"/>
            <w:vAlign w:val="bottom"/>
            <w:gridSpan w:val="2"/>
            <w:vMerge w:val="restart"/>
            <w:shd w:val="clear" w:color="auto" w:fill="E5E5E5"/>
          </w:tcPr>
          <w:p>
            <w:pPr>
              <w:jc w:val="right"/>
              <w:ind w:right="440"/>
              <w:spacing w:after="0"/>
              <w:rPr>
                <w:sz w:val="20"/>
                <w:szCs w:val="20"/>
                <w:color w:val="auto"/>
              </w:rPr>
            </w:pPr>
            <w:r>
              <w:rPr>
                <w:rFonts w:ascii="Arial" w:cs="Arial" w:eastAsia="Arial" w:hAnsi="Arial"/>
                <w:sz w:val="18"/>
                <w:szCs w:val="18"/>
                <w:b w:val="1"/>
                <w:bCs w:val="1"/>
                <w:color w:val="auto"/>
              </w:rPr>
              <w:t>57</w:t>
            </w:r>
          </w:p>
        </w:tc>
        <w:tc>
          <w:tcPr>
            <w:tcW w:w="120" w:type="dxa"/>
            <w:vAlign w:val="bottom"/>
            <w:shd w:val="clear" w:color="auto" w:fill="E5E5E5"/>
          </w:tcPr>
          <w:p>
            <w:pPr>
              <w:spacing w:after="0"/>
              <w:rPr>
                <w:sz w:val="15"/>
                <w:szCs w:val="15"/>
                <w:color w:val="auto"/>
              </w:rPr>
            </w:pPr>
          </w:p>
        </w:tc>
        <w:tc>
          <w:tcPr>
            <w:tcW w:w="12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E5E5E5"/>
          </w:tcPr>
          <w:p>
            <w:pPr>
              <w:ind w:left="220"/>
              <w:spacing w:after="0" w:line="203" w:lineRule="exact"/>
              <w:rPr>
                <w:sz w:val="20"/>
                <w:szCs w:val="20"/>
                <w:color w:val="auto"/>
              </w:rPr>
            </w:pPr>
            <w:r>
              <w:rPr>
                <w:rFonts w:ascii="Arial" w:cs="Arial" w:eastAsia="Arial" w:hAnsi="Arial"/>
                <w:sz w:val="18"/>
                <w:szCs w:val="18"/>
                <w:color w:val="auto"/>
              </w:rPr>
              <w:t>cash equivalents</w:t>
            </w:r>
          </w:p>
        </w:tc>
        <w:tc>
          <w:tcPr>
            <w:tcW w:w="440" w:type="dxa"/>
            <w:vAlign w:val="bottom"/>
            <w:shd w:val="clear" w:color="auto" w:fill="E5E5E5"/>
          </w:tcPr>
          <w:p>
            <w:pPr>
              <w:spacing w:after="0"/>
              <w:rPr>
                <w:sz w:val="17"/>
                <w:szCs w:val="17"/>
                <w:color w:val="auto"/>
              </w:rPr>
            </w:pPr>
          </w:p>
        </w:tc>
        <w:tc>
          <w:tcPr>
            <w:tcW w:w="1020" w:type="dxa"/>
            <w:vAlign w:val="bottom"/>
            <w:gridSpan w:val="2"/>
            <w:vMerge w:val="continue"/>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400" w:type="dxa"/>
            <w:vAlign w:val="bottom"/>
            <w:gridSpan w:val="2"/>
            <w:shd w:val="clear" w:color="auto" w:fill="E5E5E5"/>
          </w:tcPr>
          <w:p>
            <w:pPr>
              <w:jc w:val="right"/>
              <w:ind w:right="360"/>
              <w:spacing w:after="0" w:line="203" w:lineRule="exact"/>
              <w:rPr>
                <w:sz w:val="20"/>
                <w:szCs w:val="20"/>
                <w:color w:val="auto"/>
              </w:rPr>
            </w:pPr>
            <w:r>
              <w:rPr>
                <w:rFonts w:ascii="Arial" w:cs="Arial" w:eastAsia="Arial" w:hAnsi="Arial"/>
                <w:sz w:val="18"/>
                <w:szCs w:val="18"/>
                <w:color w:val="auto"/>
              </w:rPr>
              <w:t>(33)</w:t>
            </w:r>
          </w:p>
        </w:tc>
        <w:tc>
          <w:tcPr>
            <w:tcW w:w="460" w:type="dxa"/>
            <w:vAlign w:val="bottom"/>
            <w:shd w:val="clear" w:color="auto" w:fill="E5E5E5"/>
          </w:tcPr>
          <w:p>
            <w:pPr>
              <w:spacing w:after="0"/>
              <w:rPr>
                <w:sz w:val="17"/>
                <w:szCs w:val="17"/>
                <w:color w:val="auto"/>
              </w:rPr>
            </w:pPr>
          </w:p>
        </w:tc>
        <w:tc>
          <w:tcPr>
            <w:tcW w:w="1380" w:type="dxa"/>
            <w:vAlign w:val="bottom"/>
            <w:gridSpan w:val="2"/>
            <w:vMerge w:val="continue"/>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500" w:type="dxa"/>
            <w:vAlign w:val="bottom"/>
            <w:gridSpan w:val="2"/>
            <w:shd w:val="clear" w:color="auto" w:fill="E5E5E5"/>
          </w:tcPr>
          <w:p>
            <w:pPr>
              <w:jc w:val="right"/>
              <w:ind w:right="160"/>
              <w:spacing w:after="0" w:line="203"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68"/>
        </w:trPr>
        <w:tc>
          <w:tcPr>
            <w:tcW w:w="4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4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(8,106)</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(730)</w:t>
            </w:r>
          </w:p>
        </w:tc>
        <w:tc>
          <w:tcPr>
            <w:tcW w:w="460" w:type="dxa"/>
            <w:vAlign w:val="bottom"/>
          </w:tcPr>
          <w:p>
            <w:pPr>
              <w:spacing w:after="0"/>
              <w:rPr>
                <w:sz w:val="21"/>
                <w:szCs w:val="21"/>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(1,726)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and cash equivalents, beginning of period</w:t>
            </w:r>
          </w:p>
        </w:tc>
        <w:tc>
          <w:tcPr>
            <w:tcW w:w="4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20,604</w:t>
            </w:r>
          </w:p>
        </w:tc>
        <w:tc>
          <w:tcPr>
            <w:tcW w:w="3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40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14,432</w:t>
            </w:r>
          </w:p>
        </w:tc>
        <w:tc>
          <w:tcPr>
            <w:tcW w:w="46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14,224</w:t>
            </w:r>
          </w:p>
        </w:tc>
        <w:tc>
          <w:tcPr>
            <w:tcW w:w="120" w:type="dxa"/>
            <w:vAlign w:val="bottom"/>
            <w:shd w:val="clear" w:color="auto" w:fill="E5E5E5"/>
          </w:tcPr>
          <w:p>
            <w:pPr>
              <w:spacing w:after="0"/>
              <w:rPr>
                <w:sz w:val="16"/>
                <w:szCs w:val="16"/>
                <w:color w:val="auto"/>
              </w:rPr>
            </w:pPr>
          </w:p>
        </w:tc>
        <w:tc>
          <w:tcPr>
            <w:tcW w:w="15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13,576</w:t>
            </w:r>
          </w:p>
        </w:tc>
        <w:tc>
          <w:tcPr>
            <w:tcW w:w="0" w:type="dxa"/>
            <w:vAlign w:val="bottom"/>
          </w:tcPr>
          <w:p>
            <w:pPr>
              <w:spacing w:after="0"/>
              <w:rPr>
                <w:sz w:val="1"/>
                <w:szCs w:val="1"/>
                <w:color w:val="auto"/>
              </w:rPr>
            </w:pPr>
          </w:p>
        </w:tc>
      </w:tr>
      <w:tr>
        <w:trPr>
          <w:trHeight w:val="68"/>
        </w:trPr>
        <w:tc>
          <w:tcPr>
            <w:tcW w:w="4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12,498</w:t>
            </w:r>
          </w:p>
        </w:tc>
        <w:tc>
          <w:tcPr>
            <w:tcW w:w="800" w:type="dxa"/>
            <w:vAlign w:val="bottom"/>
            <w:gridSpan w:val="2"/>
          </w:tcPr>
          <w:p>
            <w:pPr>
              <w:jc w:val="right"/>
              <w:ind w:right="273"/>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13,702</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12,498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13,702</w:t>
            </w:r>
          </w:p>
        </w:tc>
        <w:tc>
          <w:tcPr>
            <w:tcW w:w="0" w:type="dxa"/>
            <w:vAlign w:val="bottom"/>
          </w:tcPr>
          <w:p>
            <w:pPr>
              <w:spacing w:after="0"/>
              <w:rPr>
                <w:sz w:val="1"/>
                <w:szCs w:val="1"/>
                <w:color w:val="auto"/>
              </w:rPr>
            </w:pPr>
          </w:p>
        </w:tc>
      </w:tr>
      <w:tr>
        <w:trPr>
          <w:trHeight w:val="61"/>
        </w:trPr>
        <w:tc>
          <w:tcPr>
            <w:tcW w:w="4120" w:type="dxa"/>
            <w:vAlign w:val="bottom"/>
            <w:vMerge w:val="restart"/>
          </w:tcPr>
          <w:p>
            <w:pPr>
              <w:spacing w:after="0"/>
              <w:rPr>
                <w:sz w:val="20"/>
                <w:szCs w:val="20"/>
                <w:color w:val="auto"/>
              </w:rPr>
            </w:pPr>
            <w:r>
              <w:rPr>
                <w:rFonts w:ascii="Arial" w:cs="Arial" w:eastAsia="Arial" w:hAnsi="Arial"/>
                <w:sz w:val="18"/>
                <w:szCs w:val="18"/>
                <w:color w:val="auto"/>
              </w:rPr>
              <w:t>Refer to accompanying notes.</w:t>
            </w:r>
          </w:p>
        </w:tc>
        <w:tc>
          <w:tcPr>
            <w:tcW w:w="4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8"/>
        </w:trPr>
        <w:tc>
          <w:tcPr>
            <w:tcW w:w="41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4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jc w:val="right"/>
              <w:ind w:right="196"/>
              <w:spacing w:after="0"/>
              <w:rPr>
                <w:sz w:val="20"/>
                <w:szCs w:val="20"/>
                <w:color w:val="auto"/>
              </w:rPr>
            </w:pPr>
            <w:r>
              <w:rPr>
                <w:rFonts w:ascii="Arial" w:cs="Arial" w:eastAsia="Arial" w:hAnsi="Arial"/>
                <w:sz w:val="14"/>
                <w:szCs w:val="14"/>
                <w:color w:val="auto"/>
                <w:w w:val="76"/>
              </w:rPr>
              <w:t>6</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1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 w:name="page7"/>
    <w:bookmarkEnd w:id="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Three Months Ended</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Nine Months Ended</w:t>
            </w:r>
          </w:p>
        </w:tc>
      </w:tr>
      <w:tr>
        <w:trPr>
          <w:trHeight w:val="178"/>
        </w:trPr>
        <w:tc>
          <w:tcPr>
            <w:tcW w:w="4620" w:type="dxa"/>
            <w:vAlign w:val="bottom"/>
          </w:tcPr>
          <w:p>
            <w:pPr>
              <w:spacing w:after="0"/>
              <w:rPr>
                <w:sz w:val="20"/>
                <w:szCs w:val="20"/>
                <w:color w:val="auto"/>
              </w:rPr>
            </w:pPr>
            <w:r>
              <w:rPr>
                <w:rFonts w:ascii="Arial" w:cs="Arial" w:eastAsia="Arial" w:hAnsi="Arial"/>
                <w:sz w:val="13"/>
                <w:szCs w:val="13"/>
                <w:b w:val="1"/>
                <w:bCs w:val="1"/>
                <w:color w:val="auto"/>
              </w:rPr>
              <w:t>(In millions, except per share amounts) (Unaudited)</w:t>
            </w: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March 31,</w:t>
            </w:r>
          </w:p>
        </w:tc>
      </w:tr>
      <w:tr>
        <w:trPr>
          <w:trHeight w:val="54"/>
        </w:trPr>
        <w:tc>
          <w:tcPr>
            <w:tcW w:w="4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r>
      <w:tr>
        <w:trPr>
          <w:trHeight w:val="55"/>
        </w:trPr>
        <w:tc>
          <w:tcPr>
            <w:tcW w:w="4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Common stock and paid-in capital</w:t>
            </w:r>
          </w:p>
        </w:tc>
        <w:tc>
          <w:tcPr>
            <w:tcW w:w="48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3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3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Balance, beginning of period</w:t>
            </w:r>
          </w:p>
        </w:tc>
        <w:tc>
          <w:tcPr>
            <w:tcW w:w="480" w:type="dxa"/>
            <w:vAlign w:val="bottom"/>
          </w:tcPr>
          <w:p>
            <w:pPr>
              <w:jc w:val="right"/>
              <w:ind w:right="290"/>
              <w:spacing w:after="0" w:line="189"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84,528</w:t>
            </w:r>
          </w:p>
        </w:tc>
        <w:tc>
          <w:tcPr>
            <w:tcW w:w="2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81,896</w:t>
            </w:r>
          </w:p>
        </w:tc>
        <w:tc>
          <w:tcPr>
            <w:tcW w:w="540" w:type="dxa"/>
            <w:vAlign w:val="bottom"/>
            <w:gridSpan w:val="2"/>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83,111</w:t>
            </w:r>
          </w:p>
        </w:tc>
        <w:tc>
          <w:tcPr>
            <w:tcW w:w="16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80,552</w:t>
            </w: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issued</w:t>
            </w:r>
          </w:p>
        </w:tc>
        <w:tc>
          <w:tcPr>
            <w:tcW w:w="4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477</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396</w:t>
            </w:r>
          </w:p>
        </w:tc>
        <w:tc>
          <w:tcPr>
            <w:tcW w:w="6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1,380</w:t>
            </w:r>
          </w:p>
        </w:tc>
        <w:tc>
          <w:tcPr>
            <w:tcW w:w="160" w:type="dxa"/>
            <w:vAlign w:val="bottom"/>
            <w:shd w:val="clear" w:color="auto" w:fill="E5E5E5"/>
          </w:tcPr>
          <w:p>
            <w:pPr>
              <w:spacing w:after="0"/>
              <w:rPr>
                <w:sz w:val="16"/>
                <w:szCs w:val="16"/>
                <w:color w:val="auto"/>
              </w:rPr>
            </w:pPr>
          </w:p>
        </w:tc>
        <w:tc>
          <w:tcPr>
            <w:tcW w:w="14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1,513</w:t>
            </w: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480" w:type="dxa"/>
            <w:vAlign w:val="bottom"/>
          </w:tcPr>
          <w:p>
            <w:pPr>
              <w:spacing w:after="0"/>
              <w:rPr>
                <w:sz w:val="16"/>
                <w:szCs w:val="16"/>
                <w:color w:val="auto"/>
              </w:rPr>
            </w:pPr>
          </w:p>
        </w:tc>
        <w:tc>
          <w:tcPr>
            <w:tcW w:w="114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(1,313)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(1,528)</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(4,401)</w:t>
            </w:r>
          </w:p>
        </w:tc>
        <w:tc>
          <w:tcPr>
            <w:tcW w:w="160" w:type="dxa"/>
            <w:vAlign w:val="bottom"/>
          </w:tcPr>
          <w:p>
            <w:pPr>
              <w:spacing w:after="0"/>
              <w:rPr>
                <w:sz w:val="16"/>
                <w:szCs w:val="16"/>
                <w:color w:val="auto"/>
              </w:rPr>
            </w:pPr>
          </w:p>
        </w:tc>
        <w:tc>
          <w:tcPr>
            <w:tcW w:w="14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(4,322)</w:t>
            </w: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Stock-based compensation expense</w:t>
            </w:r>
          </w:p>
        </w:tc>
        <w:tc>
          <w:tcPr>
            <w:tcW w:w="4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1,906</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1,525</w:t>
            </w:r>
          </w:p>
        </w:tc>
        <w:tc>
          <w:tcPr>
            <w:tcW w:w="6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5,505</w:t>
            </w:r>
          </w:p>
        </w:tc>
        <w:tc>
          <w:tcPr>
            <w:tcW w:w="160" w:type="dxa"/>
            <w:vAlign w:val="bottom"/>
            <w:shd w:val="clear" w:color="auto" w:fill="E5E5E5"/>
          </w:tcPr>
          <w:p>
            <w:pPr>
              <w:spacing w:after="0"/>
              <w:rPr>
                <w:sz w:val="16"/>
                <w:szCs w:val="16"/>
                <w:color w:val="auto"/>
              </w:rPr>
            </w:pPr>
          </w:p>
        </w:tc>
        <w:tc>
          <w:tcPr>
            <w:tcW w:w="14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4,547</w:t>
            </w:r>
          </w:p>
        </w:tc>
      </w:tr>
      <w:tr>
        <w:trPr>
          <w:trHeight w:val="250"/>
        </w:trPr>
        <w:tc>
          <w:tcPr>
            <w:tcW w:w="4620" w:type="dxa"/>
            <w:vAlign w:val="bottom"/>
          </w:tcPr>
          <w:p>
            <w:pPr>
              <w:spacing w:after="0"/>
              <w:rPr>
                <w:sz w:val="20"/>
                <w:szCs w:val="20"/>
                <w:color w:val="auto"/>
              </w:rPr>
            </w:pPr>
            <w:r>
              <w:rPr>
                <w:rFonts w:ascii="Arial" w:cs="Arial" w:eastAsia="Arial" w:hAnsi="Arial"/>
                <w:sz w:val="18"/>
                <w:szCs w:val="18"/>
                <w:color w:val="auto"/>
              </w:rPr>
              <w:t>Other, net</w:t>
            </w:r>
          </w:p>
        </w:tc>
        <w:tc>
          <w:tcPr>
            <w:tcW w:w="48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172</w:t>
            </w:r>
          </w:p>
        </w:tc>
        <w:tc>
          <w:tcPr>
            <w:tcW w:w="1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68"/>
        </w:trPr>
        <w:tc>
          <w:tcPr>
            <w:tcW w:w="46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3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3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03"/>
        </w:trPr>
        <w:tc>
          <w:tcPr>
            <w:tcW w:w="462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Balance, end of period</w:t>
            </w:r>
          </w:p>
        </w:tc>
        <w:tc>
          <w:tcPr>
            <w:tcW w:w="48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85,767</w:t>
            </w:r>
          </w:p>
        </w:tc>
        <w:tc>
          <w:tcPr>
            <w:tcW w:w="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82,308</w:t>
            </w:r>
          </w:p>
        </w:tc>
        <w:tc>
          <w:tcPr>
            <w:tcW w:w="6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85,767</w:t>
            </w:r>
          </w:p>
        </w:tc>
        <w:tc>
          <w:tcPr>
            <w:tcW w:w="160" w:type="dxa"/>
            <w:vAlign w:val="bottom"/>
            <w:shd w:val="clear" w:color="auto" w:fill="E5E5E5"/>
          </w:tcPr>
          <w:p>
            <w:pPr>
              <w:spacing w:after="0"/>
              <w:rPr>
                <w:sz w:val="17"/>
                <w:szCs w:val="17"/>
                <w:color w:val="auto"/>
              </w:rPr>
            </w:pPr>
          </w:p>
        </w:tc>
        <w:tc>
          <w:tcPr>
            <w:tcW w:w="14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82,308</w:t>
            </w:r>
          </w:p>
        </w:tc>
      </w:tr>
      <w:tr>
        <w:trPr>
          <w:trHeight w:val="68"/>
        </w:trPr>
        <w:tc>
          <w:tcPr>
            <w:tcW w:w="46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50"/>
        </w:trPr>
        <w:tc>
          <w:tcPr>
            <w:tcW w:w="462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4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75,045</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44,973</w:t>
            </w:r>
          </w:p>
        </w:tc>
        <w:tc>
          <w:tcPr>
            <w:tcW w:w="6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57,055</w:t>
            </w:r>
          </w:p>
        </w:tc>
        <w:tc>
          <w:tcPr>
            <w:tcW w:w="160" w:type="dxa"/>
            <w:vAlign w:val="bottom"/>
            <w:shd w:val="clear" w:color="auto" w:fill="E5E5E5"/>
          </w:tcPr>
          <w:p>
            <w:pPr>
              <w:spacing w:after="0"/>
              <w:rPr>
                <w:sz w:val="16"/>
                <w:szCs w:val="16"/>
                <w:color w:val="auto"/>
              </w:rPr>
            </w:pPr>
          </w:p>
        </w:tc>
        <w:tc>
          <w:tcPr>
            <w:tcW w:w="14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34,566</w:t>
            </w: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480" w:type="dxa"/>
            <w:vAlign w:val="bottom"/>
          </w:tcPr>
          <w:p>
            <w:pPr>
              <w:spacing w:after="0"/>
              <w:rPr>
                <w:sz w:val="16"/>
                <w:szCs w:val="16"/>
                <w:color w:val="auto"/>
              </w:rPr>
            </w:pPr>
          </w:p>
        </w:tc>
        <w:tc>
          <w:tcPr>
            <w:tcW w:w="11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16,728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15,457</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55,998</w:t>
            </w:r>
          </w:p>
        </w:tc>
        <w:tc>
          <w:tcPr>
            <w:tcW w:w="160" w:type="dxa"/>
            <w:vAlign w:val="bottom"/>
          </w:tcPr>
          <w:p>
            <w:pPr>
              <w:spacing w:after="0"/>
              <w:rPr>
                <w:sz w:val="16"/>
                <w:szCs w:val="16"/>
                <w:color w:val="auto"/>
              </w:rPr>
            </w:pPr>
          </w:p>
        </w:tc>
        <w:tc>
          <w:tcPr>
            <w:tcW w:w="14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44,813</w:t>
            </w: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cash dividends</w:t>
            </w:r>
          </w:p>
        </w:tc>
        <w:tc>
          <w:tcPr>
            <w:tcW w:w="4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(4,634)</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(4,214)</w:t>
            </w:r>
          </w:p>
        </w:tc>
        <w:tc>
          <w:tcPr>
            <w:tcW w:w="6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(13,931)</w:t>
            </w:r>
          </w:p>
        </w:tc>
        <w:tc>
          <w:tcPr>
            <w:tcW w:w="160" w:type="dxa"/>
            <w:vAlign w:val="bottom"/>
            <w:shd w:val="clear" w:color="auto" w:fill="E5E5E5"/>
          </w:tcPr>
          <w:p>
            <w:pPr>
              <w:spacing w:after="0"/>
              <w:rPr>
                <w:sz w:val="16"/>
                <w:szCs w:val="16"/>
                <w:color w:val="auto"/>
              </w:rPr>
            </w:pPr>
          </w:p>
        </w:tc>
        <w:tc>
          <w:tcPr>
            <w:tcW w:w="14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(12,665)</w:t>
            </w: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480" w:type="dxa"/>
            <w:vAlign w:val="bottom"/>
          </w:tcPr>
          <w:p>
            <w:pPr>
              <w:spacing w:after="0"/>
              <w:rPr>
                <w:sz w:val="16"/>
                <w:szCs w:val="16"/>
                <w:color w:val="auto"/>
              </w:rPr>
            </w:pPr>
          </w:p>
        </w:tc>
        <w:tc>
          <w:tcPr>
            <w:tcW w:w="114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(7,506)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(5,481)</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(19,489)</w:t>
            </w:r>
          </w:p>
        </w:tc>
        <w:tc>
          <w:tcPr>
            <w:tcW w:w="160" w:type="dxa"/>
            <w:vAlign w:val="bottom"/>
          </w:tcPr>
          <w:p>
            <w:pPr>
              <w:spacing w:after="0"/>
              <w:rPr>
                <w:sz w:val="16"/>
                <w:szCs w:val="16"/>
                <w:color w:val="auto"/>
              </w:rPr>
            </w:pPr>
          </w:p>
        </w:tc>
        <w:tc>
          <w:tcPr>
            <w:tcW w:w="14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(15,947)</w:t>
            </w: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Cumulative effect of accounting changes</w:t>
            </w:r>
          </w:p>
        </w:tc>
        <w:tc>
          <w:tcPr>
            <w:tcW w:w="4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6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0</w:t>
            </w:r>
          </w:p>
        </w:tc>
        <w:tc>
          <w:tcPr>
            <w:tcW w:w="160" w:type="dxa"/>
            <w:vAlign w:val="bottom"/>
            <w:shd w:val="clear" w:color="auto" w:fill="E5E5E5"/>
          </w:tcPr>
          <w:p>
            <w:pPr>
              <w:spacing w:after="0"/>
              <w:rPr>
                <w:sz w:val="16"/>
                <w:szCs w:val="16"/>
                <w:color w:val="auto"/>
              </w:rPr>
            </w:pPr>
          </w:p>
        </w:tc>
        <w:tc>
          <w:tcPr>
            <w:tcW w:w="14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(32)</w:t>
            </w:r>
          </w:p>
        </w:tc>
      </w:tr>
      <w:tr>
        <w:trPr>
          <w:trHeight w:val="68"/>
        </w:trPr>
        <w:tc>
          <w:tcPr>
            <w:tcW w:w="46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4"/>
        </w:trPr>
        <w:tc>
          <w:tcPr>
            <w:tcW w:w="4620" w:type="dxa"/>
            <w:vAlign w:val="bottom"/>
          </w:tcPr>
          <w:p>
            <w:pPr>
              <w:ind w:left="220"/>
              <w:spacing w:after="0"/>
              <w:rPr>
                <w:sz w:val="20"/>
                <w:szCs w:val="20"/>
                <w:color w:val="auto"/>
              </w:rPr>
            </w:pPr>
            <w:r>
              <w:rPr>
                <w:rFonts w:ascii="Arial" w:cs="Arial" w:eastAsia="Arial" w:hAnsi="Arial"/>
                <w:sz w:val="18"/>
                <w:szCs w:val="18"/>
                <w:color w:val="auto"/>
              </w:rPr>
              <w:t>Balance, end of period</w:t>
            </w:r>
          </w:p>
        </w:tc>
        <w:tc>
          <w:tcPr>
            <w:tcW w:w="48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79,633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50,735</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79,633</w:t>
            </w:r>
          </w:p>
        </w:tc>
        <w:tc>
          <w:tcPr>
            <w:tcW w:w="160" w:type="dxa"/>
            <w:vAlign w:val="bottom"/>
          </w:tcPr>
          <w:p>
            <w:pPr>
              <w:spacing w:after="0"/>
              <w:rPr>
                <w:sz w:val="22"/>
                <w:szCs w:val="22"/>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50,735</w:t>
            </w:r>
          </w:p>
        </w:tc>
      </w:tr>
      <w:tr>
        <w:trPr>
          <w:trHeight w:val="54"/>
        </w:trPr>
        <w:tc>
          <w:tcPr>
            <w:tcW w:w="4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4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03"/>
        </w:trPr>
        <w:tc>
          <w:tcPr>
            <w:tcW w:w="462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Accumulated other comprehensive income (loss)</w:t>
            </w:r>
          </w:p>
        </w:tc>
        <w:tc>
          <w:tcPr>
            <w:tcW w:w="48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3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3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Balance, beginning of period</w:t>
            </w:r>
          </w:p>
        </w:tc>
        <w:tc>
          <w:tcPr>
            <w:tcW w:w="480" w:type="dxa"/>
            <w:vAlign w:val="bottom"/>
          </w:tcPr>
          <w:p>
            <w:pPr>
              <w:spacing w:after="0"/>
              <w:rPr>
                <w:sz w:val="16"/>
                <w:szCs w:val="16"/>
                <w:color w:val="auto"/>
              </w:rPr>
            </w:pPr>
          </w:p>
        </w:tc>
        <w:tc>
          <w:tcPr>
            <w:tcW w:w="11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437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3,367</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1,822</w:t>
            </w:r>
          </w:p>
        </w:tc>
        <w:tc>
          <w:tcPr>
            <w:tcW w:w="160" w:type="dxa"/>
            <w:vAlign w:val="bottom"/>
          </w:tcPr>
          <w:p>
            <w:pPr>
              <w:spacing w:after="0"/>
              <w:rPr>
                <w:sz w:val="16"/>
                <w:szCs w:val="16"/>
                <w:color w:val="auto"/>
              </w:rPr>
            </w:pPr>
          </w:p>
        </w:tc>
        <w:tc>
          <w:tcPr>
            <w:tcW w:w="14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3,186</w:t>
            </w: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comprehensive loss</w:t>
            </w:r>
          </w:p>
        </w:tc>
        <w:tc>
          <w:tcPr>
            <w:tcW w:w="4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(2,913)</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(1,905)</w:t>
            </w:r>
          </w:p>
        </w:tc>
        <w:tc>
          <w:tcPr>
            <w:tcW w:w="6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(4,298)</w:t>
            </w:r>
          </w:p>
        </w:tc>
        <w:tc>
          <w:tcPr>
            <w:tcW w:w="160" w:type="dxa"/>
            <w:vAlign w:val="bottom"/>
            <w:shd w:val="clear" w:color="auto" w:fill="E5E5E5"/>
          </w:tcPr>
          <w:p>
            <w:pPr>
              <w:spacing w:after="0"/>
              <w:rPr>
                <w:sz w:val="16"/>
                <w:szCs w:val="16"/>
                <w:color w:val="auto"/>
              </w:rPr>
            </w:pPr>
          </w:p>
        </w:tc>
        <w:tc>
          <w:tcPr>
            <w:tcW w:w="14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(1,734)</w:t>
            </w:r>
          </w:p>
        </w:tc>
      </w:tr>
      <w:tr>
        <w:trPr>
          <w:trHeight w:val="250"/>
        </w:trPr>
        <w:tc>
          <w:tcPr>
            <w:tcW w:w="4620" w:type="dxa"/>
            <w:vAlign w:val="bottom"/>
          </w:tcPr>
          <w:p>
            <w:pPr>
              <w:spacing w:after="0"/>
              <w:rPr>
                <w:sz w:val="20"/>
                <w:szCs w:val="20"/>
                <w:color w:val="auto"/>
              </w:rPr>
            </w:pPr>
            <w:r>
              <w:rPr>
                <w:rFonts w:ascii="Arial" w:cs="Arial" w:eastAsia="Arial" w:hAnsi="Arial"/>
                <w:sz w:val="18"/>
                <w:szCs w:val="18"/>
                <w:color w:val="auto"/>
              </w:rPr>
              <w:t>Cumulative effect of accounting changes</w:t>
            </w:r>
          </w:p>
        </w:tc>
        <w:tc>
          <w:tcPr>
            <w:tcW w:w="48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w:t>
            </w:r>
          </w:p>
        </w:tc>
        <w:tc>
          <w:tcPr>
            <w:tcW w:w="1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68"/>
        </w:trPr>
        <w:tc>
          <w:tcPr>
            <w:tcW w:w="46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3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3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6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Balance, end of period</w:t>
            </w:r>
          </w:p>
        </w:tc>
        <w:tc>
          <w:tcPr>
            <w:tcW w:w="4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(2,476)</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1,462</w:t>
            </w:r>
          </w:p>
        </w:tc>
        <w:tc>
          <w:tcPr>
            <w:tcW w:w="6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(2,476)</w:t>
            </w:r>
          </w:p>
        </w:tc>
        <w:tc>
          <w:tcPr>
            <w:tcW w:w="160" w:type="dxa"/>
            <w:vAlign w:val="bottom"/>
            <w:shd w:val="clear" w:color="auto" w:fill="E5E5E5"/>
          </w:tcPr>
          <w:p>
            <w:pPr>
              <w:spacing w:after="0"/>
              <w:rPr>
                <w:sz w:val="16"/>
                <w:szCs w:val="16"/>
                <w:color w:val="auto"/>
              </w:rPr>
            </w:pPr>
          </w:p>
        </w:tc>
        <w:tc>
          <w:tcPr>
            <w:tcW w:w="14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1,462</w:t>
            </w:r>
          </w:p>
        </w:tc>
      </w:tr>
      <w:tr>
        <w:trPr>
          <w:trHeight w:val="68"/>
        </w:trPr>
        <w:tc>
          <w:tcPr>
            <w:tcW w:w="46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46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162,924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134,505</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162,924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134,505</w:t>
            </w:r>
          </w:p>
        </w:tc>
        <w:tc>
          <w:tcPr>
            <w:tcW w:w="100" w:type="dxa"/>
            <w:vAlign w:val="bottom"/>
          </w:tcPr>
          <w:p>
            <w:pPr>
              <w:spacing w:after="0"/>
              <w:rPr>
                <w:sz w:val="22"/>
                <w:szCs w:val="22"/>
                <w:color w:val="auto"/>
              </w:rPr>
            </w:pPr>
          </w:p>
        </w:tc>
      </w:tr>
      <w:tr>
        <w:trPr>
          <w:trHeight w:val="61"/>
        </w:trPr>
        <w:tc>
          <w:tcPr>
            <w:tcW w:w="46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68"/>
        </w:trPr>
        <w:tc>
          <w:tcPr>
            <w:tcW w:w="4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dividends declared per common share</w:t>
            </w: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0.62</w:t>
            </w:r>
          </w:p>
        </w:tc>
        <w:tc>
          <w:tcPr>
            <w:tcW w:w="2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0.56</w:t>
            </w:r>
          </w:p>
        </w:tc>
        <w:tc>
          <w:tcPr>
            <w:tcW w:w="5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1.86</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1.68</w:t>
            </w:r>
          </w:p>
        </w:tc>
        <w:tc>
          <w:tcPr>
            <w:tcW w:w="100" w:type="dxa"/>
            <w:vAlign w:val="bottom"/>
            <w:shd w:val="clear" w:color="auto" w:fill="E5E5E5"/>
          </w:tcPr>
          <w:p>
            <w:pPr>
              <w:spacing w:after="0"/>
              <w:rPr>
                <w:sz w:val="16"/>
                <w:szCs w:val="16"/>
                <w:color w:val="auto"/>
              </w:rPr>
            </w:pPr>
          </w:p>
        </w:tc>
      </w:tr>
      <w:tr>
        <w:trPr>
          <w:trHeight w:val="68"/>
        </w:trPr>
        <w:tc>
          <w:tcPr>
            <w:tcW w:w="46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372"/>
        </w:trPr>
        <w:tc>
          <w:tcPr>
            <w:tcW w:w="4620" w:type="dxa"/>
            <w:vAlign w:val="bottom"/>
          </w:tcPr>
          <w:p>
            <w:pPr>
              <w:spacing w:after="0"/>
              <w:rPr>
                <w:sz w:val="20"/>
                <w:szCs w:val="20"/>
                <w:color w:val="auto"/>
              </w:rPr>
            </w:pPr>
            <w:r>
              <w:rPr>
                <w:rFonts w:ascii="Arial" w:cs="Arial" w:eastAsia="Arial" w:hAnsi="Arial"/>
                <w:sz w:val="18"/>
                <w:szCs w:val="18"/>
                <w:color w:val="auto"/>
              </w:rPr>
              <w:t>Refer to accompanying notes.</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0"/>
        </w:trPr>
        <w:tc>
          <w:tcPr>
            <w:tcW w:w="4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ind w:right="372"/>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46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7" w:name="page8"/>
    <w:bookmarkEnd w:id="7"/>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 — ACCOUNTING POLICIES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unaudited interim consolidated financial statements and accompanying notes are prepared in accordance with accounting principles generally accepted in the United States of America (“GAAP”). In the opinion of management, the unaudited interim consolidated financial statements reflect all adjustments of a normal recurring nature that are necessary for a fair presentation of the results for the interim periods presented. Interim results are not necessarily indicative of results for a full year. The information included in this Form 10-Q should be read in conjunction with information included in the Microsoft Corporation fiscal year 2021 Form 10-K filed with the U.S. Securities and Exchange Commission (“SEC”) on July 29,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consolidated financial statements include the accounts of Microsoft Corporation and its subsidiaries. Intercompany transactions and balances have been eliminated.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(“SSP”) of performance obligations, variable consideration, and other obligations such as product returns and refunds; loss contingencies; product warranties; the fair value of and/or potential impairment of goodwill and intangible assets for our reporting units; product life cycles; useful lives of our tangible and intangible assets; allowances for doubtful accounts; the market value of, and demand for, our inventory; stock-based compensation forfeiture rates; when technological feasibility is achieved for our products; the potential outcome of uncertain tax positions that have been recognized in our consolidated financial statements or tax returns; and determining the timing and amount of impairments for investments. Actual results and outcomes may differ from management’s estimates and assumptions due to risks and uncertainties, including uncertainty in the current economic environment due to COVID-19.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Debt investments are classified as available-for-sale and realized gains and losses are recorded using the specific identification method. Changes in fair value, excluding credit losses and impairments, are recorded in other comprehensive income. Fair value is calculated based on publicly available market information or other estimates determined by management. If the cost of an investment exceeds its fair value, we evaluate, among other factors, general market conditions, credit quality of debt instrument issuers, and the extent to which the fair value is less than cost. To determine credit losses, we employ a systematic methodology that considers available quantitative and qualitative evidence.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8" w:name="page9"/>
    <w:bookmarkEnd w:id="8"/>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We perform a qualitative assessment on a periodic basis and recognize an impairment if there are sufficient indicators that the fair value of the investment is less than carrying value. Changes in value are recorded in other income (expense), net.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Derivative instruments are recognized as either assets or liabilities and measured at fair value. The accounting for changes in the fair value of a derivative depends on the intended use of the derivative and the resulting designation.</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derivative instruments designated as fair value hedges, gains and losses are recognized in other income (expense), net with offsetting gains and losses on the hedged items. Gains and losses representing hedge components excluded from the assessment of effectiveness are recognized in other income (expense), net.</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derivative instruments designated as cash flow hedges, gains and losses are initially reported as a component of other comprehensive income and subsequently recognized in other income (expense), net with the corresponding hedged item. Gains and losses representing hedge components excluded from the assessment of effectiveness are recognized in other income (expense), net.</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derivative instruments that are not designated as hedges, gains and losses from changes in fair values are primarily recognized in other income (expense), net.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spacing w:after="0" w:line="36" w:lineRule="exact"/>
        <w:rPr>
          <w:sz w:val="20"/>
          <w:szCs w:val="20"/>
          <w:color w:val="auto"/>
        </w:rPr>
      </w:pPr>
    </w:p>
    <w:p>
      <w:pPr>
        <w:jc w:val="both"/>
        <w:ind w:left="1060" w:hanging="391"/>
        <w:spacing w:after="0" w:line="250"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based upon unadjusted quoted prices for identical instruments in active markets. Our Level 1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U.S. government securities, common and preferred stock, and mutual funds. Our Level 1 derivative assets and liabilities include those actively traded on exchanges.</w:t>
      </w:r>
    </w:p>
    <w:p>
      <w:pPr>
        <w:spacing w:after="0" w:line="28" w:lineRule="exact"/>
        <w:rPr>
          <w:rFonts w:ascii="Arial" w:cs="Arial" w:eastAsia="Arial" w:hAnsi="Arial"/>
          <w:sz w:val="18"/>
          <w:szCs w:val="18"/>
          <w:color w:val="auto"/>
        </w:rPr>
      </w:pPr>
    </w:p>
    <w:p>
      <w:pPr>
        <w:jc w:val="both"/>
        <w:ind w:left="1060" w:hanging="391"/>
        <w:spacing w:after="0" w:line="23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are based upon quoted prices for similar instruments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include certain over-the-counter forward, option, and swap contracts.</w:t>
      </w:r>
    </w:p>
    <w:p>
      <w:pPr>
        <w:spacing w:after="0" w:line="38" w:lineRule="exact"/>
        <w:rPr>
          <w:rFonts w:ascii="Arial" w:cs="Arial" w:eastAsia="Arial" w:hAnsi="Arial"/>
          <w:sz w:val="18"/>
          <w:szCs w:val="18"/>
          <w:color w:val="auto"/>
        </w:rPr>
      </w:pPr>
    </w:p>
    <w:p>
      <w:pPr>
        <w:jc w:val="both"/>
        <w:ind w:left="1060" w:hanging="391"/>
        <w:spacing w:after="0" w:line="242"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 The fair values are therefore determined using model-based techniques, including option pricing models and discounted cash flow models. Our Level 3 assets and liabilities include investments in corporate notes and bonds, municipal securities, and goodwill and intangible assets, when they are recorded at fair value due to an impairment charge. Unobservable inputs used in the models are significant to the fair values of the assets and liabilities.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other current financial assets and current financial liabilities have fair values that approximate their carrying values.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and Other Receivables</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 of March 31, 2022 and June 30, 2021, other receivables due from suppliers were $1.0 billion and $965 million, respectively, and are included in accounts receivable, net in our consolidated balance sheets.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9" w:name="page10"/>
    <w:bookmarkEnd w:id="9"/>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March 31, 2022 and June 30, 2021, long-term accounts receivable, net of allowance for doubtful accounts, was $3.6 billion and $3.4 billion, respectively, and is included in other long-term assets in our consolidated balance sheets.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record financing receivables when we offer certain of our customers the option to acquire our software products and services offerings through a financing program in a limited number of countries. As of March 31, 2022 and June 30, 2021, our financing receivables, net were $2.4 billion and $4.4 billion, respectively, for short-term and long-term financing receivables, which are included in other current assets and other long-term assets in our consolidated balance sheets. We record an allowance to cover expected losses based on troubled accounts, historical experience, and other currently available evidence.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December 2019, the FASB issued a new standard to simplify the accounting for income taxes. The guidance eliminates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guidance also simplifies aspects of accounting for franchise taxes and enacted changes in tax laws or rates and clarifies the accounting for transactions that result in a step-up in the tax basis of goodwill. We adopted the standard effective July 1, 2021. Adoption of the standard did not have a material impact on our consolidated financial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 — EARNINGS PER SHARE</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basic and diluted EPS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3"/>
          </w:tcPr>
          <w:p>
            <w:pPr>
              <w:spacing w:after="0"/>
              <w:rPr>
                <w:sz w:val="20"/>
                <w:szCs w:val="20"/>
                <w:color w:val="auto"/>
              </w:rPr>
            </w:pPr>
            <w:r>
              <w:rPr>
                <w:rFonts w:ascii="Arial" w:cs="Arial" w:eastAsia="Arial" w:hAnsi="Arial"/>
                <w:sz w:val="13"/>
                <w:szCs w:val="13"/>
                <w:b w:val="1"/>
                <w:bCs w:val="1"/>
                <w:color w:val="auto"/>
              </w:rPr>
              <w:t>Three Months Ended</w:t>
            </w: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8"/>
        </w:trPr>
        <w:tc>
          <w:tcPr>
            <w:tcW w:w="4100" w:type="dxa"/>
            <w:vAlign w:val="bottom"/>
          </w:tcPr>
          <w:p>
            <w:pPr>
              <w:spacing w:after="0"/>
              <w:rPr>
                <w:sz w:val="20"/>
                <w:szCs w:val="20"/>
                <w:color w:val="auto"/>
              </w:rPr>
            </w:pPr>
            <w:r>
              <w:rPr>
                <w:rFonts w:ascii="Arial" w:cs="Arial" w:eastAsia="Arial" w:hAnsi="Arial"/>
                <w:sz w:val="13"/>
                <w:szCs w:val="13"/>
                <w:b w:val="1"/>
                <w:bCs w:val="1"/>
                <w:color w:val="auto"/>
              </w:rPr>
              <w:t>(In millions, except earnings per share)</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gridSpan w:val="2"/>
          </w:tcPr>
          <w:p>
            <w:pPr>
              <w:ind w:left="300"/>
              <w:spacing w:after="0"/>
              <w:rPr>
                <w:sz w:val="20"/>
                <w:szCs w:val="20"/>
                <w:color w:val="auto"/>
              </w:rPr>
            </w:pPr>
            <w:r>
              <w:rPr>
                <w:rFonts w:ascii="Arial" w:cs="Arial" w:eastAsia="Arial" w:hAnsi="Arial"/>
                <w:sz w:val="13"/>
                <w:szCs w:val="13"/>
                <w:b w:val="1"/>
                <w:bCs w:val="1"/>
                <w:color w:val="auto"/>
              </w:rPr>
              <w:t>March 31,</w:t>
            </w: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54"/>
        </w:trPr>
        <w:tc>
          <w:tcPr>
            <w:tcW w:w="4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2021</w:t>
            </w:r>
          </w:p>
        </w:tc>
        <w:tc>
          <w:tcPr>
            <w:tcW w:w="5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4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10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Net income available for common shareholders</w:t>
            </w:r>
          </w:p>
        </w:tc>
        <w:tc>
          <w:tcPr>
            <w:tcW w:w="580" w:type="dxa"/>
            <w:vAlign w:val="bottom"/>
            <w:gridSpan w:val="2"/>
            <w:vMerge w:val="restart"/>
            <w:shd w:val="clear" w:color="auto" w:fill="E5E5E5"/>
          </w:tcPr>
          <w:p>
            <w:pPr>
              <w:jc w:val="right"/>
              <w:ind w:right="3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16,728</w:t>
            </w:r>
          </w:p>
        </w:tc>
        <w:tc>
          <w:tcPr>
            <w:tcW w:w="220" w:type="dxa"/>
            <w:vAlign w:val="bottom"/>
            <w:shd w:val="clear" w:color="auto" w:fill="E5E5E5"/>
          </w:tcPr>
          <w:p>
            <w:pPr>
              <w:spacing w:after="0"/>
              <w:rPr>
                <w:sz w:val="15"/>
                <w:szCs w:val="15"/>
                <w:color w:val="auto"/>
              </w:rPr>
            </w:pPr>
          </w:p>
        </w:tc>
        <w:tc>
          <w:tcPr>
            <w:tcW w:w="40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500" w:type="dxa"/>
            <w:vAlign w:val="bottom"/>
            <w:vMerge w:val="restart"/>
            <w:shd w:val="clear" w:color="auto" w:fill="E5E5E5"/>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55,998</w:t>
            </w:r>
          </w:p>
        </w:tc>
        <w:tc>
          <w:tcPr>
            <w:tcW w:w="2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13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E5E5E5"/>
          </w:tcPr>
          <w:p>
            <w:pPr>
              <w:ind w:left="220"/>
              <w:spacing w:after="0" w:line="203" w:lineRule="exact"/>
              <w:rPr>
                <w:sz w:val="20"/>
                <w:szCs w:val="20"/>
                <w:color w:val="auto"/>
              </w:rPr>
            </w:pPr>
            <w:r>
              <w:rPr>
                <w:rFonts w:ascii="Arial" w:cs="Arial" w:eastAsia="Arial" w:hAnsi="Arial"/>
                <w:sz w:val="18"/>
                <w:szCs w:val="18"/>
                <w:color w:val="auto"/>
              </w:rPr>
              <w:t>(A)</w:t>
            </w:r>
          </w:p>
        </w:tc>
        <w:tc>
          <w:tcPr>
            <w:tcW w:w="580" w:type="dxa"/>
            <w:vAlign w:val="bottom"/>
            <w:gridSpan w:val="2"/>
            <w:vMerge w:val="continue"/>
            <w:shd w:val="clear" w:color="auto" w:fill="E5E5E5"/>
          </w:tcPr>
          <w:p>
            <w:pPr>
              <w:spacing w:after="0"/>
              <w:rPr>
                <w:sz w:val="17"/>
                <w:szCs w:val="17"/>
                <w:color w:val="auto"/>
              </w:rPr>
            </w:pPr>
          </w:p>
        </w:tc>
        <w:tc>
          <w:tcPr>
            <w:tcW w:w="1120" w:type="dxa"/>
            <w:vAlign w:val="bottom"/>
            <w:gridSpan w:val="2"/>
            <w:vMerge w:val="continue"/>
            <w:shd w:val="clear" w:color="auto" w:fill="E5E5E5"/>
          </w:tcPr>
          <w:p>
            <w:pPr>
              <w:spacing w:after="0"/>
              <w:rPr>
                <w:sz w:val="17"/>
                <w:szCs w:val="17"/>
                <w:color w:val="auto"/>
              </w:rPr>
            </w:pPr>
          </w:p>
        </w:tc>
        <w:tc>
          <w:tcPr>
            <w:tcW w:w="620" w:type="dxa"/>
            <w:vAlign w:val="bottom"/>
            <w:gridSpan w:val="2"/>
            <w:shd w:val="clear" w:color="auto" w:fill="E5E5E5"/>
          </w:tcPr>
          <w:p>
            <w:pPr>
              <w:ind w:left="220"/>
              <w:spacing w:after="0" w:line="203"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E5E5E5"/>
          </w:tcPr>
          <w:p>
            <w:pPr>
              <w:jc w:val="right"/>
              <w:ind w:right="320"/>
              <w:spacing w:after="0" w:line="203" w:lineRule="exact"/>
              <w:rPr>
                <w:sz w:val="20"/>
                <w:szCs w:val="20"/>
                <w:color w:val="auto"/>
              </w:rPr>
            </w:pPr>
            <w:r>
              <w:rPr>
                <w:rFonts w:ascii="Arial" w:cs="Arial" w:eastAsia="Arial" w:hAnsi="Arial"/>
                <w:sz w:val="18"/>
                <w:szCs w:val="18"/>
                <w:color w:val="auto"/>
              </w:rPr>
              <w:t>15,457</w:t>
            </w:r>
          </w:p>
        </w:tc>
        <w:tc>
          <w:tcPr>
            <w:tcW w:w="500" w:type="dxa"/>
            <w:vAlign w:val="bottom"/>
            <w:vMerge w:val="continue"/>
            <w:shd w:val="clear" w:color="auto" w:fill="E5E5E5"/>
          </w:tcPr>
          <w:p>
            <w:pPr>
              <w:spacing w:after="0"/>
              <w:rPr>
                <w:sz w:val="17"/>
                <w:szCs w:val="17"/>
                <w:color w:val="auto"/>
              </w:rPr>
            </w:pPr>
          </w:p>
        </w:tc>
        <w:tc>
          <w:tcPr>
            <w:tcW w:w="1160" w:type="dxa"/>
            <w:vAlign w:val="bottom"/>
            <w:gridSpan w:val="2"/>
            <w:vMerge w:val="continue"/>
            <w:shd w:val="clear" w:color="auto" w:fill="E5E5E5"/>
          </w:tcPr>
          <w:p>
            <w:pPr>
              <w:spacing w:after="0"/>
              <w:rPr>
                <w:sz w:val="17"/>
                <w:szCs w:val="17"/>
                <w:color w:val="auto"/>
              </w:rPr>
            </w:pPr>
          </w:p>
        </w:tc>
        <w:tc>
          <w:tcPr>
            <w:tcW w:w="360" w:type="dxa"/>
            <w:vAlign w:val="bottom"/>
            <w:gridSpan w:val="2"/>
            <w:shd w:val="clear" w:color="auto" w:fill="E5E5E5"/>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E5E5E5"/>
          </w:tcPr>
          <w:p>
            <w:pPr>
              <w:jc w:val="right"/>
              <w:ind w:right="220"/>
              <w:spacing w:after="0" w:line="203" w:lineRule="exact"/>
              <w:rPr>
                <w:sz w:val="20"/>
                <w:szCs w:val="20"/>
                <w:color w:val="auto"/>
              </w:rPr>
            </w:pPr>
            <w:r>
              <w:rPr>
                <w:rFonts w:ascii="Arial" w:cs="Arial" w:eastAsia="Arial" w:hAnsi="Arial"/>
                <w:sz w:val="18"/>
                <w:szCs w:val="18"/>
                <w:color w:val="auto"/>
              </w:rPr>
              <w:t>44,813</w:t>
            </w:r>
          </w:p>
        </w:tc>
        <w:tc>
          <w:tcPr>
            <w:tcW w:w="0" w:type="dxa"/>
            <w:vAlign w:val="bottom"/>
          </w:tcPr>
          <w:p>
            <w:pPr>
              <w:spacing w:after="0"/>
              <w:rPr>
                <w:sz w:val="1"/>
                <w:szCs w:val="1"/>
                <w:color w:val="auto"/>
              </w:rPr>
            </w:pPr>
          </w:p>
        </w:tc>
      </w:tr>
      <w:tr>
        <w:trPr>
          <w:trHeight w:val="75"/>
        </w:trPr>
        <w:tc>
          <w:tcPr>
            <w:tcW w:w="4100" w:type="dxa"/>
            <w:vAlign w:val="bottom"/>
            <w:vMerge w:val="restart"/>
          </w:tcPr>
          <w:p>
            <w:pPr>
              <w:spacing w:after="0"/>
              <w:rPr>
                <w:sz w:val="20"/>
                <w:szCs w:val="20"/>
                <w:color w:val="auto"/>
              </w:rPr>
            </w:pPr>
            <w:r>
              <w:rPr>
                <w:rFonts w:ascii="Arial" w:cs="Arial" w:eastAsia="Arial" w:hAnsi="Arial"/>
                <w:sz w:val="18"/>
                <w:szCs w:val="18"/>
                <w:color w:val="auto"/>
              </w:rPr>
              <w:t>Weighted average outstanding shares of common</w:t>
            </w:r>
          </w:p>
        </w:tc>
        <w:tc>
          <w:tcPr>
            <w:tcW w:w="14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41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7,493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7,504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100" w:type="dxa"/>
            <w:vAlign w:val="bottom"/>
          </w:tcPr>
          <w:p>
            <w:pPr>
              <w:ind w:left="220"/>
              <w:spacing w:after="0" w:line="203" w:lineRule="exact"/>
              <w:rPr>
                <w:sz w:val="20"/>
                <w:szCs w:val="20"/>
                <w:color w:val="auto"/>
              </w:rPr>
            </w:pPr>
            <w:r>
              <w:rPr>
                <w:rFonts w:ascii="Arial" w:cs="Arial" w:eastAsia="Arial" w:hAnsi="Arial"/>
                <w:sz w:val="18"/>
                <w:szCs w:val="18"/>
                <w:color w:val="auto"/>
              </w:rPr>
              <w:t>stock (B)</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7,539</w:t>
            </w:r>
          </w:p>
        </w:tc>
        <w:tc>
          <w:tcPr>
            <w:tcW w:w="5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7,554</w:t>
            </w:r>
          </w:p>
        </w:tc>
        <w:tc>
          <w:tcPr>
            <w:tcW w:w="0" w:type="dxa"/>
            <w:vAlign w:val="bottom"/>
          </w:tcPr>
          <w:p>
            <w:pPr>
              <w:spacing w:after="0"/>
              <w:rPr>
                <w:sz w:val="1"/>
                <w:szCs w:val="1"/>
                <w:color w:val="auto"/>
              </w:rPr>
            </w:pPr>
          </w:p>
        </w:tc>
      </w:tr>
      <w:tr>
        <w:trPr>
          <w:trHeight w:val="189"/>
        </w:trPr>
        <w:tc>
          <w:tcPr>
            <w:tcW w:w="41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Dilutive effect of stock-based awards</w:t>
            </w:r>
          </w:p>
        </w:tc>
        <w:tc>
          <w:tcPr>
            <w:tcW w:w="1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41</w:t>
            </w:r>
          </w:p>
        </w:tc>
        <w:tc>
          <w:tcPr>
            <w:tcW w:w="2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26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58</w:t>
            </w:r>
          </w:p>
        </w:tc>
        <w:tc>
          <w:tcPr>
            <w:tcW w:w="50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48</w:t>
            </w:r>
          </w:p>
        </w:tc>
        <w:tc>
          <w:tcPr>
            <w:tcW w:w="2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5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68"/>
        </w:trPr>
        <w:tc>
          <w:tcPr>
            <w:tcW w:w="4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4100" w:type="dxa"/>
            <w:vAlign w:val="bottom"/>
          </w:tcPr>
          <w:p>
            <w:pPr>
              <w:spacing w:after="0"/>
              <w:rPr>
                <w:sz w:val="20"/>
                <w:szCs w:val="20"/>
                <w:color w:val="auto"/>
              </w:rPr>
            </w:pPr>
            <w:r>
              <w:rPr>
                <w:rFonts w:ascii="Arial" w:cs="Arial" w:eastAsia="Arial" w:hAnsi="Arial"/>
                <w:sz w:val="18"/>
                <w:szCs w:val="18"/>
                <w:color w:val="auto"/>
              </w:rPr>
              <w:t>Common stock and common stock equivalents</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7,534</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7,552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100" w:type="dxa"/>
            <w:vAlign w:val="bottom"/>
          </w:tcPr>
          <w:p>
            <w:pPr>
              <w:ind w:left="220"/>
              <w:spacing w:after="0"/>
              <w:rPr>
                <w:sz w:val="20"/>
                <w:szCs w:val="20"/>
                <w:color w:val="auto"/>
              </w:rPr>
            </w:pPr>
            <w:r>
              <w:rPr>
                <w:rFonts w:ascii="Arial" w:cs="Arial" w:eastAsia="Arial" w:hAnsi="Arial"/>
                <w:sz w:val="18"/>
                <w:szCs w:val="18"/>
                <w:color w:val="auto"/>
              </w:rPr>
              <w:t>(C)</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7,597</w:t>
            </w:r>
          </w:p>
        </w:tc>
        <w:tc>
          <w:tcPr>
            <w:tcW w:w="5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7,617</w:t>
            </w:r>
          </w:p>
        </w:tc>
        <w:tc>
          <w:tcPr>
            <w:tcW w:w="0" w:type="dxa"/>
            <w:vAlign w:val="bottom"/>
          </w:tcPr>
          <w:p>
            <w:pPr>
              <w:spacing w:after="0"/>
              <w:rPr>
                <w:sz w:val="1"/>
                <w:szCs w:val="1"/>
                <w:color w:val="auto"/>
              </w:rPr>
            </w:pPr>
          </w:p>
        </w:tc>
      </w:tr>
      <w:tr>
        <w:trPr>
          <w:trHeight w:val="61"/>
        </w:trPr>
        <w:tc>
          <w:tcPr>
            <w:tcW w:w="4100" w:type="dxa"/>
            <w:vAlign w:val="bottom"/>
            <w:vMerge w:val="restart"/>
          </w:tcPr>
          <w:p>
            <w:pPr>
              <w:spacing w:after="0"/>
              <w:rPr>
                <w:sz w:val="20"/>
                <w:szCs w:val="20"/>
                <w:color w:val="auto"/>
              </w:rPr>
            </w:pPr>
            <w:r>
              <w:rPr>
                <w:rFonts w:ascii="Arial" w:cs="Arial" w:eastAsia="Arial" w:hAnsi="Arial"/>
                <w:sz w:val="13"/>
                <w:szCs w:val="13"/>
                <w:b w:val="1"/>
                <w:bCs w:val="1"/>
                <w:color w:val="auto"/>
              </w:rPr>
              <w:t>Earnings Per Share</w:t>
            </w:r>
          </w:p>
        </w:tc>
        <w:tc>
          <w:tcPr>
            <w:tcW w:w="14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1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Basic (A/B)</w:t>
            </w:r>
          </w:p>
        </w:tc>
        <w:tc>
          <w:tcPr>
            <w:tcW w:w="58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2.23</w:t>
            </w:r>
          </w:p>
        </w:tc>
        <w:tc>
          <w:tcPr>
            <w:tcW w:w="620" w:type="dxa"/>
            <w:vAlign w:val="bottom"/>
            <w:gridSpan w:val="2"/>
            <w:shd w:val="clear" w:color="auto" w:fill="E5E5E5"/>
          </w:tcPr>
          <w:p>
            <w:pPr>
              <w:ind w:left="220"/>
              <w:spacing w:after="0" w:line="189"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2.05</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7.46</w:t>
            </w:r>
          </w:p>
        </w:tc>
        <w:tc>
          <w:tcPr>
            <w:tcW w:w="3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5.93</w:t>
            </w: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(A/C)</w:t>
            </w:r>
          </w:p>
        </w:tc>
        <w:tc>
          <w:tcPr>
            <w:tcW w:w="5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2.22</w:t>
            </w:r>
          </w:p>
        </w:tc>
        <w:tc>
          <w:tcPr>
            <w:tcW w:w="6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2.03</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7.41</w:t>
            </w:r>
          </w:p>
        </w:tc>
        <w:tc>
          <w:tcPr>
            <w:tcW w:w="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Anti-dilutive stock-based awards excluded from the calculations of diluted EPS were immaterial during the periods presented.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0" w:name="page11"/>
    <w:bookmarkEnd w:id="10"/>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85" w:lineRule="exact"/>
        <w:rPr>
          <w:sz w:val="20"/>
          <w:szCs w:val="20"/>
          <w:color w:val="auto"/>
        </w:rPr>
      </w:pPr>
    </w:p>
    <w:p>
      <w:pPr>
        <w:ind w:right="3720" w:firstLine="3711"/>
        <w:spacing w:after="0" w:line="434" w:lineRule="auto"/>
        <w:rPr>
          <w:sz w:val="20"/>
          <w:szCs w:val="20"/>
          <w:color w:val="auto"/>
        </w:rPr>
      </w:pPr>
      <w:r>
        <w:rPr>
          <w:rFonts w:ascii="Arial" w:cs="Arial" w:eastAsia="Arial" w:hAnsi="Arial"/>
          <w:sz w:val="18"/>
          <w:szCs w:val="18"/>
          <w:u w:val="single" w:color="auto"/>
          <w:color w:val="auto"/>
        </w:rPr>
        <w:t xml:space="preserve">NOTE 3 — OTHER INCOME (EXPENSE), NET </w:t>
      </w:r>
      <w:r>
        <w:rPr>
          <w:rFonts w:ascii="Arial" w:cs="Arial" w:eastAsia="Arial" w:hAnsi="Arial"/>
          <w:sz w:val="18"/>
          <w:szCs w:val="18"/>
          <w:color w:val="auto"/>
        </w:rPr>
        <w:t>The components of other income (expense), net were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Three Months Ended</w:t>
            </w: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Nine Months Ended</w:t>
            </w:r>
          </w:p>
        </w:tc>
      </w:tr>
      <w:tr>
        <w:trPr>
          <w:trHeight w:val="178"/>
        </w:trPr>
        <w:tc>
          <w:tcPr>
            <w:tcW w:w="46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March 31,</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March 31,</w:t>
            </w:r>
          </w:p>
        </w:tc>
      </w:tr>
      <w:tr>
        <w:trPr>
          <w:trHeight w:val="55"/>
        </w:trPr>
        <w:tc>
          <w:tcPr>
            <w:tcW w:w="46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2021</w:t>
            </w:r>
          </w:p>
        </w:tc>
        <w:tc>
          <w:tcPr>
            <w:tcW w:w="5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r>
      <w:tr>
        <w:trPr>
          <w:trHeight w:val="54"/>
        </w:trPr>
        <w:tc>
          <w:tcPr>
            <w:tcW w:w="4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and dividends income</w:t>
            </w:r>
          </w:p>
        </w:tc>
        <w:tc>
          <w:tcPr>
            <w:tcW w:w="620" w:type="dxa"/>
            <w:vAlign w:val="bottom"/>
            <w:shd w:val="clear" w:color="auto" w:fill="E5E5E5"/>
          </w:tcPr>
          <w:p>
            <w:pPr>
              <w:jc w:val="right"/>
              <w:ind w:right="43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519</w:t>
            </w:r>
          </w:p>
        </w:tc>
        <w:tc>
          <w:tcPr>
            <w:tcW w:w="2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519</w:t>
            </w:r>
          </w:p>
        </w:tc>
        <w:tc>
          <w:tcPr>
            <w:tcW w:w="520" w:type="dxa"/>
            <w:vAlign w:val="bottom"/>
            <w:shd w:val="clear" w:color="auto" w:fill="E5E5E5"/>
          </w:tcPr>
          <w:p>
            <w:pPr>
              <w:jc w:val="right"/>
              <w:ind w:right="33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1,542</w:t>
            </w:r>
          </w:p>
        </w:tc>
        <w:tc>
          <w:tcPr>
            <w:tcW w:w="2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1,634</w:t>
            </w: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(503)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(633)</w:t>
            </w:r>
          </w:p>
        </w:tc>
        <w:tc>
          <w:tcPr>
            <w:tcW w:w="520" w:type="dxa"/>
            <w:vAlign w:val="bottom"/>
          </w:tcPr>
          <w:p>
            <w:pPr>
              <w:spacing w:after="0"/>
              <w:rPr>
                <w:sz w:val="16"/>
                <w:szCs w:val="16"/>
                <w:color w:val="auto"/>
              </w:rPr>
            </w:pPr>
          </w:p>
        </w:tc>
        <w:tc>
          <w:tcPr>
            <w:tcW w:w="106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(1,567)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(1,793)</w:t>
            </w: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recognized gains (losses) on investments</w:t>
            </w:r>
          </w:p>
        </w:tc>
        <w:tc>
          <w:tcPr>
            <w:tcW w:w="6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(76)</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5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353</w:t>
            </w:r>
          </w:p>
        </w:tc>
        <w:tc>
          <w:tcPr>
            <w:tcW w:w="52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595</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3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837</w:t>
            </w:r>
          </w:p>
        </w:tc>
        <w:tc>
          <w:tcPr>
            <w:tcW w:w="100" w:type="dxa"/>
            <w:vAlign w:val="bottom"/>
            <w:shd w:val="clear" w:color="auto" w:fill="E5E5E5"/>
          </w:tcPr>
          <w:p>
            <w:pPr>
              <w:spacing w:after="0"/>
              <w:rPr>
                <w:sz w:val="16"/>
                <w:szCs w:val="16"/>
                <w:color w:val="auto"/>
              </w:rPr>
            </w:pP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Net losses on derivatives</w:t>
            </w:r>
          </w:p>
        </w:tc>
        <w:tc>
          <w:tcPr>
            <w:tcW w:w="62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w:t>
            </w:r>
          </w:p>
        </w:tc>
        <w:tc>
          <w:tcPr>
            <w:tcW w:w="520" w:type="dxa"/>
            <w:vAlign w:val="bottom"/>
          </w:tcPr>
          <w:p>
            <w:pPr>
              <w:spacing w:after="0"/>
              <w:rPr>
                <w:sz w:val="16"/>
                <w:szCs w:val="16"/>
                <w:color w:val="auto"/>
              </w:rPr>
            </w:pPr>
          </w:p>
        </w:tc>
        <w:tc>
          <w:tcPr>
            <w:tcW w:w="106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(29)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(4)</w:t>
            </w: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gains (losses) on foreign currency remeasurements</w:t>
            </w:r>
          </w:p>
        </w:tc>
        <w:tc>
          <w:tcPr>
            <w:tcW w:w="6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(74)</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5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(55)</w:t>
            </w:r>
          </w:p>
        </w:tc>
        <w:tc>
          <w:tcPr>
            <w:tcW w:w="52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(152)</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3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126</w:t>
            </w:r>
          </w:p>
        </w:tc>
        <w:tc>
          <w:tcPr>
            <w:tcW w:w="100" w:type="dxa"/>
            <w:vAlign w:val="bottom"/>
            <w:shd w:val="clear" w:color="auto" w:fill="E5E5E5"/>
          </w:tcPr>
          <w:p>
            <w:pPr>
              <w:spacing w:after="0"/>
              <w:rPr>
                <w:sz w:val="16"/>
                <w:szCs w:val="16"/>
                <w:color w:val="auto"/>
              </w:rPr>
            </w:pPr>
          </w:p>
        </w:tc>
      </w:tr>
      <w:tr>
        <w:trPr>
          <w:trHeight w:val="250"/>
        </w:trPr>
        <w:tc>
          <w:tcPr>
            <w:tcW w:w="4620" w:type="dxa"/>
            <w:vAlign w:val="bottom"/>
          </w:tcPr>
          <w:p>
            <w:pPr>
              <w:spacing w:after="0"/>
              <w:rPr>
                <w:sz w:val="20"/>
                <w:szCs w:val="20"/>
                <w:color w:val="auto"/>
              </w:rPr>
            </w:pPr>
            <w:r>
              <w:rPr>
                <w:rFonts w:ascii="Arial" w:cs="Arial" w:eastAsia="Arial" w:hAnsi="Arial"/>
                <w:sz w:val="18"/>
                <w:szCs w:val="18"/>
                <w:color w:val="auto"/>
              </w:rPr>
              <w:t>Other, net</w:t>
            </w:r>
          </w:p>
        </w:tc>
        <w:tc>
          <w:tcPr>
            <w:tcW w:w="62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68"/>
        </w:trPr>
        <w:tc>
          <w:tcPr>
            <w:tcW w:w="46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3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3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6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620" w:type="dxa"/>
            <w:vAlign w:val="bottom"/>
            <w:shd w:val="clear" w:color="auto" w:fill="E5E5E5"/>
          </w:tcPr>
          <w:p>
            <w:pPr>
              <w:jc w:val="right"/>
              <w:ind w:right="43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(174)</w:t>
            </w:r>
          </w:p>
        </w:tc>
        <w:tc>
          <w:tcPr>
            <w:tcW w:w="2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188</w:t>
            </w:r>
          </w:p>
        </w:tc>
        <w:tc>
          <w:tcPr>
            <w:tcW w:w="520" w:type="dxa"/>
            <w:vAlign w:val="bottom"/>
            <w:shd w:val="clear" w:color="auto" w:fill="E5E5E5"/>
          </w:tcPr>
          <w:p>
            <w:pPr>
              <w:jc w:val="right"/>
              <w:ind w:right="33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380</w:t>
            </w:r>
          </w:p>
        </w:tc>
        <w:tc>
          <w:tcPr>
            <w:tcW w:w="2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876</w:t>
            </w:r>
          </w:p>
        </w:tc>
        <w:tc>
          <w:tcPr>
            <w:tcW w:w="100" w:type="dxa"/>
            <w:vAlign w:val="bottom"/>
            <w:shd w:val="clear" w:color="auto" w:fill="E5E5E5"/>
          </w:tcPr>
          <w:p>
            <w:pPr>
              <w:spacing w:after="0"/>
              <w:rPr>
                <w:sz w:val="16"/>
                <w:szCs w:val="16"/>
                <w:color w:val="auto"/>
              </w:rPr>
            </w:pPr>
          </w:p>
        </w:tc>
      </w:tr>
      <w:tr>
        <w:trPr>
          <w:trHeight w:val="74"/>
        </w:trPr>
        <w:tc>
          <w:tcPr>
            <w:tcW w:w="462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Recognized Gains (Losses) on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Net recognized gains (losses) on debt investments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Three Months Ended</w:t>
            </w: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8"/>
        </w:trPr>
        <w:tc>
          <w:tcPr>
            <w:tcW w:w="46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March 31,</w:t>
            </w: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55"/>
        </w:trPr>
        <w:tc>
          <w:tcPr>
            <w:tcW w:w="46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2"/>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2021</w:t>
            </w:r>
          </w:p>
        </w:tc>
        <w:tc>
          <w:tcPr>
            <w:tcW w:w="6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Realized gains from sales of available-for-sale securities</w:t>
            </w:r>
          </w:p>
        </w:tc>
        <w:tc>
          <w:tcPr>
            <w:tcW w:w="640" w:type="dxa"/>
            <w:vAlign w:val="bottom"/>
            <w:shd w:val="clear" w:color="auto" w:fill="E5E5E5"/>
          </w:tcPr>
          <w:p>
            <w:pPr>
              <w:jc w:val="right"/>
              <w:ind w:right="45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119</w:t>
            </w:r>
          </w:p>
        </w:tc>
        <w:tc>
          <w:tcPr>
            <w:tcW w:w="2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33</w:t>
            </w:r>
          </w:p>
        </w:tc>
        <w:tc>
          <w:tcPr>
            <w:tcW w:w="600" w:type="dxa"/>
            <w:vAlign w:val="bottom"/>
            <w:shd w:val="clear" w:color="auto" w:fill="E5E5E5"/>
          </w:tcPr>
          <w:p>
            <w:pPr>
              <w:jc w:val="right"/>
              <w:ind w:right="41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150</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line="175" w:lineRule="exact"/>
              <w:rPr>
                <w:sz w:val="20"/>
                <w:szCs w:val="20"/>
                <w:color w:val="auto"/>
              </w:rPr>
            </w:pPr>
            <w:r>
              <w:rPr>
                <w:rFonts w:ascii="Arial" w:cs="Arial" w:eastAsia="Arial" w:hAnsi="Arial"/>
                <w:sz w:val="18"/>
                <w:szCs w:val="18"/>
                <w:color w:val="auto"/>
              </w:rPr>
              <w:t>Realized losses from sales of available-for-sale</w:t>
            </w:r>
          </w:p>
        </w:tc>
        <w:tc>
          <w:tcPr>
            <w:tcW w:w="640" w:type="dxa"/>
            <w:vAlign w:val="bottom"/>
          </w:tcPr>
          <w:p>
            <w:pPr>
              <w:spacing w:after="0"/>
              <w:rPr>
                <w:sz w:val="15"/>
                <w:szCs w:val="15"/>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(102)</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20"/>
              <w:spacing w:after="0" w:line="203" w:lineRule="exact"/>
              <w:rPr>
                <w:sz w:val="20"/>
                <w:szCs w:val="20"/>
                <w:color w:val="auto"/>
              </w:rPr>
            </w:pPr>
            <w:r>
              <w:rPr>
                <w:rFonts w:ascii="Arial" w:cs="Arial" w:eastAsia="Arial" w:hAnsi="Arial"/>
                <w:sz w:val="18"/>
                <w:szCs w:val="18"/>
                <w:color w:val="auto"/>
              </w:rPr>
              <w:t>securities</w:t>
            </w:r>
          </w:p>
        </w:tc>
        <w:tc>
          <w:tcPr>
            <w:tcW w:w="6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(12)</w:t>
            </w:r>
          </w:p>
        </w:tc>
        <w:tc>
          <w:tcPr>
            <w:tcW w:w="6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Impairments and allowance for credit losses</w:t>
            </w:r>
          </w:p>
        </w:tc>
        <w:tc>
          <w:tcPr>
            <w:tcW w:w="6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5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(10)</w:t>
            </w:r>
          </w:p>
        </w:tc>
        <w:tc>
          <w:tcPr>
            <w:tcW w:w="6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(53)</w:t>
            </w:r>
          </w:p>
        </w:tc>
        <w:tc>
          <w:tcPr>
            <w:tcW w:w="140" w:type="dxa"/>
            <w:vAlign w:val="bottom"/>
            <w:shd w:val="clear" w:color="auto" w:fill="E5E5E5"/>
          </w:tcPr>
          <w:p>
            <w:pPr>
              <w:spacing w:after="0"/>
              <w:rPr>
                <w:sz w:val="16"/>
                <w:szCs w:val="16"/>
                <w:color w:val="auto"/>
              </w:rPr>
            </w:pPr>
          </w:p>
        </w:tc>
        <w:tc>
          <w:tcPr>
            <w:tcW w:w="14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68"/>
        </w:trPr>
        <w:tc>
          <w:tcPr>
            <w:tcW w:w="46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620" w:type="dxa"/>
            <w:vAlign w:val="bottom"/>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600" w:type="dxa"/>
            <w:vAlign w:val="bottom"/>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6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Net recognized gains (losses) on equity investments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Three Months Ended</w:t>
            </w: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Nine Months Ended</w:t>
            </w:r>
          </w:p>
        </w:tc>
      </w:tr>
      <w:tr>
        <w:trPr>
          <w:trHeight w:val="178"/>
        </w:trPr>
        <w:tc>
          <w:tcPr>
            <w:tcW w:w="46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March 31,</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March 31,</w:t>
            </w:r>
          </w:p>
        </w:tc>
      </w:tr>
      <w:tr>
        <w:trPr>
          <w:trHeight w:val="55"/>
        </w:trPr>
        <w:tc>
          <w:tcPr>
            <w:tcW w:w="46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6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r>
      <w:tr>
        <w:trPr>
          <w:trHeight w:val="55"/>
        </w:trPr>
        <w:tc>
          <w:tcPr>
            <w:tcW w:w="4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realized gains (losses) on investments sold</w:t>
            </w:r>
          </w:p>
        </w:tc>
        <w:tc>
          <w:tcPr>
            <w:tcW w:w="520" w:type="dxa"/>
            <w:vAlign w:val="bottom"/>
            <w:shd w:val="clear" w:color="auto" w:fill="E5E5E5"/>
          </w:tcPr>
          <w:p>
            <w:pPr>
              <w:jc w:val="right"/>
              <w:ind w:right="330"/>
              <w:spacing w:after="0" w:line="189"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(22)</w:t>
            </w:r>
          </w:p>
        </w:tc>
        <w:tc>
          <w:tcPr>
            <w:tcW w:w="2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43</w:t>
            </w:r>
          </w:p>
        </w:tc>
        <w:tc>
          <w:tcPr>
            <w:tcW w:w="620" w:type="dxa"/>
            <w:vAlign w:val="bottom"/>
            <w:shd w:val="clear" w:color="auto" w:fill="E5E5E5"/>
          </w:tcPr>
          <w:p>
            <w:pPr>
              <w:jc w:val="right"/>
              <w:ind w:right="43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46</w:t>
            </w:r>
          </w:p>
        </w:tc>
        <w:tc>
          <w:tcPr>
            <w:tcW w:w="2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76</w:t>
            </w: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Net unrealized gains (losses) on investments still held</w:t>
            </w:r>
          </w:p>
        </w:tc>
        <w:tc>
          <w:tcPr>
            <w:tcW w:w="520" w:type="dxa"/>
            <w:vAlign w:val="bottom"/>
          </w:tcPr>
          <w:p>
            <w:pPr>
              <w:spacing w:after="0"/>
              <w:rPr>
                <w:sz w:val="16"/>
                <w:szCs w:val="16"/>
                <w:color w:val="auto"/>
              </w:rPr>
            </w:pPr>
          </w:p>
        </w:tc>
        <w:tc>
          <w:tcPr>
            <w:tcW w:w="11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299</w:t>
            </w:r>
          </w:p>
        </w:tc>
        <w:tc>
          <w:tcPr>
            <w:tcW w:w="62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559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8"/>
                <w:szCs w:val="18"/>
                <w:color w:val="auto"/>
              </w:rPr>
              <w:t>725</w:t>
            </w:r>
          </w:p>
        </w:tc>
        <w:tc>
          <w:tcPr>
            <w:tcW w:w="100" w:type="dxa"/>
            <w:vAlign w:val="bottom"/>
          </w:tcPr>
          <w:p>
            <w:pPr>
              <w:spacing w:after="0"/>
              <w:rPr>
                <w:sz w:val="16"/>
                <w:szCs w:val="16"/>
                <w:color w:val="auto"/>
              </w:rPr>
            </w:pP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Impairments of investments</w:t>
            </w:r>
          </w:p>
        </w:tc>
        <w:tc>
          <w:tcPr>
            <w:tcW w:w="52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5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6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(11)</w:t>
            </w:r>
          </w:p>
        </w:tc>
      </w:tr>
      <w:tr>
        <w:trPr>
          <w:trHeight w:val="68"/>
        </w:trPr>
        <w:tc>
          <w:tcPr>
            <w:tcW w:w="46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4620" w:type="dxa"/>
            <w:vAlign w:val="bottom"/>
          </w:tcPr>
          <w:p>
            <w:pPr>
              <w:ind w:left="220"/>
              <w:spacing w:after="0"/>
              <w:rPr>
                <w:sz w:val="20"/>
                <w:szCs w:val="20"/>
                <w:color w:val="auto"/>
              </w:rPr>
            </w:pPr>
            <w:r>
              <w:rPr>
                <w:rFonts w:ascii="Arial" w:cs="Arial" w:eastAsia="Arial" w:hAnsi="Arial"/>
                <w:sz w:val="18"/>
                <w:szCs w:val="18"/>
                <w:color w:val="auto"/>
              </w:rPr>
              <w:t>Total</w:t>
            </w:r>
          </w:p>
        </w:tc>
        <w:tc>
          <w:tcPr>
            <w:tcW w:w="52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342</w:t>
            </w:r>
          </w:p>
        </w:tc>
        <w:tc>
          <w:tcPr>
            <w:tcW w:w="620" w:type="dxa"/>
            <w:vAlign w:val="bottom"/>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600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2"/>
                <w:szCs w:val="22"/>
                <w:color w:val="auto"/>
              </w:rPr>
            </w:pPr>
          </w:p>
        </w:tc>
      </w:tr>
      <w:tr>
        <w:trPr>
          <w:trHeight w:val="61"/>
        </w:trPr>
        <w:tc>
          <w:tcPr>
            <w:tcW w:w="46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596"/>
        </w:trPr>
        <w:tc>
          <w:tcPr>
            <w:tcW w:w="4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ind w:right="317"/>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46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1" w:name="page12"/>
    <w:bookmarkEnd w:id="11"/>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4 — INVESTMENTS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Components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investments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Cash</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9"/>
              </w:rPr>
              <w:t>Fair Value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Adjusted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Recorded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and Cash</w:t>
            </w:r>
          </w:p>
        </w:tc>
        <w:tc>
          <w:tcPr>
            <w:tcW w:w="14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Short-term</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8"/>
        </w:trPr>
        <w:tc>
          <w:tcPr>
            <w:tcW w:w="27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Level</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Cost Basis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Gains</w:t>
            </w: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Losses</w:t>
            </w:r>
          </w:p>
        </w:tc>
        <w:tc>
          <w:tcPr>
            <w:tcW w:w="20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Basis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Equivalents</w:t>
            </w:r>
          </w:p>
        </w:tc>
        <w:tc>
          <w:tcPr>
            <w:tcW w:w="14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Investments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54"/>
        </w:trPr>
        <w:tc>
          <w:tcPr>
            <w:tcW w:w="27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20"/>
                <w:szCs w:val="20"/>
                <w:color w:val="auto"/>
              </w:rPr>
            </w:pPr>
            <w:r>
              <w:rPr>
                <w:rFonts w:ascii="Arial" w:cs="Arial" w:eastAsia="Arial" w:hAnsi="Arial"/>
                <w:sz w:val="13"/>
                <w:szCs w:val="13"/>
                <w:b w:val="1"/>
                <w:bCs w:val="1"/>
                <w:color w:val="auto"/>
              </w:rPr>
              <w:t>March 31, 2022</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780" w:type="dxa"/>
            <w:vAlign w:val="bottom"/>
          </w:tcPr>
          <w:p>
            <w:pPr>
              <w:spacing w:after="0"/>
              <w:rPr>
                <w:sz w:val="20"/>
                <w:szCs w:val="20"/>
                <w:color w:val="auto"/>
              </w:rPr>
            </w:pPr>
            <w:r>
              <w:rPr>
                <w:rFonts w:ascii="Arial" w:cs="Arial" w:eastAsia="Arial" w:hAnsi="Arial"/>
                <w:sz w:val="13"/>
                <w:szCs w:val="13"/>
                <w:b w:val="1"/>
                <w:bCs w:val="1"/>
                <w:color w:val="auto"/>
              </w:rPr>
              <w:t>Changes in Fair Value Recorded in Other</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80" w:type="dxa"/>
            <w:vAlign w:val="bottom"/>
          </w:tcPr>
          <w:p>
            <w:pPr>
              <w:ind w:left="220"/>
              <w:spacing w:after="0"/>
              <w:rPr>
                <w:sz w:val="20"/>
                <w:szCs w:val="20"/>
                <w:color w:val="auto"/>
              </w:rPr>
            </w:pPr>
            <w:r>
              <w:rPr>
                <w:rFonts w:ascii="Arial" w:cs="Arial" w:eastAsia="Arial" w:hAnsi="Arial"/>
                <w:sz w:val="13"/>
                <w:szCs w:val="13"/>
                <w:b w:val="1"/>
                <w:bCs w:val="1"/>
                <w:color w:val="auto"/>
              </w:rPr>
              <w:t>Comprehensive Income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Commercial paper</w:t>
            </w:r>
          </w:p>
        </w:tc>
        <w:tc>
          <w:tcPr>
            <w:tcW w:w="920" w:type="dxa"/>
            <w:vAlign w:val="bottom"/>
            <w:shd w:val="clear" w:color="auto" w:fill="E5E5E5"/>
          </w:tcPr>
          <w:p>
            <w:pPr>
              <w:jc w:val="center"/>
              <w:spacing w:after="0" w:line="189" w:lineRule="exact"/>
              <w:rPr>
                <w:sz w:val="20"/>
                <w:szCs w:val="20"/>
                <w:color w:val="auto"/>
              </w:rPr>
            </w:pPr>
            <w:r>
              <w:rPr>
                <w:rFonts w:ascii="Arial" w:cs="Arial" w:eastAsia="Arial" w:hAnsi="Arial"/>
                <w:sz w:val="18"/>
                <w:szCs w:val="18"/>
                <w:color w:val="auto"/>
                <w:w w:val="99"/>
              </w:rPr>
              <w:t>Level 2</w:t>
            </w:r>
          </w:p>
        </w:tc>
        <w:tc>
          <w:tcPr>
            <w:tcW w:w="2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883</w:t>
            </w:r>
          </w:p>
        </w:tc>
        <w:tc>
          <w:tcPr>
            <w:tcW w:w="2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883</w:t>
            </w:r>
          </w:p>
        </w:tc>
        <w:tc>
          <w:tcPr>
            <w:tcW w:w="2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802</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81</w:t>
            </w:r>
          </w:p>
        </w:tc>
        <w:tc>
          <w:tcPr>
            <w:tcW w:w="2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9"/>
        </w:trPr>
        <w:tc>
          <w:tcPr>
            <w:tcW w:w="2780" w:type="dxa"/>
            <w:vAlign w:val="bottom"/>
          </w:tcPr>
          <w:p>
            <w:pPr>
              <w:spacing w:after="0" w:line="189" w:lineRule="exact"/>
              <w:rPr>
                <w:sz w:val="20"/>
                <w:szCs w:val="20"/>
                <w:color w:val="auto"/>
              </w:rPr>
            </w:pPr>
            <w:r>
              <w:rPr>
                <w:rFonts w:ascii="Arial" w:cs="Arial" w:eastAsia="Arial" w:hAnsi="Arial"/>
                <w:sz w:val="18"/>
                <w:szCs w:val="18"/>
                <w:color w:val="auto"/>
              </w:rPr>
              <w:t>Certificates of deposit</w:t>
            </w:r>
          </w:p>
        </w:tc>
        <w:tc>
          <w:tcPr>
            <w:tcW w:w="920" w:type="dxa"/>
            <w:vAlign w:val="bottom"/>
          </w:tcPr>
          <w:p>
            <w:pPr>
              <w:jc w:val="center"/>
              <w:spacing w:after="0" w:line="189" w:lineRule="exact"/>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3,045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6"/>
                <w:szCs w:val="16"/>
                <w:color w:val="auto"/>
              </w:rPr>
            </w:pPr>
          </w:p>
        </w:tc>
        <w:tc>
          <w:tcPr>
            <w:tcW w:w="82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3,045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3,003</w:t>
            </w:r>
          </w:p>
        </w:tc>
        <w:tc>
          <w:tcPr>
            <w:tcW w:w="14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42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securities</w:t>
            </w:r>
          </w:p>
        </w:tc>
        <w:tc>
          <w:tcPr>
            <w:tcW w:w="920" w:type="dxa"/>
            <w:vAlign w:val="bottom"/>
            <w:shd w:val="clear" w:color="auto" w:fill="E5E5E5"/>
          </w:tcPr>
          <w:p>
            <w:pPr>
              <w:jc w:val="center"/>
              <w:spacing w:after="0" w:line="189" w:lineRule="exact"/>
              <w:rPr>
                <w:sz w:val="20"/>
                <w:szCs w:val="20"/>
                <w:color w:val="auto"/>
              </w:rPr>
            </w:pPr>
            <w:r>
              <w:rPr>
                <w:rFonts w:ascii="Arial" w:cs="Arial" w:eastAsia="Arial" w:hAnsi="Arial"/>
                <w:sz w:val="18"/>
                <w:szCs w:val="18"/>
                <w:color w:val="auto"/>
                <w:w w:val="99"/>
              </w:rPr>
              <w:t>Level 1</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79,211</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347</w:t>
            </w:r>
          </w:p>
        </w:tc>
        <w:tc>
          <w:tcPr>
            <w:tcW w:w="1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(1,174)</w:t>
            </w:r>
          </w:p>
        </w:tc>
        <w:tc>
          <w:tcPr>
            <w:tcW w:w="2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78,384</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78,381</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9"/>
        </w:trPr>
        <w:tc>
          <w:tcPr>
            <w:tcW w:w="2780" w:type="dxa"/>
            <w:vAlign w:val="bottom"/>
          </w:tcPr>
          <w:p>
            <w:pPr>
              <w:spacing w:after="0" w:line="189" w:lineRule="exact"/>
              <w:rPr>
                <w:sz w:val="20"/>
                <w:szCs w:val="20"/>
                <w:color w:val="auto"/>
              </w:rPr>
            </w:pPr>
            <w:r>
              <w:rPr>
                <w:rFonts w:ascii="Arial" w:cs="Arial" w:eastAsia="Arial" w:hAnsi="Arial"/>
                <w:sz w:val="18"/>
                <w:szCs w:val="18"/>
                <w:color w:val="auto"/>
              </w:rPr>
              <w:t>U.S. agency securities</w:t>
            </w:r>
          </w:p>
        </w:tc>
        <w:tc>
          <w:tcPr>
            <w:tcW w:w="920" w:type="dxa"/>
            <w:vAlign w:val="bottom"/>
          </w:tcPr>
          <w:p>
            <w:pPr>
              <w:jc w:val="center"/>
              <w:spacing w:after="0" w:line="189" w:lineRule="exact"/>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417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6"/>
                <w:szCs w:val="16"/>
                <w:color w:val="auto"/>
              </w:rPr>
            </w:pPr>
          </w:p>
        </w:tc>
        <w:tc>
          <w:tcPr>
            <w:tcW w:w="82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411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411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government bonds</w:t>
            </w:r>
          </w:p>
        </w:tc>
        <w:tc>
          <w:tcPr>
            <w:tcW w:w="920" w:type="dxa"/>
            <w:vAlign w:val="bottom"/>
            <w:shd w:val="clear" w:color="auto" w:fill="E5E5E5"/>
          </w:tcPr>
          <w:p>
            <w:pPr>
              <w:jc w:val="center"/>
              <w:spacing w:after="0" w:line="189" w:lineRule="exact"/>
              <w:rPr>
                <w:sz w:val="20"/>
                <w:szCs w:val="20"/>
                <w:color w:val="auto"/>
              </w:rPr>
            </w:pPr>
            <w:r>
              <w:rPr>
                <w:rFonts w:ascii="Arial" w:cs="Arial" w:eastAsia="Arial" w:hAnsi="Arial"/>
                <w:sz w:val="18"/>
                <w:szCs w:val="18"/>
                <w:color w:val="auto"/>
                <w:w w:val="99"/>
              </w:rPr>
              <w:t>Level 2</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508</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w:t>
            </w:r>
          </w:p>
        </w:tc>
        <w:tc>
          <w:tcPr>
            <w:tcW w:w="1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(10)</w:t>
            </w:r>
          </w:p>
        </w:tc>
        <w:tc>
          <w:tcPr>
            <w:tcW w:w="2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501</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501</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75"/>
        </w:trPr>
        <w:tc>
          <w:tcPr>
            <w:tcW w:w="2780" w:type="dxa"/>
            <w:vAlign w:val="bottom"/>
          </w:tcPr>
          <w:p>
            <w:pPr>
              <w:spacing w:after="0" w:line="175" w:lineRule="exact"/>
              <w:rPr>
                <w:sz w:val="20"/>
                <w:szCs w:val="20"/>
                <w:color w:val="auto"/>
              </w:rPr>
            </w:pPr>
            <w:r>
              <w:rPr>
                <w:rFonts w:ascii="Arial" w:cs="Arial" w:eastAsia="Arial" w:hAnsi="Arial"/>
                <w:sz w:val="18"/>
                <w:szCs w:val="18"/>
                <w:color w:val="auto"/>
              </w:rPr>
              <w:t>Mortgage- and asset-backed</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602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5"/>
                <w:szCs w:val="15"/>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(14)</w:t>
            </w:r>
          </w:p>
        </w:tc>
        <w:tc>
          <w:tcPr>
            <w:tcW w:w="200" w:type="dxa"/>
            <w:vAlign w:val="bottom"/>
          </w:tcPr>
          <w:p>
            <w:pPr>
              <w:spacing w:after="0"/>
              <w:rPr>
                <w:sz w:val="15"/>
                <w:szCs w:val="15"/>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590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5"/>
                <w:szCs w:val="15"/>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590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780" w:type="dxa"/>
            <w:vAlign w:val="bottom"/>
          </w:tcPr>
          <w:p>
            <w:pPr>
              <w:ind w:left="220"/>
              <w:spacing w:after="0" w:line="203" w:lineRule="exact"/>
              <w:rPr>
                <w:sz w:val="20"/>
                <w:szCs w:val="20"/>
                <w:color w:val="auto"/>
              </w:rPr>
            </w:pPr>
            <w:r>
              <w:rPr>
                <w:rFonts w:ascii="Arial" w:cs="Arial" w:eastAsia="Arial" w:hAnsi="Arial"/>
                <w:sz w:val="18"/>
                <w:szCs w:val="18"/>
                <w:color w:val="auto"/>
              </w:rPr>
              <w:t>securities</w:t>
            </w:r>
          </w:p>
        </w:tc>
        <w:tc>
          <w:tcPr>
            <w:tcW w:w="920" w:type="dxa"/>
            <w:vAlign w:val="bottom"/>
          </w:tcPr>
          <w:p>
            <w:pPr>
              <w:jc w:val="center"/>
              <w:spacing w:after="0" w:line="203" w:lineRule="exact"/>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Corporate notes and bonds</w:t>
            </w:r>
          </w:p>
        </w:tc>
        <w:tc>
          <w:tcPr>
            <w:tcW w:w="920" w:type="dxa"/>
            <w:vAlign w:val="bottom"/>
            <w:shd w:val="clear" w:color="auto" w:fill="E5E5E5"/>
          </w:tcPr>
          <w:p>
            <w:pPr>
              <w:jc w:val="center"/>
              <w:spacing w:after="0" w:line="189" w:lineRule="exact"/>
              <w:rPr>
                <w:sz w:val="20"/>
                <w:szCs w:val="20"/>
                <w:color w:val="auto"/>
              </w:rPr>
            </w:pPr>
            <w:r>
              <w:rPr>
                <w:rFonts w:ascii="Arial" w:cs="Arial" w:eastAsia="Arial" w:hAnsi="Arial"/>
                <w:sz w:val="18"/>
                <w:szCs w:val="18"/>
                <w:color w:val="auto"/>
                <w:w w:val="99"/>
              </w:rPr>
              <w:t>Level 2</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11,910</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31</w:t>
            </w:r>
          </w:p>
        </w:tc>
        <w:tc>
          <w:tcPr>
            <w:tcW w:w="1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(277)</w:t>
            </w:r>
          </w:p>
        </w:tc>
        <w:tc>
          <w:tcPr>
            <w:tcW w:w="2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11,664</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11,664</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9"/>
        </w:trPr>
        <w:tc>
          <w:tcPr>
            <w:tcW w:w="278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920" w:type="dxa"/>
            <w:vAlign w:val="bottom"/>
          </w:tcPr>
          <w:p>
            <w:pPr>
              <w:jc w:val="center"/>
              <w:spacing w:after="0" w:line="189" w:lineRule="exact"/>
              <w:rPr>
                <w:sz w:val="20"/>
                <w:szCs w:val="20"/>
                <w:color w:val="auto"/>
              </w:rPr>
            </w:pPr>
            <w:r>
              <w:rPr>
                <w:rFonts w:ascii="Arial" w:cs="Arial" w:eastAsia="Arial" w:hAnsi="Arial"/>
                <w:sz w:val="18"/>
                <w:szCs w:val="18"/>
                <w:color w:val="auto"/>
                <w:w w:val="99"/>
              </w:rPr>
              <w:t>Level 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45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6"/>
                <w:szCs w:val="16"/>
                <w:color w:val="auto"/>
              </w:rPr>
            </w:pPr>
          </w:p>
        </w:tc>
        <w:tc>
          <w:tcPr>
            <w:tcW w:w="82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45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45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920" w:type="dxa"/>
            <w:vAlign w:val="bottom"/>
            <w:shd w:val="clear" w:color="auto" w:fill="E5E5E5"/>
          </w:tcPr>
          <w:p>
            <w:pPr>
              <w:jc w:val="center"/>
              <w:spacing w:after="0" w:line="189" w:lineRule="exact"/>
              <w:rPr>
                <w:sz w:val="20"/>
                <w:szCs w:val="20"/>
                <w:color w:val="auto"/>
              </w:rPr>
            </w:pPr>
            <w:r>
              <w:rPr>
                <w:rFonts w:ascii="Arial" w:cs="Arial" w:eastAsia="Arial" w:hAnsi="Arial"/>
                <w:sz w:val="18"/>
                <w:szCs w:val="18"/>
                <w:color w:val="auto"/>
                <w:w w:val="99"/>
              </w:rPr>
              <w:t>Level 2</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324</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34</w:t>
            </w:r>
          </w:p>
        </w:tc>
        <w:tc>
          <w:tcPr>
            <w:tcW w:w="1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w:t>
            </w:r>
          </w:p>
        </w:tc>
        <w:tc>
          <w:tcPr>
            <w:tcW w:w="2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351</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351</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50"/>
        </w:trPr>
        <w:tc>
          <w:tcPr>
            <w:tcW w:w="2780" w:type="dxa"/>
            <w:vAlign w:val="bottom"/>
          </w:tcPr>
          <w:p>
            <w:pPr>
              <w:spacing w:after="0"/>
              <w:rPr>
                <w:sz w:val="20"/>
                <w:szCs w:val="20"/>
                <w:color w:val="auto"/>
              </w:rPr>
            </w:pPr>
            <w:r>
              <w:rPr>
                <w:rFonts w:ascii="Arial" w:cs="Arial" w:eastAsia="Arial" w:hAnsi="Arial"/>
                <w:sz w:val="18"/>
                <w:szCs w:val="18"/>
                <w:color w:val="auto"/>
              </w:rPr>
              <w:t>Municipal securities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Level 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w:t>
            </w:r>
          </w:p>
        </w:tc>
        <w:tc>
          <w:tcPr>
            <w:tcW w:w="2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8"/>
        </w:trPr>
        <w:tc>
          <w:tcPr>
            <w:tcW w:w="278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 debt investments</w:t>
            </w:r>
          </w:p>
        </w:tc>
        <w:tc>
          <w:tcPr>
            <w:tcW w:w="920" w:type="dxa"/>
            <w:vAlign w:val="bottom"/>
            <w:shd w:val="clear" w:color="auto" w:fill="E5E5E5"/>
          </w:tcPr>
          <w:p>
            <w:pPr>
              <w:spacing w:after="0"/>
              <w:rPr>
                <w:sz w:val="16"/>
                <w:szCs w:val="16"/>
                <w:color w:val="auto"/>
              </w:rPr>
            </w:pPr>
          </w:p>
        </w:tc>
        <w:tc>
          <w:tcPr>
            <w:tcW w:w="2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97,048</w:t>
            </w:r>
          </w:p>
        </w:tc>
        <w:tc>
          <w:tcPr>
            <w:tcW w:w="2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417</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(1,495)</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95,970</w:t>
            </w:r>
          </w:p>
        </w:tc>
        <w:tc>
          <w:tcPr>
            <w:tcW w:w="2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3,808</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92,162</w:t>
            </w:r>
          </w:p>
        </w:tc>
        <w:tc>
          <w:tcPr>
            <w:tcW w:w="2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75"/>
        </w:trPr>
        <w:tc>
          <w:tcPr>
            <w:tcW w:w="278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 Value Recorded in Net</w:t>
            </w: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7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780" w:type="dxa"/>
            <w:vAlign w:val="bottom"/>
          </w:tcPr>
          <w:p>
            <w:pPr>
              <w:ind w:left="220"/>
              <w:spacing w:after="0"/>
              <w:rPr>
                <w:sz w:val="20"/>
                <w:szCs w:val="20"/>
                <w:color w:val="auto"/>
              </w:rPr>
            </w:pPr>
            <w:r>
              <w:rPr>
                <w:rFonts w:ascii="Arial" w:cs="Arial" w:eastAsia="Arial" w:hAnsi="Arial"/>
                <w:sz w:val="13"/>
                <w:szCs w:val="13"/>
                <w:b w:val="1"/>
                <w:bCs w:val="1"/>
                <w:color w:val="auto"/>
              </w:rPr>
              <w:t>Income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Equity investments</w:t>
            </w:r>
          </w:p>
        </w:tc>
        <w:tc>
          <w:tcPr>
            <w:tcW w:w="920" w:type="dxa"/>
            <w:vAlign w:val="bottom"/>
            <w:shd w:val="clear" w:color="auto" w:fill="E5E5E5"/>
          </w:tcPr>
          <w:p>
            <w:pPr>
              <w:jc w:val="center"/>
              <w:spacing w:after="0" w:line="189" w:lineRule="exact"/>
              <w:rPr>
                <w:sz w:val="20"/>
                <w:szCs w:val="20"/>
                <w:color w:val="auto"/>
              </w:rPr>
            </w:pPr>
            <w:r>
              <w:rPr>
                <w:rFonts w:ascii="Arial" w:cs="Arial" w:eastAsia="Arial" w:hAnsi="Arial"/>
                <w:sz w:val="18"/>
                <w:szCs w:val="18"/>
                <w:color w:val="auto"/>
                <w:w w:val="99"/>
              </w:rPr>
              <w:t>Level 1</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1,857</w:t>
            </w:r>
          </w:p>
        </w:tc>
        <w:tc>
          <w:tcPr>
            <w:tcW w:w="2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1,234</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623</w:t>
            </w:r>
          </w:p>
        </w:tc>
        <w:tc>
          <w:tcPr>
            <w:tcW w:w="0" w:type="dxa"/>
            <w:vAlign w:val="bottom"/>
          </w:tcPr>
          <w:p>
            <w:pPr>
              <w:spacing w:after="0"/>
              <w:rPr>
                <w:sz w:val="1"/>
                <w:szCs w:val="1"/>
                <w:color w:val="auto"/>
              </w:rPr>
            </w:pPr>
          </w:p>
        </w:tc>
      </w:tr>
      <w:tr>
        <w:trPr>
          <w:trHeight w:val="250"/>
        </w:trPr>
        <w:tc>
          <w:tcPr>
            <w:tcW w:w="2780" w:type="dxa"/>
            <w:vAlign w:val="bottom"/>
          </w:tcPr>
          <w:p>
            <w:pPr>
              <w:spacing w:after="0"/>
              <w:rPr>
                <w:sz w:val="20"/>
                <w:szCs w:val="20"/>
                <w:color w:val="auto"/>
              </w:rPr>
            </w:pPr>
            <w:r>
              <w:rPr>
                <w:rFonts w:ascii="Arial" w:cs="Arial" w:eastAsia="Arial" w:hAnsi="Arial"/>
                <w:sz w:val="18"/>
                <w:szCs w:val="18"/>
                <w:color w:val="auto"/>
              </w:rPr>
              <w:t>Equity investments</w:t>
            </w:r>
          </w:p>
        </w:tc>
        <w:tc>
          <w:tcPr>
            <w:tcW w:w="920" w:type="dxa"/>
            <w:vAlign w:val="bottom"/>
          </w:tcPr>
          <w:p>
            <w:pPr>
              <w:jc w:val="cente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6,284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6,284</w:t>
            </w:r>
          </w:p>
        </w:tc>
        <w:tc>
          <w:tcPr>
            <w:tcW w:w="0" w:type="dxa"/>
            <w:vAlign w:val="bottom"/>
          </w:tcPr>
          <w:p>
            <w:pPr>
              <w:spacing w:after="0"/>
              <w:rPr>
                <w:sz w:val="1"/>
                <w:szCs w:val="1"/>
                <w:color w:val="auto"/>
              </w:rPr>
            </w:pPr>
          </w:p>
        </w:tc>
      </w:tr>
      <w:tr>
        <w:trPr>
          <w:trHeight w:val="68"/>
        </w:trPr>
        <w:tc>
          <w:tcPr>
            <w:tcW w:w="278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 equity investments</w:t>
            </w:r>
          </w:p>
        </w:tc>
        <w:tc>
          <w:tcPr>
            <w:tcW w:w="9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8,141</w:t>
            </w:r>
          </w:p>
        </w:tc>
        <w:tc>
          <w:tcPr>
            <w:tcW w:w="2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1,234</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6,907</w:t>
            </w:r>
          </w:p>
        </w:tc>
        <w:tc>
          <w:tcPr>
            <w:tcW w:w="0" w:type="dxa"/>
            <w:vAlign w:val="bottom"/>
          </w:tcPr>
          <w:p>
            <w:pPr>
              <w:spacing w:after="0"/>
              <w:rPr>
                <w:sz w:val="1"/>
                <w:szCs w:val="1"/>
                <w:color w:val="auto"/>
              </w:rPr>
            </w:pPr>
          </w:p>
        </w:tc>
      </w:tr>
      <w:tr>
        <w:trPr>
          <w:trHeight w:val="74"/>
        </w:trPr>
        <w:tc>
          <w:tcPr>
            <w:tcW w:w="2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780" w:type="dxa"/>
            <w:vAlign w:val="bottom"/>
          </w:tcPr>
          <w:p>
            <w:pPr>
              <w:spacing w:after="0"/>
              <w:rPr>
                <w:sz w:val="20"/>
                <w:szCs w:val="20"/>
                <w:color w:val="auto"/>
              </w:rPr>
            </w:pPr>
            <w:r>
              <w:rPr>
                <w:rFonts w:ascii="Arial" w:cs="Arial" w:eastAsia="Arial" w:hAnsi="Arial"/>
                <w:sz w:val="18"/>
                <w:szCs w:val="18"/>
                <w:color w:val="auto"/>
              </w:rPr>
              <w:t>Cash</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7,456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7,456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Derivatives, net </w:t>
            </w:r>
            <w:r>
              <w:rPr>
                <w:rFonts w:ascii="Arial" w:cs="Arial" w:eastAsia="Arial" w:hAnsi="Arial"/>
                <w:sz w:val="15"/>
                <w:szCs w:val="15"/>
                <w:color w:val="auto"/>
              </w:rPr>
              <w:t>(a)</w:t>
            </w:r>
          </w:p>
        </w:tc>
        <w:tc>
          <w:tcPr>
            <w:tcW w:w="9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33</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33</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8"/>
        </w:trPr>
        <w:tc>
          <w:tcPr>
            <w:tcW w:w="27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780" w:type="dxa"/>
            <w:vAlign w:val="bottom"/>
          </w:tcPr>
          <w:p>
            <w:pPr>
              <w:ind w:left="22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111,600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12,498</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92,195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6,907</w:t>
            </w:r>
          </w:p>
        </w:tc>
        <w:tc>
          <w:tcPr>
            <w:tcW w:w="0" w:type="dxa"/>
            <w:vAlign w:val="bottom"/>
          </w:tcPr>
          <w:p>
            <w:pPr>
              <w:spacing w:after="0"/>
              <w:rPr>
                <w:sz w:val="1"/>
                <w:szCs w:val="1"/>
                <w:color w:val="auto"/>
              </w:rPr>
            </w:pPr>
          </w:p>
        </w:tc>
      </w:tr>
      <w:tr>
        <w:trPr>
          <w:trHeight w:val="61"/>
        </w:trPr>
        <w:tc>
          <w:tcPr>
            <w:tcW w:w="2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3"/>
        </w:trPr>
        <w:tc>
          <w:tcPr>
            <w:tcW w:w="2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7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2" w:name="page13"/>
    <w:bookmarkEnd w:id="1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Cash</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9"/>
              </w:rPr>
              <w:t>Fair Value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Adjusted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Recorded</w:t>
            </w:r>
          </w:p>
        </w:tc>
        <w:tc>
          <w:tcPr>
            <w:tcW w:w="14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and Cash</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Short-term</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8"/>
        </w:trPr>
        <w:tc>
          <w:tcPr>
            <w:tcW w:w="28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Level</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Cost Basis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Gains</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Losses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Basis</w:t>
            </w: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Equivalents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Investments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54"/>
        </w:trPr>
        <w:tc>
          <w:tcPr>
            <w:tcW w:w="28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800" w:type="dxa"/>
            <w:vAlign w:val="bottom"/>
          </w:tcPr>
          <w:p>
            <w:pPr>
              <w:spacing w:after="0"/>
              <w:rPr>
                <w:sz w:val="20"/>
                <w:szCs w:val="20"/>
                <w:color w:val="auto"/>
              </w:rPr>
            </w:pPr>
            <w:r>
              <w:rPr>
                <w:rFonts w:ascii="Arial" w:cs="Arial" w:eastAsia="Arial" w:hAnsi="Arial"/>
                <w:sz w:val="13"/>
                <w:szCs w:val="13"/>
                <w:b w:val="1"/>
                <w:bCs w:val="1"/>
                <w:color w:val="auto"/>
              </w:rPr>
              <w:t>June 30, 2021</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20"/>
                <w:szCs w:val="20"/>
                <w:color w:val="auto"/>
              </w:rPr>
            </w:pPr>
            <w:r>
              <w:rPr>
                <w:rFonts w:ascii="Arial" w:cs="Arial" w:eastAsia="Arial" w:hAnsi="Arial"/>
                <w:sz w:val="13"/>
                <w:szCs w:val="13"/>
                <w:b w:val="1"/>
                <w:bCs w:val="1"/>
                <w:color w:val="auto"/>
              </w:rPr>
              <w:t>Changes in Fair Value Recorded in Other</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800" w:type="dxa"/>
            <w:vAlign w:val="bottom"/>
          </w:tcPr>
          <w:p>
            <w:pPr>
              <w:ind w:left="220"/>
              <w:spacing w:after="0"/>
              <w:rPr>
                <w:sz w:val="20"/>
                <w:szCs w:val="20"/>
                <w:color w:val="auto"/>
              </w:rPr>
            </w:pPr>
            <w:r>
              <w:rPr>
                <w:rFonts w:ascii="Arial" w:cs="Arial" w:eastAsia="Arial" w:hAnsi="Arial"/>
                <w:sz w:val="13"/>
                <w:szCs w:val="13"/>
                <w:b w:val="1"/>
                <w:bCs w:val="1"/>
                <w:color w:val="auto"/>
              </w:rPr>
              <w:t>Comprehensive Income</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Commercial paper</w:t>
            </w:r>
          </w:p>
        </w:tc>
        <w:tc>
          <w:tcPr>
            <w:tcW w:w="900" w:type="dxa"/>
            <w:vAlign w:val="bottom"/>
            <w:shd w:val="clear" w:color="auto" w:fill="E5E5E5"/>
          </w:tcPr>
          <w:p>
            <w:pPr>
              <w:jc w:val="center"/>
              <w:spacing w:after="0" w:line="189" w:lineRule="exact"/>
              <w:rPr>
                <w:sz w:val="20"/>
                <w:szCs w:val="20"/>
                <w:color w:val="auto"/>
              </w:rPr>
            </w:pPr>
            <w:r>
              <w:rPr>
                <w:rFonts w:ascii="Arial" w:cs="Arial" w:eastAsia="Arial" w:hAnsi="Arial"/>
                <w:sz w:val="18"/>
                <w:szCs w:val="18"/>
                <w:color w:val="auto"/>
                <w:w w:val="99"/>
              </w:rPr>
              <w:t>Level 2</w:t>
            </w:r>
          </w:p>
        </w:tc>
        <w:tc>
          <w:tcPr>
            <w:tcW w:w="2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4,316</w:t>
            </w:r>
          </w:p>
        </w:tc>
        <w:tc>
          <w:tcPr>
            <w:tcW w:w="2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0</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2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4,316</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1,331</w:t>
            </w:r>
          </w:p>
        </w:tc>
        <w:tc>
          <w:tcPr>
            <w:tcW w:w="2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2,985</w:t>
            </w:r>
          </w:p>
        </w:tc>
        <w:tc>
          <w:tcPr>
            <w:tcW w:w="2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9"/>
        </w:trPr>
        <w:tc>
          <w:tcPr>
            <w:tcW w:w="2800" w:type="dxa"/>
            <w:vAlign w:val="bottom"/>
          </w:tcPr>
          <w:p>
            <w:pPr>
              <w:spacing w:after="0" w:line="189" w:lineRule="exact"/>
              <w:rPr>
                <w:sz w:val="20"/>
                <w:szCs w:val="20"/>
                <w:color w:val="auto"/>
              </w:rPr>
            </w:pPr>
            <w:r>
              <w:rPr>
                <w:rFonts w:ascii="Arial" w:cs="Arial" w:eastAsia="Arial" w:hAnsi="Arial"/>
                <w:sz w:val="18"/>
                <w:szCs w:val="18"/>
                <w:color w:val="auto"/>
              </w:rPr>
              <w:t>Certificates of deposit</w:t>
            </w:r>
          </w:p>
        </w:tc>
        <w:tc>
          <w:tcPr>
            <w:tcW w:w="900" w:type="dxa"/>
            <w:vAlign w:val="bottom"/>
          </w:tcPr>
          <w:p>
            <w:pPr>
              <w:jc w:val="center"/>
              <w:spacing w:after="0" w:line="189" w:lineRule="exact"/>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3,615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0</w:t>
            </w:r>
          </w:p>
        </w:tc>
        <w:tc>
          <w:tcPr>
            <w:tcW w:w="18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3,615</w:t>
            </w:r>
          </w:p>
        </w:tc>
        <w:tc>
          <w:tcPr>
            <w:tcW w:w="140" w:type="dxa"/>
            <w:vAlign w:val="bottom"/>
          </w:tcPr>
          <w:p>
            <w:pPr>
              <w:spacing w:after="0"/>
              <w:rPr>
                <w:sz w:val="16"/>
                <w:szCs w:val="16"/>
                <w:color w:val="auto"/>
              </w:rPr>
            </w:pPr>
          </w:p>
        </w:tc>
        <w:tc>
          <w:tcPr>
            <w:tcW w:w="8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2,920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695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securities</w:t>
            </w:r>
          </w:p>
        </w:tc>
        <w:tc>
          <w:tcPr>
            <w:tcW w:w="900" w:type="dxa"/>
            <w:vAlign w:val="bottom"/>
            <w:shd w:val="clear" w:color="auto" w:fill="E5E5E5"/>
          </w:tcPr>
          <w:p>
            <w:pPr>
              <w:jc w:val="center"/>
              <w:spacing w:after="0" w:line="189" w:lineRule="exact"/>
              <w:rPr>
                <w:sz w:val="20"/>
                <w:szCs w:val="20"/>
                <w:color w:val="auto"/>
              </w:rPr>
            </w:pPr>
            <w:r>
              <w:rPr>
                <w:rFonts w:ascii="Arial" w:cs="Arial" w:eastAsia="Arial" w:hAnsi="Arial"/>
                <w:sz w:val="18"/>
                <w:szCs w:val="18"/>
                <w:color w:val="auto"/>
                <w:w w:val="99"/>
              </w:rPr>
              <w:t>Level 1</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90,664</w:t>
            </w: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3,832</w:t>
            </w:r>
          </w:p>
        </w:tc>
        <w:tc>
          <w:tcPr>
            <w:tcW w:w="18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(111)</w:t>
            </w: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94,385</w:t>
            </w: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1,500</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92,885</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9"/>
        </w:trPr>
        <w:tc>
          <w:tcPr>
            <w:tcW w:w="2800" w:type="dxa"/>
            <w:vAlign w:val="bottom"/>
          </w:tcPr>
          <w:p>
            <w:pPr>
              <w:spacing w:after="0" w:line="189" w:lineRule="exact"/>
              <w:rPr>
                <w:sz w:val="20"/>
                <w:szCs w:val="20"/>
                <w:color w:val="auto"/>
              </w:rPr>
            </w:pPr>
            <w:r>
              <w:rPr>
                <w:rFonts w:ascii="Arial" w:cs="Arial" w:eastAsia="Arial" w:hAnsi="Arial"/>
                <w:sz w:val="18"/>
                <w:szCs w:val="18"/>
                <w:color w:val="auto"/>
              </w:rPr>
              <w:t>U.S. agency securities</w:t>
            </w:r>
          </w:p>
        </w:tc>
        <w:tc>
          <w:tcPr>
            <w:tcW w:w="900" w:type="dxa"/>
            <w:vAlign w:val="bottom"/>
          </w:tcPr>
          <w:p>
            <w:pPr>
              <w:jc w:val="center"/>
              <w:spacing w:after="0" w:line="189" w:lineRule="exact"/>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807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809</w:t>
            </w:r>
          </w:p>
        </w:tc>
        <w:tc>
          <w:tcPr>
            <w:tcW w:w="140" w:type="dxa"/>
            <w:vAlign w:val="bottom"/>
          </w:tcPr>
          <w:p>
            <w:pPr>
              <w:spacing w:after="0"/>
              <w:rPr>
                <w:sz w:val="16"/>
                <w:szCs w:val="16"/>
                <w:color w:val="auto"/>
              </w:rPr>
            </w:pPr>
          </w:p>
        </w:tc>
        <w:tc>
          <w:tcPr>
            <w:tcW w:w="8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809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government bonds</w:t>
            </w:r>
          </w:p>
        </w:tc>
        <w:tc>
          <w:tcPr>
            <w:tcW w:w="900" w:type="dxa"/>
            <w:vAlign w:val="bottom"/>
            <w:shd w:val="clear" w:color="auto" w:fill="E5E5E5"/>
          </w:tcPr>
          <w:p>
            <w:pPr>
              <w:jc w:val="center"/>
              <w:spacing w:after="0" w:line="189" w:lineRule="exact"/>
              <w:rPr>
                <w:sz w:val="20"/>
                <w:szCs w:val="20"/>
                <w:color w:val="auto"/>
              </w:rPr>
            </w:pPr>
            <w:r>
              <w:rPr>
                <w:rFonts w:ascii="Arial" w:cs="Arial" w:eastAsia="Arial" w:hAnsi="Arial"/>
                <w:sz w:val="18"/>
                <w:szCs w:val="18"/>
                <w:color w:val="auto"/>
                <w:w w:val="99"/>
              </w:rPr>
              <w:t>Level 2</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6,213</w:t>
            </w: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9</w:t>
            </w:r>
          </w:p>
        </w:tc>
        <w:tc>
          <w:tcPr>
            <w:tcW w:w="18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w:t>
            </w: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6,220</w:t>
            </w: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225</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5,995</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2800" w:type="dxa"/>
            <w:vAlign w:val="bottom"/>
          </w:tcPr>
          <w:p>
            <w:pPr>
              <w:spacing w:after="0" w:line="175" w:lineRule="exact"/>
              <w:rPr>
                <w:sz w:val="20"/>
                <w:szCs w:val="20"/>
                <w:color w:val="auto"/>
              </w:rPr>
            </w:pPr>
            <w:r>
              <w:rPr>
                <w:rFonts w:ascii="Arial" w:cs="Arial" w:eastAsia="Arial" w:hAnsi="Arial"/>
                <w:sz w:val="18"/>
                <w:szCs w:val="18"/>
                <w:color w:val="auto"/>
              </w:rPr>
              <w:t>Mortgage- and asset-backed</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220"/>
              <w:spacing w:after="0" w:line="203" w:lineRule="exact"/>
              <w:rPr>
                <w:sz w:val="20"/>
                <w:szCs w:val="20"/>
                <w:color w:val="auto"/>
              </w:rPr>
            </w:pPr>
            <w:r>
              <w:rPr>
                <w:rFonts w:ascii="Arial" w:cs="Arial" w:eastAsia="Arial" w:hAnsi="Arial"/>
                <w:sz w:val="18"/>
                <w:szCs w:val="18"/>
                <w:color w:val="auto"/>
              </w:rPr>
              <w:t>securities</w:t>
            </w:r>
          </w:p>
        </w:tc>
        <w:tc>
          <w:tcPr>
            <w:tcW w:w="900" w:type="dxa"/>
            <w:vAlign w:val="bottom"/>
          </w:tcPr>
          <w:p>
            <w:pPr>
              <w:jc w:val="center"/>
              <w:spacing w:after="0" w:line="203" w:lineRule="exact"/>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3,442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22</w:t>
            </w:r>
          </w:p>
        </w:tc>
        <w:tc>
          <w:tcPr>
            <w:tcW w:w="180" w:type="dxa"/>
            <w:vAlign w:val="bottom"/>
          </w:tcPr>
          <w:p>
            <w:pPr>
              <w:spacing w:after="0"/>
              <w:rPr>
                <w:sz w:val="17"/>
                <w:szCs w:val="17"/>
                <w:color w:val="auto"/>
              </w:rPr>
            </w:pPr>
          </w:p>
        </w:tc>
        <w:tc>
          <w:tcPr>
            <w:tcW w:w="8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3,458</w:t>
            </w:r>
          </w:p>
        </w:tc>
        <w:tc>
          <w:tcPr>
            <w:tcW w:w="140" w:type="dxa"/>
            <w:vAlign w:val="bottom"/>
          </w:tcPr>
          <w:p>
            <w:pPr>
              <w:spacing w:after="0"/>
              <w:rPr>
                <w:sz w:val="17"/>
                <w:szCs w:val="17"/>
                <w:color w:val="auto"/>
              </w:rPr>
            </w:pPr>
          </w:p>
        </w:tc>
        <w:tc>
          <w:tcPr>
            <w:tcW w:w="8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3,458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Corporate notes and bonds</w:t>
            </w:r>
          </w:p>
        </w:tc>
        <w:tc>
          <w:tcPr>
            <w:tcW w:w="900" w:type="dxa"/>
            <w:vAlign w:val="bottom"/>
            <w:shd w:val="clear" w:color="auto" w:fill="E5E5E5"/>
          </w:tcPr>
          <w:p>
            <w:pPr>
              <w:jc w:val="center"/>
              <w:spacing w:after="0" w:line="189" w:lineRule="exact"/>
              <w:rPr>
                <w:sz w:val="20"/>
                <w:szCs w:val="20"/>
                <w:color w:val="auto"/>
              </w:rPr>
            </w:pPr>
            <w:r>
              <w:rPr>
                <w:rFonts w:ascii="Arial" w:cs="Arial" w:eastAsia="Arial" w:hAnsi="Arial"/>
                <w:sz w:val="18"/>
                <w:szCs w:val="18"/>
                <w:color w:val="auto"/>
                <w:w w:val="99"/>
              </w:rPr>
              <w:t>Level 2</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8,443</w:t>
            </w: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249</w:t>
            </w:r>
          </w:p>
        </w:tc>
        <w:tc>
          <w:tcPr>
            <w:tcW w:w="18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(9)</w:t>
            </w: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8,683</w:t>
            </w: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8,683</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9"/>
        </w:trPr>
        <w:tc>
          <w:tcPr>
            <w:tcW w:w="280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900" w:type="dxa"/>
            <w:vAlign w:val="bottom"/>
          </w:tcPr>
          <w:p>
            <w:pPr>
              <w:jc w:val="center"/>
              <w:spacing w:after="0" w:line="189" w:lineRule="exact"/>
              <w:rPr>
                <w:sz w:val="20"/>
                <w:szCs w:val="20"/>
                <w:color w:val="auto"/>
              </w:rPr>
            </w:pPr>
            <w:r>
              <w:rPr>
                <w:rFonts w:ascii="Arial" w:cs="Arial" w:eastAsia="Arial" w:hAnsi="Arial"/>
                <w:sz w:val="18"/>
                <w:szCs w:val="18"/>
                <w:color w:val="auto"/>
                <w:w w:val="99"/>
              </w:rPr>
              <w:t>Level 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63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0</w:t>
            </w:r>
          </w:p>
        </w:tc>
        <w:tc>
          <w:tcPr>
            <w:tcW w:w="18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63</w:t>
            </w:r>
          </w:p>
        </w:tc>
        <w:tc>
          <w:tcPr>
            <w:tcW w:w="140" w:type="dxa"/>
            <w:vAlign w:val="bottom"/>
          </w:tcPr>
          <w:p>
            <w:pPr>
              <w:spacing w:after="0"/>
              <w:rPr>
                <w:sz w:val="16"/>
                <w:szCs w:val="16"/>
                <w:color w:val="auto"/>
              </w:rPr>
            </w:pPr>
          </w:p>
        </w:tc>
        <w:tc>
          <w:tcPr>
            <w:tcW w:w="8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63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900" w:type="dxa"/>
            <w:vAlign w:val="bottom"/>
            <w:shd w:val="clear" w:color="auto" w:fill="E5E5E5"/>
          </w:tcPr>
          <w:p>
            <w:pPr>
              <w:jc w:val="center"/>
              <w:spacing w:after="0" w:line="189" w:lineRule="exact"/>
              <w:rPr>
                <w:sz w:val="20"/>
                <w:szCs w:val="20"/>
                <w:color w:val="auto"/>
              </w:rPr>
            </w:pPr>
            <w:r>
              <w:rPr>
                <w:rFonts w:ascii="Arial" w:cs="Arial" w:eastAsia="Arial" w:hAnsi="Arial"/>
                <w:sz w:val="18"/>
                <w:szCs w:val="18"/>
                <w:color w:val="auto"/>
                <w:w w:val="99"/>
              </w:rPr>
              <w:t>Level 2</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308</w:t>
            </w: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63</w:t>
            </w:r>
          </w:p>
        </w:tc>
        <w:tc>
          <w:tcPr>
            <w:tcW w:w="18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371</w:t>
            </w: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371</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2800" w:type="dxa"/>
            <w:vAlign w:val="bottom"/>
          </w:tcPr>
          <w:p>
            <w:pPr>
              <w:spacing w:after="0"/>
              <w:rPr>
                <w:sz w:val="20"/>
                <w:szCs w:val="20"/>
                <w:color w:val="auto"/>
              </w:rPr>
            </w:pPr>
            <w:r>
              <w:rPr>
                <w:rFonts w:ascii="Arial" w:cs="Arial" w:eastAsia="Arial" w:hAnsi="Arial"/>
                <w:sz w:val="18"/>
                <w:szCs w:val="18"/>
                <w:color w:val="auto"/>
              </w:rPr>
              <w:t>Municipal securities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Level 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
        </w:trPr>
        <w:tc>
          <w:tcPr>
            <w:tcW w:w="28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 debt investments</w:t>
            </w:r>
          </w:p>
        </w:tc>
        <w:tc>
          <w:tcPr>
            <w:tcW w:w="900" w:type="dxa"/>
            <w:vAlign w:val="bottom"/>
            <w:shd w:val="clear" w:color="auto" w:fill="E5E5E5"/>
          </w:tcPr>
          <w:p>
            <w:pPr>
              <w:spacing w:after="0"/>
              <w:rPr>
                <w:sz w:val="16"/>
                <w:szCs w:val="16"/>
                <w:color w:val="auto"/>
              </w:rPr>
            </w:pPr>
          </w:p>
        </w:tc>
        <w:tc>
          <w:tcPr>
            <w:tcW w:w="2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117,966</w:t>
            </w:r>
          </w:p>
        </w:tc>
        <w:tc>
          <w:tcPr>
            <w:tcW w:w="2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4,177</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(135)</w:t>
            </w:r>
          </w:p>
        </w:tc>
        <w:tc>
          <w:tcPr>
            <w:tcW w:w="2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122,008</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5,976</w:t>
            </w:r>
          </w:p>
        </w:tc>
        <w:tc>
          <w:tcPr>
            <w:tcW w:w="2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116,032</w:t>
            </w:r>
          </w:p>
        </w:tc>
        <w:tc>
          <w:tcPr>
            <w:tcW w:w="2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4"/>
        </w:trPr>
        <w:tc>
          <w:tcPr>
            <w:tcW w:w="280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 Value Recorded in Net</w:t>
            </w: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80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800" w:type="dxa"/>
            <w:vAlign w:val="bottom"/>
          </w:tcPr>
          <w:p>
            <w:pPr>
              <w:ind w:left="220"/>
              <w:spacing w:after="0"/>
              <w:rPr>
                <w:sz w:val="20"/>
                <w:szCs w:val="20"/>
                <w:color w:val="auto"/>
              </w:rPr>
            </w:pPr>
            <w:r>
              <w:rPr>
                <w:rFonts w:ascii="Arial" w:cs="Arial" w:eastAsia="Arial" w:hAnsi="Arial"/>
                <w:sz w:val="13"/>
                <w:szCs w:val="13"/>
                <w:b w:val="1"/>
                <w:bCs w:val="1"/>
                <w:color w:val="auto"/>
              </w:rPr>
              <w:t>Income</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Equity investments</w:t>
            </w:r>
          </w:p>
        </w:tc>
        <w:tc>
          <w:tcPr>
            <w:tcW w:w="900" w:type="dxa"/>
            <w:vAlign w:val="bottom"/>
            <w:shd w:val="clear" w:color="auto" w:fill="E5E5E5"/>
          </w:tcPr>
          <w:p>
            <w:pPr>
              <w:jc w:val="center"/>
              <w:spacing w:after="0" w:line="189" w:lineRule="exact"/>
              <w:rPr>
                <w:sz w:val="20"/>
                <w:szCs w:val="20"/>
                <w:color w:val="auto"/>
              </w:rPr>
            </w:pPr>
            <w:r>
              <w:rPr>
                <w:rFonts w:ascii="Arial" w:cs="Arial" w:eastAsia="Arial" w:hAnsi="Arial"/>
                <w:sz w:val="18"/>
                <w:szCs w:val="18"/>
                <w:color w:val="auto"/>
                <w:w w:val="99"/>
              </w:rPr>
              <w:t>Level 1</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1,582</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976</w:t>
            </w:r>
          </w:p>
        </w:tc>
        <w:tc>
          <w:tcPr>
            <w:tcW w:w="2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0</w:t>
            </w:r>
          </w:p>
        </w:tc>
        <w:tc>
          <w:tcPr>
            <w:tcW w:w="2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7"/>
        </w:trPr>
        <w:tc>
          <w:tcPr>
            <w:tcW w:w="2800" w:type="dxa"/>
            <w:vAlign w:val="bottom"/>
          </w:tcPr>
          <w:p>
            <w:pPr>
              <w:spacing w:after="0"/>
              <w:rPr>
                <w:sz w:val="20"/>
                <w:szCs w:val="20"/>
                <w:color w:val="auto"/>
              </w:rPr>
            </w:pPr>
            <w:r>
              <w:rPr>
                <w:rFonts w:ascii="Arial" w:cs="Arial" w:eastAsia="Arial" w:hAnsi="Arial"/>
                <w:sz w:val="18"/>
                <w:szCs w:val="18"/>
                <w:color w:val="auto"/>
              </w:rPr>
              <w:t>Equity investments</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5,378</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5,378</w:t>
            </w:r>
          </w:p>
        </w:tc>
        <w:tc>
          <w:tcPr>
            <w:tcW w:w="0" w:type="dxa"/>
            <w:vAlign w:val="bottom"/>
          </w:tcPr>
          <w:p>
            <w:pPr>
              <w:spacing w:after="0"/>
              <w:rPr>
                <w:sz w:val="1"/>
                <w:szCs w:val="1"/>
                <w:color w:val="auto"/>
              </w:rPr>
            </w:pPr>
          </w:p>
        </w:tc>
      </w:tr>
      <w:tr>
        <w:trPr>
          <w:trHeight w:val="40"/>
        </w:trPr>
        <w:tc>
          <w:tcPr>
            <w:tcW w:w="28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 equity investments</w:t>
            </w:r>
          </w:p>
        </w:tc>
        <w:tc>
          <w:tcPr>
            <w:tcW w:w="9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6,960</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976</w:t>
            </w:r>
          </w:p>
        </w:tc>
        <w:tc>
          <w:tcPr>
            <w:tcW w:w="2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0</w:t>
            </w:r>
          </w:p>
        </w:tc>
        <w:tc>
          <w:tcPr>
            <w:tcW w:w="2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74"/>
        </w:trPr>
        <w:tc>
          <w:tcPr>
            <w:tcW w:w="2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0"/>
                <w:szCs w:val="20"/>
                <w:color w:val="auto"/>
              </w:rPr>
            </w:pPr>
            <w:r>
              <w:rPr>
                <w:rFonts w:ascii="Arial" w:cs="Arial" w:eastAsia="Arial" w:hAnsi="Arial"/>
                <w:sz w:val="18"/>
                <w:szCs w:val="18"/>
                <w:color w:val="auto"/>
              </w:rPr>
              <w:t>Cash</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7,272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7,272</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Derivatives, net </w:t>
            </w:r>
            <w:r>
              <w:rPr>
                <w:rFonts w:ascii="Arial" w:cs="Arial" w:eastAsia="Arial" w:hAnsi="Arial"/>
                <w:sz w:val="15"/>
                <w:szCs w:val="15"/>
                <w:color w:val="auto"/>
              </w:rPr>
              <w:t>(a)</w:t>
            </w:r>
          </w:p>
        </w:tc>
        <w:tc>
          <w:tcPr>
            <w:tcW w:w="9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78</w:t>
            </w: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78</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28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800" w:type="dxa"/>
            <w:vAlign w:val="bottom"/>
          </w:tcPr>
          <w:p>
            <w:pPr>
              <w:ind w:left="2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136,318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14,224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116,110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34290</wp:posOffset>
            </wp:positionV>
            <wp:extent cx="262318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23185" cy="17145"/>
                    </a:xfrm>
                    <a:prstGeom prst="rect">
                      <a:avLst/>
                    </a:prstGeom>
                    <a:noFill/>
                  </pic:spPr>
                </pic:pic>
              </a:graphicData>
            </a:graphic>
          </wp:anchor>
        </w:drawing>
      </w:r>
    </w:p>
    <w:p>
      <w:pPr>
        <w:spacing w:after="0" w:line="123"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fair value of our derivative instruments.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Equity investments presented as “Other” in the tables above include investments without readily determinable fair values measured using the equity method or measured at cost with adjustments for observable changes in price or impairments, and investments measured at fair value using net asset value as a practical expedient which are not categorized in the fair value hierarchy. As of March 31, 2022 and June 30, 2021, equity investments without readily determinable fair values measured at cost with adjustments for observable changes in price or impairments were $3.8 billion and $3.3 billion,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 on Debt Investments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Debt investments with continuous unrealized losses for less than 12 months and 12 months or greater and their related fair values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rPr>
              <w:t>Less than 12 Months</w:t>
            </w:r>
          </w:p>
        </w:tc>
        <w:tc>
          <w:tcPr>
            <w:tcW w:w="240" w:type="dxa"/>
            <w:vAlign w:val="bottom"/>
          </w:tcPr>
          <w:p>
            <w:pPr>
              <w:spacing w:after="0"/>
              <w:rPr>
                <w:sz w:val="15"/>
                <w:szCs w:val="15"/>
                <w:color w:val="auto"/>
              </w:rPr>
            </w:pPr>
          </w:p>
        </w:tc>
        <w:tc>
          <w:tcPr>
            <w:tcW w:w="222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rPr>
              <w:t>12 Months or Greater</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5"/>
        </w:trPr>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78"/>
        </w:trPr>
        <w:tc>
          <w:tcPr>
            <w:tcW w:w="35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5"/>
                <w:szCs w:val="15"/>
                <w:color w:val="auto"/>
              </w:rPr>
            </w:pPr>
          </w:p>
        </w:tc>
        <w:tc>
          <w:tcPr>
            <w:tcW w:w="88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54"/>
        </w:trPr>
        <w:tc>
          <w:tcPr>
            <w:tcW w:w="35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3"/>
                <w:szCs w:val="13"/>
                <w:b w:val="1"/>
                <w:bCs w:val="1"/>
                <w:color w:val="auto"/>
              </w:rPr>
              <w:t>March 31, 2022</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6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35,798</w:t>
            </w:r>
          </w:p>
        </w:tc>
        <w:tc>
          <w:tcPr>
            <w:tcW w:w="3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(918)</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2,308</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(262)</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38,106</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(1,180)</w:t>
            </w:r>
          </w:p>
        </w:tc>
        <w:tc>
          <w:tcPr>
            <w:tcW w:w="0" w:type="dxa"/>
            <w:vAlign w:val="bottom"/>
          </w:tcPr>
          <w:p>
            <w:pPr>
              <w:spacing w:after="0"/>
              <w:rPr>
                <w:sz w:val="1"/>
                <w:szCs w:val="1"/>
                <w:color w:val="auto"/>
              </w:rPr>
            </w:pP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419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(4)</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449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4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450</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(13)</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483</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8,133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(241)</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461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(36)</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8,594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(277)</w:t>
            </w: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4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125</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57</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(7)</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182</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68"/>
        </w:trPr>
        <w:tc>
          <w:tcPr>
            <w:tcW w:w="35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560" w:type="dxa"/>
            <w:vAlign w:val="bottom"/>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44,925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(1,185)</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2,889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(310)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47,814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(1,495)</w:t>
            </w:r>
          </w:p>
        </w:tc>
        <w:tc>
          <w:tcPr>
            <w:tcW w:w="0" w:type="dxa"/>
            <w:vAlign w:val="bottom"/>
          </w:tcPr>
          <w:p>
            <w:pPr>
              <w:spacing w:after="0"/>
              <w:rPr>
                <w:sz w:val="1"/>
                <w:szCs w:val="1"/>
                <w:color w:val="auto"/>
              </w:rPr>
            </w:pPr>
          </w:p>
        </w:tc>
      </w:tr>
      <w:tr>
        <w:trPr>
          <w:trHeight w:val="61"/>
        </w:trPr>
        <w:tc>
          <w:tcPr>
            <w:tcW w:w="3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3"/>
        </w:trPr>
        <w:tc>
          <w:tcPr>
            <w:tcW w:w="3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417"/>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5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3" w:name="page14"/>
    <w:bookmarkEnd w:id="1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rPr>
              <w:t>Less than 12 Months</w:t>
            </w:r>
          </w:p>
        </w:tc>
        <w:tc>
          <w:tcPr>
            <w:tcW w:w="240" w:type="dxa"/>
            <w:vAlign w:val="bottom"/>
          </w:tcPr>
          <w:p>
            <w:pPr>
              <w:spacing w:after="0"/>
              <w:rPr>
                <w:sz w:val="15"/>
                <w:szCs w:val="15"/>
                <w:color w:val="auto"/>
              </w:rPr>
            </w:pPr>
          </w:p>
        </w:tc>
        <w:tc>
          <w:tcPr>
            <w:tcW w:w="222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rPr>
              <w:t>12 Months or Greater</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78"/>
        </w:trPr>
        <w:tc>
          <w:tcPr>
            <w:tcW w:w="35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5"/>
                <w:szCs w:val="15"/>
                <w:color w:val="auto"/>
              </w:rPr>
            </w:pPr>
          </w:p>
        </w:tc>
        <w:tc>
          <w:tcPr>
            <w:tcW w:w="88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55"/>
        </w:trPr>
        <w:tc>
          <w:tcPr>
            <w:tcW w:w="35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3"/>
                <w:szCs w:val="13"/>
                <w:b w:val="1"/>
                <w:bCs w:val="1"/>
                <w:color w:val="auto"/>
              </w:rPr>
              <w:t>June 30, 2021</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6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5,294</w:t>
            </w:r>
          </w:p>
        </w:tc>
        <w:tc>
          <w:tcPr>
            <w:tcW w:w="3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(111)</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5,294</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3,148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3,153</w:t>
            </w:r>
          </w:p>
        </w:tc>
        <w:tc>
          <w:tcPr>
            <w:tcW w:w="220" w:type="dxa"/>
            <w:vAlign w:val="bottom"/>
          </w:tcPr>
          <w:p>
            <w:pPr>
              <w:spacing w:after="0"/>
              <w:rPr>
                <w:sz w:val="16"/>
                <w:szCs w:val="16"/>
                <w:color w:val="auto"/>
              </w:rPr>
            </w:pPr>
          </w:p>
        </w:tc>
        <w:tc>
          <w:tcPr>
            <w:tcW w:w="9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4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1,211</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(5)</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87</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w:t>
            </w: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1,298</w:t>
            </w:r>
          </w:p>
        </w:tc>
        <w:tc>
          <w:tcPr>
            <w:tcW w:w="2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1,678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(8)</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1,712</w:t>
            </w:r>
          </w:p>
        </w:tc>
        <w:tc>
          <w:tcPr>
            <w:tcW w:w="220" w:type="dxa"/>
            <w:vAlign w:val="bottom"/>
          </w:tcPr>
          <w:p>
            <w:pPr>
              <w:spacing w:after="0"/>
              <w:rPr>
                <w:sz w:val="16"/>
                <w:szCs w:val="16"/>
                <w:color w:val="auto"/>
              </w:rPr>
            </w:pPr>
          </w:p>
        </w:tc>
        <w:tc>
          <w:tcPr>
            <w:tcW w:w="9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4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58</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(7)</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59</w:t>
            </w:r>
          </w:p>
        </w:tc>
        <w:tc>
          <w:tcPr>
            <w:tcW w:w="2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68"/>
        </w:trPr>
        <w:tc>
          <w:tcPr>
            <w:tcW w:w="35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560" w:type="dxa"/>
            <w:vAlign w:val="bottom"/>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11,389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11,516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61"/>
        </w:trPr>
        <w:tc>
          <w:tcPr>
            <w:tcW w:w="3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Unrealized losses from fixed-income securities are primarily attributable to changes in interest rates. Management does not believe any remaining unrealized losses represent impairments based on our evaluation of available evidence.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Maturities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Adjusted</w:t>
            </w:r>
          </w:p>
        </w:tc>
        <w:tc>
          <w:tcPr>
            <w:tcW w:w="46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Estimated</w:t>
            </w:r>
          </w:p>
        </w:tc>
      </w:tr>
      <w:tr>
        <w:trPr>
          <w:trHeight w:val="178"/>
        </w:trPr>
        <w:tc>
          <w:tcPr>
            <w:tcW w:w="80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6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Cost Basis</w:t>
            </w:r>
          </w:p>
        </w:tc>
        <w:tc>
          <w:tcPr>
            <w:tcW w:w="4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Fair Value</w:t>
            </w:r>
          </w:p>
        </w:tc>
      </w:tr>
      <w:tr>
        <w:trPr>
          <w:trHeight w:val="55"/>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3"/>
                <w:szCs w:val="13"/>
                <w:b w:val="1"/>
                <w:bCs w:val="1"/>
                <w:color w:val="auto"/>
              </w:rPr>
              <w:t>March 31, 2022</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4"/>
        </w:trPr>
        <w:tc>
          <w:tcPr>
            <w:tcW w:w="8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Due in one year or less</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20,401</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20,496</w:t>
            </w: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Due after one year through five years</w:t>
            </w:r>
          </w:p>
        </w:tc>
        <w:tc>
          <w:tcPr>
            <w:tcW w:w="460" w:type="dxa"/>
            <w:vAlign w:val="bottom"/>
          </w:tcPr>
          <w:p>
            <w:pPr>
              <w:spacing w:after="0"/>
              <w:rPr>
                <w:sz w:val="16"/>
                <w:szCs w:val="16"/>
                <w:color w:val="auto"/>
              </w:rPr>
            </w:pPr>
          </w:p>
        </w:tc>
        <w:tc>
          <w:tcPr>
            <w:tcW w:w="12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56,463</w:t>
            </w:r>
          </w:p>
        </w:tc>
        <w:tc>
          <w:tcPr>
            <w:tcW w:w="460" w:type="dxa"/>
            <w:vAlign w:val="bottom"/>
          </w:tcPr>
          <w:p>
            <w:pPr>
              <w:spacing w:after="0"/>
              <w:rPr>
                <w:sz w:val="16"/>
                <w:szCs w:val="16"/>
                <w:color w:val="auto"/>
              </w:rPr>
            </w:pPr>
          </w:p>
        </w:tc>
        <w:tc>
          <w:tcPr>
            <w:tcW w:w="106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56,076</w:t>
            </w: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Due after five years through 10 years</w:t>
            </w:r>
          </w:p>
        </w:tc>
        <w:tc>
          <w:tcPr>
            <w:tcW w:w="460" w:type="dxa"/>
            <w:vAlign w:val="bottom"/>
            <w:shd w:val="clear" w:color="auto" w:fill="E5E5E5"/>
          </w:tcPr>
          <w:p>
            <w:pPr>
              <w:spacing w:after="0"/>
              <w:rPr>
                <w:sz w:val="16"/>
                <w:szCs w:val="16"/>
                <w:color w:val="auto"/>
              </w:rPr>
            </w:pPr>
          </w:p>
        </w:tc>
        <w:tc>
          <w:tcPr>
            <w:tcW w:w="12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18,807</w:t>
            </w:r>
          </w:p>
        </w:tc>
        <w:tc>
          <w:tcPr>
            <w:tcW w:w="4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18,049</w:t>
            </w:r>
          </w:p>
        </w:tc>
      </w:tr>
      <w:tr>
        <w:trPr>
          <w:trHeight w:val="250"/>
        </w:trPr>
        <w:tc>
          <w:tcPr>
            <w:tcW w:w="8000" w:type="dxa"/>
            <w:vAlign w:val="bottom"/>
          </w:tcPr>
          <w:p>
            <w:pPr>
              <w:spacing w:after="0"/>
              <w:rPr>
                <w:sz w:val="20"/>
                <w:szCs w:val="20"/>
                <w:color w:val="auto"/>
              </w:rPr>
            </w:pPr>
            <w:r>
              <w:rPr>
                <w:rFonts w:ascii="Arial" w:cs="Arial" w:eastAsia="Arial" w:hAnsi="Arial"/>
                <w:sz w:val="18"/>
                <w:szCs w:val="18"/>
                <w:color w:val="auto"/>
              </w:rPr>
              <w:t>Due after 10 years</w:t>
            </w:r>
          </w:p>
        </w:tc>
        <w:tc>
          <w:tcPr>
            <w:tcW w:w="4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1,377</w:t>
            </w:r>
          </w:p>
        </w:tc>
        <w:tc>
          <w:tcPr>
            <w:tcW w:w="4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1,349</w:t>
            </w:r>
          </w:p>
        </w:tc>
      </w:tr>
      <w:tr>
        <w:trPr>
          <w:trHeight w:val="68"/>
        </w:trPr>
        <w:tc>
          <w:tcPr>
            <w:tcW w:w="80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97,048</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95,970</w:t>
            </w:r>
          </w:p>
        </w:tc>
      </w:tr>
      <w:tr>
        <w:trPr>
          <w:trHeight w:val="74"/>
        </w:trPr>
        <w:tc>
          <w:tcPr>
            <w:tcW w:w="800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5 — DERIVATIVES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use derivative instruments to manage risks related to foreign currencies, interest rates, equity prices,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hedge positions.</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Foreign currency risks related to certain non-U.S. dollar-denominated investments are hedged using foreign exchange forward contracts that are designated as fair value hedging instruments. Foreign currency risks related to certain Euro-denominated debt are hedged using foreign exchange forward contracts that are designated as cash flow hedging instruments.</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Certain options and forwards not designated as hedging instruments are also used to manage the variability in foreign exchange rates on certain balance sheet amounts and to manage other foreign currency exposures.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Interest rate risks related to certain fixed-rate debt are hedged using interest rate swaps that are designated as fair value hedging instruments to effectively convert the fixed interest rates to floating interest rates.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4" w:name="page15"/>
    <w:bookmarkEnd w:id="1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our fixed-income portfolio to achieve economic returns that correlate to certain broad-based fixed-income indices using exchange-traded option and futures contracts and over-the -counter swap and option contracts. These contracts are not designated as hedging instruments and are included in “Other contracts” in the tables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Securities held in our equity investments portfolio are subject to market price risk. At times, we may hold options, futures, and swap contracts. These contracts are not designated as hedging instruments and are included in “Other contracts” in the tables below.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fixed-income portfolio is diversified and consists primarily of investment-grade securities. We use credit default swap contracts to manage credit exposures relative to broad-based indices and to facilitate portfolio diversification. These contracts are not designated as hedging instruments and are included in “Other contracts” in the tables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of our counterparty agreements for derivative instruments contain provisions that require our issued and outstanding long-term unsecured debt to maintain an investment grade credit rating and require us to maintain minimum liquidity of $1.0 billion. To the extent we fail to meet these requirements, we will be required to post collateral, similar to the standard convention related to over-the-counter derivatives. As of March 31, 2022, our long-term unsecured debt rating was AAA, and cash investments were in excess of $1.0 billion. As a result, no collateral was required to be posted.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notional amounts of our outstanding derivative instruments measured in U.S. dollar equivalents: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March 31,</w:t>
            </w:r>
          </w:p>
        </w:tc>
        <w:tc>
          <w:tcPr>
            <w:tcW w:w="68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r>
      <w:tr>
        <w:trPr>
          <w:trHeight w:val="178"/>
        </w:trPr>
        <w:tc>
          <w:tcPr>
            <w:tcW w:w="43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39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6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r>
      <w:tr>
        <w:trPr>
          <w:trHeight w:val="54"/>
        </w:trPr>
        <w:tc>
          <w:tcPr>
            <w:tcW w:w="4340" w:type="dxa"/>
            <w:vAlign w:val="bottom"/>
            <w:tcBorders>
              <w:bottom w:val="single" w:sz="8" w:color="auto"/>
            </w:tcBorders>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3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5"/>
        </w:trPr>
        <w:tc>
          <w:tcPr>
            <w:tcW w:w="434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 purchased</w:t>
            </w:r>
          </w:p>
        </w:tc>
        <w:tc>
          <w:tcPr>
            <w:tcW w:w="3940" w:type="dxa"/>
            <w:vAlign w:val="bottom"/>
            <w:shd w:val="clear" w:color="auto" w:fill="E5E5E5"/>
          </w:tcPr>
          <w:p>
            <w:pPr>
              <w:jc w:val="right"/>
              <w:ind w:right="359"/>
              <w:spacing w:after="0" w:line="189" w:lineRule="exact"/>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635</w:t>
            </w:r>
          </w:p>
        </w:tc>
        <w:tc>
          <w:tcPr>
            <w:tcW w:w="680" w:type="dxa"/>
            <w:vAlign w:val="bottom"/>
            <w:shd w:val="clear" w:color="auto" w:fill="E5E5E5"/>
          </w:tcPr>
          <w:p>
            <w:pPr>
              <w:jc w:val="right"/>
              <w:ind w:right="43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635</w:t>
            </w:r>
          </w:p>
        </w:tc>
      </w:tr>
      <w:tr>
        <w:trPr>
          <w:trHeight w:val="189"/>
        </w:trPr>
        <w:tc>
          <w:tcPr>
            <w:tcW w:w="4340" w:type="dxa"/>
            <w:vAlign w:val="bottom"/>
          </w:tcPr>
          <w:p>
            <w:pPr>
              <w:spacing w:after="0" w:line="189" w:lineRule="exact"/>
              <w:rPr>
                <w:sz w:val="20"/>
                <w:szCs w:val="20"/>
                <w:color w:val="auto"/>
              </w:rPr>
            </w:pPr>
            <w:r>
              <w:rPr>
                <w:rFonts w:ascii="Arial" w:cs="Arial" w:eastAsia="Arial" w:hAnsi="Arial"/>
                <w:sz w:val="18"/>
                <w:szCs w:val="18"/>
                <w:color w:val="auto"/>
              </w:rPr>
              <w:t>Foreign exchange contracts sold</w:t>
            </w:r>
          </w:p>
        </w:tc>
        <w:tc>
          <w:tcPr>
            <w:tcW w:w="39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680" w:type="dxa"/>
            <w:vAlign w:val="bottom"/>
          </w:tcPr>
          <w:p>
            <w:pPr>
              <w:spacing w:after="0"/>
              <w:rPr>
                <w:sz w:val="16"/>
                <w:szCs w:val="16"/>
                <w:color w:val="auto"/>
              </w:rPr>
            </w:pPr>
          </w:p>
        </w:tc>
        <w:tc>
          <w:tcPr>
            <w:tcW w:w="11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6,081</w:t>
            </w: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 contracts purchased</w:t>
            </w:r>
          </w:p>
        </w:tc>
        <w:tc>
          <w:tcPr>
            <w:tcW w:w="3940" w:type="dxa"/>
            <w:vAlign w:val="bottom"/>
            <w:shd w:val="clear" w:color="auto" w:fill="E5E5E5"/>
          </w:tcPr>
          <w:p>
            <w:pPr>
              <w:spacing w:after="0"/>
              <w:rPr>
                <w:sz w:val="16"/>
                <w:szCs w:val="16"/>
                <w:color w:val="auto"/>
              </w:rPr>
            </w:pPr>
          </w:p>
        </w:tc>
        <w:tc>
          <w:tcPr>
            <w:tcW w:w="1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1,160</w:t>
            </w:r>
          </w:p>
        </w:tc>
        <w:tc>
          <w:tcPr>
            <w:tcW w:w="6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1,247</w:t>
            </w:r>
          </w:p>
        </w:tc>
      </w:tr>
      <w:tr>
        <w:trPr>
          <w:trHeight w:val="229"/>
        </w:trPr>
        <w:tc>
          <w:tcPr>
            <w:tcW w:w="434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3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5"/>
        </w:trPr>
        <w:tc>
          <w:tcPr>
            <w:tcW w:w="434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 purchased</w:t>
            </w:r>
          </w:p>
        </w:tc>
        <w:tc>
          <w:tcPr>
            <w:tcW w:w="3940" w:type="dxa"/>
            <w:vAlign w:val="bottom"/>
            <w:shd w:val="clear" w:color="auto" w:fill="E5E5E5"/>
          </w:tcPr>
          <w:p>
            <w:pPr>
              <w:spacing w:after="0"/>
              <w:rPr>
                <w:sz w:val="16"/>
                <w:szCs w:val="16"/>
                <w:color w:val="auto"/>
              </w:rPr>
            </w:pPr>
          </w:p>
        </w:tc>
        <w:tc>
          <w:tcPr>
            <w:tcW w:w="1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8,151</w:t>
            </w:r>
          </w:p>
        </w:tc>
        <w:tc>
          <w:tcPr>
            <w:tcW w:w="6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14,223</w:t>
            </w:r>
          </w:p>
        </w:tc>
      </w:tr>
      <w:tr>
        <w:trPr>
          <w:trHeight w:val="189"/>
        </w:trPr>
        <w:tc>
          <w:tcPr>
            <w:tcW w:w="4340" w:type="dxa"/>
            <w:vAlign w:val="bottom"/>
          </w:tcPr>
          <w:p>
            <w:pPr>
              <w:spacing w:after="0" w:line="189" w:lineRule="exact"/>
              <w:rPr>
                <w:sz w:val="20"/>
                <w:szCs w:val="20"/>
                <w:color w:val="auto"/>
              </w:rPr>
            </w:pPr>
            <w:r>
              <w:rPr>
                <w:rFonts w:ascii="Arial" w:cs="Arial" w:eastAsia="Arial" w:hAnsi="Arial"/>
                <w:sz w:val="18"/>
                <w:szCs w:val="18"/>
                <w:color w:val="auto"/>
              </w:rPr>
              <w:t>Foreign exchange contracts sold</w:t>
            </w:r>
          </w:p>
        </w:tc>
        <w:tc>
          <w:tcPr>
            <w:tcW w:w="39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13,929</w:t>
            </w:r>
          </w:p>
        </w:tc>
        <w:tc>
          <w:tcPr>
            <w:tcW w:w="680" w:type="dxa"/>
            <w:vAlign w:val="bottom"/>
          </w:tcPr>
          <w:p>
            <w:pPr>
              <w:spacing w:after="0"/>
              <w:rPr>
                <w:sz w:val="16"/>
                <w:szCs w:val="16"/>
                <w:color w:val="auto"/>
              </w:rPr>
            </w:pPr>
          </w:p>
        </w:tc>
        <w:tc>
          <w:tcPr>
            <w:tcW w:w="11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23,391</w:t>
            </w: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contracts purchased</w:t>
            </w:r>
          </w:p>
        </w:tc>
        <w:tc>
          <w:tcPr>
            <w:tcW w:w="3940" w:type="dxa"/>
            <w:vAlign w:val="bottom"/>
            <w:shd w:val="clear" w:color="auto" w:fill="E5E5E5"/>
          </w:tcPr>
          <w:p>
            <w:pPr>
              <w:spacing w:after="0"/>
              <w:rPr>
                <w:sz w:val="16"/>
                <w:szCs w:val="16"/>
                <w:color w:val="auto"/>
              </w:rPr>
            </w:pPr>
          </w:p>
        </w:tc>
        <w:tc>
          <w:tcPr>
            <w:tcW w:w="1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2,757</w:t>
            </w:r>
          </w:p>
        </w:tc>
        <w:tc>
          <w:tcPr>
            <w:tcW w:w="6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2,456</w:t>
            </w:r>
          </w:p>
        </w:tc>
      </w:tr>
      <w:tr>
        <w:trPr>
          <w:trHeight w:val="250"/>
        </w:trPr>
        <w:tc>
          <w:tcPr>
            <w:tcW w:w="4340" w:type="dxa"/>
            <w:vAlign w:val="bottom"/>
          </w:tcPr>
          <w:p>
            <w:pPr>
              <w:spacing w:after="0"/>
              <w:rPr>
                <w:sz w:val="20"/>
                <w:szCs w:val="20"/>
                <w:color w:val="auto"/>
              </w:rPr>
            </w:pPr>
            <w:r>
              <w:rPr>
                <w:rFonts w:ascii="Arial" w:cs="Arial" w:eastAsia="Arial" w:hAnsi="Arial"/>
                <w:sz w:val="18"/>
                <w:szCs w:val="18"/>
                <w:color w:val="auto"/>
              </w:rPr>
              <w:t>Other contracts sold</w:t>
            </w:r>
          </w:p>
        </w:tc>
        <w:tc>
          <w:tcPr>
            <w:tcW w:w="39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869</w:t>
            </w:r>
          </w:p>
        </w:tc>
        <w:tc>
          <w:tcPr>
            <w:tcW w:w="68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r>
      <w:tr>
        <w:trPr>
          <w:trHeight w:val="595"/>
        </w:trPr>
        <w:tc>
          <w:tcPr>
            <w:tcW w:w="4340" w:type="dxa"/>
            <w:vAlign w:val="bottom"/>
            <w:tcBorders>
              <w:top w:val="single" w:sz="8" w:color="auto"/>
            </w:tcBorders>
          </w:tcPr>
          <w:p>
            <w:pPr>
              <w:spacing w:after="0"/>
              <w:rPr>
                <w:sz w:val="24"/>
                <w:szCs w:val="24"/>
                <w:color w:val="auto"/>
              </w:rPr>
            </w:pPr>
          </w:p>
        </w:tc>
        <w:tc>
          <w:tcPr>
            <w:tcW w:w="3940" w:type="dxa"/>
            <w:vAlign w:val="bottom"/>
            <w:tcBorders>
              <w:top w:val="single" w:sz="8" w:color="auto"/>
            </w:tcBorders>
          </w:tcPr>
          <w:p>
            <w:pPr>
              <w:jc w:val="right"/>
              <w:ind w:right="2499"/>
              <w:spacing w:after="0"/>
              <w:rPr>
                <w:sz w:val="20"/>
                <w:szCs w:val="20"/>
                <w:color w:val="auto"/>
              </w:rPr>
            </w:pPr>
            <w:r>
              <w:rPr>
                <w:rFonts w:ascii="Arial" w:cs="Arial" w:eastAsia="Arial" w:hAnsi="Arial"/>
                <w:sz w:val="14"/>
                <w:szCs w:val="14"/>
                <w:color w:val="auto"/>
              </w:rPr>
              <w:t>15</w:t>
            </w:r>
          </w:p>
        </w:tc>
        <w:tc>
          <w:tcPr>
            <w:tcW w:w="1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4340" w:type="dxa"/>
            <w:vAlign w:val="bottom"/>
            <w:tcBorders>
              <w:bottom w:val="single" w:sz="8" w:color="9A9A9A"/>
            </w:tcBorders>
          </w:tcPr>
          <w:p>
            <w:pPr>
              <w:spacing w:after="0"/>
              <w:rPr>
                <w:sz w:val="8"/>
                <w:szCs w:val="8"/>
                <w:color w:val="auto"/>
              </w:rPr>
            </w:pPr>
          </w:p>
        </w:tc>
        <w:tc>
          <w:tcPr>
            <w:tcW w:w="39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5" w:name="page16"/>
    <w:bookmarkEnd w:id="1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derivative instruments: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Derivative</w:t>
            </w:r>
          </w:p>
        </w:tc>
        <w:tc>
          <w:tcPr>
            <w:tcW w:w="0" w:type="dxa"/>
            <w:vAlign w:val="bottom"/>
          </w:tcPr>
          <w:p>
            <w:pPr>
              <w:spacing w:after="0"/>
              <w:rPr>
                <w:sz w:val="1"/>
                <w:szCs w:val="1"/>
                <w:color w:val="auto"/>
              </w:rPr>
            </w:pPr>
          </w:p>
        </w:tc>
      </w:tr>
      <w:tr>
        <w:trPr>
          <w:trHeight w:val="178"/>
        </w:trPr>
        <w:tc>
          <w:tcPr>
            <w:tcW w:w="59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Assets</w:t>
            </w:r>
          </w:p>
        </w:tc>
        <w:tc>
          <w:tcPr>
            <w:tcW w:w="2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Liabilities</w:t>
            </w:r>
          </w:p>
        </w:tc>
        <w:tc>
          <w:tcPr>
            <w:tcW w:w="2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Assets</w:t>
            </w:r>
          </w:p>
        </w:tc>
        <w:tc>
          <w:tcPr>
            <w:tcW w:w="2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55"/>
        </w:trPr>
        <w:tc>
          <w:tcPr>
            <w:tcW w:w="59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8"/>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(39)</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76</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9"/>
        </w:trPr>
        <w:tc>
          <w:tcPr>
            <w:tcW w:w="5980" w:type="dxa"/>
            <w:vAlign w:val="bottom"/>
          </w:tcPr>
          <w:p>
            <w:pPr>
              <w:spacing w:after="0"/>
              <w:rPr>
                <w:sz w:val="20"/>
                <w:szCs w:val="20"/>
                <w:color w:val="auto"/>
              </w:rPr>
            </w:pPr>
            <w:r>
              <w:rPr>
                <w:rFonts w:ascii="Arial" w:cs="Arial" w:eastAsia="Arial" w:hAnsi="Arial"/>
                <w:sz w:val="18"/>
                <w:szCs w:val="18"/>
                <w:color w:val="auto"/>
              </w:rPr>
              <w:t>Interest rate contracts</w:t>
            </w:r>
          </w:p>
        </w:tc>
        <w:tc>
          <w:tcPr>
            <w:tcW w:w="2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98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5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234</w:t>
            </w: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(322)</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227</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50"/>
        </w:trPr>
        <w:tc>
          <w:tcPr>
            <w:tcW w:w="5980" w:type="dxa"/>
            <w:vAlign w:val="bottom"/>
          </w:tcPr>
          <w:p>
            <w:pPr>
              <w:spacing w:after="0"/>
              <w:rPr>
                <w:sz w:val="20"/>
                <w:szCs w:val="20"/>
                <w:color w:val="auto"/>
              </w:rPr>
            </w:pPr>
            <w:r>
              <w:rPr>
                <w:rFonts w:ascii="Arial" w:cs="Arial" w:eastAsia="Arial" w:hAnsi="Arial"/>
                <w:sz w:val="18"/>
                <w:szCs w:val="18"/>
                <w:color w:val="auto"/>
              </w:rPr>
              <w:t>Other contracts</w:t>
            </w:r>
          </w:p>
        </w:tc>
        <w:tc>
          <w:tcPr>
            <w:tcW w:w="28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96</w:t>
            </w: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68"/>
        </w:trPr>
        <w:tc>
          <w:tcPr>
            <w:tcW w:w="598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Gross amounts of derivatives</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330</w:t>
            </w: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(429)</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399</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8"/>
                <w:szCs w:val="18"/>
                <w:color w:val="auto"/>
              </w:rPr>
              <w:t>Gross amounts of derivatives offset in the balance sheet</w:t>
            </w:r>
          </w:p>
        </w:tc>
        <w:tc>
          <w:tcPr>
            <w:tcW w:w="280" w:type="dxa"/>
            <w:vAlign w:val="bottom"/>
          </w:tcPr>
          <w:p>
            <w:pPr>
              <w:spacing w:after="0"/>
              <w:rPr>
                <w:sz w:val="16"/>
                <w:szCs w:val="16"/>
                <w:color w:val="auto"/>
              </w:rPr>
            </w:pPr>
          </w:p>
        </w:tc>
        <w:tc>
          <w:tcPr>
            <w:tcW w:w="110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(175)</w:t>
            </w:r>
          </w:p>
        </w:tc>
        <w:tc>
          <w:tcPr>
            <w:tcW w:w="2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177</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(141)</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collateral received</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(175)</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68"/>
        </w:trPr>
        <w:tc>
          <w:tcPr>
            <w:tcW w:w="59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980" w:type="dxa"/>
            <w:vAlign w:val="bottom"/>
          </w:tcPr>
          <w:p>
            <w:pPr>
              <w:ind w:left="220"/>
              <w:spacing w:after="0"/>
              <w:rPr>
                <w:sz w:val="20"/>
                <w:szCs w:val="20"/>
                <w:color w:val="auto"/>
              </w:rPr>
            </w:pPr>
            <w:r>
              <w:rPr>
                <w:rFonts w:ascii="Arial" w:cs="Arial" w:eastAsia="Arial" w:hAnsi="Arial"/>
                <w:sz w:val="18"/>
                <w:szCs w:val="18"/>
                <w:color w:val="auto"/>
              </w:rPr>
              <w:t>Net amounts of derivatives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155</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61"/>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Reported as</w:t>
            </w: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9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5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33</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78</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6"/>
                <w:szCs w:val="16"/>
                <w:color w:val="auto"/>
              </w:rPr>
            </w:pPr>
          </w:p>
        </w:tc>
        <w:tc>
          <w:tcPr>
            <w:tcW w:w="110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167</w:t>
            </w:r>
          </w:p>
        </w:tc>
        <w:tc>
          <w:tcPr>
            <w:tcW w:w="2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137</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assets</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(45)</w:t>
            </w: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43</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6"/>
                <w:szCs w:val="16"/>
                <w:color w:val="auto"/>
              </w:rPr>
            </w:pPr>
          </w:p>
        </w:tc>
        <w:tc>
          <w:tcPr>
            <w:tcW w:w="110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(311)</w:t>
            </w:r>
          </w:p>
        </w:tc>
        <w:tc>
          <w:tcPr>
            <w:tcW w:w="28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(116)</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68"/>
        </w:trPr>
        <w:tc>
          <w:tcPr>
            <w:tcW w:w="59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155</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61"/>
        </w:trPr>
        <w:tc>
          <w:tcPr>
            <w:tcW w:w="59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Gross derivative assets and liabilities subject to legally enforceable master netting agreements for which we have elected to offset were $314 million and $426 million, respectively, as of March 31, 2022, and $395 million and $335 million, respectively, as of June 30,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our derivatives instruments on a gross basis: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820" w:type="dxa"/>
            <w:vAlign w:val="bottom"/>
          </w:tcPr>
          <w:p>
            <w:pPr>
              <w:spacing w:after="0"/>
              <w:rPr>
                <w:sz w:val="15"/>
                <w:szCs w:val="15"/>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b w:val="1"/>
                <w:bCs w:val="1"/>
                <w:color w:val="auto"/>
              </w:rPr>
              <w:t>Level 1</w:t>
            </w:r>
          </w:p>
        </w:tc>
        <w:tc>
          <w:tcPr>
            <w:tcW w:w="500" w:type="dxa"/>
            <w:vAlign w:val="bottom"/>
          </w:tcPr>
          <w:p>
            <w:pPr>
              <w:spacing w:after="0"/>
              <w:rPr>
                <w:sz w:val="15"/>
                <w:szCs w:val="15"/>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b w:val="1"/>
                <w:bCs w:val="1"/>
                <w:color w:val="auto"/>
              </w:rPr>
              <w:t>Level 2</w:t>
            </w:r>
          </w:p>
        </w:tc>
        <w:tc>
          <w:tcPr>
            <w:tcW w:w="460" w:type="dxa"/>
            <w:vAlign w:val="bottom"/>
          </w:tcPr>
          <w:p>
            <w:pPr>
              <w:spacing w:after="0"/>
              <w:rPr>
                <w:sz w:val="15"/>
                <w:szCs w:val="15"/>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b w:val="1"/>
                <w:bCs w:val="1"/>
                <w:color w:val="auto"/>
              </w:rPr>
              <w:t>Level 3</w:t>
            </w:r>
          </w:p>
        </w:tc>
        <w:tc>
          <w:tcPr>
            <w:tcW w:w="5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r>
      <w:tr>
        <w:trPr>
          <w:trHeight w:val="55"/>
        </w:trPr>
        <w:tc>
          <w:tcPr>
            <w:tcW w:w="354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3"/>
                <w:szCs w:val="13"/>
                <w:b w:val="1"/>
                <w:bCs w:val="1"/>
                <w:color w:val="auto"/>
              </w:rPr>
              <w:t>March 31, 2022</w:t>
            </w:r>
          </w:p>
        </w:tc>
        <w:tc>
          <w:tcPr>
            <w:tcW w:w="2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5"/>
        </w:trPr>
        <w:tc>
          <w:tcPr>
            <w:tcW w:w="35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 assets</w:t>
            </w:r>
          </w:p>
        </w:tc>
        <w:tc>
          <w:tcPr>
            <w:tcW w:w="2820" w:type="dxa"/>
            <w:vAlign w:val="bottom"/>
            <w:shd w:val="clear" w:color="auto" w:fill="E5E5E5"/>
          </w:tcPr>
          <w:p>
            <w:pPr>
              <w:jc w:val="right"/>
              <w:ind w:right="199"/>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b w:val="1"/>
                <w:bCs w:val="1"/>
                <w:color w:val="auto"/>
              </w:rPr>
              <w:t>0</w:t>
            </w:r>
          </w:p>
        </w:tc>
        <w:tc>
          <w:tcPr>
            <w:tcW w:w="50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b w:val="1"/>
                <w:bCs w:val="1"/>
                <w:color w:val="auto"/>
              </w:rPr>
              <w:t>314</w:t>
            </w:r>
          </w:p>
        </w:tc>
        <w:tc>
          <w:tcPr>
            <w:tcW w:w="46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16</w:t>
            </w:r>
          </w:p>
        </w:tc>
        <w:tc>
          <w:tcPr>
            <w:tcW w:w="520" w:type="dxa"/>
            <w:vAlign w:val="bottom"/>
            <w:shd w:val="clear" w:color="auto" w:fill="E5E5E5"/>
          </w:tcPr>
          <w:p>
            <w:pPr>
              <w:jc w:val="right"/>
              <w:ind w:right="23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330</w:t>
            </w:r>
          </w:p>
        </w:tc>
      </w:tr>
      <w:tr>
        <w:trPr>
          <w:trHeight w:val="239"/>
        </w:trPr>
        <w:tc>
          <w:tcPr>
            <w:tcW w:w="3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820" w:type="dxa"/>
            <w:vAlign w:val="bottom"/>
          </w:tcPr>
          <w:p>
            <w:pPr>
              <w:spacing w:after="0"/>
              <w:rPr>
                <w:sz w:val="20"/>
                <w:szCs w:val="20"/>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b w:val="1"/>
                <w:bCs w:val="1"/>
                <w:color w:val="auto"/>
              </w:rPr>
              <w:t>0</w:t>
            </w: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(429)</w:t>
            </w:r>
          </w:p>
        </w:tc>
        <w:tc>
          <w:tcPr>
            <w:tcW w:w="46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b w:val="1"/>
                <w:bCs w:val="1"/>
                <w:color w:val="auto"/>
              </w:rPr>
              <w:t>0</w:t>
            </w:r>
          </w:p>
        </w:tc>
        <w:tc>
          <w:tcPr>
            <w:tcW w:w="5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(429)</w:t>
            </w:r>
          </w:p>
        </w:tc>
      </w:tr>
      <w:tr>
        <w:trPr>
          <w:trHeight w:val="179"/>
        </w:trPr>
        <w:tc>
          <w:tcPr>
            <w:tcW w:w="3540" w:type="dxa"/>
            <w:vAlign w:val="bottom"/>
          </w:tcPr>
          <w:p>
            <w:pPr>
              <w:spacing w:after="0"/>
              <w:rPr>
                <w:sz w:val="20"/>
                <w:szCs w:val="20"/>
                <w:color w:val="auto"/>
              </w:rPr>
            </w:pPr>
            <w:r>
              <w:rPr>
                <w:rFonts w:ascii="Arial" w:cs="Arial" w:eastAsia="Arial" w:hAnsi="Arial"/>
                <w:sz w:val="13"/>
                <w:szCs w:val="13"/>
                <w:b w:val="1"/>
                <w:bCs w:val="1"/>
                <w:color w:val="auto"/>
              </w:rPr>
              <w:t>June 30, 2021</w:t>
            </w:r>
          </w:p>
        </w:tc>
        <w:tc>
          <w:tcPr>
            <w:tcW w:w="2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4"/>
        </w:trPr>
        <w:tc>
          <w:tcPr>
            <w:tcW w:w="35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 assets</w:t>
            </w:r>
          </w:p>
        </w:tc>
        <w:tc>
          <w:tcPr>
            <w:tcW w:w="282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color w:val="auto"/>
              </w:rPr>
              <w:t>0</w:t>
            </w:r>
          </w:p>
        </w:tc>
        <w:tc>
          <w:tcPr>
            <w:tcW w:w="50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color w:val="auto"/>
              </w:rPr>
              <w:t>396</w:t>
            </w:r>
          </w:p>
        </w:tc>
        <w:tc>
          <w:tcPr>
            <w:tcW w:w="460" w:type="dxa"/>
            <w:vAlign w:val="bottom"/>
            <w:shd w:val="clear" w:color="auto" w:fill="E5E5E5"/>
          </w:tcPr>
          <w:p>
            <w:pPr>
              <w:spacing w:after="0"/>
              <w:rPr>
                <w:sz w:val="16"/>
                <w:szCs w:val="16"/>
                <w:color w:val="auto"/>
              </w:rPr>
            </w:pPr>
          </w:p>
        </w:tc>
        <w:tc>
          <w:tcPr>
            <w:tcW w:w="84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color w:val="auto"/>
              </w:rPr>
              <w:t>3</w:t>
            </w:r>
          </w:p>
        </w:tc>
        <w:tc>
          <w:tcPr>
            <w:tcW w:w="5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399</w:t>
            </w:r>
          </w:p>
        </w:tc>
      </w:tr>
      <w:tr>
        <w:trPr>
          <w:trHeight w:val="217"/>
        </w:trPr>
        <w:tc>
          <w:tcPr>
            <w:tcW w:w="3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820" w:type="dxa"/>
            <w:vAlign w:val="bottom"/>
          </w:tcPr>
          <w:p>
            <w:pPr>
              <w:spacing w:after="0"/>
              <w:rPr>
                <w:sz w:val="18"/>
                <w:szCs w:val="18"/>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w:t>
            </w:r>
          </w:p>
        </w:tc>
        <w:tc>
          <w:tcPr>
            <w:tcW w:w="46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(335)</w:t>
            </w:r>
          </w:p>
        </w:tc>
      </w:tr>
      <w:tr>
        <w:trPr>
          <w:trHeight w:val="40"/>
        </w:trPr>
        <w:tc>
          <w:tcPr>
            <w:tcW w:w="354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589"/>
        </w:trPr>
        <w:tc>
          <w:tcPr>
            <w:tcW w:w="3540" w:type="dxa"/>
            <w:vAlign w:val="bottom"/>
          </w:tcPr>
          <w:p>
            <w:pPr>
              <w:spacing w:after="0"/>
              <w:rPr>
                <w:sz w:val="24"/>
                <w:szCs w:val="24"/>
                <w:color w:val="auto"/>
              </w:rPr>
            </w:pPr>
          </w:p>
        </w:tc>
        <w:tc>
          <w:tcPr>
            <w:tcW w:w="2820" w:type="dxa"/>
            <w:vAlign w:val="bottom"/>
          </w:tcPr>
          <w:p>
            <w:pPr>
              <w:jc w:val="right"/>
              <w:ind w:right="579"/>
              <w:spacing w:after="0"/>
              <w:rPr>
                <w:sz w:val="20"/>
                <w:szCs w:val="20"/>
                <w:color w:val="auto"/>
              </w:rPr>
            </w:pPr>
            <w:r>
              <w:rPr>
                <w:rFonts w:ascii="Arial" w:cs="Arial" w:eastAsia="Arial" w:hAnsi="Arial"/>
                <w:sz w:val="14"/>
                <w:szCs w:val="14"/>
                <w:color w:val="auto"/>
              </w:rPr>
              <w:t>16</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354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6" w:name="page17"/>
    <w:bookmarkEnd w:id="1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Gains (losses) on derivative instruments recognized in other income (expense), net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80" w:type="dxa"/>
            <w:vAlign w:val="bottom"/>
            <w:gridSpan w:val="2"/>
          </w:tcPr>
          <w:p>
            <w:pPr>
              <w:jc w:val="right"/>
              <w:ind w:right="35"/>
              <w:spacing w:after="0"/>
              <w:rPr>
                <w:sz w:val="20"/>
                <w:szCs w:val="20"/>
                <w:color w:val="auto"/>
              </w:rPr>
            </w:pPr>
            <w:r>
              <w:rPr>
                <w:rFonts w:ascii="Arial" w:cs="Arial" w:eastAsia="Arial" w:hAnsi="Arial"/>
                <w:sz w:val="13"/>
                <w:szCs w:val="13"/>
                <w:b w:val="1"/>
                <w:bCs w:val="1"/>
                <w:color w:val="auto"/>
                <w:w w:val="96"/>
              </w:rPr>
              <w:t>Three Months Ended</w:t>
            </w: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Nine Months Ended</w:t>
            </w:r>
          </w:p>
        </w:tc>
      </w:tr>
      <w:tr>
        <w:trPr>
          <w:trHeight w:val="178"/>
        </w:trPr>
        <w:tc>
          <w:tcPr>
            <w:tcW w:w="58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ind w:right="35"/>
              <w:spacing w:after="0"/>
              <w:rPr>
                <w:sz w:val="20"/>
                <w:szCs w:val="20"/>
                <w:color w:val="auto"/>
              </w:rPr>
            </w:pPr>
            <w:r>
              <w:rPr>
                <w:rFonts w:ascii="Arial" w:cs="Arial" w:eastAsia="Arial" w:hAnsi="Arial"/>
                <w:sz w:val="13"/>
                <w:szCs w:val="13"/>
                <w:b w:val="1"/>
                <w:bCs w:val="1"/>
                <w:color w:val="auto"/>
              </w:rPr>
              <w:t>March 31,</w:t>
            </w: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March 31,</w:t>
            </w:r>
          </w:p>
        </w:tc>
      </w:tr>
      <w:tr>
        <w:trPr>
          <w:trHeight w:val="54"/>
        </w:trPr>
        <w:tc>
          <w:tcPr>
            <w:tcW w:w="58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5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46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3"/>
                <w:szCs w:val="13"/>
                <w:b w:val="1"/>
                <w:bCs w:val="1"/>
                <w:color w:val="auto"/>
              </w:rPr>
              <w:t>2021</w:t>
            </w:r>
          </w:p>
        </w:tc>
        <w:tc>
          <w:tcPr>
            <w:tcW w:w="54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b w:val="1"/>
                <w:bCs w:val="1"/>
                <w:color w:val="auto"/>
              </w:rPr>
              <w:t>2022</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3"/>
                <w:szCs w:val="13"/>
                <w:b w:val="1"/>
                <w:bCs w:val="1"/>
                <w:color w:val="auto"/>
              </w:rPr>
              <w:t>Designated as Fair Value Hedging Instruments</w:t>
            </w: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54"/>
        </w:trPr>
        <w:tc>
          <w:tcPr>
            <w:tcW w:w="5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58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64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r>
      <w:tr>
        <w:trPr>
          <w:trHeight w:val="189"/>
        </w:trPr>
        <w:tc>
          <w:tcPr>
            <w:tcW w:w="5820" w:type="dxa"/>
            <w:vAlign w:val="bottom"/>
          </w:tcPr>
          <w:p>
            <w:pPr>
              <w:ind w:left="220"/>
              <w:spacing w:after="0" w:line="189" w:lineRule="exact"/>
              <w:rPr>
                <w:sz w:val="20"/>
                <w:szCs w:val="20"/>
                <w:color w:val="auto"/>
              </w:rPr>
            </w:pPr>
            <w:r>
              <w:rPr>
                <w:rFonts w:ascii="Arial" w:cs="Arial" w:eastAsia="Arial" w:hAnsi="Arial"/>
                <w:sz w:val="18"/>
                <w:szCs w:val="18"/>
                <w:color w:val="auto"/>
              </w:rPr>
              <w:t>Derivatives</w:t>
            </w:r>
          </w:p>
        </w:tc>
        <w:tc>
          <w:tcPr>
            <w:tcW w:w="640" w:type="dxa"/>
            <w:vAlign w:val="bottom"/>
          </w:tcPr>
          <w:p>
            <w:pPr>
              <w:jc w:val="right"/>
              <w:ind w:right="250"/>
              <w:spacing w:after="0" w:line="189"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460" w:type="dxa"/>
            <w:vAlign w:val="bottom"/>
          </w:tcPr>
          <w:p>
            <w:pPr>
              <w:jc w:val="right"/>
              <w:ind w:right="141"/>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line="189" w:lineRule="exact"/>
              <w:rPr>
                <w:sz w:val="20"/>
                <w:szCs w:val="20"/>
                <w:color w:val="auto"/>
              </w:rPr>
            </w:pPr>
            <w:r>
              <w:rPr>
                <w:rFonts w:ascii="Arial" w:cs="Arial" w:eastAsia="Arial" w:hAnsi="Arial"/>
                <w:sz w:val="18"/>
                <w:szCs w:val="18"/>
                <w:color w:val="auto"/>
              </w:rPr>
              <w:t>482</w:t>
            </w:r>
          </w:p>
        </w:tc>
        <w:tc>
          <w:tcPr>
            <w:tcW w:w="540" w:type="dxa"/>
            <w:vAlign w:val="bottom"/>
          </w:tcPr>
          <w:p>
            <w:pPr>
              <w:jc w:val="right"/>
              <w:ind w:right="29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3"/>
              <w:spacing w:after="0" w:line="189" w:lineRule="exact"/>
              <w:rPr>
                <w:sz w:val="20"/>
                <w:szCs w:val="20"/>
                <w:color w:val="auto"/>
              </w:rPr>
            </w:pPr>
            <w:r>
              <w:rPr>
                <w:rFonts w:ascii="Arial" w:cs="Arial" w:eastAsia="Arial" w:hAnsi="Arial"/>
                <w:sz w:val="18"/>
                <w:szCs w:val="18"/>
                <w:b w:val="1"/>
                <w:bCs w:val="1"/>
                <w:color w:val="auto"/>
              </w:rPr>
              <w:t>49</w:t>
            </w:r>
          </w:p>
        </w:tc>
        <w:tc>
          <w:tcPr>
            <w:tcW w:w="420" w:type="dxa"/>
            <w:vAlign w:val="bottom"/>
          </w:tcPr>
          <w:p>
            <w:pPr>
              <w:jc w:val="right"/>
              <w:ind w:right="141"/>
              <w:spacing w:after="0" w:line="189"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189</w:t>
            </w:r>
          </w:p>
        </w:tc>
        <w:tc>
          <w:tcPr>
            <w:tcW w:w="100" w:type="dxa"/>
            <w:vAlign w:val="bottom"/>
          </w:tcPr>
          <w:p>
            <w:pPr>
              <w:spacing w:after="0"/>
              <w:rPr>
                <w:sz w:val="16"/>
                <w:szCs w:val="16"/>
                <w:color w:val="auto"/>
              </w:rPr>
            </w:pPr>
          </w:p>
        </w:tc>
      </w:tr>
      <w:tr>
        <w:trPr>
          <w:trHeight w:val="189"/>
        </w:trPr>
        <w:tc>
          <w:tcPr>
            <w:tcW w:w="58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Hedged items</w:t>
            </w:r>
          </w:p>
        </w:tc>
        <w:tc>
          <w:tcPr>
            <w:tcW w:w="64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460" w:type="dxa"/>
            <w:vAlign w:val="bottom"/>
            <w:shd w:val="clear" w:color="auto" w:fill="E5E5E5"/>
          </w:tcPr>
          <w:p>
            <w:pPr>
              <w:spacing w:after="0"/>
              <w:rPr>
                <w:sz w:val="16"/>
                <w:szCs w:val="16"/>
                <w:color w:val="auto"/>
              </w:rPr>
            </w:pPr>
          </w:p>
        </w:tc>
        <w:tc>
          <w:tcPr>
            <w:tcW w:w="9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(474)</w:t>
            </w:r>
          </w:p>
        </w:tc>
        <w:tc>
          <w:tcPr>
            <w:tcW w:w="5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(50)</w:t>
            </w:r>
          </w:p>
        </w:tc>
        <w:tc>
          <w:tcPr>
            <w:tcW w:w="4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(181)</w:t>
            </w:r>
          </w:p>
        </w:tc>
      </w:tr>
      <w:tr>
        <w:trPr>
          <w:trHeight w:val="248"/>
        </w:trPr>
        <w:tc>
          <w:tcPr>
            <w:tcW w:w="5820" w:type="dxa"/>
            <w:vAlign w:val="bottom"/>
          </w:tcPr>
          <w:p>
            <w:pPr>
              <w:ind w:left="220"/>
              <w:spacing w:after="0"/>
              <w:rPr>
                <w:sz w:val="20"/>
                <w:szCs w:val="20"/>
                <w:color w:val="auto"/>
              </w:rPr>
            </w:pPr>
            <w:r>
              <w:rPr>
                <w:rFonts w:ascii="Arial" w:cs="Arial" w:eastAsia="Arial" w:hAnsi="Arial"/>
                <w:sz w:val="18"/>
                <w:szCs w:val="18"/>
                <w:color w:val="auto"/>
              </w:rPr>
              <w:t>Excluded from effectiveness assessment</w:t>
            </w:r>
          </w:p>
        </w:tc>
        <w:tc>
          <w:tcPr>
            <w:tcW w:w="6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4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b w:val="1"/>
                <w:bCs w:val="1"/>
                <w:color w:val="auto"/>
              </w:rPr>
              <w:t>4</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r>
      <w:tr>
        <w:trPr>
          <w:trHeight w:val="198"/>
        </w:trPr>
        <w:tc>
          <w:tcPr>
            <w:tcW w:w="5820" w:type="dxa"/>
            <w:vAlign w:val="bottom"/>
            <w:shd w:val="clear" w:color="auto" w:fill="E5E5E5"/>
          </w:tcPr>
          <w:p>
            <w:pPr>
              <w:spacing w:after="0" w:line="198" w:lineRule="exact"/>
              <w:rPr>
                <w:sz w:val="20"/>
                <w:szCs w:val="20"/>
                <w:color w:val="auto"/>
              </w:rPr>
            </w:pPr>
            <w:r>
              <w:rPr>
                <w:rFonts w:ascii="Arial" w:cs="Arial" w:eastAsia="Arial" w:hAnsi="Arial"/>
                <w:sz w:val="18"/>
                <w:szCs w:val="18"/>
                <w:color w:val="auto"/>
              </w:rPr>
              <w:t>Interest rate contracts</w:t>
            </w:r>
          </w:p>
        </w:tc>
        <w:tc>
          <w:tcPr>
            <w:tcW w:w="64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189"/>
        </w:trPr>
        <w:tc>
          <w:tcPr>
            <w:tcW w:w="5820" w:type="dxa"/>
            <w:vAlign w:val="bottom"/>
          </w:tcPr>
          <w:p>
            <w:pPr>
              <w:ind w:left="220"/>
              <w:spacing w:after="0" w:line="189" w:lineRule="exact"/>
              <w:rPr>
                <w:sz w:val="20"/>
                <w:szCs w:val="20"/>
                <w:color w:val="auto"/>
              </w:rPr>
            </w:pPr>
            <w:r>
              <w:rPr>
                <w:rFonts w:ascii="Arial" w:cs="Arial" w:eastAsia="Arial" w:hAnsi="Arial"/>
                <w:sz w:val="18"/>
                <w:szCs w:val="18"/>
                <w:color w:val="auto"/>
              </w:rPr>
              <w:t>Derivatives</w:t>
            </w:r>
          </w:p>
        </w:tc>
        <w:tc>
          <w:tcPr>
            <w:tcW w:w="64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(57)</w:t>
            </w:r>
          </w:p>
        </w:tc>
        <w:tc>
          <w:tcPr>
            <w:tcW w:w="4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(41)</w:t>
            </w:r>
          </w:p>
        </w:tc>
        <w:tc>
          <w:tcPr>
            <w:tcW w:w="5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(71)</w:t>
            </w:r>
          </w:p>
        </w:tc>
        <w:tc>
          <w:tcPr>
            <w:tcW w:w="420" w:type="dxa"/>
            <w:vAlign w:val="bottom"/>
          </w:tcPr>
          <w:p>
            <w:pPr>
              <w:spacing w:after="0"/>
              <w:rPr>
                <w:sz w:val="16"/>
                <w:szCs w:val="16"/>
                <w:color w:val="auto"/>
              </w:rPr>
            </w:pPr>
          </w:p>
        </w:tc>
        <w:tc>
          <w:tcPr>
            <w:tcW w:w="9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(50)</w:t>
            </w:r>
          </w:p>
        </w:tc>
      </w:tr>
      <w:tr>
        <w:trPr>
          <w:trHeight w:val="189"/>
        </w:trPr>
        <w:tc>
          <w:tcPr>
            <w:tcW w:w="58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Hedged items</w:t>
            </w:r>
          </w:p>
        </w:tc>
        <w:tc>
          <w:tcPr>
            <w:tcW w:w="64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61</w:t>
            </w:r>
          </w:p>
        </w:tc>
        <w:tc>
          <w:tcPr>
            <w:tcW w:w="46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color w:val="auto"/>
              </w:rPr>
              <w:t>46</w:t>
            </w:r>
          </w:p>
        </w:tc>
        <w:tc>
          <w:tcPr>
            <w:tcW w:w="540" w:type="dxa"/>
            <w:vAlign w:val="bottom"/>
            <w:shd w:val="clear" w:color="auto" w:fill="E5E5E5"/>
          </w:tcPr>
          <w:p>
            <w:pPr>
              <w:spacing w:after="0"/>
              <w:rPr>
                <w:sz w:val="16"/>
                <w:szCs w:val="16"/>
                <w:color w:val="auto"/>
              </w:rPr>
            </w:pPr>
          </w:p>
        </w:tc>
        <w:tc>
          <w:tcPr>
            <w:tcW w:w="800" w:type="dxa"/>
            <w:vAlign w:val="bottom"/>
            <w:shd w:val="clear" w:color="auto" w:fill="E5E5E5"/>
          </w:tcPr>
          <w:p>
            <w:pPr>
              <w:jc w:val="right"/>
              <w:ind w:right="33"/>
              <w:spacing w:after="0" w:line="189" w:lineRule="exact"/>
              <w:rPr>
                <w:sz w:val="20"/>
                <w:szCs w:val="20"/>
                <w:color w:val="auto"/>
              </w:rPr>
            </w:pPr>
            <w:r>
              <w:rPr>
                <w:rFonts w:ascii="Arial" w:cs="Arial" w:eastAsia="Arial" w:hAnsi="Arial"/>
                <w:sz w:val="18"/>
                <w:szCs w:val="18"/>
                <w:b w:val="1"/>
                <w:bCs w:val="1"/>
                <w:color w:val="auto"/>
              </w:rPr>
              <w:t>83</w:t>
            </w:r>
          </w:p>
        </w:tc>
        <w:tc>
          <w:tcPr>
            <w:tcW w:w="42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62</w:t>
            </w:r>
          </w:p>
        </w:tc>
        <w:tc>
          <w:tcPr>
            <w:tcW w:w="100" w:type="dxa"/>
            <w:vAlign w:val="bottom"/>
            <w:shd w:val="clear" w:color="auto" w:fill="E5E5E5"/>
          </w:tcPr>
          <w:p>
            <w:pPr>
              <w:spacing w:after="0"/>
              <w:rPr>
                <w:sz w:val="16"/>
                <w:szCs w:val="16"/>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5"/>
        </w:trPr>
        <w:tc>
          <w:tcPr>
            <w:tcW w:w="5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58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64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r>
      <w:tr>
        <w:trPr>
          <w:trHeight w:val="239"/>
        </w:trPr>
        <w:tc>
          <w:tcPr>
            <w:tcW w:w="5820" w:type="dxa"/>
            <w:vAlign w:val="bottom"/>
          </w:tcPr>
          <w:p>
            <w:pPr>
              <w:ind w:left="220"/>
              <w:spacing w:after="0"/>
              <w:rPr>
                <w:sz w:val="20"/>
                <w:szCs w:val="20"/>
                <w:color w:val="auto"/>
              </w:rPr>
            </w:pPr>
            <w:r>
              <w:rPr>
                <w:rFonts w:ascii="Arial" w:cs="Arial" w:eastAsia="Arial" w:hAnsi="Arial"/>
                <w:sz w:val="18"/>
                <w:szCs w:val="18"/>
                <w:color w:val="auto"/>
              </w:rPr>
              <w:t>Amount reclassified from accumulated other comprehensive income</w:t>
            </w:r>
          </w:p>
        </w:tc>
        <w:tc>
          <w:tcPr>
            <w:tcW w:w="6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r>
      <w:tr>
        <w:trPr>
          <w:trHeight w:val="179"/>
        </w:trPr>
        <w:tc>
          <w:tcPr>
            <w:tcW w:w="582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4"/>
        </w:trPr>
        <w:tc>
          <w:tcPr>
            <w:tcW w:w="5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58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64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35</w:t>
            </w:r>
          </w:p>
        </w:tc>
        <w:tc>
          <w:tcPr>
            <w:tcW w:w="460" w:type="dxa"/>
            <w:vAlign w:val="bottom"/>
            <w:shd w:val="clear" w:color="auto" w:fill="E5E5E5"/>
          </w:tcPr>
          <w:p>
            <w:pPr>
              <w:spacing w:after="0"/>
              <w:rPr>
                <w:sz w:val="16"/>
                <w:szCs w:val="16"/>
                <w:color w:val="auto"/>
              </w:rPr>
            </w:pPr>
          </w:p>
        </w:tc>
        <w:tc>
          <w:tcPr>
            <w:tcW w:w="9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(130)</w:t>
            </w:r>
          </w:p>
        </w:tc>
        <w:tc>
          <w:tcPr>
            <w:tcW w:w="540" w:type="dxa"/>
            <w:vAlign w:val="bottom"/>
            <w:shd w:val="clear" w:color="auto" w:fill="E5E5E5"/>
          </w:tcPr>
          <w:p>
            <w:pPr>
              <w:spacing w:after="0"/>
              <w:rPr>
                <w:sz w:val="16"/>
                <w:szCs w:val="16"/>
                <w:color w:val="auto"/>
              </w:rPr>
            </w:pPr>
          </w:p>
        </w:tc>
        <w:tc>
          <w:tcPr>
            <w:tcW w:w="800" w:type="dxa"/>
            <w:vAlign w:val="bottom"/>
            <w:shd w:val="clear" w:color="auto" w:fill="E5E5E5"/>
          </w:tcPr>
          <w:p>
            <w:pPr>
              <w:jc w:val="right"/>
              <w:ind w:right="33"/>
              <w:spacing w:after="0" w:line="189" w:lineRule="exact"/>
              <w:rPr>
                <w:sz w:val="20"/>
                <w:szCs w:val="20"/>
                <w:color w:val="auto"/>
              </w:rPr>
            </w:pPr>
            <w:r>
              <w:rPr>
                <w:rFonts w:ascii="Arial" w:cs="Arial" w:eastAsia="Arial" w:hAnsi="Arial"/>
                <w:sz w:val="18"/>
                <w:szCs w:val="18"/>
                <w:b w:val="1"/>
                <w:bCs w:val="1"/>
                <w:color w:val="auto"/>
              </w:rPr>
              <w:t>308</w:t>
            </w:r>
          </w:p>
        </w:tc>
        <w:tc>
          <w:tcPr>
            <w:tcW w:w="42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67</w:t>
            </w:r>
          </w:p>
        </w:tc>
        <w:tc>
          <w:tcPr>
            <w:tcW w:w="100" w:type="dxa"/>
            <w:vAlign w:val="bottom"/>
            <w:shd w:val="clear" w:color="auto" w:fill="E5E5E5"/>
          </w:tcPr>
          <w:p>
            <w:pPr>
              <w:spacing w:after="0"/>
              <w:rPr>
                <w:sz w:val="16"/>
                <w:szCs w:val="16"/>
                <w:color w:val="auto"/>
              </w:rPr>
            </w:pPr>
          </w:p>
        </w:tc>
      </w:tr>
      <w:tr>
        <w:trPr>
          <w:trHeight w:val="248"/>
        </w:trPr>
        <w:tc>
          <w:tcPr>
            <w:tcW w:w="5820" w:type="dxa"/>
            <w:vAlign w:val="bottom"/>
          </w:tcPr>
          <w:p>
            <w:pPr>
              <w:spacing w:after="0"/>
              <w:rPr>
                <w:sz w:val="20"/>
                <w:szCs w:val="20"/>
                <w:color w:val="auto"/>
              </w:rPr>
            </w:pPr>
            <w:r>
              <w:rPr>
                <w:rFonts w:ascii="Arial" w:cs="Arial" w:eastAsia="Arial" w:hAnsi="Arial"/>
                <w:sz w:val="18"/>
                <w:szCs w:val="18"/>
                <w:color w:val="auto"/>
              </w:rPr>
              <w:t>Other contracts</w:t>
            </w:r>
          </w:p>
        </w:tc>
        <w:tc>
          <w:tcPr>
            <w:tcW w:w="6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4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2"/>
        </w:trPr>
        <w:tc>
          <w:tcPr>
            <w:tcW w:w="58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Gains (losses), net of tax, on derivative instruments recognized in our consolidated comprehensive income statements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6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Nine Months Ended</w:t>
            </w:r>
          </w:p>
        </w:tc>
      </w:tr>
      <w:tr>
        <w:trPr>
          <w:trHeight w:val="178"/>
        </w:trPr>
        <w:tc>
          <w:tcPr>
            <w:tcW w:w="45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March 31,</w:t>
            </w:r>
          </w:p>
        </w:tc>
      </w:tr>
      <w:tr>
        <w:trPr>
          <w:trHeight w:val="54"/>
        </w:trPr>
        <w:tc>
          <w:tcPr>
            <w:tcW w:w="456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23"/>
        </w:trPr>
        <w:tc>
          <w:tcPr>
            <w:tcW w:w="45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jc w:val="right"/>
              <w:ind w:right="85"/>
              <w:spacing w:after="0"/>
              <w:rPr>
                <w:sz w:val="20"/>
                <w:szCs w:val="20"/>
                <w:color w:val="auto"/>
              </w:rPr>
            </w:pPr>
            <w:r>
              <w:rPr>
                <w:rFonts w:ascii="Arial" w:cs="Arial" w:eastAsia="Arial" w:hAnsi="Arial"/>
                <w:sz w:val="13"/>
                <w:szCs w:val="13"/>
                <w:b w:val="1"/>
                <w:bCs w:val="1"/>
                <w:color w:val="auto"/>
              </w:rPr>
              <w:t>2022</w:t>
            </w:r>
          </w:p>
        </w:tc>
        <w:tc>
          <w:tcPr>
            <w:tcW w:w="4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6"/>
              </w:rPr>
              <w:t>2022</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2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54"/>
        </w:trPr>
        <w:tc>
          <w:tcPr>
            <w:tcW w:w="45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89"/>
        </w:trPr>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2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r>
      <w:tr>
        <w:trPr>
          <w:trHeight w:val="250"/>
        </w:trPr>
        <w:tc>
          <w:tcPr>
            <w:tcW w:w="4560" w:type="dxa"/>
            <w:vAlign w:val="bottom"/>
          </w:tcPr>
          <w:p>
            <w:pPr>
              <w:ind w:left="220"/>
              <w:spacing w:after="0"/>
              <w:rPr>
                <w:sz w:val="20"/>
                <w:szCs w:val="20"/>
                <w:color w:val="auto"/>
              </w:rPr>
            </w:pPr>
            <w:r>
              <w:rPr>
                <w:rFonts w:ascii="Arial" w:cs="Arial" w:eastAsia="Arial" w:hAnsi="Arial"/>
                <w:sz w:val="18"/>
                <w:szCs w:val="18"/>
                <w:color w:val="auto"/>
              </w:rPr>
              <w:t>Included in effectiveness assessment</w:t>
            </w:r>
          </w:p>
        </w:tc>
        <w:tc>
          <w:tcPr>
            <w:tcW w:w="214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500" w:type="dxa"/>
            <w:vAlign w:val="bottom"/>
          </w:tcPr>
          <w:p>
            <w:pPr>
              <w:jc w:val="right"/>
              <w:ind w:right="25"/>
              <w:spacing w:after="0"/>
              <w:rPr>
                <w:sz w:val="20"/>
                <w:szCs w:val="20"/>
                <w:color w:val="auto"/>
              </w:rPr>
            </w:pPr>
            <w:r>
              <w:rPr>
                <w:rFonts w:ascii="Arial" w:cs="Arial" w:eastAsia="Arial" w:hAnsi="Arial"/>
                <w:sz w:val="18"/>
                <w:szCs w:val="18"/>
                <w:b w:val="1"/>
                <w:bCs w:val="1"/>
                <w:color w:val="auto"/>
              </w:rPr>
              <w:t>(6)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(27)</w:t>
            </w:r>
          </w:p>
        </w:tc>
        <w:tc>
          <w:tcPr>
            <w:tcW w:w="440" w:type="dxa"/>
            <w:vAlign w:val="bottom"/>
          </w:tcPr>
          <w:p>
            <w:pPr>
              <w:jc w:val="right"/>
              <w:ind w:right="121"/>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1"/>
                <w:szCs w:val="21"/>
                <w:color w:val="auto"/>
              </w:rPr>
            </w:pPr>
          </w:p>
        </w:tc>
      </w:tr>
      <w:tr>
        <w:trPr>
          <w:trHeight w:val="446"/>
        </w:trPr>
        <w:tc>
          <w:tcPr>
            <w:tcW w:w="456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NOTE 6 — INVENTORIES</w:t>
            </w:r>
          </w:p>
        </w:tc>
        <w:tc>
          <w:tcPr>
            <w:tcW w:w="5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5"/>
        </w:trPr>
        <w:tc>
          <w:tcPr>
            <w:tcW w:w="4560" w:type="dxa"/>
            <w:vAlign w:val="bottom"/>
          </w:tcPr>
          <w:p>
            <w:pPr>
              <w:spacing w:after="0"/>
              <w:rPr>
                <w:sz w:val="20"/>
                <w:szCs w:val="20"/>
                <w:color w:val="auto"/>
              </w:rPr>
            </w:pPr>
            <w:r>
              <w:rPr>
                <w:rFonts w:ascii="Arial" w:cs="Arial" w:eastAsia="Arial" w:hAnsi="Arial"/>
                <w:sz w:val="18"/>
                <w:szCs w:val="18"/>
                <w:color w:val="auto"/>
              </w:rPr>
              <w:t>The components of inventories were as follows:</w:t>
            </w:r>
          </w:p>
        </w:tc>
        <w:tc>
          <w:tcPr>
            <w:tcW w:w="2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0"/>
        </w:trPr>
        <w:tc>
          <w:tcPr>
            <w:tcW w:w="45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4"/>
        </w:trPr>
        <w:tc>
          <w:tcPr>
            <w:tcW w:w="456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gridSpan w:val="2"/>
          </w:tcPr>
          <w:p>
            <w:pPr>
              <w:spacing w:after="0"/>
              <w:rPr>
                <w:sz w:val="4"/>
                <w:szCs w:val="4"/>
                <w:color w:val="auto"/>
              </w:rPr>
            </w:pPr>
          </w:p>
        </w:tc>
      </w:tr>
      <w:tr>
        <w:trPr>
          <w:trHeight w:val="193"/>
        </w:trPr>
        <w:tc>
          <w:tcPr>
            <w:tcW w:w="4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June 30,</w:t>
            </w:r>
          </w:p>
        </w:tc>
      </w:tr>
      <w:tr>
        <w:trPr>
          <w:trHeight w:val="178"/>
        </w:trPr>
        <w:tc>
          <w:tcPr>
            <w:tcW w:w="45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55"/>
        </w:trPr>
        <w:tc>
          <w:tcPr>
            <w:tcW w:w="45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80" w:type="dxa"/>
            <w:vAlign w:val="bottom"/>
          </w:tcPr>
          <w:p>
            <w:pPr>
              <w:spacing w:after="0"/>
              <w:rPr>
                <w:sz w:val="4"/>
                <w:szCs w:val="4"/>
                <w:color w:val="auto"/>
              </w:rPr>
            </w:pPr>
          </w:p>
        </w:tc>
      </w:tr>
      <w:tr>
        <w:trPr>
          <w:trHeight w:val="189"/>
        </w:trPr>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Raw materials</w:t>
            </w:r>
          </w:p>
        </w:tc>
        <w:tc>
          <w:tcPr>
            <w:tcW w:w="2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520"/>
              <w:spacing w:after="0" w:line="189"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E5E5E5"/>
          </w:tcPr>
          <w:p>
            <w:pPr>
              <w:spacing w:after="0"/>
              <w:rPr>
                <w:sz w:val="16"/>
                <w:szCs w:val="16"/>
                <w:color w:val="auto"/>
              </w:rPr>
            </w:pPr>
          </w:p>
        </w:tc>
        <w:tc>
          <w:tcPr>
            <w:tcW w:w="6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1,369</w:t>
            </w:r>
          </w:p>
        </w:tc>
        <w:tc>
          <w:tcPr>
            <w:tcW w:w="38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1,190</w:t>
            </w:r>
          </w:p>
        </w:tc>
        <w:tc>
          <w:tcPr>
            <w:tcW w:w="80" w:type="dxa"/>
            <w:vAlign w:val="bottom"/>
            <w:shd w:val="clear" w:color="auto" w:fill="E5E5E5"/>
          </w:tcPr>
          <w:p>
            <w:pPr>
              <w:spacing w:after="0"/>
              <w:rPr>
                <w:sz w:val="16"/>
                <w:szCs w:val="16"/>
                <w:color w:val="auto"/>
              </w:rPr>
            </w:pPr>
          </w:p>
        </w:tc>
      </w:tr>
      <w:tr>
        <w:trPr>
          <w:trHeight w:val="189"/>
        </w:trPr>
        <w:tc>
          <w:tcPr>
            <w:tcW w:w="4560" w:type="dxa"/>
            <w:vAlign w:val="bottom"/>
          </w:tcPr>
          <w:p>
            <w:pPr>
              <w:spacing w:after="0" w:line="189" w:lineRule="exact"/>
              <w:rPr>
                <w:sz w:val="20"/>
                <w:szCs w:val="20"/>
                <w:color w:val="auto"/>
              </w:rPr>
            </w:pPr>
            <w:r>
              <w:rPr>
                <w:rFonts w:ascii="Arial" w:cs="Arial" w:eastAsia="Arial" w:hAnsi="Arial"/>
                <w:sz w:val="18"/>
                <w:szCs w:val="18"/>
                <w:color w:val="auto"/>
              </w:rPr>
              <w:t>Work in process</w:t>
            </w:r>
          </w:p>
        </w:tc>
        <w:tc>
          <w:tcPr>
            <w:tcW w:w="2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87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79</w:t>
            </w:r>
          </w:p>
        </w:tc>
        <w:tc>
          <w:tcPr>
            <w:tcW w:w="80" w:type="dxa"/>
            <w:vAlign w:val="bottom"/>
          </w:tcPr>
          <w:p>
            <w:pPr>
              <w:spacing w:after="0"/>
              <w:rPr>
                <w:sz w:val="16"/>
                <w:szCs w:val="16"/>
                <w:color w:val="auto"/>
              </w:rPr>
            </w:pPr>
          </w:p>
        </w:tc>
      </w:tr>
      <w:tr>
        <w:trPr>
          <w:trHeight w:val="189"/>
        </w:trPr>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Finished goods</w:t>
            </w:r>
          </w:p>
        </w:tc>
        <w:tc>
          <w:tcPr>
            <w:tcW w:w="2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1,840</w:t>
            </w:r>
          </w:p>
        </w:tc>
        <w:tc>
          <w:tcPr>
            <w:tcW w:w="1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1,367</w:t>
            </w:r>
          </w:p>
        </w:tc>
        <w:tc>
          <w:tcPr>
            <w:tcW w:w="80" w:type="dxa"/>
            <w:vAlign w:val="bottom"/>
            <w:shd w:val="clear" w:color="auto" w:fill="E5E5E5"/>
          </w:tcPr>
          <w:p>
            <w:pPr>
              <w:spacing w:after="0"/>
              <w:rPr>
                <w:sz w:val="16"/>
                <w:szCs w:val="16"/>
                <w:color w:val="auto"/>
              </w:rPr>
            </w:pPr>
          </w:p>
        </w:tc>
      </w:tr>
      <w:tr>
        <w:trPr>
          <w:trHeight w:val="68"/>
        </w:trPr>
        <w:tc>
          <w:tcPr>
            <w:tcW w:w="456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gridSpan w:val="2"/>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277"/>
        </w:trPr>
        <w:tc>
          <w:tcPr>
            <w:tcW w:w="4560" w:type="dxa"/>
            <w:vAlign w:val="bottom"/>
          </w:tcPr>
          <w:p>
            <w:pPr>
              <w:ind w:left="220"/>
              <w:spacing w:after="0"/>
              <w:rPr>
                <w:sz w:val="20"/>
                <w:szCs w:val="20"/>
                <w:color w:val="auto"/>
              </w:rPr>
            </w:pPr>
            <w:r>
              <w:rPr>
                <w:rFonts w:ascii="Arial" w:cs="Arial" w:eastAsia="Arial" w:hAnsi="Arial"/>
                <w:sz w:val="18"/>
                <w:szCs w:val="18"/>
                <w:color w:val="auto"/>
              </w:rPr>
              <w:t>Total</w:t>
            </w: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3,296</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2,636</w:t>
            </w:r>
          </w:p>
        </w:tc>
        <w:tc>
          <w:tcPr>
            <w:tcW w:w="80" w:type="dxa"/>
            <w:vAlign w:val="bottom"/>
          </w:tcPr>
          <w:p>
            <w:pPr>
              <w:spacing w:after="0"/>
              <w:rPr>
                <w:sz w:val="24"/>
                <w:szCs w:val="24"/>
                <w:color w:val="auto"/>
              </w:rPr>
            </w:pPr>
          </w:p>
        </w:tc>
      </w:tr>
      <w:tr>
        <w:trPr>
          <w:trHeight w:val="61"/>
        </w:trPr>
        <w:tc>
          <w:tcPr>
            <w:tcW w:w="45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7 — BUSINESS COMBINATIONS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Nuance Communications, Inc.</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March 4, 2022, we completed our acquisition of Nuance Communications, Inc. (“Nuance”) for a total purchase price of $ 18.8 billion, consisting primarily of cash. Nuance is a cloud and artificial intelligence (“AI”) software provider with healthcare and enterprise AI experience, and the acquisition will build on our industry-specific cloud offerings. The financial results of Nuance have been included in our consolidated financial statements since the date of the acquisition. Nuance is reported as part of our Intelligent Cloud segment.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7" w:name="page18"/>
    <w:bookmarkEnd w:id="17"/>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purchase price allocation as of the date of acquisition was based on a preliminary valuation and is subject to revision as more detailed analyses are completed and additional information about the fair value of assets acquired and liabilities assumed becomes available.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major classes of assets and liabilities to which we have preliminarily allocated the purchase price were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465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40" w:type="dxa"/>
            <w:vAlign w:val="bottom"/>
            <w:shd w:val="clear" w:color="auto" w:fill="E5E5E5"/>
          </w:tcPr>
          <w:p>
            <w:pPr>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5"/>
                <w:szCs w:val="15"/>
                <w:color w:val="auto"/>
              </w:rPr>
              <w:t>(a)</w:t>
            </w:r>
          </w:p>
        </w:tc>
        <w:tc>
          <w:tcPr>
            <w:tcW w:w="520" w:type="dxa"/>
            <w:vAlign w:val="bottom"/>
            <w:shd w:val="clear" w:color="auto" w:fill="E5E5E5"/>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16,295</w:t>
            </w:r>
          </w:p>
        </w:tc>
      </w:tr>
      <w:tr>
        <w:trPr>
          <w:trHeight w:val="189"/>
        </w:trPr>
        <w:tc>
          <w:tcPr>
            <w:tcW w:w="9640" w:type="dxa"/>
            <w:vAlign w:val="bottom"/>
          </w:tcPr>
          <w:p>
            <w:pPr>
              <w:spacing w:after="0" w:line="189" w:lineRule="exact"/>
              <w:rPr>
                <w:sz w:val="20"/>
                <w:szCs w:val="20"/>
                <w:color w:val="auto"/>
              </w:rPr>
            </w:pPr>
            <w:r>
              <w:rPr>
                <w:rFonts w:ascii="Arial" w:cs="Arial" w:eastAsia="Arial" w:hAnsi="Arial"/>
                <w:sz w:val="18"/>
                <w:szCs w:val="18"/>
                <w:color w:val="auto"/>
              </w:rPr>
              <w:t>Intangible assets</w:t>
            </w:r>
          </w:p>
        </w:tc>
        <w:tc>
          <w:tcPr>
            <w:tcW w:w="520" w:type="dxa"/>
            <w:vAlign w:val="bottom"/>
          </w:tcPr>
          <w:p>
            <w:pPr>
              <w:spacing w:after="0"/>
              <w:rPr>
                <w:sz w:val="16"/>
                <w:szCs w:val="16"/>
                <w:color w:val="auto"/>
              </w:rPr>
            </w:pPr>
          </w:p>
        </w:tc>
        <w:tc>
          <w:tcPr>
            <w:tcW w:w="10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4,340</w:t>
            </w:r>
          </w:p>
        </w:tc>
      </w:tr>
      <w:tr>
        <w:trPr>
          <w:trHeight w:val="189"/>
        </w:trPr>
        <w:tc>
          <w:tcPr>
            <w:tcW w:w="9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assets</w:t>
            </w:r>
          </w:p>
        </w:tc>
        <w:tc>
          <w:tcPr>
            <w:tcW w:w="52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29</w:t>
            </w:r>
          </w:p>
        </w:tc>
      </w:tr>
      <w:tr>
        <w:trPr>
          <w:trHeight w:val="217"/>
        </w:trPr>
        <w:tc>
          <w:tcPr>
            <w:tcW w:w="9640" w:type="dxa"/>
            <w:vAlign w:val="bottom"/>
          </w:tcPr>
          <w:p>
            <w:pPr>
              <w:spacing w:after="0"/>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15"/>
                <w:szCs w:val="15"/>
                <w:color w:val="auto"/>
              </w:rPr>
              <w:t>(b)</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(1,897)</w:t>
            </w:r>
          </w:p>
        </w:tc>
      </w:tr>
      <w:tr>
        <w:trPr>
          <w:trHeight w:val="40"/>
        </w:trPr>
        <w:tc>
          <w:tcPr>
            <w:tcW w:w="96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61"/>
        </w:trPr>
        <w:tc>
          <w:tcPr>
            <w:tcW w:w="9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189"/>
        </w:trPr>
        <w:tc>
          <w:tcPr>
            <w:tcW w:w="96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520" w:type="dxa"/>
            <w:vAlign w:val="bottom"/>
            <w:shd w:val="clear" w:color="auto" w:fill="E5E5E5"/>
          </w:tcPr>
          <w:p>
            <w:pPr>
              <w:jc w:val="right"/>
              <w:ind w:right="33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18,767</w:t>
            </w:r>
          </w:p>
        </w:tc>
      </w:tr>
      <w:tr>
        <w:trPr>
          <w:trHeight w:val="75"/>
        </w:trPr>
        <w:tc>
          <w:tcPr>
            <w:tcW w:w="964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r>
    </w:tbl>
    <w:p>
      <w:pPr>
        <w:spacing w:after="0" w:line="184" w:lineRule="exact"/>
        <w:rPr>
          <w:sz w:val="20"/>
          <w:szCs w:val="20"/>
          <w:color w:val="auto"/>
        </w:rPr>
      </w:pPr>
    </w:p>
    <w:p>
      <w:pPr>
        <w:ind w:left="540" w:right="20" w:hanging="532"/>
        <w:spacing w:after="0" w:line="245"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Goodwill was assigned to our Intelligent Cloud segment and was primarily attributed to increased synergies that are expected to be achieved from the integration of Nuance. None of the goodwill is expected to be deductible for income tax purposes</w:t>
      </w:r>
      <w:r>
        <w:rPr>
          <w:rFonts w:ascii="Arial" w:cs="Arial" w:eastAsia="Arial" w:hAnsi="Arial"/>
          <w:sz w:val="18"/>
          <w:szCs w:val="18"/>
          <w:color w:val="auto"/>
        </w:rPr>
        <w:t>.</w:t>
      </w:r>
    </w:p>
    <w:p>
      <w:pPr>
        <w:jc w:val="both"/>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Includes $986 million of convertible senior notes issued by Nuance in 2015 and 2017, of which $947 million was redeemed prior to March 31, 2022. The remaining $39 million of notes are redeemable through their respective maturity dates and are included in other current liabilities on our consolidated balance sheets as of March 31,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details of the purchase price allocated to the intangible assets acquired: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0" w:type="dxa"/>
            <w:vAlign w:val="bottom"/>
            <w:gridSpan w:val="2"/>
          </w:tcPr>
          <w:p>
            <w:pPr>
              <w:jc w:val="center"/>
              <w:ind w:left="878"/>
              <w:spacing w:after="0"/>
              <w:rPr>
                <w:sz w:val="20"/>
                <w:szCs w:val="20"/>
                <w:color w:val="auto"/>
              </w:rPr>
            </w:pPr>
            <w:r>
              <w:rPr>
                <w:rFonts w:ascii="Arial" w:cs="Arial" w:eastAsia="Arial" w:hAnsi="Arial"/>
                <w:sz w:val="13"/>
                <w:szCs w:val="13"/>
                <w:b w:val="1"/>
                <w:bCs w:val="1"/>
                <w:color w:val="auto"/>
              </w:rPr>
              <w:t>Weighted</w:t>
            </w:r>
          </w:p>
        </w:tc>
      </w:tr>
      <w:tr>
        <w:trPr>
          <w:trHeight w:val="178"/>
        </w:trPr>
        <w:tc>
          <w:tcPr>
            <w:tcW w:w="7900" w:type="dxa"/>
            <w:vAlign w:val="bottom"/>
          </w:tcPr>
          <w:p>
            <w:pPr>
              <w:spacing w:after="0"/>
              <w:rPr>
                <w:sz w:val="20"/>
                <w:szCs w:val="20"/>
                <w:color w:val="auto"/>
              </w:rPr>
            </w:pPr>
            <w:r>
              <w:rPr>
                <w:rFonts w:ascii="Arial" w:cs="Arial" w:eastAsia="Arial" w:hAnsi="Arial"/>
                <w:sz w:val="13"/>
                <w:szCs w:val="13"/>
                <w:b w:val="1"/>
                <w:bCs w:val="1"/>
                <w:color w:val="auto"/>
              </w:rPr>
              <w:t>(In millions, except average life)</w:t>
            </w: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1800" w:type="dxa"/>
            <w:vAlign w:val="bottom"/>
            <w:gridSpan w:val="2"/>
          </w:tcPr>
          <w:p>
            <w:pPr>
              <w:ind w:left="880"/>
              <w:spacing w:after="0"/>
              <w:rPr>
                <w:sz w:val="20"/>
                <w:szCs w:val="20"/>
                <w:color w:val="auto"/>
              </w:rPr>
            </w:pPr>
            <w:r>
              <w:rPr>
                <w:rFonts w:ascii="Arial" w:cs="Arial" w:eastAsia="Arial" w:hAnsi="Arial"/>
                <w:sz w:val="13"/>
                <w:szCs w:val="13"/>
                <w:b w:val="1"/>
                <w:bCs w:val="1"/>
                <w:color w:val="auto"/>
              </w:rPr>
              <w:t>Average Life</w:t>
            </w:r>
          </w:p>
        </w:tc>
      </w:tr>
      <w:tr>
        <w:trPr>
          <w:trHeight w:val="55"/>
        </w:trPr>
        <w:tc>
          <w:tcPr>
            <w:tcW w:w="7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7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7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Customer-related</w:t>
            </w:r>
          </w:p>
        </w:tc>
        <w:tc>
          <w:tcPr>
            <w:tcW w:w="560" w:type="dxa"/>
            <w:vAlign w:val="bottom"/>
            <w:shd w:val="clear" w:color="auto" w:fill="E5E5E5"/>
          </w:tcPr>
          <w:p>
            <w:pPr>
              <w:jc w:val="right"/>
              <w:ind w:right="370"/>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2,560</w:t>
            </w:r>
          </w:p>
        </w:tc>
        <w:tc>
          <w:tcPr>
            <w:tcW w:w="1800" w:type="dxa"/>
            <w:vAlign w:val="bottom"/>
            <w:gridSpan w:val="2"/>
            <w:shd w:val="clear" w:color="auto" w:fill="E5E5E5"/>
          </w:tcPr>
          <w:p>
            <w:pPr>
              <w:jc w:val="center"/>
              <w:ind w:left="918"/>
              <w:spacing w:after="0" w:line="189" w:lineRule="exact"/>
              <w:rPr>
                <w:sz w:val="20"/>
                <w:szCs w:val="20"/>
                <w:color w:val="auto"/>
              </w:rPr>
            </w:pPr>
            <w:r>
              <w:rPr>
                <w:rFonts w:ascii="Arial" w:cs="Arial" w:eastAsia="Arial" w:hAnsi="Arial"/>
                <w:sz w:val="18"/>
                <w:szCs w:val="18"/>
                <w:color w:val="auto"/>
              </w:rPr>
              <w:t>9 years</w:t>
            </w:r>
          </w:p>
        </w:tc>
      </w:tr>
      <w:tr>
        <w:trPr>
          <w:trHeight w:val="189"/>
        </w:trPr>
        <w:tc>
          <w:tcPr>
            <w:tcW w:w="7900" w:type="dxa"/>
            <w:vAlign w:val="bottom"/>
          </w:tcPr>
          <w:p>
            <w:pPr>
              <w:spacing w:after="0" w:line="189" w:lineRule="exact"/>
              <w:rPr>
                <w:sz w:val="20"/>
                <w:szCs w:val="20"/>
                <w:color w:val="auto"/>
              </w:rPr>
            </w:pPr>
            <w:r>
              <w:rPr>
                <w:rFonts w:ascii="Arial" w:cs="Arial" w:eastAsia="Arial" w:hAnsi="Arial"/>
                <w:sz w:val="18"/>
                <w:szCs w:val="18"/>
                <w:color w:val="auto"/>
              </w:rPr>
              <w:t>Technology-based</w:t>
            </w:r>
          </w:p>
        </w:tc>
        <w:tc>
          <w:tcPr>
            <w:tcW w:w="5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1,560</w:t>
            </w:r>
          </w:p>
        </w:tc>
        <w:tc>
          <w:tcPr>
            <w:tcW w:w="1800" w:type="dxa"/>
            <w:vAlign w:val="bottom"/>
            <w:gridSpan w:val="2"/>
          </w:tcPr>
          <w:p>
            <w:pPr>
              <w:jc w:val="center"/>
              <w:ind w:left="918"/>
              <w:spacing w:after="0" w:line="189" w:lineRule="exact"/>
              <w:rPr>
                <w:sz w:val="20"/>
                <w:szCs w:val="20"/>
                <w:color w:val="auto"/>
              </w:rPr>
            </w:pPr>
            <w:r>
              <w:rPr>
                <w:rFonts w:ascii="Arial" w:cs="Arial" w:eastAsia="Arial" w:hAnsi="Arial"/>
                <w:sz w:val="18"/>
                <w:szCs w:val="18"/>
                <w:color w:val="auto"/>
              </w:rPr>
              <w:t>4 years</w:t>
            </w:r>
          </w:p>
        </w:tc>
      </w:tr>
      <w:tr>
        <w:trPr>
          <w:trHeight w:val="189"/>
        </w:trPr>
        <w:tc>
          <w:tcPr>
            <w:tcW w:w="7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Marketing-related</w:t>
            </w:r>
          </w:p>
        </w:tc>
        <w:tc>
          <w:tcPr>
            <w:tcW w:w="56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220</w:t>
            </w:r>
          </w:p>
        </w:tc>
        <w:tc>
          <w:tcPr>
            <w:tcW w:w="1800" w:type="dxa"/>
            <w:vAlign w:val="bottom"/>
            <w:gridSpan w:val="2"/>
            <w:shd w:val="clear" w:color="auto" w:fill="E5E5E5"/>
          </w:tcPr>
          <w:p>
            <w:pPr>
              <w:jc w:val="center"/>
              <w:ind w:left="918"/>
              <w:spacing w:after="0" w:line="189" w:lineRule="exact"/>
              <w:rPr>
                <w:sz w:val="20"/>
                <w:szCs w:val="20"/>
                <w:color w:val="auto"/>
              </w:rPr>
            </w:pPr>
            <w:r>
              <w:rPr>
                <w:rFonts w:ascii="Arial" w:cs="Arial" w:eastAsia="Arial" w:hAnsi="Arial"/>
                <w:sz w:val="18"/>
                <w:szCs w:val="18"/>
                <w:color w:val="auto"/>
              </w:rPr>
              <w:t>4 years</w:t>
            </w:r>
          </w:p>
        </w:tc>
      </w:tr>
      <w:tr>
        <w:trPr>
          <w:trHeight w:val="68"/>
        </w:trPr>
        <w:tc>
          <w:tcPr>
            <w:tcW w:w="79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64"/>
        </w:trPr>
        <w:tc>
          <w:tcPr>
            <w:tcW w:w="7900" w:type="dxa"/>
            <w:vAlign w:val="bottom"/>
          </w:tcPr>
          <w:p>
            <w:pPr>
              <w:ind w:left="22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4,340</w:t>
            </w:r>
          </w:p>
        </w:tc>
        <w:tc>
          <w:tcPr>
            <w:tcW w:w="1800" w:type="dxa"/>
            <w:vAlign w:val="bottom"/>
            <w:gridSpan w:val="2"/>
          </w:tcPr>
          <w:p>
            <w:pPr>
              <w:jc w:val="center"/>
              <w:ind w:left="918"/>
              <w:spacing w:after="0"/>
              <w:rPr>
                <w:sz w:val="20"/>
                <w:szCs w:val="20"/>
                <w:color w:val="auto"/>
              </w:rPr>
            </w:pPr>
            <w:r>
              <w:rPr>
                <w:rFonts w:ascii="Arial" w:cs="Arial" w:eastAsia="Arial" w:hAnsi="Arial"/>
                <w:sz w:val="18"/>
                <w:szCs w:val="18"/>
                <w:color w:val="auto"/>
              </w:rPr>
              <w:t>7 years</w:t>
            </w:r>
          </w:p>
        </w:tc>
      </w:tr>
      <w:tr>
        <w:trPr>
          <w:trHeight w:val="61"/>
        </w:trPr>
        <w:tc>
          <w:tcPr>
            <w:tcW w:w="790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ZeniMax Media Inc.</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March 9, 2021, we completed our acquisition of ZeniMax Media Inc. (“ZeniMax”), the parent company of Bethesda Softworks LLC (“Bethesda”), for a total purchase price of $8.1 billion, consisting primarily of cash. The purchase price included $766 million of cash and cash equivalents acquired. Bethesda is one of the largest, privately held game developers and publishers in the world, and brings a broad portfolio of games, technology, and talent to Xbox. The financial results of ZeniMax have been included in our consolidated financial statements since the date of the acquisition. ZeniMax is reported as part of our More Personal Computing segment.</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allocation of the purchase price to goodwill was completed as of December 31, 2021. The major classes of assets and liabilities to which we have allocated the purchase price were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548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60" w:type="dxa"/>
            <w:vAlign w:val="bottom"/>
            <w:shd w:val="clear" w:color="auto" w:fill="E5E5E5"/>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shd w:val="clear" w:color="auto" w:fill="E5E5E5"/>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E5E5E5"/>
          </w:tcPr>
          <w:p>
            <w:pPr>
              <w:spacing w:after="0"/>
              <w:rPr>
                <w:sz w:val="18"/>
                <w:szCs w:val="18"/>
                <w:color w:val="auto"/>
              </w:rPr>
            </w:pPr>
          </w:p>
        </w:tc>
      </w:tr>
      <w:tr>
        <w:trPr>
          <w:trHeight w:val="189"/>
        </w:trPr>
        <w:tc>
          <w:tcPr>
            <w:tcW w:w="9660" w:type="dxa"/>
            <w:vAlign w:val="bottom"/>
          </w:tcPr>
          <w:p>
            <w:pPr>
              <w:spacing w:after="0" w:line="189" w:lineRule="exact"/>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5,510</w:t>
            </w:r>
          </w:p>
        </w:tc>
        <w:tc>
          <w:tcPr>
            <w:tcW w:w="120" w:type="dxa"/>
            <w:vAlign w:val="bottom"/>
          </w:tcPr>
          <w:p>
            <w:pPr>
              <w:spacing w:after="0"/>
              <w:rPr>
                <w:sz w:val="16"/>
                <w:szCs w:val="16"/>
                <w:color w:val="auto"/>
              </w:rPr>
            </w:pPr>
          </w:p>
        </w:tc>
      </w:tr>
      <w:tr>
        <w:trPr>
          <w:trHeight w:val="189"/>
        </w:trPr>
        <w:tc>
          <w:tcPr>
            <w:tcW w:w="9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Intangible assets</w:t>
            </w:r>
          </w:p>
        </w:tc>
        <w:tc>
          <w:tcPr>
            <w:tcW w:w="56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1,968</w:t>
            </w:r>
          </w:p>
        </w:tc>
        <w:tc>
          <w:tcPr>
            <w:tcW w:w="120" w:type="dxa"/>
            <w:vAlign w:val="bottom"/>
            <w:shd w:val="clear" w:color="auto" w:fill="E5E5E5"/>
          </w:tcPr>
          <w:p>
            <w:pPr>
              <w:spacing w:after="0"/>
              <w:rPr>
                <w:sz w:val="16"/>
                <w:szCs w:val="16"/>
                <w:color w:val="auto"/>
              </w:rPr>
            </w:pPr>
          </w:p>
        </w:tc>
      </w:tr>
      <w:tr>
        <w:trPr>
          <w:trHeight w:val="189"/>
        </w:trPr>
        <w:tc>
          <w:tcPr>
            <w:tcW w:w="9660" w:type="dxa"/>
            <w:vAlign w:val="bottom"/>
          </w:tcPr>
          <w:p>
            <w:pPr>
              <w:spacing w:after="0" w:line="189" w:lineRule="exact"/>
              <w:rPr>
                <w:sz w:val="20"/>
                <w:szCs w:val="20"/>
                <w:color w:val="auto"/>
              </w:rPr>
            </w:pPr>
            <w:r>
              <w:rPr>
                <w:rFonts w:ascii="Arial" w:cs="Arial" w:eastAsia="Arial" w:hAnsi="Arial"/>
                <w:sz w:val="18"/>
                <w:szCs w:val="18"/>
                <w:color w:val="auto"/>
              </w:rPr>
              <w:t>Other assets</w:t>
            </w:r>
          </w:p>
        </w:tc>
        <w:tc>
          <w:tcPr>
            <w:tcW w:w="5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121</w:t>
            </w:r>
          </w:p>
        </w:tc>
        <w:tc>
          <w:tcPr>
            <w:tcW w:w="120" w:type="dxa"/>
            <w:vAlign w:val="bottom"/>
          </w:tcPr>
          <w:p>
            <w:pPr>
              <w:spacing w:after="0"/>
              <w:rPr>
                <w:sz w:val="16"/>
                <w:szCs w:val="16"/>
                <w:color w:val="auto"/>
              </w:rPr>
            </w:pPr>
          </w:p>
        </w:tc>
      </w:tr>
      <w:tr>
        <w:trPr>
          <w:trHeight w:val="189"/>
        </w:trPr>
        <w:tc>
          <w:tcPr>
            <w:tcW w:w="9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liabilities</w:t>
            </w:r>
          </w:p>
        </w:tc>
        <w:tc>
          <w:tcPr>
            <w:tcW w:w="56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(244)</w:t>
            </w:r>
          </w:p>
        </w:tc>
      </w:tr>
      <w:tr>
        <w:trPr>
          <w:trHeight w:val="68"/>
        </w:trPr>
        <w:tc>
          <w:tcPr>
            <w:tcW w:w="96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63"/>
        </w:trPr>
        <w:tc>
          <w:tcPr>
            <w:tcW w:w="9660" w:type="dxa"/>
            <w:vAlign w:val="bottom"/>
          </w:tcPr>
          <w:p>
            <w:pPr>
              <w:ind w:left="22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8,121</w:t>
            </w:r>
          </w:p>
        </w:tc>
        <w:tc>
          <w:tcPr>
            <w:tcW w:w="120" w:type="dxa"/>
            <w:vAlign w:val="bottom"/>
          </w:tcPr>
          <w:p>
            <w:pPr>
              <w:spacing w:after="0"/>
              <w:rPr>
                <w:sz w:val="22"/>
                <w:szCs w:val="22"/>
                <w:color w:val="auto"/>
              </w:rPr>
            </w:pPr>
          </w:p>
        </w:tc>
      </w:tr>
      <w:tr>
        <w:trPr>
          <w:trHeight w:val="61"/>
        </w:trPr>
        <w:tc>
          <w:tcPr>
            <w:tcW w:w="96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Goodwill was assigned to our More Personal Computing segment. The goodwill was primarily attributed to increased synergies that are expected to be achieved from the integration of ZeniMax. None of the goodwill is expected to be deductible for income tax purposes.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8" w:name="page19"/>
    <w:bookmarkEnd w:id="18"/>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Following are details of the purchase price allocated to the intangible assets acquired: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Weighted</w:t>
            </w:r>
          </w:p>
        </w:tc>
      </w:tr>
      <w:tr>
        <w:trPr>
          <w:trHeight w:val="178"/>
        </w:trPr>
        <w:tc>
          <w:tcPr>
            <w:tcW w:w="8020" w:type="dxa"/>
            <w:vAlign w:val="bottom"/>
          </w:tcPr>
          <w:p>
            <w:pPr>
              <w:spacing w:after="0"/>
              <w:rPr>
                <w:sz w:val="20"/>
                <w:szCs w:val="20"/>
                <w:color w:val="auto"/>
              </w:rPr>
            </w:pPr>
            <w:r>
              <w:rPr>
                <w:rFonts w:ascii="Arial" w:cs="Arial" w:eastAsia="Arial" w:hAnsi="Arial"/>
                <w:sz w:val="13"/>
                <w:szCs w:val="13"/>
                <w:b w:val="1"/>
                <w:bCs w:val="1"/>
                <w:color w:val="auto"/>
              </w:rPr>
              <w:t>(In millions, except average life)</w:t>
            </w:r>
          </w:p>
        </w:tc>
        <w:tc>
          <w:tcPr>
            <w:tcW w:w="540" w:type="dxa"/>
            <w:vAlign w:val="bottom"/>
          </w:tcPr>
          <w:p>
            <w:pPr>
              <w:spacing w:after="0"/>
              <w:rPr>
                <w:sz w:val="15"/>
                <w:szCs w:val="15"/>
                <w:color w:val="auto"/>
              </w:rPr>
            </w:pPr>
          </w:p>
        </w:tc>
        <w:tc>
          <w:tcPr>
            <w:tcW w:w="1360" w:type="dxa"/>
            <w:vAlign w:val="bottom"/>
            <w:gridSpan w:val="2"/>
          </w:tcPr>
          <w:p>
            <w:pPr>
              <w:ind w:left="440"/>
              <w:spacing w:after="0"/>
              <w:rPr>
                <w:sz w:val="20"/>
                <w:szCs w:val="20"/>
                <w:color w:val="auto"/>
              </w:rPr>
            </w:pPr>
            <w:r>
              <w:rPr>
                <w:rFonts w:ascii="Arial" w:cs="Arial" w:eastAsia="Arial" w:hAnsi="Arial"/>
                <w:sz w:val="13"/>
                <w:szCs w:val="13"/>
                <w:b w:val="1"/>
                <w:bCs w:val="1"/>
                <w:color w:val="auto"/>
              </w:rPr>
              <w:t>Amount</w:t>
            </w:r>
          </w:p>
        </w:tc>
        <w:tc>
          <w:tcPr>
            <w:tcW w:w="13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Average Life</w:t>
            </w:r>
          </w:p>
        </w:tc>
      </w:tr>
      <w:tr>
        <w:trPr>
          <w:trHeight w:val="55"/>
        </w:trPr>
        <w:tc>
          <w:tcPr>
            <w:tcW w:w="80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8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8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Technology-based</w:t>
            </w:r>
          </w:p>
        </w:tc>
        <w:tc>
          <w:tcPr>
            <w:tcW w:w="540" w:type="dxa"/>
            <w:vAlign w:val="bottom"/>
            <w:shd w:val="clear" w:color="auto" w:fill="E5E5E5"/>
          </w:tcPr>
          <w:p>
            <w:pPr>
              <w:jc w:val="right"/>
              <w:ind w:right="350"/>
              <w:spacing w:after="0" w:line="189"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1,341</w:t>
            </w:r>
          </w:p>
        </w:tc>
        <w:tc>
          <w:tcPr>
            <w:tcW w:w="13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 years</w:t>
            </w:r>
          </w:p>
        </w:tc>
      </w:tr>
      <w:tr>
        <w:trPr>
          <w:trHeight w:val="217"/>
        </w:trPr>
        <w:tc>
          <w:tcPr>
            <w:tcW w:w="8020" w:type="dxa"/>
            <w:vAlign w:val="bottom"/>
          </w:tcPr>
          <w:p>
            <w:pPr>
              <w:spacing w:after="0"/>
              <w:rPr>
                <w:sz w:val="20"/>
                <w:szCs w:val="20"/>
                <w:color w:val="auto"/>
              </w:rPr>
            </w:pPr>
            <w:r>
              <w:rPr>
                <w:rFonts w:ascii="Arial" w:cs="Arial" w:eastAsia="Arial" w:hAnsi="Arial"/>
                <w:sz w:val="18"/>
                <w:szCs w:val="18"/>
                <w:color w:val="auto"/>
              </w:rPr>
              <w:t>Marketing-related</w:t>
            </w:r>
          </w:p>
        </w:tc>
        <w:tc>
          <w:tcPr>
            <w:tcW w:w="54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627</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 years</w:t>
            </w:r>
          </w:p>
        </w:tc>
      </w:tr>
      <w:tr>
        <w:trPr>
          <w:trHeight w:val="40"/>
        </w:trPr>
        <w:tc>
          <w:tcPr>
            <w:tcW w:w="8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61"/>
        </w:trPr>
        <w:tc>
          <w:tcPr>
            <w:tcW w:w="8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80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540" w:type="dxa"/>
            <w:vAlign w:val="bottom"/>
            <w:shd w:val="clear" w:color="auto" w:fill="E5E5E5"/>
          </w:tcPr>
          <w:p>
            <w:pPr>
              <w:jc w:val="right"/>
              <w:ind w:right="350"/>
              <w:spacing w:after="0" w:line="189"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1,968</w:t>
            </w:r>
          </w:p>
        </w:tc>
        <w:tc>
          <w:tcPr>
            <w:tcW w:w="13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 years</w:t>
            </w:r>
          </w:p>
        </w:tc>
      </w:tr>
      <w:tr>
        <w:trPr>
          <w:trHeight w:val="75"/>
        </w:trPr>
        <w:tc>
          <w:tcPr>
            <w:tcW w:w="80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January 18, 2022, we entered into a definitive agreement to acquire Activision Blizzard, Inc. (“Activision Blizzard”) for $95.00 per share in an all-cash transaction valued at $68.7 billion, inclusive of Activision Blizzard’s net cash. Activision Blizzard is a leader in game development and an interactive entertainment content publisher. The acquisition will accelerate the growth in our gaming business across mobile, PC, console, and cloud and will provide building blocks for the metaverse. We expect this acquisition to close in fiscal year 2023, subject to approval by Activision Blizzard’s shareholders, the satisfaction of certain regulatory approvals, and other customary closing conditions.</w:t>
      </w:r>
    </w:p>
    <w:p>
      <w:pPr>
        <w:spacing w:after="0" w:line="229" w:lineRule="exact"/>
        <w:rPr>
          <w:sz w:val="20"/>
          <w:szCs w:val="20"/>
          <w:color w:val="auto"/>
        </w:rPr>
      </w:pPr>
    </w:p>
    <w:p>
      <w:pPr>
        <w:ind w:left="4680"/>
        <w:spacing w:after="0"/>
        <w:rPr>
          <w:sz w:val="20"/>
          <w:szCs w:val="20"/>
          <w:color w:val="auto"/>
        </w:rPr>
      </w:pPr>
      <w:r>
        <w:rPr>
          <w:rFonts w:ascii="Arial" w:cs="Arial" w:eastAsia="Arial" w:hAnsi="Arial"/>
          <w:sz w:val="18"/>
          <w:szCs w:val="18"/>
          <w:u w:val="single" w:color="auto"/>
          <w:color w:val="auto"/>
        </w:rPr>
        <w:t>NOTE 8 — GOODWILL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gridSpan w:val="2"/>
          </w:tcPr>
          <w:p>
            <w:pPr>
              <w:ind w:left="240"/>
              <w:spacing w:after="0"/>
              <w:rPr>
                <w:sz w:val="20"/>
                <w:szCs w:val="20"/>
                <w:color w:val="auto"/>
              </w:rPr>
            </w:pPr>
            <w:r>
              <w:rPr>
                <w:rFonts w:ascii="Arial" w:cs="Arial" w:eastAsia="Arial" w:hAnsi="Arial"/>
                <w:sz w:val="13"/>
                <w:szCs w:val="13"/>
                <w:b w:val="1"/>
                <w:bCs w:val="1"/>
                <w:color w:val="auto"/>
              </w:rPr>
              <w:t>March 31,</w:t>
            </w:r>
          </w:p>
        </w:tc>
      </w:tr>
      <w:tr>
        <w:trPr>
          <w:trHeight w:val="178"/>
        </w:trPr>
        <w:tc>
          <w:tcPr>
            <w:tcW w:w="54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3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Acquisitions</w:t>
            </w: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Other</w:t>
            </w: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r>
      <w:tr>
        <w:trPr>
          <w:trHeight w:val="54"/>
        </w:trPr>
        <w:tc>
          <w:tcPr>
            <w:tcW w:w="54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5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5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24,317</w:t>
            </w:r>
          </w:p>
        </w:tc>
        <w:tc>
          <w:tcPr>
            <w:tcW w:w="3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599</w:t>
            </w:r>
          </w:p>
        </w:tc>
        <w:tc>
          <w:tcPr>
            <w:tcW w:w="80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(9)</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24,907</w:t>
            </w:r>
          </w:p>
        </w:tc>
        <w:tc>
          <w:tcPr>
            <w:tcW w:w="100" w:type="dxa"/>
            <w:vAlign w:val="bottom"/>
            <w:shd w:val="clear" w:color="auto" w:fill="E5E5E5"/>
          </w:tcPr>
          <w:p>
            <w:pPr>
              <w:spacing w:after="0"/>
              <w:rPr>
                <w:sz w:val="16"/>
                <w:szCs w:val="16"/>
                <w:color w:val="auto"/>
              </w:rPr>
            </w:pPr>
          </w:p>
        </w:tc>
      </w:tr>
      <w:tr>
        <w:trPr>
          <w:trHeight w:val="189"/>
        </w:trPr>
        <w:tc>
          <w:tcPr>
            <w:tcW w:w="544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38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13,256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16,879</w:t>
            </w:r>
          </w:p>
        </w:tc>
        <w:tc>
          <w:tcPr>
            <w:tcW w:w="80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(a)</w:t>
            </w:r>
          </w:p>
        </w:tc>
        <w:tc>
          <w:tcPr>
            <w:tcW w:w="9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83</w:t>
            </w:r>
          </w:p>
        </w:tc>
        <w:tc>
          <w:tcPr>
            <w:tcW w:w="3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30,218</w:t>
            </w:r>
          </w:p>
        </w:tc>
        <w:tc>
          <w:tcPr>
            <w:tcW w:w="100" w:type="dxa"/>
            <w:vAlign w:val="bottom"/>
          </w:tcPr>
          <w:p>
            <w:pPr>
              <w:spacing w:after="0"/>
              <w:rPr>
                <w:sz w:val="16"/>
                <w:szCs w:val="16"/>
                <w:color w:val="auto"/>
              </w:rPr>
            </w:pPr>
          </w:p>
        </w:tc>
      </w:tr>
      <w:tr>
        <w:trPr>
          <w:trHeight w:val="189"/>
        </w:trPr>
        <w:tc>
          <w:tcPr>
            <w:tcW w:w="5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3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12,138</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224</w:t>
            </w:r>
          </w:p>
        </w:tc>
        <w:tc>
          <w:tcPr>
            <w:tcW w:w="32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(116)</w:t>
            </w: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12,246</w:t>
            </w:r>
          </w:p>
        </w:tc>
        <w:tc>
          <w:tcPr>
            <w:tcW w:w="100" w:type="dxa"/>
            <w:vAlign w:val="bottom"/>
            <w:shd w:val="clear" w:color="auto" w:fill="E5E5E5"/>
          </w:tcPr>
          <w:p>
            <w:pPr>
              <w:spacing w:after="0"/>
              <w:rPr>
                <w:sz w:val="16"/>
                <w:szCs w:val="16"/>
                <w:color w:val="auto"/>
              </w:rPr>
            </w:pPr>
          </w:p>
        </w:tc>
      </w:tr>
      <w:tr>
        <w:trPr>
          <w:trHeight w:val="68"/>
        </w:trPr>
        <w:tc>
          <w:tcPr>
            <w:tcW w:w="54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5440" w:type="dxa"/>
            <w:vAlign w:val="bottom"/>
          </w:tcPr>
          <w:p>
            <w:pPr>
              <w:ind w:left="220"/>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49,711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17,702</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67,371</w:t>
            </w:r>
          </w:p>
        </w:tc>
        <w:tc>
          <w:tcPr>
            <w:tcW w:w="100" w:type="dxa"/>
            <w:vAlign w:val="bottom"/>
          </w:tcPr>
          <w:p>
            <w:pPr>
              <w:spacing w:after="0"/>
              <w:rPr>
                <w:sz w:val="22"/>
                <w:szCs w:val="22"/>
                <w:color w:val="auto"/>
              </w:rPr>
            </w:pPr>
          </w:p>
        </w:tc>
      </w:tr>
      <w:tr>
        <w:trPr>
          <w:trHeight w:val="61"/>
        </w:trPr>
        <w:tc>
          <w:tcPr>
            <w:tcW w:w="544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141"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Includes goodwill of $16.3 billion related to Nuance. See Note 7 – Business Combinations for further information</w:t>
      </w:r>
      <w:r>
        <w:rPr>
          <w:rFonts w:ascii="Arial" w:cs="Arial" w:eastAsia="Arial" w:hAnsi="Arial"/>
          <w:sz w:val="21"/>
          <w:szCs w:val="21"/>
          <w:color w:val="auto"/>
        </w:rPr>
        <w:t>.</w:t>
      </w:r>
    </w:p>
    <w:p>
      <w:pPr>
        <w:spacing w:after="0" w:line="22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9" w:name="page20"/>
    <w:bookmarkEnd w:id="19"/>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379" w:lineRule="exact"/>
        <w:rPr>
          <w:sz w:val="20"/>
          <w:szCs w:val="20"/>
          <w:color w:val="auto"/>
        </w:rPr>
      </w:pPr>
    </w:p>
    <w:p>
      <w:pPr>
        <w:ind w:left="4260"/>
        <w:spacing w:after="0"/>
        <w:rPr>
          <w:sz w:val="20"/>
          <w:szCs w:val="20"/>
          <w:color w:val="auto"/>
        </w:rPr>
      </w:pPr>
      <w:r>
        <w:rPr>
          <w:rFonts w:ascii="Arial" w:cs="Arial" w:eastAsia="Arial" w:hAnsi="Arial"/>
          <w:sz w:val="18"/>
          <w:szCs w:val="18"/>
          <w:u w:val="single" w:color="auto"/>
          <w:color w:val="auto"/>
        </w:rPr>
        <w:t>NOTE 9 —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all of which are finite-lived,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Gross</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Net</w:t>
            </w:r>
          </w:p>
        </w:tc>
      </w:tr>
      <w:tr>
        <w:trPr>
          <w:trHeight w:val="148"/>
        </w:trPr>
        <w:tc>
          <w:tcPr>
            <w:tcW w:w="2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Carrying</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Accumulated</w:t>
            </w:r>
          </w:p>
        </w:tc>
        <w:tc>
          <w:tcPr>
            <w:tcW w:w="36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Carrying</w:t>
            </w:r>
          </w:p>
        </w:tc>
        <w:tc>
          <w:tcPr>
            <w:tcW w:w="24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Carrying</w:t>
            </w:r>
          </w:p>
        </w:tc>
      </w:tr>
      <w:tr>
        <w:trPr>
          <w:trHeight w:val="178"/>
        </w:trPr>
        <w:tc>
          <w:tcPr>
            <w:tcW w:w="25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4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Amortization</w:t>
            </w:r>
          </w:p>
        </w:tc>
        <w:tc>
          <w:tcPr>
            <w:tcW w:w="3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Amortization</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Amount</w:t>
            </w:r>
          </w:p>
        </w:tc>
      </w:tr>
      <w:tr>
        <w:trPr>
          <w:trHeight w:val="54"/>
        </w:trPr>
        <w:tc>
          <w:tcPr>
            <w:tcW w:w="25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193"/>
        </w:trPr>
        <w:tc>
          <w:tcPr>
            <w:tcW w:w="2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June 30,</w:t>
            </w:r>
          </w:p>
        </w:tc>
      </w:tr>
      <w:tr>
        <w:trPr>
          <w:trHeight w:val="178"/>
        </w:trPr>
        <w:tc>
          <w:tcPr>
            <w:tcW w:w="2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r>
      <w:tr>
        <w:trPr>
          <w:trHeight w:val="54"/>
        </w:trPr>
        <w:tc>
          <w:tcPr>
            <w:tcW w:w="2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89"/>
        </w:trPr>
        <w:tc>
          <w:tcPr>
            <w:tcW w:w="2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Technology-based</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11,570</w:t>
            </w:r>
          </w:p>
        </w:tc>
        <w:tc>
          <w:tcPr>
            <w:tcW w:w="5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(7,346)</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4,224</w:t>
            </w:r>
          </w:p>
        </w:tc>
        <w:tc>
          <w:tcPr>
            <w:tcW w:w="50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9,779</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(7,007)</w:t>
            </w:r>
          </w:p>
        </w:tc>
        <w:tc>
          <w:tcPr>
            <w:tcW w:w="46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2,772</w:t>
            </w:r>
          </w:p>
        </w:tc>
      </w:tr>
      <w:tr>
        <w:trPr>
          <w:trHeight w:val="189"/>
        </w:trPr>
        <w:tc>
          <w:tcPr>
            <w:tcW w:w="2500" w:type="dxa"/>
            <w:vAlign w:val="bottom"/>
          </w:tcPr>
          <w:p>
            <w:pPr>
              <w:spacing w:after="0" w:line="189" w:lineRule="exact"/>
              <w:rPr>
                <w:sz w:val="20"/>
                <w:szCs w:val="20"/>
                <w:color w:val="auto"/>
              </w:rPr>
            </w:pPr>
            <w:r>
              <w:rPr>
                <w:rFonts w:ascii="Arial" w:cs="Arial" w:eastAsia="Arial" w:hAnsi="Arial"/>
                <w:sz w:val="18"/>
                <w:szCs w:val="18"/>
                <w:color w:val="auto"/>
              </w:rPr>
              <w:t>Customer-related</w:t>
            </w:r>
          </w:p>
        </w:tc>
        <w:tc>
          <w:tcPr>
            <w:tcW w:w="440" w:type="dxa"/>
            <w:vAlign w:val="bottom"/>
          </w:tcPr>
          <w:p>
            <w:pPr>
              <w:spacing w:after="0"/>
              <w:rPr>
                <w:sz w:val="16"/>
                <w:szCs w:val="16"/>
                <w:color w:val="auto"/>
              </w:rPr>
            </w:pPr>
          </w:p>
        </w:tc>
        <w:tc>
          <w:tcPr>
            <w:tcW w:w="92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7,578</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(3,366)</w:t>
            </w:r>
          </w:p>
        </w:tc>
        <w:tc>
          <w:tcPr>
            <w:tcW w:w="3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4,212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4,958</w:t>
            </w:r>
          </w:p>
        </w:tc>
        <w:tc>
          <w:tcPr>
            <w:tcW w:w="240" w:type="dxa"/>
            <w:vAlign w:val="bottom"/>
          </w:tcPr>
          <w:p>
            <w:pPr>
              <w:spacing w:after="0"/>
              <w:rPr>
                <w:sz w:val="16"/>
                <w:szCs w:val="16"/>
                <w:color w:val="auto"/>
              </w:rPr>
            </w:pPr>
          </w:p>
        </w:tc>
        <w:tc>
          <w:tcPr>
            <w:tcW w:w="112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(2,859)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2,099</w:t>
            </w:r>
          </w:p>
        </w:tc>
      </w:tr>
      <w:tr>
        <w:trPr>
          <w:trHeight w:val="189"/>
        </w:trPr>
        <w:tc>
          <w:tcPr>
            <w:tcW w:w="2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Marketing-related</w:t>
            </w:r>
          </w:p>
        </w:tc>
        <w:tc>
          <w:tcPr>
            <w:tcW w:w="4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5,033</w:t>
            </w:r>
          </w:p>
        </w:tc>
        <w:tc>
          <w:tcPr>
            <w:tcW w:w="2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(2,131)</w:t>
            </w: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2,902</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4,792</w:t>
            </w:r>
          </w:p>
        </w:tc>
        <w:tc>
          <w:tcPr>
            <w:tcW w:w="2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(1,878)</w:t>
            </w:r>
          </w:p>
        </w:tc>
        <w:tc>
          <w:tcPr>
            <w:tcW w:w="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2,914</w:t>
            </w:r>
          </w:p>
        </w:tc>
      </w:tr>
      <w:tr>
        <w:trPr>
          <w:trHeight w:val="250"/>
        </w:trPr>
        <w:tc>
          <w:tcPr>
            <w:tcW w:w="2500" w:type="dxa"/>
            <w:vAlign w:val="bottom"/>
          </w:tcPr>
          <w:p>
            <w:pPr>
              <w:spacing w:after="0"/>
              <w:rPr>
                <w:sz w:val="20"/>
                <w:szCs w:val="20"/>
                <w:color w:val="auto"/>
              </w:rPr>
            </w:pPr>
            <w:r>
              <w:rPr>
                <w:rFonts w:ascii="Arial" w:cs="Arial" w:eastAsia="Arial" w:hAnsi="Arial"/>
                <w:sz w:val="18"/>
                <w:szCs w:val="18"/>
                <w:color w:val="auto"/>
              </w:rPr>
              <w:t>Contract-based</w:t>
            </w:r>
          </w:p>
        </w:tc>
        <w:tc>
          <w:tcPr>
            <w:tcW w:w="4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343</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(333)</w:t>
            </w:r>
          </w:p>
        </w:tc>
        <w:tc>
          <w:tcPr>
            <w:tcW w:w="3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r>
      <w:tr>
        <w:trPr>
          <w:trHeight w:val="68"/>
        </w:trPr>
        <w:tc>
          <w:tcPr>
            <w:tcW w:w="25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189"/>
        </w:trPr>
        <w:tc>
          <w:tcPr>
            <w:tcW w:w="25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24,524</w:t>
            </w:r>
          </w:p>
        </w:tc>
        <w:tc>
          <w:tcPr>
            <w:tcW w:w="5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5"/>
                <w:szCs w:val="15"/>
                <w:b w:val="1"/>
                <w:bCs w:val="1"/>
                <w:color w:val="auto"/>
              </w:rPr>
              <w:t xml:space="preserve">(a) </w:t>
            </w:r>
            <w:r>
              <w:rPr>
                <w:rFonts w:ascii="Arial" w:cs="Arial" w:eastAsia="Arial" w:hAnsi="Arial"/>
                <w:sz w:val="17"/>
                <w:szCs w:val="17"/>
                <w:b w:val="1"/>
                <w:bCs w:val="1"/>
                <w:color w:val="auto"/>
              </w:rPr>
              <w:t>$</w:t>
            </w:r>
          </w:p>
        </w:tc>
        <w:tc>
          <w:tcPr>
            <w:tcW w:w="12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(13,176)</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11,348</w:t>
            </w:r>
          </w:p>
        </w:tc>
        <w:tc>
          <w:tcPr>
            <w:tcW w:w="50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19,975</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(12,175)</w:t>
            </w:r>
          </w:p>
        </w:tc>
        <w:tc>
          <w:tcPr>
            <w:tcW w:w="46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7,800</w:t>
            </w:r>
          </w:p>
        </w:tc>
      </w:tr>
      <w:tr>
        <w:trPr>
          <w:trHeight w:val="75"/>
        </w:trPr>
        <w:tc>
          <w:tcPr>
            <w:tcW w:w="25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bl>
    <w:p>
      <w:pPr>
        <w:spacing w:after="0" w:line="49"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Includes intangible assets of $4.3 billion related to Nuance. See Note 7 – Business Combinations for further information</w:t>
      </w:r>
      <w:r>
        <w:rPr>
          <w:rFonts w:ascii="Arial" w:cs="Arial" w:eastAsia="Arial" w:hAnsi="Arial"/>
          <w:sz w:val="18"/>
          <w:szCs w:val="18"/>
          <w:color w:val="auto"/>
        </w:rPr>
        <w:t>.</w:t>
      </w:r>
    </w:p>
    <w:p>
      <w:pPr>
        <w:spacing w:after="0" w:line="17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Intangible assets amortization expense was $502 million and $1.4 billion for the three and nine months ended March 31, 2022, respectively, and $405 million and $1.2 billion for the three and nine months ended March 31, 2021,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estimated future amortization expense related to intangible assets held as of March 31, 2022:</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4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5040" w:type="dxa"/>
            <w:vAlign w:val="bottom"/>
          </w:tcPr>
          <w:p>
            <w:pPr>
              <w:spacing w:after="0"/>
              <w:rPr>
                <w:sz w:val="4"/>
                <w:szCs w:val="4"/>
                <w:color w:val="auto"/>
              </w:rPr>
            </w:pPr>
          </w:p>
        </w:tc>
        <w:tc>
          <w:tcPr>
            <w:tcW w:w="4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2022 (excluding the nine months ended March 31, 2022)</w:t>
            </w:r>
          </w:p>
        </w:tc>
        <w:tc>
          <w:tcPr>
            <w:tcW w:w="526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618</w:t>
            </w:r>
          </w:p>
        </w:tc>
        <w:tc>
          <w:tcPr>
            <w:tcW w:w="0" w:type="dxa"/>
            <w:vAlign w:val="bottom"/>
          </w:tcPr>
          <w:p>
            <w:pPr>
              <w:spacing w:after="0"/>
              <w:rPr>
                <w:sz w:val="1"/>
                <w:szCs w:val="1"/>
                <w:color w:val="auto"/>
              </w:rPr>
            </w:pPr>
          </w:p>
        </w:tc>
      </w:tr>
      <w:tr>
        <w:trPr>
          <w:trHeight w:val="189"/>
        </w:trPr>
        <w:tc>
          <w:tcPr>
            <w:tcW w:w="5040" w:type="dxa"/>
            <w:vAlign w:val="bottom"/>
          </w:tcPr>
          <w:p>
            <w:pPr>
              <w:spacing w:after="0" w:line="189" w:lineRule="exact"/>
              <w:rPr>
                <w:sz w:val="20"/>
                <w:szCs w:val="20"/>
                <w:color w:val="auto"/>
              </w:rPr>
            </w:pPr>
            <w:r>
              <w:rPr>
                <w:rFonts w:ascii="Arial" w:cs="Arial" w:eastAsia="Arial" w:hAnsi="Arial"/>
                <w:sz w:val="18"/>
                <w:szCs w:val="18"/>
                <w:color w:val="auto"/>
              </w:rPr>
              <w:t>2023</w:t>
            </w:r>
          </w:p>
        </w:tc>
        <w:tc>
          <w:tcPr>
            <w:tcW w:w="4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2,579</w:t>
            </w: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2024</w:t>
            </w:r>
          </w:p>
        </w:tc>
        <w:tc>
          <w:tcPr>
            <w:tcW w:w="486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2,275</w:t>
            </w:r>
          </w:p>
        </w:tc>
        <w:tc>
          <w:tcPr>
            <w:tcW w:w="0" w:type="dxa"/>
            <w:vAlign w:val="bottom"/>
          </w:tcPr>
          <w:p>
            <w:pPr>
              <w:spacing w:after="0"/>
              <w:rPr>
                <w:sz w:val="1"/>
                <w:szCs w:val="1"/>
                <w:color w:val="auto"/>
              </w:rPr>
            </w:pPr>
          </w:p>
        </w:tc>
      </w:tr>
      <w:tr>
        <w:trPr>
          <w:trHeight w:val="189"/>
        </w:trPr>
        <w:tc>
          <w:tcPr>
            <w:tcW w:w="5040" w:type="dxa"/>
            <w:vAlign w:val="bottom"/>
          </w:tcPr>
          <w:p>
            <w:pPr>
              <w:spacing w:after="0" w:line="189" w:lineRule="exact"/>
              <w:rPr>
                <w:sz w:val="20"/>
                <w:szCs w:val="20"/>
                <w:color w:val="auto"/>
              </w:rPr>
            </w:pPr>
            <w:r>
              <w:rPr>
                <w:rFonts w:ascii="Arial" w:cs="Arial" w:eastAsia="Arial" w:hAnsi="Arial"/>
                <w:sz w:val="18"/>
                <w:szCs w:val="18"/>
                <w:color w:val="auto"/>
              </w:rPr>
              <w:t>2025</w:t>
            </w:r>
          </w:p>
        </w:tc>
        <w:tc>
          <w:tcPr>
            <w:tcW w:w="4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1,551</w:t>
            </w: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2026</w:t>
            </w:r>
          </w:p>
        </w:tc>
        <w:tc>
          <w:tcPr>
            <w:tcW w:w="486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1,110</w:t>
            </w:r>
          </w:p>
        </w:tc>
        <w:tc>
          <w:tcPr>
            <w:tcW w:w="0" w:type="dxa"/>
            <w:vAlign w:val="bottom"/>
          </w:tcPr>
          <w:p>
            <w:pPr>
              <w:spacing w:after="0"/>
              <w:rPr>
                <w:sz w:val="1"/>
                <w:szCs w:val="1"/>
                <w:color w:val="auto"/>
              </w:rPr>
            </w:pPr>
          </w:p>
        </w:tc>
      </w:tr>
      <w:tr>
        <w:trPr>
          <w:trHeight w:val="239"/>
        </w:trPr>
        <w:tc>
          <w:tcPr>
            <w:tcW w:w="5040" w:type="dxa"/>
            <w:vAlign w:val="bottom"/>
          </w:tcPr>
          <w:p>
            <w:pPr>
              <w:spacing w:after="0"/>
              <w:rPr>
                <w:sz w:val="20"/>
                <w:szCs w:val="20"/>
                <w:color w:val="auto"/>
              </w:rPr>
            </w:pPr>
            <w:r>
              <w:rPr>
                <w:rFonts w:ascii="Arial" w:cs="Arial" w:eastAsia="Arial" w:hAnsi="Arial"/>
                <w:sz w:val="18"/>
                <w:szCs w:val="18"/>
                <w:color w:val="auto"/>
              </w:rPr>
              <w:t>Thereafter</w:t>
            </w:r>
          </w:p>
        </w:tc>
        <w:tc>
          <w:tcPr>
            <w:tcW w:w="4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3,215</w:t>
            </w:r>
          </w:p>
        </w:tc>
        <w:tc>
          <w:tcPr>
            <w:tcW w:w="0" w:type="dxa"/>
            <w:vAlign w:val="bottom"/>
          </w:tcPr>
          <w:p>
            <w:pPr>
              <w:spacing w:after="0"/>
              <w:rPr>
                <w:sz w:val="1"/>
                <w:szCs w:val="1"/>
                <w:color w:val="auto"/>
              </w:rPr>
            </w:pPr>
          </w:p>
        </w:tc>
      </w:tr>
      <w:tr>
        <w:trPr>
          <w:trHeight w:val="31"/>
        </w:trPr>
        <w:tc>
          <w:tcPr>
            <w:tcW w:w="504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5040" w:type="dxa"/>
            <w:vAlign w:val="bottom"/>
          </w:tcPr>
          <w:p>
            <w:pPr>
              <w:spacing w:after="0"/>
              <w:rPr>
                <w:sz w:val="6"/>
                <w:szCs w:val="6"/>
                <w:color w:val="auto"/>
              </w:rPr>
            </w:pPr>
          </w:p>
        </w:tc>
        <w:tc>
          <w:tcPr>
            <w:tcW w:w="4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ind w:left="180"/>
              <w:spacing w:after="0" w:line="189" w:lineRule="exact"/>
              <w:rPr>
                <w:sz w:val="20"/>
                <w:szCs w:val="20"/>
                <w:color w:val="auto"/>
              </w:rPr>
            </w:pPr>
            <w:r>
              <w:rPr>
                <w:rFonts w:ascii="Arial" w:cs="Arial" w:eastAsia="Arial" w:hAnsi="Arial"/>
                <w:sz w:val="18"/>
                <w:szCs w:val="18"/>
                <w:color w:val="auto"/>
              </w:rPr>
              <w:t>Total</w:t>
            </w:r>
          </w:p>
        </w:tc>
        <w:tc>
          <w:tcPr>
            <w:tcW w:w="526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11,348</w:t>
            </w:r>
          </w:p>
        </w:tc>
        <w:tc>
          <w:tcPr>
            <w:tcW w:w="0" w:type="dxa"/>
            <w:vAlign w:val="bottom"/>
          </w:tcPr>
          <w:p>
            <w:pPr>
              <w:spacing w:after="0"/>
              <w:rPr>
                <w:sz w:val="1"/>
                <w:szCs w:val="1"/>
                <w:color w:val="auto"/>
              </w:rPr>
            </w:pPr>
          </w:p>
        </w:tc>
      </w:tr>
      <w:tr>
        <w:trPr>
          <w:trHeight w:val="74"/>
        </w:trPr>
        <w:tc>
          <w:tcPr>
            <w:tcW w:w="5040" w:type="dxa"/>
            <w:vAlign w:val="bottom"/>
          </w:tcPr>
          <w:p>
            <w:pPr>
              <w:spacing w:after="0"/>
              <w:rPr>
                <w:sz w:val="6"/>
                <w:szCs w:val="6"/>
                <w:color w:val="auto"/>
              </w:rPr>
            </w:pPr>
          </w:p>
        </w:tc>
        <w:tc>
          <w:tcPr>
            <w:tcW w:w="4860" w:type="dxa"/>
            <w:vAlign w:val="bottom"/>
            <w:vMerge w:val="restart"/>
          </w:tcPr>
          <w:p>
            <w:pPr>
              <w:jc w:val="right"/>
              <w:ind w:right="4116"/>
              <w:spacing w:after="0"/>
              <w:rPr>
                <w:sz w:val="20"/>
                <w:szCs w:val="20"/>
                <w:color w:val="auto"/>
              </w:rPr>
            </w:pPr>
            <w:r>
              <w:rPr>
                <w:rFonts w:ascii="Arial" w:cs="Arial" w:eastAsia="Arial" w:hAnsi="Arial"/>
                <w:sz w:val="14"/>
                <w:szCs w:val="14"/>
                <w:color w:val="auto"/>
              </w:rPr>
              <w:t>20</w:t>
            </w: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6"/>
        </w:trPr>
        <w:tc>
          <w:tcPr>
            <w:tcW w:w="504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040" w:type="dxa"/>
            <w:vAlign w:val="bottom"/>
            <w:tcBorders>
              <w:bottom w:val="single" w:sz="8" w:color="9A9A9A"/>
            </w:tcBorders>
          </w:tcPr>
          <w:p>
            <w:pPr>
              <w:spacing w:after="0"/>
              <w:rPr>
                <w:sz w:val="8"/>
                <w:szCs w:val="8"/>
                <w:color w:val="auto"/>
              </w:rPr>
            </w:pPr>
          </w:p>
        </w:tc>
        <w:tc>
          <w:tcPr>
            <w:tcW w:w="48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0" w:name="page21"/>
    <w:bookmarkEnd w:id="20"/>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NOTE 10 —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debt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3"/>
                <w:szCs w:val="13"/>
                <w:color w:val="auto"/>
              </w:rPr>
            </w:pPr>
          </w:p>
        </w:tc>
        <w:tc>
          <w:tcPr>
            <w:tcW w:w="1440" w:type="dxa"/>
            <w:vAlign w:val="bottom"/>
          </w:tcPr>
          <w:p>
            <w:pPr>
              <w:jc w:val="right"/>
              <w:ind w:right="353"/>
              <w:spacing w:after="0"/>
              <w:rPr>
                <w:sz w:val="20"/>
                <w:szCs w:val="20"/>
                <w:color w:val="auto"/>
              </w:rPr>
            </w:pPr>
            <w:r>
              <w:rPr>
                <w:rFonts w:ascii="Arial" w:cs="Arial" w:eastAsia="Arial" w:hAnsi="Arial"/>
                <w:sz w:val="13"/>
                <w:szCs w:val="13"/>
                <w:b w:val="1"/>
                <w:bCs w:val="1"/>
                <w:color w:val="auto"/>
              </w:rPr>
              <w:t>Maturities</w:t>
            </w:r>
          </w:p>
        </w:tc>
        <w:tc>
          <w:tcPr>
            <w:tcW w:w="1800" w:type="dxa"/>
            <w:vAlign w:val="bottom"/>
          </w:tcPr>
          <w:p>
            <w:pPr>
              <w:jc w:val="right"/>
              <w:ind w:right="393"/>
              <w:spacing w:after="0"/>
              <w:rPr>
                <w:sz w:val="20"/>
                <w:szCs w:val="20"/>
                <w:color w:val="auto"/>
              </w:rPr>
            </w:pPr>
            <w:r>
              <w:rPr>
                <w:rFonts w:ascii="Arial" w:cs="Arial" w:eastAsia="Arial" w:hAnsi="Arial"/>
                <w:sz w:val="13"/>
                <w:szCs w:val="13"/>
                <w:b w:val="1"/>
                <w:bCs w:val="1"/>
                <w:color w:val="auto"/>
              </w:rPr>
              <w:t>Stated Interest</w:t>
            </w:r>
          </w:p>
        </w:tc>
        <w:tc>
          <w:tcPr>
            <w:tcW w:w="1700" w:type="dxa"/>
            <w:vAlign w:val="bottom"/>
          </w:tcPr>
          <w:p>
            <w:pPr>
              <w:jc w:val="right"/>
              <w:ind w:right="173"/>
              <w:spacing w:after="0"/>
              <w:rPr>
                <w:sz w:val="20"/>
                <w:szCs w:val="20"/>
                <w:color w:val="auto"/>
              </w:rPr>
            </w:pPr>
            <w:r>
              <w:rPr>
                <w:rFonts w:ascii="Arial" w:cs="Arial" w:eastAsia="Arial" w:hAnsi="Arial"/>
                <w:sz w:val="13"/>
                <w:szCs w:val="13"/>
                <w:b w:val="1"/>
                <w:bCs w:val="1"/>
                <w:color w:val="auto"/>
              </w:rPr>
              <w:t>Effective Interest</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March 31,</w:t>
            </w:r>
          </w:p>
        </w:tc>
        <w:tc>
          <w:tcPr>
            <w:tcW w:w="300" w:type="dxa"/>
            <w:vAlign w:val="bottom"/>
          </w:tcPr>
          <w:p>
            <w:pPr>
              <w:spacing w:after="0"/>
              <w:rPr>
                <w:sz w:val="13"/>
                <w:szCs w:val="13"/>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June 30,</w:t>
            </w:r>
          </w:p>
        </w:tc>
      </w:tr>
      <w:tr>
        <w:trPr>
          <w:trHeight w:val="178"/>
        </w:trPr>
        <w:tc>
          <w:tcPr>
            <w:tcW w:w="3540" w:type="dxa"/>
            <w:vAlign w:val="bottom"/>
          </w:tcPr>
          <w:p>
            <w:pPr>
              <w:spacing w:after="0"/>
              <w:rPr>
                <w:sz w:val="20"/>
                <w:szCs w:val="20"/>
                <w:color w:val="auto"/>
              </w:rPr>
            </w:pPr>
            <w:r>
              <w:rPr>
                <w:rFonts w:ascii="Arial" w:cs="Arial" w:eastAsia="Arial" w:hAnsi="Arial"/>
                <w:sz w:val="13"/>
                <w:szCs w:val="13"/>
                <w:b w:val="1"/>
                <w:bCs w:val="1"/>
                <w:color w:val="auto"/>
              </w:rPr>
              <w:t>(In millions, issuance by calendar year)</w:t>
            </w:r>
          </w:p>
        </w:tc>
        <w:tc>
          <w:tcPr>
            <w:tcW w:w="1440" w:type="dxa"/>
            <w:vAlign w:val="bottom"/>
          </w:tcPr>
          <w:p>
            <w:pPr>
              <w:jc w:val="right"/>
              <w:ind w:right="193"/>
              <w:spacing w:after="0"/>
              <w:rPr>
                <w:sz w:val="20"/>
                <w:szCs w:val="20"/>
                <w:color w:val="auto"/>
              </w:rPr>
            </w:pPr>
            <w:r>
              <w:rPr>
                <w:rFonts w:ascii="Arial" w:cs="Arial" w:eastAsia="Arial" w:hAnsi="Arial"/>
                <w:sz w:val="13"/>
                <w:szCs w:val="13"/>
                <w:b w:val="1"/>
                <w:bCs w:val="1"/>
                <w:color w:val="auto"/>
              </w:rPr>
              <w:t>(calendar year)</w:t>
            </w:r>
          </w:p>
        </w:tc>
        <w:tc>
          <w:tcPr>
            <w:tcW w:w="1800" w:type="dxa"/>
            <w:vAlign w:val="bottom"/>
          </w:tcPr>
          <w:p>
            <w:pPr>
              <w:jc w:val="right"/>
              <w:ind w:right="713"/>
              <w:spacing w:after="0"/>
              <w:rPr>
                <w:sz w:val="20"/>
                <w:szCs w:val="20"/>
                <w:color w:val="auto"/>
              </w:rPr>
            </w:pPr>
            <w:r>
              <w:rPr>
                <w:rFonts w:ascii="Arial" w:cs="Arial" w:eastAsia="Arial" w:hAnsi="Arial"/>
                <w:sz w:val="13"/>
                <w:szCs w:val="13"/>
                <w:b w:val="1"/>
                <w:bCs w:val="1"/>
                <w:color w:val="auto"/>
              </w:rPr>
              <w:t>Rate</w:t>
            </w:r>
          </w:p>
        </w:tc>
        <w:tc>
          <w:tcPr>
            <w:tcW w:w="1700" w:type="dxa"/>
            <w:vAlign w:val="bottom"/>
          </w:tcPr>
          <w:p>
            <w:pPr>
              <w:jc w:val="right"/>
              <w:ind w:right="573"/>
              <w:spacing w:after="0"/>
              <w:rPr>
                <w:sz w:val="20"/>
                <w:szCs w:val="20"/>
                <w:color w:val="auto"/>
              </w:rPr>
            </w:pPr>
            <w:r>
              <w:rPr>
                <w:rFonts w:ascii="Arial" w:cs="Arial" w:eastAsia="Arial" w:hAnsi="Arial"/>
                <w:sz w:val="13"/>
                <w:szCs w:val="13"/>
                <w:b w:val="1"/>
                <w:bCs w:val="1"/>
                <w:color w:val="auto"/>
              </w:rPr>
              <w:t>Rate</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2022</w:t>
            </w: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54"/>
        </w:trPr>
        <w:tc>
          <w:tcPr>
            <w:tcW w:w="35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61"/>
        </w:trPr>
        <w:tc>
          <w:tcPr>
            <w:tcW w:w="35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2009 issuance of $3.8 billion </w:t>
            </w:r>
            <w:r>
              <w:rPr>
                <w:rFonts w:ascii="Arial" w:cs="Arial" w:eastAsia="Arial" w:hAnsi="Arial"/>
                <w:sz w:val="15"/>
                <w:szCs w:val="15"/>
                <w:color w:val="auto"/>
              </w:rPr>
              <w:t>(a)</w:t>
            </w:r>
          </w:p>
        </w:tc>
        <w:tc>
          <w:tcPr>
            <w:tcW w:w="1440" w:type="dxa"/>
            <w:vAlign w:val="bottom"/>
            <w:shd w:val="clear" w:color="auto" w:fill="E5E5E5"/>
          </w:tcPr>
          <w:p>
            <w:pPr>
              <w:jc w:val="right"/>
              <w:ind w:right="153"/>
              <w:spacing w:after="0" w:line="189" w:lineRule="exact"/>
              <w:rPr>
                <w:sz w:val="20"/>
                <w:szCs w:val="20"/>
                <w:color w:val="auto"/>
              </w:rPr>
            </w:pPr>
            <w:r>
              <w:rPr>
                <w:rFonts w:ascii="Arial" w:cs="Arial" w:eastAsia="Arial" w:hAnsi="Arial"/>
                <w:sz w:val="18"/>
                <w:szCs w:val="18"/>
                <w:b w:val="1"/>
                <w:bCs w:val="1"/>
                <w:color w:val="auto"/>
              </w:rPr>
              <w:t>2039</w:t>
            </w:r>
          </w:p>
        </w:tc>
        <w:tc>
          <w:tcPr>
            <w:tcW w:w="1800" w:type="dxa"/>
            <w:vAlign w:val="bottom"/>
            <w:shd w:val="clear" w:color="auto" w:fill="E5E5E5"/>
          </w:tcPr>
          <w:p>
            <w:pPr>
              <w:jc w:val="right"/>
              <w:ind w:right="273"/>
              <w:spacing w:after="0" w:line="189" w:lineRule="exact"/>
              <w:rPr>
                <w:sz w:val="20"/>
                <w:szCs w:val="20"/>
                <w:color w:val="auto"/>
              </w:rPr>
            </w:pPr>
            <w:r>
              <w:rPr>
                <w:rFonts w:ascii="Arial" w:cs="Arial" w:eastAsia="Arial" w:hAnsi="Arial"/>
                <w:sz w:val="18"/>
                <w:szCs w:val="18"/>
                <w:b w:val="1"/>
                <w:bCs w:val="1"/>
                <w:color w:val="auto"/>
              </w:rPr>
              <w:t>5.20%</w:t>
            </w:r>
          </w:p>
        </w:tc>
        <w:tc>
          <w:tcPr>
            <w:tcW w:w="1700" w:type="dxa"/>
            <w:vAlign w:val="bottom"/>
            <w:shd w:val="clear" w:color="auto" w:fill="E5E5E5"/>
          </w:tcPr>
          <w:p>
            <w:pPr>
              <w:jc w:val="right"/>
              <w:ind w:right="113"/>
              <w:spacing w:after="0" w:line="189" w:lineRule="exact"/>
              <w:rPr>
                <w:sz w:val="20"/>
                <w:szCs w:val="20"/>
                <w:color w:val="auto"/>
              </w:rPr>
            </w:pPr>
            <w:r>
              <w:rPr>
                <w:rFonts w:ascii="Arial" w:cs="Arial" w:eastAsia="Arial" w:hAnsi="Arial"/>
                <w:sz w:val="18"/>
                <w:szCs w:val="18"/>
                <w:b w:val="1"/>
                <w:bCs w:val="1"/>
                <w:color w:val="auto"/>
              </w:rPr>
              <w:t>5.24%</w:t>
            </w:r>
          </w:p>
        </w:tc>
        <w:tc>
          <w:tcPr>
            <w:tcW w:w="5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520</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520</w:t>
            </w:r>
          </w:p>
        </w:tc>
        <w:tc>
          <w:tcPr>
            <w:tcW w:w="2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2010 issuance of $4.8 billion </w:t>
            </w:r>
            <w:r>
              <w:rPr>
                <w:rFonts w:ascii="Arial" w:cs="Arial" w:eastAsia="Arial" w:hAnsi="Arial"/>
                <w:sz w:val="15"/>
                <w:szCs w:val="15"/>
                <w:color w:val="auto"/>
              </w:rPr>
              <w:t>(a)</w:t>
            </w:r>
          </w:p>
        </w:tc>
        <w:tc>
          <w:tcPr>
            <w:tcW w:w="1440" w:type="dxa"/>
            <w:vAlign w:val="bottom"/>
          </w:tcPr>
          <w:p>
            <w:pPr>
              <w:jc w:val="right"/>
              <w:ind w:right="153"/>
              <w:spacing w:after="0" w:line="189" w:lineRule="exact"/>
              <w:rPr>
                <w:sz w:val="20"/>
                <w:szCs w:val="20"/>
                <w:color w:val="auto"/>
              </w:rPr>
            </w:pPr>
            <w:r>
              <w:rPr>
                <w:rFonts w:ascii="Arial" w:cs="Arial" w:eastAsia="Arial" w:hAnsi="Arial"/>
                <w:sz w:val="18"/>
                <w:szCs w:val="18"/>
                <w:b w:val="1"/>
                <w:bCs w:val="1"/>
                <w:color w:val="auto"/>
              </w:rPr>
              <w:t>2040</w:t>
            </w:r>
          </w:p>
        </w:tc>
        <w:tc>
          <w:tcPr>
            <w:tcW w:w="1800" w:type="dxa"/>
            <w:vAlign w:val="bottom"/>
          </w:tcPr>
          <w:p>
            <w:pPr>
              <w:jc w:val="right"/>
              <w:ind w:right="273"/>
              <w:spacing w:after="0" w:line="189" w:lineRule="exact"/>
              <w:rPr>
                <w:sz w:val="20"/>
                <w:szCs w:val="20"/>
                <w:color w:val="auto"/>
              </w:rPr>
            </w:pPr>
            <w:r>
              <w:rPr>
                <w:rFonts w:ascii="Arial" w:cs="Arial" w:eastAsia="Arial" w:hAnsi="Arial"/>
                <w:sz w:val="18"/>
                <w:szCs w:val="18"/>
                <w:b w:val="1"/>
                <w:bCs w:val="1"/>
                <w:color w:val="auto"/>
              </w:rPr>
              <w:t>4.50%</w:t>
            </w:r>
          </w:p>
        </w:tc>
        <w:tc>
          <w:tcPr>
            <w:tcW w:w="1700" w:type="dxa"/>
            <w:vAlign w:val="bottom"/>
          </w:tcPr>
          <w:p>
            <w:pPr>
              <w:jc w:val="right"/>
              <w:ind w:right="113"/>
              <w:spacing w:after="0" w:line="189" w:lineRule="exact"/>
              <w:rPr>
                <w:sz w:val="20"/>
                <w:szCs w:val="20"/>
                <w:color w:val="auto"/>
              </w:rPr>
            </w:pPr>
            <w:r>
              <w:rPr>
                <w:rFonts w:ascii="Arial" w:cs="Arial" w:eastAsia="Arial" w:hAnsi="Arial"/>
                <w:sz w:val="18"/>
                <w:szCs w:val="18"/>
                <w:b w:val="1"/>
                <w:bCs w:val="1"/>
                <w:color w:val="auto"/>
              </w:rPr>
              <w:t>4.57%</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486</w:t>
            </w:r>
          </w:p>
        </w:tc>
        <w:tc>
          <w:tcPr>
            <w:tcW w:w="3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486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2011 issuance of $2.3 billion </w:t>
            </w:r>
            <w:r>
              <w:rPr>
                <w:rFonts w:ascii="Arial" w:cs="Arial" w:eastAsia="Arial" w:hAnsi="Arial"/>
                <w:sz w:val="15"/>
                <w:szCs w:val="15"/>
                <w:color w:val="auto"/>
              </w:rPr>
              <w:t>(a)</w:t>
            </w:r>
          </w:p>
        </w:tc>
        <w:tc>
          <w:tcPr>
            <w:tcW w:w="1440" w:type="dxa"/>
            <w:vAlign w:val="bottom"/>
            <w:shd w:val="clear" w:color="auto" w:fill="E5E5E5"/>
          </w:tcPr>
          <w:p>
            <w:pPr>
              <w:jc w:val="right"/>
              <w:ind w:right="153"/>
              <w:spacing w:after="0" w:line="189" w:lineRule="exact"/>
              <w:rPr>
                <w:sz w:val="20"/>
                <w:szCs w:val="20"/>
                <w:color w:val="auto"/>
              </w:rPr>
            </w:pPr>
            <w:r>
              <w:rPr>
                <w:rFonts w:ascii="Arial" w:cs="Arial" w:eastAsia="Arial" w:hAnsi="Arial"/>
                <w:sz w:val="18"/>
                <w:szCs w:val="18"/>
                <w:b w:val="1"/>
                <w:bCs w:val="1"/>
                <w:color w:val="auto"/>
              </w:rPr>
              <w:t>2041</w:t>
            </w:r>
          </w:p>
        </w:tc>
        <w:tc>
          <w:tcPr>
            <w:tcW w:w="1800" w:type="dxa"/>
            <w:vAlign w:val="bottom"/>
            <w:shd w:val="clear" w:color="auto" w:fill="E5E5E5"/>
          </w:tcPr>
          <w:p>
            <w:pPr>
              <w:jc w:val="right"/>
              <w:ind w:right="273"/>
              <w:spacing w:after="0" w:line="189" w:lineRule="exact"/>
              <w:rPr>
                <w:sz w:val="20"/>
                <w:szCs w:val="20"/>
                <w:color w:val="auto"/>
              </w:rPr>
            </w:pPr>
            <w:r>
              <w:rPr>
                <w:rFonts w:ascii="Arial" w:cs="Arial" w:eastAsia="Arial" w:hAnsi="Arial"/>
                <w:sz w:val="18"/>
                <w:szCs w:val="18"/>
                <w:b w:val="1"/>
                <w:bCs w:val="1"/>
                <w:color w:val="auto"/>
              </w:rPr>
              <w:t>5.30%</w:t>
            </w:r>
          </w:p>
        </w:tc>
        <w:tc>
          <w:tcPr>
            <w:tcW w:w="1700" w:type="dxa"/>
            <w:vAlign w:val="bottom"/>
            <w:shd w:val="clear" w:color="auto" w:fill="E5E5E5"/>
          </w:tcPr>
          <w:p>
            <w:pPr>
              <w:jc w:val="right"/>
              <w:ind w:right="113"/>
              <w:spacing w:after="0" w:line="189" w:lineRule="exact"/>
              <w:rPr>
                <w:sz w:val="20"/>
                <w:szCs w:val="20"/>
                <w:color w:val="auto"/>
              </w:rPr>
            </w:pPr>
            <w:r>
              <w:rPr>
                <w:rFonts w:ascii="Arial" w:cs="Arial" w:eastAsia="Arial" w:hAnsi="Arial"/>
                <w:sz w:val="18"/>
                <w:szCs w:val="18"/>
                <w:b w:val="1"/>
                <w:bCs w:val="1"/>
                <w:color w:val="auto"/>
              </w:rPr>
              <w:t>5.36%</w:t>
            </w:r>
          </w:p>
        </w:tc>
        <w:tc>
          <w:tcPr>
            <w:tcW w:w="2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718</w:t>
            </w:r>
          </w:p>
        </w:tc>
        <w:tc>
          <w:tcPr>
            <w:tcW w:w="30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718</w:t>
            </w:r>
          </w:p>
        </w:tc>
        <w:tc>
          <w:tcPr>
            <w:tcW w:w="2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2012 issuance of $2.3 billion </w:t>
            </w:r>
            <w:r>
              <w:rPr>
                <w:rFonts w:ascii="Arial" w:cs="Arial" w:eastAsia="Arial" w:hAnsi="Arial"/>
                <w:sz w:val="15"/>
                <w:szCs w:val="15"/>
                <w:color w:val="auto"/>
              </w:rPr>
              <w:t>(a)</w:t>
            </w:r>
          </w:p>
        </w:tc>
        <w:tc>
          <w:tcPr>
            <w:tcW w:w="1440" w:type="dxa"/>
            <w:vAlign w:val="bottom"/>
          </w:tcPr>
          <w:p>
            <w:pPr>
              <w:jc w:val="right"/>
              <w:ind w:right="153"/>
              <w:spacing w:after="0" w:line="189" w:lineRule="exact"/>
              <w:rPr>
                <w:sz w:val="20"/>
                <w:szCs w:val="20"/>
                <w:color w:val="auto"/>
              </w:rPr>
            </w:pPr>
            <w:r>
              <w:rPr>
                <w:rFonts w:ascii="Arial" w:cs="Arial" w:eastAsia="Arial" w:hAnsi="Arial"/>
                <w:sz w:val="18"/>
                <w:szCs w:val="18"/>
                <w:b w:val="1"/>
                <w:bCs w:val="1"/>
                <w:color w:val="auto"/>
              </w:rPr>
              <w:t>2022 – 2042</w:t>
            </w:r>
          </w:p>
        </w:tc>
        <w:tc>
          <w:tcPr>
            <w:tcW w:w="1800" w:type="dxa"/>
            <w:vAlign w:val="bottom"/>
          </w:tcPr>
          <w:p>
            <w:pPr>
              <w:jc w:val="right"/>
              <w:ind w:right="273"/>
              <w:spacing w:after="0" w:line="189" w:lineRule="exact"/>
              <w:rPr>
                <w:sz w:val="20"/>
                <w:szCs w:val="20"/>
                <w:color w:val="auto"/>
              </w:rPr>
            </w:pPr>
            <w:r>
              <w:rPr>
                <w:rFonts w:ascii="Arial" w:cs="Arial" w:eastAsia="Arial" w:hAnsi="Arial"/>
                <w:sz w:val="18"/>
                <w:szCs w:val="18"/>
                <w:b w:val="1"/>
                <w:bCs w:val="1"/>
                <w:color w:val="auto"/>
              </w:rPr>
              <w:t>2.13% – 3.50%</w:t>
            </w:r>
          </w:p>
        </w:tc>
        <w:tc>
          <w:tcPr>
            <w:tcW w:w="1700" w:type="dxa"/>
            <w:vAlign w:val="bottom"/>
          </w:tcPr>
          <w:p>
            <w:pPr>
              <w:jc w:val="right"/>
              <w:ind w:right="113"/>
              <w:spacing w:after="0" w:line="189" w:lineRule="exact"/>
              <w:rPr>
                <w:sz w:val="20"/>
                <w:szCs w:val="20"/>
                <w:color w:val="auto"/>
              </w:rPr>
            </w:pPr>
            <w:r>
              <w:rPr>
                <w:rFonts w:ascii="Arial" w:cs="Arial" w:eastAsia="Arial" w:hAnsi="Arial"/>
                <w:sz w:val="18"/>
                <w:szCs w:val="18"/>
                <w:b w:val="1"/>
                <w:bCs w:val="1"/>
                <w:color w:val="auto"/>
              </w:rPr>
              <w:t>2.24%–3.57%</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1,204</w:t>
            </w:r>
          </w:p>
        </w:tc>
        <w:tc>
          <w:tcPr>
            <w:tcW w:w="3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1,204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2013 issuance of $5.2 billion </w:t>
            </w:r>
            <w:r>
              <w:rPr>
                <w:rFonts w:ascii="Arial" w:cs="Arial" w:eastAsia="Arial" w:hAnsi="Arial"/>
                <w:sz w:val="15"/>
                <w:szCs w:val="15"/>
                <w:color w:val="auto"/>
              </w:rPr>
              <w:t>(a)</w:t>
            </w:r>
          </w:p>
        </w:tc>
        <w:tc>
          <w:tcPr>
            <w:tcW w:w="1440" w:type="dxa"/>
            <w:vAlign w:val="bottom"/>
            <w:shd w:val="clear" w:color="auto" w:fill="E5E5E5"/>
          </w:tcPr>
          <w:p>
            <w:pPr>
              <w:jc w:val="right"/>
              <w:ind w:right="153"/>
              <w:spacing w:after="0" w:line="189" w:lineRule="exact"/>
              <w:rPr>
                <w:sz w:val="20"/>
                <w:szCs w:val="20"/>
                <w:color w:val="auto"/>
              </w:rPr>
            </w:pPr>
            <w:r>
              <w:rPr>
                <w:rFonts w:ascii="Arial" w:cs="Arial" w:eastAsia="Arial" w:hAnsi="Arial"/>
                <w:sz w:val="18"/>
                <w:szCs w:val="18"/>
                <w:b w:val="1"/>
                <w:bCs w:val="1"/>
                <w:color w:val="auto"/>
              </w:rPr>
              <w:t>2023 – 2043</w:t>
            </w:r>
          </w:p>
        </w:tc>
        <w:tc>
          <w:tcPr>
            <w:tcW w:w="1800" w:type="dxa"/>
            <w:vAlign w:val="bottom"/>
            <w:shd w:val="clear" w:color="auto" w:fill="E5E5E5"/>
          </w:tcPr>
          <w:p>
            <w:pPr>
              <w:jc w:val="right"/>
              <w:ind w:right="273"/>
              <w:spacing w:after="0" w:line="189" w:lineRule="exact"/>
              <w:rPr>
                <w:sz w:val="20"/>
                <w:szCs w:val="20"/>
                <w:color w:val="auto"/>
              </w:rPr>
            </w:pPr>
            <w:r>
              <w:rPr>
                <w:rFonts w:ascii="Arial" w:cs="Arial" w:eastAsia="Arial" w:hAnsi="Arial"/>
                <w:sz w:val="18"/>
                <w:szCs w:val="18"/>
                <w:b w:val="1"/>
                <w:bCs w:val="1"/>
                <w:color w:val="auto"/>
              </w:rPr>
              <w:t>2.38% – 4.88%</w:t>
            </w:r>
          </w:p>
        </w:tc>
        <w:tc>
          <w:tcPr>
            <w:tcW w:w="1700" w:type="dxa"/>
            <w:vAlign w:val="bottom"/>
            <w:shd w:val="clear" w:color="auto" w:fill="E5E5E5"/>
          </w:tcPr>
          <w:p>
            <w:pPr>
              <w:jc w:val="right"/>
              <w:ind w:right="113"/>
              <w:spacing w:after="0" w:line="189" w:lineRule="exact"/>
              <w:rPr>
                <w:sz w:val="20"/>
                <w:szCs w:val="20"/>
                <w:color w:val="auto"/>
              </w:rPr>
            </w:pPr>
            <w:r>
              <w:rPr>
                <w:rFonts w:ascii="Arial" w:cs="Arial" w:eastAsia="Arial" w:hAnsi="Arial"/>
                <w:sz w:val="18"/>
                <w:szCs w:val="18"/>
                <w:b w:val="1"/>
                <w:bCs w:val="1"/>
                <w:color w:val="auto"/>
              </w:rPr>
              <w:t>2.47%–4.92%</w:t>
            </w:r>
          </w:p>
        </w:tc>
        <w:tc>
          <w:tcPr>
            <w:tcW w:w="2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2,814</w:t>
            </w:r>
          </w:p>
        </w:tc>
        <w:tc>
          <w:tcPr>
            <w:tcW w:w="30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2,814</w:t>
            </w:r>
          </w:p>
        </w:tc>
        <w:tc>
          <w:tcPr>
            <w:tcW w:w="2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2013 issuance of €4.1 billion</w:t>
            </w:r>
          </w:p>
        </w:tc>
        <w:tc>
          <w:tcPr>
            <w:tcW w:w="1440" w:type="dxa"/>
            <w:vAlign w:val="bottom"/>
          </w:tcPr>
          <w:p>
            <w:pPr>
              <w:jc w:val="right"/>
              <w:ind w:right="153"/>
              <w:spacing w:after="0" w:line="189" w:lineRule="exact"/>
              <w:rPr>
                <w:sz w:val="20"/>
                <w:szCs w:val="20"/>
                <w:color w:val="auto"/>
              </w:rPr>
            </w:pPr>
            <w:r>
              <w:rPr>
                <w:rFonts w:ascii="Arial" w:cs="Arial" w:eastAsia="Arial" w:hAnsi="Arial"/>
                <w:sz w:val="18"/>
                <w:szCs w:val="18"/>
                <w:b w:val="1"/>
                <w:bCs w:val="1"/>
                <w:color w:val="auto"/>
              </w:rPr>
              <w:t>2028 – 2033</w:t>
            </w:r>
          </w:p>
        </w:tc>
        <w:tc>
          <w:tcPr>
            <w:tcW w:w="1800" w:type="dxa"/>
            <w:vAlign w:val="bottom"/>
          </w:tcPr>
          <w:p>
            <w:pPr>
              <w:jc w:val="right"/>
              <w:ind w:right="273"/>
              <w:spacing w:after="0" w:line="189" w:lineRule="exact"/>
              <w:rPr>
                <w:sz w:val="20"/>
                <w:szCs w:val="20"/>
                <w:color w:val="auto"/>
              </w:rPr>
            </w:pPr>
            <w:r>
              <w:rPr>
                <w:rFonts w:ascii="Arial" w:cs="Arial" w:eastAsia="Arial" w:hAnsi="Arial"/>
                <w:sz w:val="18"/>
                <w:szCs w:val="18"/>
                <w:b w:val="1"/>
                <w:bCs w:val="1"/>
                <w:color w:val="auto"/>
              </w:rPr>
              <w:t>2.63% – 3.13%</w:t>
            </w:r>
          </w:p>
        </w:tc>
        <w:tc>
          <w:tcPr>
            <w:tcW w:w="1700" w:type="dxa"/>
            <w:vAlign w:val="bottom"/>
          </w:tcPr>
          <w:p>
            <w:pPr>
              <w:jc w:val="right"/>
              <w:ind w:right="113"/>
              <w:spacing w:after="0" w:line="189" w:lineRule="exact"/>
              <w:rPr>
                <w:sz w:val="20"/>
                <w:szCs w:val="20"/>
                <w:color w:val="auto"/>
              </w:rPr>
            </w:pPr>
            <w:r>
              <w:rPr>
                <w:rFonts w:ascii="Arial" w:cs="Arial" w:eastAsia="Arial" w:hAnsi="Arial"/>
                <w:sz w:val="18"/>
                <w:szCs w:val="18"/>
                <w:b w:val="1"/>
                <w:bCs w:val="1"/>
                <w:color w:val="auto"/>
              </w:rPr>
              <w:t>2.69%–3.22%</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2,559</w:t>
            </w:r>
          </w:p>
        </w:tc>
        <w:tc>
          <w:tcPr>
            <w:tcW w:w="3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4,803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2015 issuance of $23.8 billion </w:t>
            </w:r>
            <w:r>
              <w:rPr>
                <w:rFonts w:ascii="Arial" w:cs="Arial" w:eastAsia="Arial" w:hAnsi="Arial"/>
                <w:sz w:val="15"/>
                <w:szCs w:val="15"/>
                <w:color w:val="auto"/>
              </w:rPr>
              <w:t>(a)</w:t>
            </w:r>
          </w:p>
        </w:tc>
        <w:tc>
          <w:tcPr>
            <w:tcW w:w="1440" w:type="dxa"/>
            <w:vAlign w:val="bottom"/>
            <w:shd w:val="clear" w:color="auto" w:fill="E5E5E5"/>
          </w:tcPr>
          <w:p>
            <w:pPr>
              <w:jc w:val="right"/>
              <w:ind w:right="153"/>
              <w:spacing w:after="0" w:line="189" w:lineRule="exact"/>
              <w:rPr>
                <w:sz w:val="20"/>
                <w:szCs w:val="20"/>
                <w:color w:val="auto"/>
              </w:rPr>
            </w:pPr>
            <w:r>
              <w:rPr>
                <w:rFonts w:ascii="Arial" w:cs="Arial" w:eastAsia="Arial" w:hAnsi="Arial"/>
                <w:sz w:val="18"/>
                <w:szCs w:val="18"/>
                <w:b w:val="1"/>
                <w:bCs w:val="1"/>
                <w:color w:val="auto"/>
              </w:rPr>
              <w:t>2022 – 2055</w:t>
            </w:r>
          </w:p>
        </w:tc>
        <w:tc>
          <w:tcPr>
            <w:tcW w:w="1800" w:type="dxa"/>
            <w:vAlign w:val="bottom"/>
            <w:shd w:val="clear" w:color="auto" w:fill="E5E5E5"/>
          </w:tcPr>
          <w:p>
            <w:pPr>
              <w:jc w:val="right"/>
              <w:ind w:right="273"/>
              <w:spacing w:after="0" w:line="189" w:lineRule="exact"/>
              <w:rPr>
                <w:sz w:val="20"/>
                <w:szCs w:val="20"/>
                <w:color w:val="auto"/>
              </w:rPr>
            </w:pPr>
            <w:r>
              <w:rPr>
                <w:rFonts w:ascii="Arial" w:cs="Arial" w:eastAsia="Arial" w:hAnsi="Arial"/>
                <w:sz w:val="18"/>
                <w:szCs w:val="18"/>
                <w:b w:val="1"/>
                <w:bCs w:val="1"/>
                <w:color w:val="auto"/>
              </w:rPr>
              <w:t>2.65% – 4.75%</w:t>
            </w:r>
          </w:p>
        </w:tc>
        <w:tc>
          <w:tcPr>
            <w:tcW w:w="1700" w:type="dxa"/>
            <w:vAlign w:val="bottom"/>
            <w:shd w:val="clear" w:color="auto" w:fill="E5E5E5"/>
          </w:tcPr>
          <w:p>
            <w:pPr>
              <w:jc w:val="right"/>
              <w:ind w:right="113"/>
              <w:spacing w:after="0" w:line="189" w:lineRule="exact"/>
              <w:rPr>
                <w:sz w:val="20"/>
                <w:szCs w:val="20"/>
                <w:color w:val="auto"/>
              </w:rPr>
            </w:pPr>
            <w:r>
              <w:rPr>
                <w:rFonts w:ascii="Arial" w:cs="Arial" w:eastAsia="Arial" w:hAnsi="Arial"/>
                <w:sz w:val="18"/>
                <w:szCs w:val="18"/>
                <w:b w:val="1"/>
                <w:bCs w:val="1"/>
                <w:color w:val="auto"/>
              </w:rPr>
              <w:t>2.72%–4.78%</w:t>
            </w:r>
          </w:p>
        </w:tc>
        <w:tc>
          <w:tcPr>
            <w:tcW w:w="2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10,805</w:t>
            </w:r>
          </w:p>
        </w:tc>
        <w:tc>
          <w:tcPr>
            <w:tcW w:w="30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12,305</w:t>
            </w:r>
          </w:p>
        </w:tc>
        <w:tc>
          <w:tcPr>
            <w:tcW w:w="2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2016 issuance of $19.8 billion </w:t>
            </w:r>
            <w:r>
              <w:rPr>
                <w:rFonts w:ascii="Arial" w:cs="Arial" w:eastAsia="Arial" w:hAnsi="Arial"/>
                <w:sz w:val="15"/>
                <w:szCs w:val="15"/>
                <w:color w:val="auto"/>
              </w:rPr>
              <w:t>(a)</w:t>
            </w:r>
          </w:p>
        </w:tc>
        <w:tc>
          <w:tcPr>
            <w:tcW w:w="1440" w:type="dxa"/>
            <w:vAlign w:val="bottom"/>
          </w:tcPr>
          <w:p>
            <w:pPr>
              <w:jc w:val="right"/>
              <w:ind w:right="153"/>
              <w:spacing w:after="0" w:line="189" w:lineRule="exact"/>
              <w:rPr>
                <w:sz w:val="20"/>
                <w:szCs w:val="20"/>
                <w:color w:val="auto"/>
              </w:rPr>
            </w:pPr>
            <w:r>
              <w:rPr>
                <w:rFonts w:ascii="Arial" w:cs="Arial" w:eastAsia="Arial" w:hAnsi="Arial"/>
                <w:sz w:val="18"/>
                <w:szCs w:val="18"/>
                <w:b w:val="1"/>
                <w:bCs w:val="1"/>
                <w:color w:val="auto"/>
              </w:rPr>
              <w:t>2023 – 2056</w:t>
            </w:r>
          </w:p>
        </w:tc>
        <w:tc>
          <w:tcPr>
            <w:tcW w:w="1800" w:type="dxa"/>
            <w:vAlign w:val="bottom"/>
          </w:tcPr>
          <w:p>
            <w:pPr>
              <w:jc w:val="right"/>
              <w:ind w:right="273"/>
              <w:spacing w:after="0" w:line="189" w:lineRule="exact"/>
              <w:rPr>
                <w:sz w:val="20"/>
                <w:szCs w:val="20"/>
                <w:color w:val="auto"/>
              </w:rPr>
            </w:pPr>
            <w:r>
              <w:rPr>
                <w:rFonts w:ascii="Arial" w:cs="Arial" w:eastAsia="Arial" w:hAnsi="Arial"/>
                <w:sz w:val="18"/>
                <w:szCs w:val="18"/>
                <w:b w:val="1"/>
                <w:bCs w:val="1"/>
                <w:color w:val="auto"/>
              </w:rPr>
              <w:t>2.00% – 3.95%</w:t>
            </w:r>
          </w:p>
        </w:tc>
        <w:tc>
          <w:tcPr>
            <w:tcW w:w="1700" w:type="dxa"/>
            <w:vAlign w:val="bottom"/>
          </w:tcPr>
          <w:p>
            <w:pPr>
              <w:jc w:val="right"/>
              <w:ind w:right="113"/>
              <w:spacing w:after="0" w:line="189" w:lineRule="exact"/>
              <w:rPr>
                <w:sz w:val="20"/>
                <w:szCs w:val="20"/>
                <w:color w:val="auto"/>
              </w:rPr>
            </w:pPr>
            <w:r>
              <w:rPr>
                <w:rFonts w:ascii="Arial" w:cs="Arial" w:eastAsia="Arial" w:hAnsi="Arial"/>
                <w:sz w:val="18"/>
                <w:szCs w:val="18"/>
                <w:b w:val="1"/>
                <w:bCs w:val="1"/>
                <w:color w:val="auto"/>
              </w:rPr>
              <w:t>2.10%–4.03%</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9,430</w:t>
            </w:r>
          </w:p>
        </w:tc>
        <w:tc>
          <w:tcPr>
            <w:tcW w:w="3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12,180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2017 issuance of $17.0 billion </w:t>
            </w:r>
            <w:r>
              <w:rPr>
                <w:rFonts w:ascii="Arial" w:cs="Arial" w:eastAsia="Arial" w:hAnsi="Arial"/>
                <w:sz w:val="15"/>
                <w:szCs w:val="15"/>
                <w:color w:val="auto"/>
              </w:rPr>
              <w:t>(a)</w:t>
            </w:r>
          </w:p>
        </w:tc>
        <w:tc>
          <w:tcPr>
            <w:tcW w:w="1440" w:type="dxa"/>
            <w:vAlign w:val="bottom"/>
            <w:shd w:val="clear" w:color="auto" w:fill="E5E5E5"/>
          </w:tcPr>
          <w:p>
            <w:pPr>
              <w:jc w:val="right"/>
              <w:ind w:right="153"/>
              <w:spacing w:after="0" w:line="189" w:lineRule="exact"/>
              <w:rPr>
                <w:sz w:val="20"/>
                <w:szCs w:val="20"/>
                <w:color w:val="auto"/>
              </w:rPr>
            </w:pPr>
            <w:r>
              <w:rPr>
                <w:rFonts w:ascii="Arial" w:cs="Arial" w:eastAsia="Arial" w:hAnsi="Arial"/>
                <w:sz w:val="18"/>
                <w:szCs w:val="18"/>
                <w:b w:val="1"/>
                <w:bCs w:val="1"/>
                <w:color w:val="auto"/>
              </w:rPr>
              <w:t>2024 – 2057</w:t>
            </w:r>
          </w:p>
        </w:tc>
        <w:tc>
          <w:tcPr>
            <w:tcW w:w="1800" w:type="dxa"/>
            <w:vAlign w:val="bottom"/>
            <w:shd w:val="clear" w:color="auto" w:fill="E5E5E5"/>
          </w:tcPr>
          <w:p>
            <w:pPr>
              <w:jc w:val="right"/>
              <w:ind w:right="273"/>
              <w:spacing w:after="0" w:line="189" w:lineRule="exact"/>
              <w:rPr>
                <w:sz w:val="20"/>
                <w:szCs w:val="20"/>
                <w:color w:val="auto"/>
              </w:rPr>
            </w:pPr>
            <w:r>
              <w:rPr>
                <w:rFonts w:ascii="Arial" w:cs="Arial" w:eastAsia="Arial" w:hAnsi="Arial"/>
                <w:sz w:val="18"/>
                <w:szCs w:val="18"/>
                <w:b w:val="1"/>
                <w:bCs w:val="1"/>
                <w:color w:val="auto"/>
              </w:rPr>
              <w:t>2.88% – 4.50%</w:t>
            </w:r>
          </w:p>
        </w:tc>
        <w:tc>
          <w:tcPr>
            <w:tcW w:w="1700" w:type="dxa"/>
            <w:vAlign w:val="bottom"/>
            <w:shd w:val="clear" w:color="auto" w:fill="E5E5E5"/>
          </w:tcPr>
          <w:p>
            <w:pPr>
              <w:jc w:val="right"/>
              <w:ind w:right="113"/>
              <w:spacing w:after="0" w:line="189" w:lineRule="exact"/>
              <w:rPr>
                <w:sz w:val="20"/>
                <w:szCs w:val="20"/>
                <w:color w:val="auto"/>
              </w:rPr>
            </w:pPr>
            <w:r>
              <w:rPr>
                <w:rFonts w:ascii="Arial" w:cs="Arial" w:eastAsia="Arial" w:hAnsi="Arial"/>
                <w:sz w:val="18"/>
                <w:szCs w:val="18"/>
                <w:b w:val="1"/>
                <w:bCs w:val="1"/>
                <w:color w:val="auto"/>
              </w:rPr>
              <w:t>3.04%–4.53%</w:t>
            </w:r>
          </w:p>
        </w:tc>
        <w:tc>
          <w:tcPr>
            <w:tcW w:w="2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8,945</w:t>
            </w:r>
          </w:p>
        </w:tc>
        <w:tc>
          <w:tcPr>
            <w:tcW w:w="30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10,695</w:t>
            </w:r>
          </w:p>
        </w:tc>
        <w:tc>
          <w:tcPr>
            <w:tcW w:w="2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2020 issuance of $10.0 billion </w:t>
            </w:r>
            <w:r>
              <w:rPr>
                <w:rFonts w:ascii="Arial" w:cs="Arial" w:eastAsia="Arial" w:hAnsi="Arial"/>
                <w:sz w:val="15"/>
                <w:szCs w:val="15"/>
                <w:color w:val="auto"/>
              </w:rPr>
              <w:t>(a)</w:t>
            </w:r>
          </w:p>
        </w:tc>
        <w:tc>
          <w:tcPr>
            <w:tcW w:w="1440" w:type="dxa"/>
            <w:vAlign w:val="bottom"/>
          </w:tcPr>
          <w:p>
            <w:pPr>
              <w:jc w:val="right"/>
              <w:ind w:right="153"/>
              <w:spacing w:after="0" w:line="189" w:lineRule="exact"/>
              <w:rPr>
                <w:sz w:val="20"/>
                <w:szCs w:val="20"/>
                <w:color w:val="auto"/>
              </w:rPr>
            </w:pPr>
            <w:r>
              <w:rPr>
                <w:rFonts w:ascii="Arial" w:cs="Arial" w:eastAsia="Arial" w:hAnsi="Arial"/>
                <w:sz w:val="18"/>
                <w:szCs w:val="18"/>
                <w:b w:val="1"/>
                <w:bCs w:val="1"/>
                <w:color w:val="auto"/>
              </w:rPr>
              <w:t>2050 – 2060</w:t>
            </w:r>
          </w:p>
        </w:tc>
        <w:tc>
          <w:tcPr>
            <w:tcW w:w="1800" w:type="dxa"/>
            <w:vAlign w:val="bottom"/>
          </w:tcPr>
          <w:p>
            <w:pPr>
              <w:jc w:val="right"/>
              <w:ind w:right="273"/>
              <w:spacing w:after="0" w:line="189" w:lineRule="exact"/>
              <w:rPr>
                <w:sz w:val="20"/>
                <w:szCs w:val="20"/>
                <w:color w:val="auto"/>
              </w:rPr>
            </w:pPr>
            <w:r>
              <w:rPr>
                <w:rFonts w:ascii="Arial" w:cs="Arial" w:eastAsia="Arial" w:hAnsi="Arial"/>
                <w:sz w:val="18"/>
                <w:szCs w:val="18"/>
                <w:b w:val="1"/>
                <w:bCs w:val="1"/>
                <w:color w:val="auto"/>
              </w:rPr>
              <w:t>2.53% – 2.68%</w:t>
            </w:r>
          </w:p>
        </w:tc>
        <w:tc>
          <w:tcPr>
            <w:tcW w:w="1700" w:type="dxa"/>
            <w:vAlign w:val="bottom"/>
          </w:tcPr>
          <w:p>
            <w:pPr>
              <w:jc w:val="right"/>
              <w:ind w:right="113"/>
              <w:spacing w:after="0" w:line="189" w:lineRule="exact"/>
              <w:rPr>
                <w:sz w:val="20"/>
                <w:szCs w:val="20"/>
                <w:color w:val="auto"/>
              </w:rPr>
            </w:pPr>
            <w:r>
              <w:rPr>
                <w:rFonts w:ascii="Arial" w:cs="Arial" w:eastAsia="Arial" w:hAnsi="Arial"/>
                <w:sz w:val="18"/>
                <w:szCs w:val="18"/>
                <w:b w:val="1"/>
                <w:bCs w:val="1"/>
                <w:color w:val="auto"/>
              </w:rPr>
              <w:t>2.53%–2.68%</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10,000</w:t>
            </w:r>
          </w:p>
        </w:tc>
        <w:tc>
          <w:tcPr>
            <w:tcW w:w="3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10,000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2021 issuance of $8.2 billion </w:t>
            </w:r>
            <w:r>
              <w:rPr>
                <w:rFonts w:ascii="Arial" w:cs="Arial" w:eastAsia="Arial" w:hAnsi="Arial"/>
                <w:sz w:val="15"/>
                <w:szCs w:val="15"/>
                <w:color w:val="auto"/>
              </w:rPr>
              <w:t>(a)</w:t>
            </w:r>
          </w:p>
        </w:tc>
        <w:tc>
          <w:tcPr>
            <w:tcW w:w="1440" w:type="dxa"/>
            <w:vAlign w:val="bottom"/>
            <w:shd w:val="clear" w:color="auto" w:fill="E5E5E5"/>
          </w:tcPr>
          <w:p>
            <w:pPr>
              <w:jc w:val="right"/>
              <w:ind w:right="153"/>
              <w:spacing w:after="0" w:line="189" w:lineRule="exact"/>
              <w:rPr>
                <w:sz w:val="20"/>
                <w:szCs w:val="20"/>
                <w:color w:val="auto"/>
              </w:rPr>
            </w:pPr>
            <w:r>
              <w:rPr>
                <w:rFonts w:ascii="Arial" w:cs="Arial" w:eastAsia="Arial" w:hAnsi="Arial"/>
                <w:sz w:val="18"/>
                <w:szCs w:val="18"/>
                <w:b w:val="1"/>
                <w:bCs w:val="1"/>
                <w:color w:val="auto"/>
              </w:rPr>
              <w:t>2052 – 2062</w:t>
            </w:r>
          </w:p>
        </w:tc>
        <w:tc>
          <w:tcPr>
            <w:tcW w:w="1800" w:type="dxa"/>
            <w:vAlign w:val="bottom"/>
            <w:shd w:val="clear" w:color="auto" w:fill="E5E5E5"/>
          </w:tcPr>
          <w:p>
            <w:pPr>
              <w:jc w:val="right"/>
              <w:ind w:right="273"/>
              <w:spacing w:after="0" w:line="189" w:lineRule="exact"/>
              <w:rPr>
                <w:sz w:val="20"/>
                <w:szCs w:val="20"/>
                <w:color w:val="auto"/>
              </w:rPr>
            </w:pPr>
            <w:r>
              <w:rPr>
                <w:rFonts w:ascii="Arial" w:cs="Arial" w:eastAsia="Arial" w:hAnsi="Arial"/>
                <w:sz w:val="18"/>
                <w:szCs w:val="18"/>
                <w:b w:val="1"/>
                <w:bCs w:val="1"/>
                <w:color w:val="auto"/>
              </w:rPr>
              <w:t>2.92% – 3.04%</w:t>
            </w:r>
          </w:p>
        </w:tc>
        <w:tc>
          <w:tcPr>
            <w:tcW w:w="1700" w:type="dxa"/>
            <w:vAlign w:val="bottom"/>
            <w:shd w:val="clear" w:color="auto" w:fill="E5E5E5"/>
          </w:tcPr>
          <w:p>
            <w:pPr>
              <w:jc w:val="right"/>
              <w:ind w:right="113"/>
              <w:spacing w:after="0" w:line="189" w:lineRule="exact"/>
              <w:rPr>
                <w:sz w:val="20"/>
                <w:szCs w:val="20"/>
                <w:color w:val="auto"/>
              </w:rPr>
            </w:pPr>
            <w:r>
              <w:rPr>
                <w:rFonts w:ascii="Arial" w:cs="Arial" w:eastAsia="Arial" w:hAnsi="Arial"/>
                <w:sz w:val="18"/>
                <w:szCs w:val="18"/>
                <w:b w:val="1"/>
                <w:bCs w:val="1"/>
                <w:color w:val="auto"/>
              </w:rPr>
              <w:t>2.92%–3.04%</w:t>
            </w:r>
          </w:p>
        </w:tc>
        <w:tc>
          <w:tcPr>
            <w:tcW w:w="2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8,185</w:t>
            </w:r>
          </w:p>
        </w:tc>
        <w:tc>
          <w:tcPr>
            <w:tcW w:w="30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8,185</w:t>
            </w:r>
          </w:p>
        </w:tc>
        <w:tc>
          <w:tcPr>
            <w:tcW w:w="2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r>
      <w:tr>
        <w:trPr>
          <w:trHeight w:val="68"/>
        </w:trPr>
        <w:tc>
          <w:tcPr>
            <w:tcW w:w="35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50"/>
        </w:trPr>
        <w:tc>
          <w:tcPr>
            <w:tcW w:w="3540" w:type="dxa"/>
            <w:vAlign w:val="bottom"/>
          </w:tcPr>
          <w:p>
            <w:pPr>
              <w:ind w:left="220"/>
              <w:spacing w:after="0"/>
              <w:rPr>
                <w:sz w:val="20"/>
                <w:szCs w:val="20"/>
                <w:color w:val="auto"/>
              </w:rPr>
            </w:pPr>
            <w:r>
              <w:rPr>
                <w:rFonts w:ascii="Arial" w:cs="Arial" w:eastAsia="Arial" w:hAnsi="Arial"/>
                <w:sz w:val="18"/>
                <w:szCs w:val="18"/>
                <w:color w:val="auto"/>
              </w:rPr>
              <w:t>Total face value</w:t>
            </w:r>
          </w:p>
        </w:tc>
        <w:tc>
          <w:tcPr>
            <w:tcW w:w="14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55,666</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63,910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Unamortized discount and issuance costs</w:t>
            </w:r>
          </w:p>
        </w:tc>
        <w:tc>
          <w:tcPr>
            <w:tcW w:w="1440" w:type="dxa"/>
            <w:vAlign w:val="bottom"/>
            <w:shd w:val="clear" w:color="auto" w:fill="E5E5E5"/>
          </w:tcPr>
          <w:p>
            <w:pPr>
              <w:spacing w:after="0"/>
              <w:rPr>
                <w:sz w:val="16"/>
                <w:szCs w:val="16"/>
                <w:color w:val="auto"/>
              </w:rPr>
            </w:pPr>
          </w:p>
        </w:tc>
        <w:tc>
          <w:tcPr>
            <w:tcW w:w="1800" w:type="dxa"/>
            <w:vAlign w:val="bottom"/>
            <w:shd w:val="clear" w:color="auto" w:fill="E5E5E5"/>
          </w:tcPr>
          <w:p>
            <w:pPr>
              <w:spacing w:after="0"/>
              <w:rPr>
                <w:sz w:val="16"/>
                <w:szCs w:val="16"/>
                <w:color w:val="auto"/>
              </w:rPr>
            </w:pPr>
          </w:p>
        </w:tc>
        <w:tc>
          <w:tcPr>
            <w:tcW w:w="17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(481)</w:t>
            </w:r>
          </w:p>
        </w:tc>
        <w:tc>
          <w:tcPr>
            <w:tcW w:w="300" w:type="dxa"/>
            <w:vAlign w:val="bottom"/>
            <w:shd w:val="clear" w:color="auto" w:fill="E5E5E5"/>
          </w:tcPr>
          <w:p>
            <w:pPr>
              <w:spacing w:after="0"/>
              <w:rPr>
                <w:sz w:val="16"/>
                <w:szCs w:val="16"/>
                <w:color w:val="auto"/>
              </w:rPr>
            </w:pPr>
          </w:p>
        </w:tc>
        <w:tc>
          <w:tcPr>
            <w:tcW w:w="840" w:type="dxa"/>
            <w:vAlign w:val="bottom"/>
            <w:gridSpan w:val="3"/>
            <w:shd w:val="clear" w:color="auto" w:fill="E5E5E5"/>
          </w:tcPr>
          <w:p>
            <w:pPr>
              <w:jc w:val="right"/>
              <w:spacing w:after="0" w:line="189" w:lineRule="exact"/>
              <w:rPr>
                <w:sz w:val="20"/>
                <w:szCs w:val="20"/>
                <w:color w:val="auto"/>
              </w:rPr>
            </w:pPr>
            <w:r>
              <w:rPr>
                <w:rFonts w:ascii="Arial" w:cs="Arial" w:eastAsia="Arial" w:hAnsi="Arial"/>
                <w:sz w:val="18"/>
                <w:szCs w:val="18"/>
                <w:color w:val="auto"/>
              </w:rPr>
              <w:t>(511)</w:t>
            </w: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Hedge fair value adjustments </w:t>
            </w:r>
            <w:r>
              <w:rPr>
                <w:rFonts w:ascii="Arial" w:cs="Arial" w:eastAsia="Arial" w:hAnsi="Arial"/>
                <w:sz w:val="15"/>
                <w:szCs w:val="15"/>
                <w:color w:val="auto"/>
              </w:rPr>
              <w:t>(b)</w:t>
            </w:r>
          </w:p>
        </w:tc>
        <w:tc>
          <w:tcPr>
            <w:tcW w:w="14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(43)</w:t>
            </w:r>
          </w:p>
        </w:tc>
        <w:tc>
          <w:tcPr>
            <w:tcW w:w="3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Premium on debt exchange </w:t>
            </w:r>
            <w:r>
              <w:rPr>
                <w:rFonts w:ascii="Arial" w:cs="Arial" w:eastAsia="Arial" w:hAnsi="Arial"/>
                <w:sz w:val="15"/>
                <w:szCs w:val="15"/>
                <w:color w:val="auto"/>
              </w:rPr>
              <w:t>(a)</w:t>
            </w:r>
          </w:p>
        </w:tc>
        <w:tc>
          <w:tcPr>
            <w:tcW w:w="1440" w:type="dxa"/>
            <w:vAlign w:val="bottom"/>
            <w:shd w:val="clear" w:color="auto" w:fill="E5E5E5"/>
          </w:tcPr>
          <w:p>
            <w:pPr>
              <w:spacing w:after="0"/>
              <w:rPr>
                <w:sz w:val="16"/>
                <w:szCs w:val="16"/>
                <w:color w:val="auto"/>
              </w:rPr>
            </w:pPr>
          </w:p>
        </w:tc>
        <w:tc>
          <w:tcPr>
            <w:tcW w:w="1800" w:type="dxa"/>
            <w:vAlign w:val="bottom"/>
            <w:shd w:val="clear" w:color="auto" w:fill="E5E5E5"/>
          </w:tcPr>
          <w:p>
            <w:pPr>
              <w:spacing w:after="0"/>
              <w:rPr>
                <w:sz w:val="16"/>
                <w:szCs w:val="16"/>
                <w:color w:val="auto"/>
              </w:rPr>
            </w:pPr>
          </w:p>
        </w:tc>
        <w:tc>
          <w:tcPr>
            <w:tcW w:w="17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(5,216)</w:t>
            </w:r>
          </w:p>
        </w:tc>
        <w:tc>
          <w:tcPr>
            <w:tcW w:w="300" w:type="dxa"/>
            <w:vAlign w:val="bottom"/>
            <w:shd w:val="clear" w:color="auto" w:fill="E5E5E5"/>
          </w:tcPr>
          <w:p>
            <w:pPr>
              <w:spacing w:after="0"/>
              <w:rPr>
                <w:sz w:val="16"/>
                <w:szCs w:val="16"/>
                <w:color w:val="auto"/>
              </w:rPr>
            </w:pPr>
          </w:p>
        </w:tc>
        <w:tc>
          <w:tcPr>
            <w:tcW w:w="840" w:type="dxa"/>
            <w:vAlign w:val="bottom"/>
            <w:gridSpan w:val="3"/>
            <w:shd w:val="clear" w:color="auto" w:fill="E5E5E5"/>
          </w:tcPr>
          <w:p>
            <w:pPr>
              <w:jc w:val="right"/>
              <w:spacing w:after="0" w:line="189" w:lineRule="exact"/>
              <w:rPr>
                <w:sz w:val="20"/>
                <w:szCs w:val="20"/>
                <w:color w:val="auto"/>
              </w:rPr>
            </w:pPr>
            <w:r>
              <w:rPr>
                <w:rFonts w:ascii="Arial" w:cs="Arial" w:eastAsia="Arial" w:hAnsi="Arial"/>
                <w:sz w:val="18"/>
                <w:szCs w:val="18"/>
                <w:color w:val="auto"/>
              </w:rPr>
              <w:t>(5,293)</w:t>
            </w:r>
          </w:p>
        </w:tc>
      </w:tr>
      <w:tr>
        <w:trPr>
          <w:trHeight w:val="68"/>
        </w:trPr>
        <w:tc>
          <w:tcPr>
            <w:tcW w:w="35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50"/>
        </w:trPr>
        <w:tc>
          <w:tcPr>
            <w:tcW w:w="3540" w:type="dxa"/>
            <w:vAlign w:val="bottom"/>
          </w:tcPr>
          <w:p>
            <w:pPr>
              <w:ind w:left="220"/>
              <w:spacing w:after="0"/>
              <w:rPr>
                <w:sz w:val="20"/>
                <w:szCs w:val="20"/>
                <w:color w:val="auto"/>
              </w:rPr>
            </w:pPr>
            <w:r>
              <w:rPr>
                <w:rFonts w:ascii="Arial" w:cs="Arial" w:eastAsia="Arial" w:hAnsi="Arial"/>
                <w:sz w:val="18"/>
                <w:szCs w:val="18"/>
                <w:color w:val="auto"/>
              </w:rPr>
              <w:t>Total debt</w:t>
            </w:r>
          </w:p>
        </w:tc>
        <w:tc>
          <w:tcPr>
            <w:tcW w:w="14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49,926</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58,146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Current portion of long-term debt</w:t>
            </w:r>
          </w:p>
        </w:tc>
        <w:tc>
          <w:tcPr>
            <w:tcW w:w="1440" w:type="dxa"/>
            <w:vAlign w:val="bottom"/>
            <w:shd w:val="clear" w:color="auto" w:fill="E5E5E5"/>
          </w:tcPr>
          <w:p>
            <w:pPr>
              <w:spacing w:after="0"/>
              <w:rPr>
                <w:sz w:val="16"/>
                <w:szCs w:val="16"/>
                <w:color w:val="auto"/>
              </w:rPr>
            </w:pPr>
          </w:p>
        </w:tc>
        <w:tc>
          <w:tcPr>
            <w:tcW w:w="1800" w:type="dxa"/>
            <w:vAlign w:val="bottom"/>
            <w:shd w:val="clear" w:color="auto" w:fill="E5E5E5"/>
          </w:tcPr>
          <w:p>
            <w:pPr>
              <w:spacing w:after="0"/>
              <w:rPr>
                <w:sz w:val="16"/>
                <w:szCs w:val="16"/>
                <w:color w:val="auto"/>
              </w:rPr>
            </w:pPr>
          </w:p>
        </w:tc>
        <w:tc>
          <w:tcPr>
            <w:tcW w:w="17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(1,749)</w:t>
            </w:r>
          </w:p>
        </w:tc>
        <w:tc>
          <w:tcPr>
            <w:tcW w:w="300" w:type="dxa"/>
            <w:vAlign w:val="bottom"/>
            <w:shd w:val="clear" w:color="auto" w:fill="E5E5E5"/>
          </w:tcPr>
          <w:p>
            <w:pPr>
              <w:spacing w:after="0"/>
              <w:rPr>
                <w:sz w:val="16"/>
                <w:szCs w:val="16"/>
                <w:color w:val="auto"/>
              </w:rPr>
            </w:pPr>
          </w:p>
        </w:tc>
        <w:tc>
          <w:tcPr>
            <w:tcW w:w="840" w:type="dxa"/>
            <w:vAlign w:val="bottom"/>
            <w:gridSpan w:val="3"/>
            <w:shd w:val="clear" w:color="auto" w:fill="E5E5E5"/>
          </w:tcPr>
          <w:p>
            <w:pPr>
              <w:jc w:val="right"/>
              <w:spacing w:after="0" w:line="189" w:lineRule="exact"/>
              <w:rPr>
                <w:sz w:val="20"/>
                <w:szCs w:val="20"/>
                <w:color w:val="auto"/>
              </w:rPr>
            </w:pPr>
            <w:r>
              <w:rPr>
                <w:rFonts w:ascii="Arial" w:cs="Arial" w:eastAsia="Arial" w:hAnsi="Arial"/>
                <w:sz w:val="18"/>
                <w:szCs w:val="18"/>
                <w:color w:val="auto"/>
              </w:rPr>
              <w:t>(8,072)</w:t>
            </w:r>
          </w:p>
        </w:tc>
      </w:tr>
      <w:tr>
        <w:trPr>
          <w:trHeight w:val="68"/>
        </w:trPr>
        <w:tc>
          <w:tcPr>
            <w:tcW w:w="35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gridSpan w:val="2"/>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63"/>
        </w:trPr>
        <w:tc>
          <w:tcPr>
            <w:tcW w:w="354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14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48,177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50,074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61"/>
        </w:trPr>
        <w:tc>
          <w:tcPr>
            <w:tcW w:w="35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bl>
    <w:p>
      <w:pPr>
        <w:spacing w:after="0" w:line="143" w:lineRule="exact"/>
        <w:rPr>
          <w:sz w:val="20"/>
          <w:szCs w:val="20"/>
          <w:color w:val="auto"/>
        </w:rPr>
      </w:pPr>
    </w:p>
    <w:p>
      <w:pPr>
        <w:ind w:left="540" w:right="40" w:hanging="532"/>
        <w:spacing w:after="0" w:line="26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 March 2021 and June 2020, we exchanged a portion of our existing debt at a premium for cash and new debt with longer maturities. The premiums are amortized over the terms of the new debt.</w:t>
      </w:r>
    </w:p>
    <w:p>
      <w:pPr>
        <w:spacing w:after="0" w:line="11"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interest rate swaps related to fixed-rate debt.</w:t>
      </w:r>
    </w:p>
    <w:p>
      <w:pPr>
        <w:spacing w:after="0" w:line="16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As of March 31, 2022 and June 30, 2021, the estimated fair value of long-term debt, including the current portion, was $55.9 billion and $70.0 billion, respectively. The estimated fair values are based on Level 2 inputs.</w:t>
      </w:r>
    </w:p>
    <w:p>
      <w:pPr>
        <w:spacing w:after="0" w:line="14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Debt in the table above is comprised of senior unsecured obligations and ranks equally with our other outstanding obligations. Interest is paid semi-annually, except for the Euro-denominated debt, which is paid annually.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maturities of our long-term debt, including the current portion, as of March 31, 2022:</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6995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4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5040" w:type="dxa"/>
            <w:vAlign w:val="bottom"/>
          </w:tcPr>
          <w:p>
            <w:pPr>
              <w:spacing w:after="0"/>
              <w:rPr>
                <w:sz w:val="4"/>
                <w:szCs w:val="4"/>
                <w:color w:val="auto"/>
              </w:rPr>
            </w:pPr>
          </w:p>
        </w:tc>
        <w:tc>
          <w:tcPr>
            <w:tcW w:w="4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2022 (excluding the nine months ended March 31, 2022)</w:t>
            </w:r>
          </w:p>
        </w:tc>
        <w:tc>
          <w:tcPr>
            <w:tcW w:w="514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9"/>
        </w:trPr>
        <w:tc>
          <w:tcPr>
            <w:tcW w:w="5040" w:type="dxa"/>
            <w:vAlign w:val="bottom"/>
          </w:tcPr>
          <w:p>
            <w:pPr>
              <w:spacing w:after="0" w:line="189" w:lineRule="exact"/>
              <w:rPr>
                <w:sz w:val="20"/>
                <w:szCs w:val="20"/>
                <w:color w:val="auto"/>
              </w:rPr>
            </w:pPr>
            <w:r>
              <w:rPr>
                <w:rFonts w:ascii="Arial" w:cs="Arial" w:eastAsia="Arial" w:hAnsi="Arial"/>
                <w:sz w:val="18"/>
                <w:szCs w:val="18"/>
                <w:color w:val="auto"/>
              </w:rPr>
              <w:t>2023</w:t>
            </w:r>
          </w:p>
        </w:tc>
        <w:tc>
          <w:tcPr>
            <w:tcW w:w="4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2,750</w:t>
            </w: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2024</w:t>
            </w:r>
          </w:p>
        </w:tc>
        <w:tc>
          <w:tcPr>
            <w:tcW w:w="474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5,250</w:t>
            </w:r>
          </w:p>
        </w:tc>
        <w:tc>
          <w:tcPr>
            <w:tcW w:w="0" w:type="dxa"/>
            <w:vAlign w:val="bottom"/>
          </w:tcPr>
          <w:p>
            <w:pPr>
              <w:spacing w:after="0"/>
              <w:rPr>
                <w:sz w:val="1"/>
                <w:szCs w:val="1"/>
                <w:color w:val="auto"/>
              </w:rPr>
            </w:pPr>
          </w:p>
        </w:tc>
      </w:tr>
      <w:tr>
        <w:trPr>
          <w:trHeight w:val="189"/>
        </w:trPr>
        <w:tc>
          <w:tcPr>
            <w:tcW w:w="5040" w:type="dxa"/>
            <w:vAlign w:val="bottom"/>
          </w:tcPr>
          <w:p>
            <w:pPr>
              <w:spacing w:after="0" w:line="189" w:lineRule="exact"/>
              <w:rPr>
                <w:sz w:val="20"/>
                <w:szCs w:val="20"/>
                <w:color w:val="auto"/>
              </w:rPr>
            </w:pPr>
            <w:r>
              <w:rPr>
                <w:rFonts w:ascii="Arial" w:cs="Arial" w:eastAsia="Arial" w:hAnsi="Arial"/>
                <w:sz w:val="18"/>
                <w:szCs w:val="18"/>
                <w:color w:val="auto"/>
              </w:rPr>
              <w:t>2025</w:t>
            </w:r>
          </w:p>
        </w:tc>
        <w:tc>
          <w:tcPr>
            <w:tcW w:w="4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2,250</w:t>
            </w: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2026</w:t>
            </w:r>
          </w:p>
        </w:tc>
        <w:tc>
          <w:tcPr>
            <w:tcW w:w="474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3,000</w:t>
            </w: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0"/>
                <w:szCs w:val="20"/>
                <w:color w:val="auto"/>
              </w:rPr>
            </w:pPr>
            <w:r>
              <w:rPr>
                <w:rFonts w:ascii="Arial" w:cs="Arial" w:eastAsia="Arial" w:hAnsi="Arial"/>
                <w:sz w:val="18"/>
                <w:szCs w:val="18"/>
                <w:color w:val="auto"/>
              </w:rPr>
              <w:t>Thereafter</w:t>
            </w:r>
          </w:p>
        </w:tc>
        <w:tc>
          <w:tcPr>
            <w:tcW w:w="4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42,416</w:t>
            </w:r>
          </w:p>
        </w:tc>
        <w:tc>
          <w:tcPr>
            <w:tcW w:w="0" w:type="dxa"/>
            <w:vAlign w:val="bottom"/>
          </w:tcPr>
          <w:p>
            <w:pPr>
              <w:spacing w:after="0"/>
              <w:rPr>
                <w:sz w:val="1"/>
                <w:szCs w:val="1"/>
                <w:color w:val="auto"/>
              </w:rPr>
            </w:pPr>
          </w:p>
        </w:tc>
      </w:tr>
      <w:tr>
        <w:trPr>
          <w:trHeight w:val="68"/>
        </w:trPr>
        <w:tc>
          <w:tcPr>
            <w:tcW w:w="5040" w:type="dxa"/>
            <w:vAlign w:val="bottom"/>
            <w:tcBorders>
              <w:top w:val="single" w:sz="8" w:color="auto"/>
            </w:tcBorders>
          </w:tcPr>
          <w:p>
            <w:pPr>
              <w:spacing w:after="0"/>
              <w:rPr>
                <w:sz w:val="5"/>
                <w:szCs w:val="5"/>
                <w:color w:val="auto"/>
              </w:rPr>
            </w:pPr>
          </w:p>
        </w:tc>
        <w:tc>
          <w:tcPr>
            <w:tcW w:w="474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514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55,666</w:t>
            </w:r>
          </w:p>
        </w:tc>
        <w:tc>
          <w:tcPr>
            <w:tcW w:w="0" w:type="dxa"/>
            <w:vAlign w:val="bottom"/>
          </w:tcPr>
          <w:p>
            <w:pPr>
              <w:spacing w:after="0"/>
              <w:rPr>
                <w:sz w:val="1"/>
                <w:szCs w:val="1"/>
                <w:color w:val="auto"/>
              </w:rPr>
            </w:pPr>
          </w:p>
        </w:tc>
      </w:tr>
      <w:tr>
        <w:trPr>
          <w:trHeight w:val="75"/>
        </w:trPr>
        <w:tc>
          <w:tcPr>
            <w:tcW w:w="5040" w:type="dxa"/>
            <w:vAlign w:val="bottom"/>
          </w:tcPr>
          <w:p>
            <w:pPr>
              <w:spacing w:after="0"/>
              <w:rPr>
                <w:sz w:val="6"/>
                <w:szCs w:val="6"/>
                <w:color w:val="auto"/>
              </w:rPr>
            </w:pPr>
          </w:p>
        </w:tc>
        <w:tc>
          <w:tcPr>
            <w:tcW w:w="4740" w:type="dxa"/>
            <w:vAlign w:val="bottom"/>
            <w:vMerge w:val="restart"/>
          </w:tcPr>
          <w:p>
            <w:pPr>
              <w:jc w:val="right"/>
              <w:ind w:right="3996"/>
              <w:spacing w:after="0"/>
              <w:rPr>
                <w:sz w:val="20"/>
                <w:szCs w:val="20"/>
                <w:color w:val="auto"/>
              </w:rPr>
            </w:pPr>
            <w:r>
              <w:rPr>
                <w:rFonts w:ascii="Arial" w:cs="Arial" w:eastAsia="Arial" w:hAnsi="Arial"/>
                <w:sz w:val="14"/>
                <w:szCs w:val="14"/>
                <w:color w:val="auto"/>
              </w:rPr>
              <w:t>21</w:t>
            </w: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5"/>
        </w:trPr>
        <w:tc>
          <w:tcPr>
            <w:tcW w:w="504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040" w:type="dxa"/>
            <w:vAlign w:val="bottom"/>
            <w:tcBorders>
              <w:bottom w:val="single" w:sz="8" w:color="9A9A9A"/>
            </w:tcBorders>
          </w:tcPr>
          <w:p>
            <w:pPr>
              <w:spacing w:after="0"/>
              <w:rPr>
                <w:sz w:val="8"/>
                <w:szCs w:val="8"/>
                <w:color w:val="auto"/>
              </w:rPr>
            </w:pPr>
          </w:p>
        </w:tc>
        <w:tc>
          <w:tcPr>
            <w:tcW w:w="47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138" w:right="299" w:bottom="1440" w:gutter="0" w:footer="0" w:header="0"/>
        </w:sectPr>
      </w:pPr>
    </w:p>
    <w:bookmarkStart w:id="21" w:name="page22"/>
    <w:bookmarkEnd w:id="21"/>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 11 — INCOME TAXES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effective tax rate was 17% and 10% for the three months ended March 31, 2022 and 2021, respectively, and 11% and 13% for the nine months ended March 31, 2022 and 2021, respectively. The increase in our effective tax rate for the three months ended March 31, 2022 compared to the prior year was primarily due to tax benefits from a decision by the India Supreme Court on withholding taxes in the case of Engineering Analysis Centre of Excellence Private Limited vs The Commissioner of Income Tax and an agreement between the U.S. and India tax authorities related to transfer pricing in fiscal year 2021, a decrease in tax benefits relating to stock-based compensation, and changes in the mix of our income before income taxes between the U.S. and foreign countries. The decrease in our effective tax rate for the nine months ended March 31, 2022 compared to the prior year was primarily due to a $3.3 billion net income tax benefit in the first quarter of fiscal year 2022 related to the transfer of intangible properties, offset in part by tax benefits from the India Supreme Court decision on withholding taxes and an agreement between the U.S. and India tax authorities related to transfer pricing in fiscal year 2021, and changes in the mix of our income before income taxes between the U.S. and foreign countries.</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historically paid India withholding taxes on software sales through distributor withholding and tax audit assessments in India. In March 2021, the India Supreme Court ruled favorably for companies in 86 separate appeals, some dating back to 2012, holding that software sales are not subject to India withholding taxes. Although we were not a party to the appeals, our software sales in India were determined to be not subject to withholding taxes. Therefore, we recorded a net income tax benefit of $ 620 million in the third quarter of fiscal year 2021 to reflect the results of the India Supreme Court decision impacting fiscal year 1996 through fiscal year 2016.</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first quarter of fiscal year 2022, we transferred certain intangible properties from our Puerto Rico subsidiary to the U.S. The transfer of intangible properties resulted in a $3.3 billion net income tax benefit in the first quarter of fiscal year 2022, as the value of future U.S. tax deductions exceeds the current tax liability from the U.S. global intangible low-taxed income tax.</w:t>
      </w:r>
    </w:p>
    <w:p>
      <w:pPr>
        <w:spacing w:after="0" w:line="14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effective tax rate was lower than the U.S. federal statutory rate for the three and nine months ended March 31, 2022, primarily due to earnings taxed at lower rates in foreign jurisdictions resulting from producing and distributing our products and services through our foreign regional operations center in Ireland, tax benefits relating to stock-based compensation, and for the nine months ended March 31, 2022, the net income tax benefit related to the transfer of intangible properties.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March 31, 2022 and June 30, 2021, unrecognized tax benefits and other income tax liabilities were $16.7 billion and $15.9 billion, respectively, and are included in long-term income taxes in our consolidated balance sheets.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settled a portion of the Internal Revenue Service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In the second quarter of fiscal year 2021, we settled an additional portion of the IRS audits for tax years 2004 to 2013 and made a payment of $1.7 billion, including tax and interest. We remain under audit for tax years 2004 to 2017.</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March 31, 2022, the primary unresolved issues for the IRS audits relate to transfer pricing, which could have a material impact in our consolidated financial statements when the matters are resolved. We believe our allowances for income tax contingencies are adequate. We have not received a proposed assessment for the unresolved key transfer pricing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2021, some of which are currently under audit by local tax authorities. The resolution of each of these audits is not expected to be material to our consolidated financial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2" w:name="page23"/>
    <w:bookmarkEnd w:id="2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12 — UNEARNED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Unearned revenue by segment was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gridSpan w:val="2"/>
          </w:tcPr>
          <w:p>
            <w:pPr>
              <w:ind w:left="380"/>
              <w:spacing w:after="0"/>
              <w:rPr>
                <w:sz w:val="20"/>
                <w:szCs w:val="20"/>
                <w:color w:val="auto"/>
              </w:rPr>
            </w:pPr>
            <w:r>
              <w:rPr>
                <w:rFonts w:ascii="Arial" w:cs="Arial" w:eastAsia="Arial" w:hAnsi="Arial"/>
                <w:sz w:val="13"/>
                <w:szCs w:val="13"/>
                <w:b w:val="1"/>
                <w:bCs w:val="1"/>
                <w:color w:val="auto"/>
              </w:rPr>
              <w:t>March 31,</w:t>
            </w:r>
          </w:p>
        </w:tc>
        <w:tc>
          <w:tcPr>
            <w:tcW w:w="48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8"/>
        </w:trPr>
        <w:tc>
          <w:tcPr>
            <w:tcW w:w="8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2022</w:t>
            </w:r>
          </w:p>
        </w:tc>
        <w:tc>
          <w:tcPr>
            <w:tcW w:w="4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8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18,578</w:t>
            </w: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22,120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480" w:type="dxa"/>
            <w:vAlign w:val="bottom"/>
          </w:tcPr>
          <w:p>
            <w:pPr>
              <w:spacing w:after="0"/>
              <w:rPr>
                <w:sz w:val="16"/>
                <w:szCs w:val="16"/>
                <w:color w:val="auto"/>
              </w:rPr>
            </w:pPr>
          </w:p>
        </w:tc>
        <w:tc>
          <w:tcPr>
            <w:tcW w:w="120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14,524</w:t>
            </w:r>
          </w:p>
        </w:tc>
        <w:tc>
          <w:tcPr>
            <w:tcW w:w="4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17,710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48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3,694</w:t>
            </w:r>
          </w:p>
        </w:tc>
        <w:tc>
          <w:tcPr>
            <w:tcW w:w="48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4,311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8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000" w:type="dxa"/>
            <w:vAlign w:val="bottom"/>
          </w:tcPr>
          <w:p>
            <w:pPr>
              <w:ind w:left="220"/>
              <w:spacing w:after="0"/>
              <w:rPr>
                <w:sz w:val="20"/>
                <w:szCs w:val="20"/>
                <w:color w:val="auto"/>
              </w:rPr>
            </w:pPr>
            <w:r>
              <w:rPr>
                <w:rFonts w:ascii="Arial" w:cs="Arial" w:eastAsia="Arial" w:hAnsi="Arial"/>
                <w:sz w:val="18"/>
                <w:szCs w:val="18"/>
                <w:color w:val="auto"/>
              </w:rPr>
              <w:t>Total</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36,796</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44,141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8000" w:type="dxa"/>
            <w:vAlign w:val="bottom"/>
            <w:vMerge w:val="restart"/>
          </w:tcPr>
          <w:p>
            <w:pPr>
              <w:spacing w:after="0"/>
              <w:rPr>
                <w:sz w:val="20"/>
                <w:szCs w:val="20"/>
                <w:color w:val="auto"/>
              </w:rPr>
            </w:pPr>
            <w:r>
              <w:rPr>
                <w:rFonts w:ascii="Arial" w:cs="Arial" w:eastAsia="Arial" w:hAnsi="Arial"/>
                <w:sz w:val="18"/>
                <w:szCs w:val="18"/>
                <w:color w:val="auto"/>
              </w:rPr>
              <w:t>Changes in unearned revenue were as follows:</w:t>
            </w: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9"/>
        </w:trPr>
        <w:tc>
          <w:tcPr>
            <w:tcW w:w="80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0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3"/>
                <w:szCs w:val="13"/>
                <w:b w:val="1"/>
                <w:bCs w:val="1"/>
                <w:color w:val="auto"/>
              </w:rPr>
              <w:t>Nine Months Ended March 31, 2022</w:t>
            </w: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8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48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44,141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Deferral of revenue</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70,939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Recognition of unearned revenue</w:t>
            </w:r>
          </w:p>
        </w:tc>
        <w:tc>
          <w:tcPr>
            <w:tcW w:w="48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(78,284)</w:t>
            </w:r>
          </w:p>
        </w:tc>
        <w:tc>
          <w:tcPr>
            <w:tcW w:w="0" w:type="dxa"/>
            <w:vAlign w:val="bottom"/>
          </w:tcPr>
          <w:p>
            <w:pPr>
              <w:spacing w:after="0"/>
              <w:rPr>
                <w:sz w:val="1"/>
                <w:szCs w:val="1"/>
                <w:color w:val="auto"/>
              </w:rPr>
            </w:pPr>
          </w:p>
        </w:tc>
      </w:tr>
      <w:tr>
        <w:trPr>
          <w:trHeight w:val="68"/>
        </w:trPr>
        <w:tc>
          <w:tcPr>
            <w:tcW w:w="8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000" w:type="dxa"/>
            <w:vAlign w:val="bottom"/>
          </w:tcPr>
          <w:p>
            <w:pPr>
              <w:spacing w:after="0"/>
              <w:rPr>
                <w:sz w:val="20"/>
                <w:szCs w:val="20"/>
                <w:color w:val="auto"/>
              </w:rPr>
            </w:pPr>
            <w:r>
              <w:rPr>
                <w:rFonts w:ascii="Arial" w:cs="Arial" w:eastAsia="Arial" w:hAnsi="Arial"/>
                <w:sz w:val="18"/>
                <w:szCs w:val="18"/>
                <w:color w:val="auto"/>
              </w:rPr>
              <w:t>Balance, end of period</w:t>
            </w: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36,796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allocated to remaining performance obligations, which includes unearned revenue and amounts that will be invoiced and recognized as revenue in future periods, was $160 billion as of March 31, 2022, of which $155 billion is related to the commercial portion of revenue. We expect to recognize approximately 50% of this revenue over the next 12 months and the remainder thereafter.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13 — LEASES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operating and finance leases for datacenters, corporate offices, research and development facilities, Microsoft Experience Centers, and certain equipment. Our leases have remaining lease terms of 1 year to 19 years, some of which include options to extend the leases for up to 5 years, and some of which include options to terminate the leases within 1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Three Months Ended</w:t>
            </w: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ind w:left="4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8"/>
        </w:trPr>
        <w:tc>
          <w:tcPr>
            <w:tcW w:w="46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March 31,</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ind w:left="70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55"/>
        </w:trPr>
        <w:tc>
          <w:tcPr>
            <w:tcW w:w="46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2021</w:t>
            </w:r>
          </w:p>
        </w:tc>
        <w:tc>
          <w:tcPr>
            <w:tcW w:w="5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cost</w:t>
            </w: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744</w:t>
            </w:r>
          </w:p>
        </w:tc>
        <w:tc>
          <w:tcPr>
            <w:tcW w:w="2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553</w:t>
            </w:r>
          </w:p>
        </w:tc>
        <w:tc>
          <w:tcPr>
            <w:tcW w:w="540" w:type="dxa"/>
            <w:vAlign w:val="bottom"/>
            <w:shd w:val="clear" w:color="auto" w:fill="E5E5E5"/>
          </w:tcPr>
          <w:p>
            <w:pPr>
              <w:jc w:val="right"/>
              <w:ind w:right="35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1,801</w:t>
            </w: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75"/>
        </w:trPr>
        <w:tc>
          <w:tcPr>
            <w:tcW w:w="4680" w:type="dxa"/>
            <w:vAlign w:val="bottom"/>
            <w:vMerge w:val="restart"/>
          </w:tcPr>
          <w:p>
            <w:pPr>
              <w:spacing w:after="0"/>
              <w:rPr>
                <w:sz w:val="20"/>
                <w:szCs w:val="20"/>
                <w:color w:val="auto"/>
              </w:rPr>
            </w:pPr>
            <w:r>
              <w:rPr>
                <w:rFonts w:ascii="Arial" w:cs="Arial" w:eastAsia="Arial" w:hAnsi="Arial"/>
                <w:sz w:val="18"/>
                <w:szCs w:val="18"/>
                <w:color w:val="auto"/>
              </w:rPr>
              <w:t>Finance lease cost:</w:t>
            </w:r>
          </w:p>
        </w:tc>
        <w:tc>
          <w:tcPr>
            <w:tcW w:w="4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4680" w:type="dxa"/>
            <w:vAlign w:val="bottom"/>
            <w:vMerge w:val="continue"/>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Amortization of right-of-use assets</w:t>
            </w: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289</w:t>
            </w:r>
          </w:p>
        </w:tc>
        <w:tc>
          <w:tcPr>
            <w:tcW w:w="2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211</w:t>
            </w:r>
          </w:p>
        </w:tc>
        <w:tc>
          <w:tcPr>
            <w:tcW w:w="540" w:type="dxa"/>
            <w:vAlign w:val="bottom"/>
            <w:shd w:val="clear" w:color="auto" w:fill="E5E5E5"/>
          </w:tcPr>
          <w:p>
            <w:pPr>
              <w:jc w:val="right"/>
              <w:ind w:right="35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779</w:t>
            </w: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666</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Pr>
          <w:p>
            <w:pPr>
              <w:ind w:left="220"/>
              <w:spacing w:after="0"/>
              <w:rPr>
                <w:sz w:val="20"/>
                <w:szCs w:val="20"/>
                <w:color w:val="auto"/>
              </w:rPr>
            </w:pPr>
            <w:r>
              <w:rPr>
                <w:rFonts w:ascii="Arial" w:cs="Arial" w:eastAsia="Arial" w:hAnsi="Arial"/>
                <w:sz w:val="18"/>
                <w:szCs w:val="18"/>
                <w:color w:val="auto"/>
              </w:rPr>
              <w:t>Interest on lease liabilities</w:t>
            </w:r>
          </w:p>
        </w:tc>
        <w:tc>
          <w:tcPr>
            <w:tcW w:w="48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5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320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468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3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3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Total finance lease cost</w:t>
            </w: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398</w:t>
            </w:r>
          </w:p>
        </w:tc>
        <w:tc>
          <w:tcPr>
            <w:tcW w:w="2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311</w:t>
            </w:r>
          </w:p>
        </w:tc>
        <w:tc>
          <w:tcPr>
            <w:tcW w:w="540" w:type="dxa"/>
            <w:vAlign w:val="bottom"/>
            <w:shd w:val="clear" w:color="auto" w:fill="E5E5E5"/>
          </w:tcPr>
          <w:p>
            <w:pPr>
              <w:jc w:val="right"/>
              <w:ind w:right="35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1,099</w:t>
            </w: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952</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68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5"/>
        </w:trPr>
        <w:tc>
          <w:tcPr>
            <w:tcW w:w="4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377"/>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6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3" w:name="page24"/>
    <w:bookmarkEnd w:id="2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18"/>
              <w:spacing w:after="0"/>
              <w:rPr>
                <w:sz w:val="20"/>
                <w:szCs w:val="20"/>
                <w:color w:val="auto"/>
              </w:rPr>
            </w:pPr>
            <w:r>
              <w:rPr>
                <w:rFonts w:ascii="Arial" w:cs="Arial" w:eastAsia="Arial" w:hAnsi="Arial"/>
                <w:sz w:val="13"/>
                <w:szCs w:val="13"/>
                <w:b w:val="1"/>
                <w:bCs w:val="1"/>
                <w:color w:val="auto"/>
              </w:rPr>
              <w:t>Three Months Ended</w:t>
            </w: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Nine Months Ended</w:t>
            </w:r>
          </w:p>
        </w:tc>
      </w:tr>
      <w:tr>
        <w:trPr>
          <w:trHeight w:val="178"/>
        </w:trPr>
        <w:tc>
          <w:tcPr>
            <w:tcW w:w="45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18"/>
              <w:spacing w:after="0"/>
              <w:rPr>
                <w:sz w:val="20"/>
                <w:szCs w:val="20"/>
                <w:color w:val="auto"/>
              </w:rPr>
            </w:pPr>
            <w:r>
              <w:rPr>
                <w:rFonts w:ascii="Arial" w:cs="Arial" w:eastAsia="Arial" w:hAnsi="Arial"/>
                <w:sz w:val="13"/>
                <w:szCs w:val="13"/>
                <w:b w:val="1"/>
                <w:bCs w:val="1"/>
                <w:color w:val="auto"/>
              </w:rPr>
              <w:t>March 31,</w:t>
            </w: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March 31,</w:t>
            </w:r>
          </w:p>
        </w:tc>
      </w:tr>
      <w:tr>
        <w:trPr>
          <w:trHeight w:val="55"/>
        </w:trPr>
        <w:tc>
          <w:tcPr>
            <w:tcW w:w="45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3"/>
                <w:szCs w:val="13"/>
                <w:b w:val="1"/>
                <w:bCs w:val="1"/>
                <w:color w:val="auto"/>
              </w:rPr>
              <w:t>2021</w:t>
            </w: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r>
      <w:tr>
        <w:trPr>
          <w:trHeight w:val="54"/>
        </w:trPr>
        <w:tc>
          <w:tcPr>
            <w:tcW w:w="4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75"/>
        </w:trPr>
        <w:tc>
          <w:tcPr>
            <w:tcW w:w="452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Cash paid for amounts included in the measurement of</w:t>
            </w:r>
          </w:p>
        </w:tc>
        <w:tc>
          <w:tcPr>
            <w:tcW w:w="720" w:type="dxa"/>
            <w:vAlign w:val="bottom"/>
            <w:shd w:val="clear" w:color="auto" w:fill="E5E5E5"/>
          </w:tcPr>
          <w:p>
            <w:pPr>
              <w:spacing w:after="0"/>
              <w:rPr>
                <w:sz w:val="15"/>
                <w:szCs w:val="15"/>
                <w:color w:val="auto"/>
              </w:rPr>
            </w:pPr>
          </w:p>
        </w:tc>
        <w:tc>
          <w:tcPr>
            <w:tcW w:w="10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460" w:type="dxa"/>
            <w:vAlign w:val="bottom"/>
            <w:shd w:val="clear" w:color="auto" w:fill="E5E5E5"/>
          </w:tcPr>
          <w:p>
            <w:pPr>
              <w:spacing w:after="0"/>
              <w:rPr>
                <w:sz w:val="15"/>
                <w:szCs w:val="15"/>
                <w:color w:val="auto"/>
              </w:rPr>
            </w:pPr>
          </w:p>
        </w:tc>
        <w:tc>
          <w:tcPr>
            <w:tcW w:w="66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13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r>
      <w:tr>
        <w:trPr>
          <w:trHeight w:val="203"/>
        </w:trPr>
        <w:tc>
          <w:tcPr>
            <w:tcW w:w="4520" w:type="dxa"/>
            <w:vAlign w:val="bottom"/>
            <w:shd w:val="clear" w:color="auto" w:fill="E5E5E5"/>
          </w:tcPr>
          <w:p>
            <w:pPr>
              <w:ind w:left="220"/>
              <w:spacing w:after="0" w:line="203" w:lineRule="exact"/>
              <w:rPr>
                <w:sz w:val="20"/>
                <w:szCs w:val="20"/>
                <w:color w:val="auto"/>
              </w:rPr>
            </w:pPr>
            <w:r>
              <w:rPr>
                <w:rFonts w:ascii="Arial" w:cs="Arial" w:eastAsia="Arial" w:hAnsi="Arial"/>
                <w:sz w:val="18"/>
                <w:szCs w:val="18"/>
                <w:color w:val="auto"/>
              </w:rPr>
              <w:t>lease liabilities:</w:t>
            </w:r>
          </w:p>
        </w:tc>
        <w:tc>
          <w:tcPr>
            <w:tcW w:w="72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6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3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189"/>
        </w:trPr>
        <w:tc>
          <w:tcPr>
            <w:tcW w:w="4520" w:type="dxa"/>
            <w:vAlign w:val="bottom"/>
          </w:tcPr>
          <w:p>
            <w:pPr>
              <w:ind w:left="22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720" w:type="dxa"/>
            <w:vAlign w:val="bottom"/>
          </w:tcPr>
          <w:p>
            <w:pPr>
              <w:jc w:val="right"/>
              <w:ind w:right="39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4"/>
              <w:spacing w:after="0" w:line="189" w:lineRule="exact"/>
              <w:rPr>
                <w:sz w:val="20"/>
                <w:szCs w:val="20"/>
                <w:color w:val="auto"/>
              </w:rPr>
            </w:pPr>
            <w:r>
              <w:rPr>
                <w:rFonts w:ascii="Arial" w:cs="Arial" w:eastAsia="Arial" w:hAnsi="Arial"/>
                <w:sz w:val="18"/>
                <w:szCs w:val="18"/>
                <w:b w:val="1"/>
                <w:bCs w:val="1"/>
                <w:color w:val="auto"/>
              </w:rPr>
              <w:t>726</w:t>
            </w:r>
          </w:p>
        </w:tc>
        <w:tc>
          <w:tcPr>
            <w:tcW w:w="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8"/>
              <w:spacing w:after="0" w:line="189" w:lineRule="exact"/>
              <w:rPr>
                <w:sz w:val="20"/>
                <w:szCs w:val="20"/>
                <w:color w:val="auto"/>
              </w:rPr>
            </w:pPr>
            <w:r>
              <w:rPr>
                <w:rFonts w:ascii="Arial" w:cs="Arial" w:eastAsia="Arial" w:hAnsi="Arial"/>
                <w:sz w:val="18"/>
                <w:szCs w:val="18"/>
                <w:color w:val="auto"/>
              </w:rPr>
              <w:t>533</w:t>
            </w:r>
          </w:p>
        </w:tc>
        <w:tc>
          <w:tcPr>
            <w:tcW w:w="660" w:type="dxa"/>
            <w:vAlign w:val="bottom"/>
          </w:tcPr>
          <w:p>
            <w:pPr>
              <w:jc w:val="right"/>
              <w:ind w:right="37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1,733</w:t>
            </w: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1,506</w:t>
            </w:r>
          </w:p>
        </w:tc>
      </w:tr>
      <w:tr>
        <w:trPr>
          <w:trHeight w:val="189"/>
        </w:trPr>
        <w:tc>
          <w:tcPr>
            <w:tcW w:w="45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Operating cash flows from finance leases</w:t>
            </w:r>
          </w:p>
        </w:tc>
        <w:tc>
          <w:tcPr>
            <w:tcW w:w="720" w:type="dxa"/>
            <w:vAlign w:val="bottom"/>
            <w:shd w:val="clear" w:color="auto" w:fill="E5E5E5"/>
          </w:tcPr>
          <w:p>
            <w:pPr>
              <w:spacing w:after="0"/>
              <w:rPr>
                <w:sz w:val="16"/>
                <w:szCs w:val="16"/>
                <w:color w:val="auto"/>
              </w:rPr>
            </w:pPr>
          </w:p>
        </w:tc>
        <w:tc>
          <w:tcPr>
            <w:tcW w:w="1020" w:type="dxa"/>
            <w:vAlign w:val="bottom"/>
            <w:shd w:val="clear" w:color="auto" w:fill="E5E5E5"/>
          </w:tcPr>
          <w:p>
            <w:pPr>
              <w:jc w:val="right"/>
              <w:ind w:right="14"/>
              <w:spacing w:after="0" w:line="189" w:lineRule="exact"/>
              <w:rPr>
                <w:sz w:val="20"/>
                <w:szCs w:val="20"/>
                <w:color w:val="auto"/>
              </w:rPr>
            </w:pPr>
            <w:r>
              <w:rPr>
                <w:rFonts w:ascii="Arial" w:cs="Arial" w:eastAsia="Arial" w:hAnsi="Arial"/>
                <w:sz w:val="18"/>
                <w:szCs w:val="18"/>
                <w:b w:val="1"/>
                <w:bCs w:val="1"/>
                <w:color w:val="auto"/>
              </w:rPr>
              <w:t>109</w:t>
            </w:r>
          </w:p>
        </w:tc>
        <w:tc>
          <w:tcPr>
            <w:tcW w:w="220" w:type="dxa"/>
            <w:vAlign w:val="bottom"/>
            <w:shd w:val="clear" w:color="auto" w:fill="E5E5E5"/>
          </w:tcPr>
          <w:p>
            <w:pPr>
              <w:spacing w:after="0"/>
              <w:rPr>
                <w:sz w:val="16"/>
                <w:szCs w:val="16"/>
                <w:color w:val="auto"/>
              </w:rPr>
            </w:pPr>
          </w:p>
        </w:tc>
        <w:tc>
          <w:tcPr>
            <w:tcW w:w="1460" w:type="dxa"/>
            <w:vAlign w:val="bottom"/>
            <w:shd w:val="clear" w:color="auto" w:fill="E5E5E5"/>
          </w:tcPr>
          <w:p>
            <w:pPr>
              <w:jc w:val="right"/>
              <w:ind w:right="18"/>
              <w:spacing w:after="0" w:line="189" w:lineRule="exact"/>
              <w:rPr>
                <w:sz w:val="20"/>
                <w:szCs w:val="20"/>
                <w:color w:val="auto"/>
              </w:rPr>
            </w:pPr>
            <w:r>
              <w:rPr>
                <w:rFonts w:ascii="Arial" w:cs="Arial" w:eastAsia="Arial" w:hAnsi="Arial"/>
                <w:sz w:val="18"/>
                <w:szCs w:val="18"/>
                <w:color w:val="auto"/>
              </w:rPr>
              <w:t>100</w:t>
            </w:r>
          </w:p>
        </w:tc>
        <w:tc>
          <w:tcPr>
            <w:tcW w:w="66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320</w:t>
            </w:r>
          </w:p>
        </w:tc>
        <w:tc>
          <w:tcPr>
            <w:tcW w:w="240" w:type="dxa"/>
            <w:vAlign w:val="bottom"/>
            <w:shd w:val="clear" w:color="auto" w:fill="E5E5E5"/>
          </w:tcPr>
          <w:p>
            <w:pPr>
              <w:spacing w:after="0"/>
              <w:rPr>
                <w:sz w:val="16"/>
                <w:szCs w:val="16"/>
                <w:color w:val="auto"/>
              </w:rPr>
            </w:pPr>
          </w:p>
        </w:tc>
        <w:tc>
          <w:tcPr>
            <w:tcW w:w="13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286</w:t>
            </w:r>
          </w:p>
        </w:tc>
        <w:tc>
          <w:tcPr>
            <w:tcW w:w="100" w:type="dxa"/>
            <w:vAlign w:val="bottom"/>
            <w:shd w:val="clear" w:color="auto" w:fill="E5E5E5"/>
          </w:tcPr>
          <w:p>
            <w:pPr>
              <w:spacing w:after="0"/>
              <w:rPr>
                <w:sz w:val="16"/>
                <w:szCs w:val="16"/>
                <w:color w:val="auto"/>
              </w:rPr>
            </w:pPr>
          </w:p>
        </w:tc>
      </w:tr>
      <w:tr>
        <w:trPr>
          <w:trHeight w:val="248"/>
        </w:trPr>
        <w:tc>
          <w:tcPr>
            <w:tcW w:w="452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7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b w:val="1"/>
                <w:bCs w:val="1"/>
                <w:color w:val="auto"/>
              </w:rPr>
              <w:t>233</w:t>
            </w:r>
          </w:p>
        </w:tc>
        <w:tc>
          <w:tcPr>
            <w:tcW w:w="220" w:type="dxa"/>
            <w:vAlign w:val="bottom"/>
          </w:tcPr>
          <w:p>
            <w:pPr>
              <w:spacing w:after="0"/>
              <w:rPr>
                <w:sz w:val="21"/>
                <w:szCs w:val="21"/>
                <w:color w:val="auto"/>
              </w:rPr>
            </w:pP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168</w:t>
            </w:r>
          </w:p>
        </w:tc>
        <w:tc>
          <w:tcPr>
            <w:tcW w:w="6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655</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r>
      <w:tr>
        <w:trPr>
          <w:trHeight w:val="183"/>
        </w:trPr>
        <w:tc>
          <w:tcPr>
            <w:tcW w:w="4520" w:type="dxa"/>
            <w:vAlign w:val="bottom"/>
            <w:shd w:val="clear" w:color="auto" w:fill="E5E5E5"/>
          </w:tcPr>
          <w:p>
            <w:pPr>
              <w:spacing w:after="0" w:line="183" w:lineRule="exact"/>
              <w:rPr>
                <w:sz w:val="20"/>
                <w:szCs w:val="20"/>
                <w:color w:val="auto"/>
              </w:rPr>
            </w:pPr>
            <w:r>
              <w:rPr>
                <w:rFonts w:ascii="Arial" w:cs="Arial" w:eastAsia="Arial" w:hAnsi="Arial"/>
                <w:sz w:val="18"/>
                <w:szCs w:val="18"/>
                <w:color w:val="auto"/>
              </w:rPr>
              <w:t>Right-of-use assets obtained in exchange for lease</w:t>
            </w:r>
          </w:p>
        </w:tc>
        <w:tc>
          <w:tcPr>
            <w:tcW w:w="720" w:type="dxa"/>
            <w:vAlign w:val="bottom"/>
            <w:shd w:val="clear" w:color="auto" w:fill="E5E5E5"/>
          </w:tcPr>
          <w:p>
            <w:pPr>
              <w:spacing w:after="0"/>
              <w:rPr>
                <w:sz w:val="15"/>
                <w:szCs w:val="15"/>
                <w:color w:val="auto"/>
              </w:rPr>
            </w:pPr>
          </w:p>
        </w:tc>
        <w:tc>
          <w:tcPr>
            <w:tcW w:w="10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460" w:type="dxa"/>
            <w:vAlign w:val="bottom"/>
            <w:shd w:val="clear" w:color="auto" w:fill="E5E5E5"/>
          </w:tcPr>
          <w:p>
            <w:pPr>
              <w:spacing w:after="0"/>
              <w:rPr>
                <w:sz w:val="15"/>
                <w:szCs w:val="15"/>
                <w:color w:val="auto"/>
              </w:rPr>
            </w:pPr>
          </w:p>
        </w:tc>
        <w:tc>
          <w:tcPr>
            <w:tcW w:w="66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13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r>
      <w:tr>
        <w:trPr>
          <w:trHeight w:val="203"/>
        </w:trPr>
        <w:tc>
          <w:tcPr>
            <w:tcW w:w="4520" w:type="dxa"/>
            <w:vAlign w:val="bottom"/>
            <w:shd w:val="clear" w:color="auto" w:fill="E5E5E5"/>
          </w:tcPr>
          <w:p>
            <w:pPr>
              <w:ind w:left="220"/>
              <w:spacing w:after="0" w:line="203" w:lineRule="exact"/>
              <w:rPr>
                <w:sz w:val="20"/>
                <w:szCs w:val="20"/>
                <w:color w:val="auto"/>
              </w:rPr>
            </w:pPr>
            <w:r>
              <w:rPr>
                <w:rFonts w:ascii="Arial" w:cs="Arial" w:eastAsia="Arial" w:hAnsi="Arial"/>
                <w:sz w:val="18"/>
                <w:szCs w:val="18"/>
                <w:color w:val="auto"/>
              </w:rPr>
              <w:t>obligations:</w:t>
            </w:r>
          </w:p>
        </w:tc>
        <w:tc>
          <w:tcPr>
            <w:tcW w:w="72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6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3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189"/>
        </w:trPr>
        <w:tc>
          <w:tcPr>
            <w:tcW w:w="4520" w:type="dxa"/>
            <w:vAlign w:val="bottom"/>
          </w:tcPr>
          <w:p>
            <w:pPr>
              <w:ind w:left="220"/>
              <w:spacing w:after="0" w:line="189" w:lineRule="exact"/>
              <w:rPr>
                <w:sz w:val="20"/>
                <w:szCs w:val="20"/>
                <w:color w:val="auto"/>
              </w:rPr>
            </w:pPr>
            <w:r>
              <w:rPr>
                <w:rFonts w:ascii="Arial" w:cs="Arial" w:eastAsia="Arial" w:hAnsi="Arial"/>
                <w:sz w:val="18"/>
                <w:szCs w:val="18"/>
                <w:color w:val="auto"/>
              </w:rPr>
              <w:t>Operating leases</w:t>
            </w:r>
          </w:p>
        </w:tc>
        <w:tc>
          <w:tcPr>
            <w:tcW w:w="720" w:type="dxa"/>
            <w:vAlign w:val="bottom"/>
          </w:tcPr>
          <w:p>
            <w:pPr>
              <w:spacing w:after="0"/>
              <w:rPr>
                <w:sz w:val="16"/>
                <w:szCs w:val="16"/>
                <w:color w:val="auto"/>
              </w:rPr>
            </w:pPr>
          </w:p>
        </w:tc>
        <w:tc>
          <w:tcPr>
            <w:tcW w:w="1020" w:type="dxa"/>
            <w:vAlign w:val="bottom"/>
          </w:tcPr>
          <w:p>
            <w:pPr>
              <w:jc w:val="right"/>
              <w:ind w:right="14"/>
              <w:spacing w:after="0" w:line="189" w:lineRule="exact"/>
              <w:rPr>
                <w:sz w:val="20"/>
                <w:szCs w:val="20"/>
                <w:color w:val="auto"/>
              </w:rPr>
            </w:pPr>
            <w:r>
              <w:rPr>
                <w:rFonts w:ascii="Arial" w:cs="Arial" w:eastAsia="Arial" w:hAnsi="Arial"/>
                <w:sz w:val="18"/>
                <w:szCs w:val="18"/>
                <w:b w:val="1"/>
                <w:bCs w:val="1"/>
                <w:color w:val="auto"/>
              </w:rPr>
              <w:t>1,421</w:t>
            </w:r>
          </w:p>
        </w:tc>
        <w:tc>
          <w:tcPr>
            <w:tcW w:w="220" w:type="dxa"/>
            <w:vAlign w:val="bottom"/>
          </w:tcPr>
          <w:p>
            <w:pPr>
              <w:spacing w:after="0"/>
              <w:rPr>
                <w:sz w:val="16"/>
                <w:szCs w:val="16"/>
                <w:color w:val="auto"/>
              </w:rPr>
            </w:pPr>
          </w:p>
        </w:tc>
        <w:tc>
          <w:tcPr>
            <w:tcW w:w="1460" w:type="dxa"/>
            <w:vAlign w:val="bottom"/>
          </w:tcPr>
          <w:p>
            <w:pPr>
              <w:jc w:val="right"/>
              <w:ind w:right="18"/>
              <w:spacing w:after="0" w:line="189" w:lineRule="exact"/>
              <w:rPr>
                <w:sz w:val="20"/>
                <w:szCs w:val="20"/>
                <w:color w:val="auto"/>
              </w:rPr>
            </w:pPr>
            <w:r>
              <w:rPr>
                <w:rFonts w:ascii="Arial" w:cs="Arial" w:eastAsia="Arial" w:hAnsi="Arial"/>
                <w:sz w:val="18"/>
                <w:szCs w:val="18"/>
                <w:color w:val="auto"/>
              </w:rPr>
              <w:t>1,106</w:t>
            </w:r>
          </w:p>
        </w:tc>
        <w:tc>
          <w:tcPr>
            <w:tcW w:w="6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4,151</w:t>
            </w:r>
          </w:p>
        </w:tc>
        <w:tc>
          <w:tcPr>
            <w:tcW w:w="240" w:type="dxa"/>
            <w:vAlign w:val="bottom"/>
          </w:tcPr>
          <w:p>
            <w:pPr>
              <w:spacing w:after="0"/>
              <w:rPr>
                <w:sz w:val="16"/>
                <w:szCs w:val="16"/>
                <w:color w:val="auto"/>
              </w:rPr>
            </w:pPr>
          </w:p>
        </w:tc>
        <w:tc>
          <w:tcPr>
            <w:tcW w:w="14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3,362</w:t>
            </w:r>
          </w:p>
        </w:tc>
      </w:tr>
      <w:tr>
        <w:trPr>
          <w:trHeight w:val="189"/>
        </w:trPr>
        <w:tc>
          <w:tcPr>
            <w:tcW w:w="45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Finance leases</w:t>
            </w:r>
          </w:p>
        </w:tc>
        <w:tc>
          <w:tcPr>
            <w:tcW w:w="720" w:type="dxa"/>
            <w:vAlign w:val="bottom"/>
            <w:shd w:val="clear" w:color="auto" w:fill="E5E5E5"/>
          </w:tcPr>
          <w:p>
            <w:pPr>
              <w:spacing w:after="0"/>
              <w:rPr>
                <w:sz w:val="16"/>
                <w:szCs w:val="16"/>
                <w:color w:val="auto"/>
              </w:rPr>
            </w:pPr>
          </w:p>
        </w:tc>
        <w:tc>
          <w:tcPr>
            <w:tcW w:w="1020" w:type="dxa"/>
            <w:vAlign w:val="bottom"/>
            <w:shd w:val="clear" w:color="auto" w:fill="E5E5E5"/>
          </w:tcPr>
          <w:p>
            <w:pPr>
              <w:jc w:val="right"/>
              <w:ind w:right="14"/>
              <w:spacing w:after="0" w:line="189" w:lineRule="exact"/>
              <w:rPr>
                <w:sz w:val="20"/>
                <w:szCs w:val="20"/>
                <w:color w:val="auto"/>
              </w:rPr>
            </w:pPr>
            <w:r>
              <w:rPr>
                <w:rFonts w:ascii="Arial" w:cs="Arial" w:eastAsia="Arial" w:hAnsi="Arial"/>
                <w:sz w:val="18"/>
                <w:szCs w:val="18"/>
                <w:b w:val="1"/>
                <w:bCs w:val="1"/>
                <w:color w:val="auto"/>
              </w:rPr>
              <w:t>720</w:t>
            </w:r>
          </w:p>
        </w:tc>
        <w:tc>
          <w:tcPr>
            <w:tcW w:w="220" w:type="dxa"/>
            <w:vAlign w:val="bottom"/>
            <w:shd w:val="clear" w:color="auto" w:fill="E5E5E5"/>
          </w:tcPr>
          <w:p>
            <w:pPr>
              <w:spacing w:after="0"/>
              <w:rPr>
                <w:sz w:val="16"/>
                <w:szCs w:val="16"/>
                <w:color w:val="auto"/>
              </w:rPr>
            </w:pPr>
          </w:p>
        </w:tc>
        <w:tc>
          <w:tcPr>
            <w:tcW w:w="1460" w:type="dxa"/>
            <w:vAlign w:val="bottom"/>
            <w:shd w:val="clear" w:color="auto" w:fill="E5E5E5"/>
          </w:tcPr>
          <w:p>
            <w:pPr>
              <w:jc w:val="right"/>
              <w:ind w:right="18"/>
              <w:spacing w:after="0" w:line="189" w:lineRule="exact"/>
              <w:rPr>
                <w:sz w:val="20"/>
                <w:szCs w:val="20"/>
                <w:color w:val="auto"/>
              </w:rPr>
            </w:pPr>
            <w:r>
              <w:rPr>
                <w:rFonts w:ascii="Arial" w:cs="Arial" w:eastAsia="Arial" w:hAnsi="Arial"/>
                <w:sz w:val="18"/>
                <w:szCs w:val="18"/>
                <w:color w:val="auto"/>
              </w:rPr>
              <w:t>836</w:t>
            </w:r>
          </w:p>
        </w:tc>
        <w:tc>
          <w:tcPr>
            <w:tcW w:w="66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3,094</w:t>
            </w:r>
          </w:p>
        </w:tc>
        <w:tc>
          <w:tcPr>
            <w:tcW w:w="240" w:type="dxa"/>
            <w:vAlign w:val="bottom"/>
            <w:shd w:val="clear" w:color="auto" w:fill="E5E5E5"/>
          </w:tcPr>
          <w:p>
            <w:pPr>
              <w:spacing w:after="0"/>
              <w:rPr>
                <w:sz w:val="16"/>
                <w:szCs w:val="16"/>
                <w:color w:val="auto"/>
              </w:rPr>
            </w:pPr>
          </w:p>
        </w:tc>
        <w:tc>
          <w:tcPr>
            <w:tcW w:w="14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2,664</w:t>
            </w:r>
          </w:p>
        </w:tc>
      </w:tr>
      <w:tr>
        <w:trPr>
          <w:trHeight w:val="68"/>
        </w:trPr>
        <w:tc>
          <w:tcPr>
            <w:tcW w:w="45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8"/>
        </w:trPr>
        <w:tc>
          <w:tcPr>
            <w:tcW w:w="41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3"/>
                <w:szCs w:val="13"/>
                <w:b w:val="1"/>
                <w:bCs w:val="1"/>
                <w:color w:val="auto"/>
              </w:rPr>
              <w:t>Operating Leases</w:t>
            </w:r>
          </w:p>
        </w:tc>
        <w:tc>
          <w:tcPr>
            <w:tcW w:w="3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424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12,916</w:t>
            </w:r>
          </w:p>
        </w:tc>
        <w:tc>
          <w:tcPr>
            <w:tcW w:w="52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11,088</w:t>
            </w:r>
          </w:p>
        </w:tc>
        <w:tc>
          <w:tcPr>
            <w:tcW w:w="0" w:type="dxa"/>
            <w:vAlign w:val="bottom"/>
          </w:tcPr>
          <w:p>
            <w:pPr>
              <w:spacing w:after="0"/>
              <w:rPr>
                <w:sz w:val="1"/>
                <w:szCs w:val="1"/>
                <w:color w:val="auto"/>
              </w:rPr>
            </w:pPr>
          </w:p>
        </w:tc>
      </w:tr>
      <w:tr>
        <w:trPr>
          <w:trHeight w:val="74"/>
        </w:trPr>
        <w:tc>
          <w:tcPr>
            <w:tcW w:w="4180" w:type="dxa"/>
            <w:vAlign w:val="bottom"/>
          </w:tcPr>
          <w:p>
            <w:pPr>
              <w:spacing w:after="0"/>
              <w:rPr>
                <w:sz w:val="6"/>
                <w:szCs w:val="6"/>
                <w:color w:val="auto"/>
              </w:rPr>
            </w:pPr>
          </w:p>
        </w:tc>
        <w:tc>
          <w:tcPr>
            <w:tcW w:w="38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4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2,159</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liabilities</w:t>
            </w:r>
          </w:p>
        </w:tc>
        <w:tc>
          <w:tcPr>
            <w:tcW w:w="382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11,357</w:t>
            </w:r>
          </w:p>
        </w:tc>
        <w:tc>
          <w:tcPr>
            <w:tcW w:w="8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9,629</w:t>
            </w:r>
          </w:p>
        </w:tc>
        <w:tc>
          <w:tcPr>
            <w:tcW w:w="0" w:type="dxa"/>
            <w:vAlign w:val="bottom"/>
          </w:tcPr>
          <w:p>
            <w:pPr>
              <w:spacing w:after="0"/>
              <w:rPr>
                <w:sz w:val="1"/>
                <w:szCs w:val="1"/>
                <w:color w:val="auto"/>
              </w:rPr>
            </w:pPr>
          </w:p>
        </w:tc>
      </w:tr>
      <w:tr>
        <w:trPr>
          <w:trHeight w:val="68"/>
        </w:trPr>
        <w:tc>
          <w:tcPr>
            <w:tcW w:w="4180" w:type="dxa"/>
            <w:vAlign w:val="bottom"/>
            <w:tcBorders>
              <w:bottom w:val="single" w:sz="8" w:color="auto"/>
            </w:tcBorders>
          </w:tcPr>
          <w:p>
            <w:pPr>
              <w:spacing w:after="0"/>
              <w:rPr>
                <w:sz w:val="5"/>
                <w:szCs w:val="5"/>
                <w:color w:val="auto"/>
              </w:rPr>
            </w:pPr>
          </w:p>
        </w:tc>
        <w:tc>
          <w:tcPr>
            <w:tcW w:w="4240" w:type="dxa"/>
            <w:vAlign w:val="bottom"/>
            <w:tcBorders>
              <w:bottom w:val="single" w:sz="8" w:color="auto"/>
            </w:tcBorders>
            <w:gridSpan w:val="2"/>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180" w:type="dxa"/>
            <w:vAlign w:val="bottom"/>
          </w:tcPr>
          <w:p>
            <w:pPr>
              <w:ind w:left="220"/>
              <w:spacing w:after="0"/>
              <w:rPr>
                <w:sz w:val="20"/>
                <w:szCs w:val="20"/>
                <w:color w:val="auto"/>
              </w:rPr>
            </w:pPr>
            <w:r>
              <w:rPr>
                <w:rFonts w:ascii="Arial" w:cs="Arial" w:eastAsia="Arial" w:hAnsi="Arial"/>
                <w:sz w:val="18"/>
                <w:szCs w:val="18"/>
                <w:color w:val="auto"/>
              </w:rPr>
              <w:t>Total operating lease liabilities</w:t>
            </w:r>
          </w:p>
        </w:tc>
        <w:tc>
          <w:tcPr>
            <w:tcW w:w="4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13,516</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11,591</w:t>
            </w:r>
          </w:p>
        </w:tc>
        <w:tc>
          <w:tcPr>
            <w:tcW w:w="0" w:type="dxa"/>
            <w:vAlign w:val="bottom"/>
          </w:tcPr>
          <w:p>
            <w:pPr>
              <w:spacing w:after="0"/>
              <w:rPr>
                <w:sz w:val="1"/>
                <w:szCs w:val="1"/>
                <w:color w:val="auto"/>
              </w:rPr>
            </w:pPr>
          </w:p>
        </w:tc>
      </w:tr>
      <w:tr>
        <w:trPr>
          <w:trHeight w:val="61"/>
        </w:trPr>
        <w:tc>
          <w:tcPr>
            <w:tcW w:w="4180" w:type="dxa"/>
            <w:vAlign w:val="bottom"/>
            <w:vMerge w:val="restart"/>
          </w:tcPr>
          <w:p>
            <w:pPr>
              <w:spacing w:after="0"/>
              <w:rPr>
                <w:sz w:val="20"/>
                <w:szCs w:val="20"/>
                <w:color w:val="auto"/>
              </w:rPr>
            </w:pPr>
            <w:r>
              <w:rPr>
                <w:rFonts w:ascii="Arial" w:cs="Arial" w:eastAsia="Arial" w:hAnsi="Arial"/>
                <w:sz w:val="13"/>
                <w:szCs w:val="13"/>
                <w:b w:val="1"/>
                <w:bCs w:val="1"/>
                <w:color w:val="auto"/>
              </w:rPr>
              <w:t>Finance Leases</w:t>
            </w:r>
          </w:p>
        </w:tc>
        <w:tc>
          <w:tcPr>
            <w:tcW w:w="382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180" w:type="dxa"/>
            <w:vAlign w:val="bottom"/>
            <w:vMerge w:val="continue"/>
          </w:tcPr>
          <w:p>
            <w:pPr>
              <w:spacing w:after="0"/>
              <w:rPr>
                <w:sz w:val="19"/>
                <w:szCs w:val="19"/>
                <w:color w:val="auto"/>
              </w:rPr>
            </w:pPr>
          </w:p>
        </w:tc>
        <w:tc>
          <w:tcPr>
            <w:tcW w:w="3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41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Property and equipment, at cost</w:t>
            </w:r>
          </w:p>
        </w:tc>
        <w:tc>
          <w:tcPr>
            <w:tcW w:w="424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16,803</w:t>
            </w:r>
          </w:p>
        </w:tc>
        <w:tc>
          <w:tcPr>
            <w:tcW w:w="52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14,107</w:t>
            </w:r>
          </w:p>
        </w:tc>
        <w:tc>
          <w:tcPr>
            <w:tcW w:w="0" w:type="dxa"/>
            <w:vAlign w:val="bottom"/>
          </w:tcPr>
          <w:p>
            <w:pPr>
              <w:spacing w:after="0"/>
              <w:rPr>
                <w:sz w:val="1"/>
                <w:szCs w:val="1"/>
                <w:color w:val="auto"/>
              </w:rPr>
            </w:pPr>
          </w:p>
        </w:tc>
      </w:tr>
      <w:tr>
        <w:trPr>
          <w:trHeight w:val="250"/>
        </w:trPr>
        <w:tc>
          <w:tcPr>
            <w:tcW w:w="41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(3,084)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68"/>
        </w:trPr>
        <w:tc>
          <w:tcPr>
            <w:tcW w:w="4180" w:type="dxa"/>
            <w:vAlign w:val="bottom"/>
            <w:tcBorders>
              <w:top w:val="single" w:sz="8" w:color="auto"/>
            </w:tcBorders>
          </w:tcPr>
          <w:p>
            <w:pPr>
              <w:spacing w:after="0"/>
              <w:rPr>
                <w:sz w:val="5"/>
                <w:szCs w:val="5"/>
                <w:color w:val="auto"/>
              </w:rPr>
            </w:pPr>
          </w:p>
        </w:tc>
        <w:tc>
          <w:tcPr>
            <w:tcW w:w="38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Property and equipment, net</w:t>
            </w:r>
          </w:p>
        </w:tc>
        <w:tc>
          <w:tcPr>
            <w:tcW w:w="424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13,719</w:t>
            </w:r>
          </w:p>
        </w:tc>
        <w:tc>
          <w:tcPr>
            <w:tcW w:w="52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11,801</w:t>
            </w:r>
          </w:p>
        </w:tc>
        <w:tc>
          <w:tcPr>
            <w:tcW w:w="0" w:type="dxa"/>
            <w:vAlign w:val="bottom"/>
          </w:tcPr>
          <w:p>
            <w:pPr>
              <w:spacing w:after="0"/>
              <w:rPr>
                <w:sz w:val="1"/>
                <w:szCs w:val="1"/>
                <w:color w:val="auto"/>
              </w:rPr>
            </w:pPr>
          </w:p>
        </w:tc>
      </w:tr>
      <w:tr>
        <w:trPr>
          <w:trHeight w:val="75"/>
        </w:trPr>
        <w:tc>
          <w:tcPr>
            <w:tcW w:w="4180" w:type="dxa"/>
            <w:vAlign w:val="bottom"/>
          </w:tcPr>
          <w:p>
            <w:pPr>
              <w:spacing w:after="0"/>
              <w:rPr>
                <w:sz w:val="6"/>
                <w:szCs w:val="6"/>
                <w:color w:val="auto"/>
              </w:rPr>
            </w:pPr>
          </w:p>
        </w:tc>
        <w:tc>
          <w:tcPr>
            <w:tcW w:w="38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4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988</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382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13,551</w:t>
            </w:r>
          </w:p>
        </w:tc>
        <w:tc>
          <w:tcPr>
            <w:tcW w:w="8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11,750</w:t>
            </w:r>
          </w:p>
        </w:tc>
        <w:tc>
          <w:tcPr>
            <w:tcW w:w="0" w:type="dxa"/>
            <w:vAlign w:val="bottom"/>
          </w:tcPr>
          <w:p>
            <w:pPr>
              <w:spacing w:after="0"/>
              <w:rPr>
                <w:sz w:val="1"/>
                <w:szCs w:val="1"/>
                <w:color w:val="auto"/>
              </w:rPr>
            </w:pPr>
          </w:p>
        </w:tc>
      </w:tr>
      <w:tr>
        <w:trPr>
          <w:trHeight w:val="68"/>
        </w:trPr>
        <w:tc>
          <w:tcPr>
            <w:tcW w:w="4180" w:type="dxa"/>
            <w:vAlign w:val="bottom"/>
            <w:tcBorders>
              <w:bottom w:val="single" w:sz="8" w:color="auto"/>
            </w:tcBorders>
          </w:tcPr>
          <w:p>
            <w:pPr>
              <w:spacing w:after="0"/>
              <w:rPr>
                <w:sz w:val="5"/>
                <w:szCs w:val="5"/>
                <w:color w:val="auto"/>
              </w:rPr>
            </w:pPr>
          </w:p>
        </w:tc>
        <w:tc>
          <w:tcPr>
            <w:tcW w:w="4240" w:type="dxa"/>
            <w:vAlign w:val="bottom"/>
            <w:tcBorders>
              <w:bottom w:val="single" w:sz="8" w:color="auto"/>
            </w:tcBorders>
            <w:gridSpan w:val="2"/>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180" w:type="dxa"/>
            <w:vAlign w:val="bottom"/>
          </w:tcPr>
          <w:p>
            <w:pPr>
              <w:ind w:left="220"/>
              <w:spacing w:after="0"/>
              <w:rPr>
                <w:sz w:val="20"/>
                <w:szCs w:val="20"/>
                <w:color w:val="auto"/>
              </w:rPr>
            </w:pPr>
            <w:r>
              <w:rPr>
                <w:rFonts w:ascii="Arial" w:cs="Arial" w:eastAsia="Arial" w:hAnsi="Arial"/>
                <w:sz w:val="18"/>
                <w:szCs w:val="18"/>
                <w:color w:val="auto"/>
              </w:rPr>
              <w:t>Total finance lease liabilities</w:t>
            </w:r>
          </w:p>
        </w:tc>
        <w:tc>
          <w:tcPr>
            <w:tcW w:w="4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14,539</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12,541</w:t>
            </w:r>
          </w:p>
        </w:tc>
        <w:tc>
          <w:tcPr>
            <w:tcW w:w="0" w:type="dxa"/>
            <w:vAlign w:val="bottom"/>
          </w:tcPr>
          <w:p>
            <w:pPr>
              <w:spacing w:after="0"/>
              <w:rPr>
                <w:sz w:val="1"/>
                <w:szCs w:val="1"/>
                <w:color w:val="auto"/>
              </w:rPr>
            </w:pPr>
          </w:p>
        </w:tc>
      </w:tr>
      <w:tr>
        <w:trPr>
          <w:trHeight w:val="61"/>
        </w:trPr>
        <w:tc>
          <w:tcPr>
            <w:tcW w:w="4180" w:type="dxa"/>
            <w:vAlign w:val="bottom"/>
            <w:vMerge w:val="restart"/>
          </w:tcPr>
          <w:p>
            <w:pPr>
              <w:spacing w:after="0"/>
              <w:rPr>
                <w:sz w:val="20"/>
                <w:szCs w:val="20"/>
                <w:color w:val="auto"/>
              </w:rPr>
            </w:pPr>
            <w:r>
              <w:rPr>
                <w:rFonts w:ascii="Arial" w:cs="Arial" w:eastAsia="Arial" w:hAnsi="Arial"/>
                <w:sz w:val="13"/>
                <w:szCs w:val="13"/>
                <w:b w:val="1"/>
                <w:bCs w:val="1"/>
                <w:color w:val="auto"/>
              </w:rPr>
              <w:t>Weighted Average Remaining Lease Term</w:t>
            </w:r>
          </w:p>
        </w:tc>
        <w:tc>
          <w:tcPr>
            <w:tcW w:w="382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180" w:type="dxa"/>
            <w:vAlign w:val="bottom"/>
            <w:vMerge w:val="continue"/>
          </w:tcPr>
          <w:p>
            <w:pPr>
              <w:spacing w:after="0"/>
              <w:rPr>
                <w:sz w:val="19"/>
                <w:szCs w:val="19"/>
                <w:color w:val="auto"/>
              </w:rPr>
            </w:pPr>
          </w:p>
        </w:tc>
        <w:tc>
          <w:tcPr>
            <w:tcW w:w="3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41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Operating leases</w:t>
            </w:r>
          </w:p>
        </w:tc>
        <w:tc>
          <w:tcPr>
            <w:tcW w:w="382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 years</w:t>
            </w:r>
          </w:p>
        </w:tc>
        <w:tc>
          <w:tcPr>
            <w:tcW w:w="8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39"/>
        </w:trPr>
        <w:tc>
          <w:tcPr>
            <w:tcW w:w="418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3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 years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179"/>
        </w:trPr>
        <w:tc>
          <w:tcPr>
            <w:tcW w:w="4180" w:type="dxa"/>
            <w:vAlign w:val="bottom"/>
          </w:tcPr>
          <w:p>
            <w:pPr>
              <w:spacing w:after="0"/>
              <w:rPr>
                <w:sz w:val="20"/>
                <w:szCs w:val="20"/>
                <w:color w:val="auto"/>
              </w:rPr>
            </w:pPr>
            <w:r>
              <w:rPr>
                <w:rFonts w:ascii="Arial" w:cs="Arial" w:eastAsia="Arial" w:hAnsi="Arial"/>
                <w:sz w:val="13"/>
                <w:szCs w:val="13"/>
                <w:b w:val="1"/>
                <w:bCs w:val="1"/>
                <w:color w:val="auto"/>
              </w:rPr>
              <w:t>Weighted Average Discount Rate</w:t>
            </w:r>
          </w:p>
        </w:tc>
        <w:tc>
          <w:tcPr>
            <w:tcW w:w="3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41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Operating leases</w:t>
            </w:r>
          </w:p>
        </w:tc>
        <w:tc>
          <w:tcPr>
            <w:tcW w:w="382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2.0%</w:t>
            </w:r>
          </w:p>
        </w:tc>
        <w:tc>
          <w:tcPr>
            <w:tcW w:w="8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0"/>
        </w:trPr>
        <w:tc>
          <w:tcPr>
            <w:tcW w:w="418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3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596"/>
        </w:trPr>
        <w:tc>
          <w:tcPr>
            <w:tcW w:w="4180" w:type="dxa"/>
            <w:vAlign w:val="bottom"/>
            <w:tcBorders>
              <w:top w:val="single" w:sz="8" w:color="auto"/>
            </w:tcBorders>
          </w:tcPr>
          <w:p>
            <w:pPr>
              <w:spacing w:after="0"/>
              <w:rPr>
                <w:sz w:val="24"/>
                <w:szCs w:val="24"/>
                <w:color w:val="auto"/>
              </w:rPr>
            </w:pPr>
          </w:p>
        </w:tc>
        <w:tc>
          <w:tcPr>
            <w:tcW w:w="3820" w:type="dxa"/>
            <w:vAlign w:val="bottom"/>
            <w:tcBorders>
              <w:top w:val="single" w:sz="8" w:color="auto"/>
            </w:tcBorders>
          </w:tcPr>
          <w:p>
            <w:pPr>
              <w:jc w:val="right"/>
              <w:ind w:right="2212"/>
              <w:spacing w:after="0"/>
              <w:rPr>
                <w:sz w:val="20"/>
                <w:szCs w:val="20"/>
                <w:color w:val="auto"/>
              </w:rPr>
            </w:pPr>
            <w:r>
              <w:rPr>
                <w:rFonts w:ascii="Arial" w:cs="Arial" w:eastAsia="Arial" w:hAnsi="Arial"/>
                <w:sz w:val="14"/>
                <w:szCs w:val="14"/>
                <w:color w:val="auto"/>
              </w:rPr>
              <w:t>24</w:t>
            </w: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18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4" w:name="page25"/>
    <w:bookmarkEnd w:id="2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maturities of our lease liabilities as of March 31, 2022:</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22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Operating Leases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Finance Leases</w:t>
            </w:r>
          </w:p>
        </w:tc>
      </w:tr>
      <w:tr>
        <w:trPr>
          <w:trHeight w:val="55"/>
        </w:trPr>
        <w:tc>
          <w:tcPr>
            <w:tcW w:w="8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2022 (excluding the nine months ended March 31, 2022)</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601</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346</w:t>
            </w: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2023</w:t>
            </w:r>
          </w:p>
        </w:tc>
        <w:tc>
          <w:tcPr>
            <w:tcW w:w="220" w:type="dxa"/>
            <w:vAlign w:val="bottom"/>
          </w:tcPr>
          <w:p>
            <w:pPr>
              <w:spacing w:after="0"/>
              <w:rPr>
                <w:sz w:val="16"/>
                <w:szCs w:val="16"/>
                <w:color w:val="auto"/>
              </w:rPr>
            </w:pPr>
          </w:p>
        </w:tc>
        <w:tc>
          <w:tcPr>
            <w:tcW w:w="13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2,335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1,404</w:t>
            </w: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2024</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2,160</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1,420</w:t>
            </w: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2025</w:t>
            </w:r>
          </w:p>
        </w:tc>
        <w:tc>
          <w:tcPr>
            <w:tcW w:w="220" w:type="dxa"/>
            <w:vAlign w:val="bottom"/>
          </w:tcPr>
          <w:p>
            <w:pPr>
              <w:spacing w:after="0"/>
              <w:rPr>
                <w:sz w:val="16"/>
                <w:szCs w:val="16"/>
                <w:color w:val="auto"/>
              </w:rPr>
            </w:pPr>
          </w:p>
        </w:tc>
        <w:tc>
          <w:tcPr>
            <w:tcW w:w="13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1,885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1,749</w:t>
            </w: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2026</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1,531</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1,435</w:t>
            </w:r>
          </w:p>
        </w:tc>
      </w:tr>
      <w:tr>
        <w:trPr>
          <w:trHeight w:val="250"/>
        </w:trPr>
        <w:tc>
          <w:tcPr>
            <w:tcW w:w="800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6,074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10,928</w:t>
            </w:r>
          </w:p>
        </w:tc>
      </w:tr>
      <w:tr>
        <w:trPr>
          <w:trHeight w:val="68"/>
        </w:trPr>
        <w:tc>
          <w:tcPr>
            <w:tcW w:w="80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14,586</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17,282</w:t>
            </w:r>
          </w:p>
        </w:tc>
      </w:tr>
      <w:tr>
        <w:trPr>
          <w:trHeight w:val="250"/>
        </w:trPr>
        <w:tc>
          <w:tcPr>
            <w:tcW w:w="8000" w:type="dxa"/>
            <w:vAlign w:val="bottom"/>
          </w:tcPr>
          <w:p>
            <w:pPr>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(1,070)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(2,743)</w:t>
            </w:r>
          </w:p>
        </w:tc>
      </w:tr>
      <w:tr>
        <w:trPr>
          <w:trHeight w:val="68"/>
        </w:trPr>
        <w:tc>
          <w:tcPr>
            <w:tcW w:w="80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13,516</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14,539</w:t>
            </w:r>
          </w:p>
        </w:tc>
      </w:tr>
      <w:tr>
        <w:trPr>
          <w:trHeight w:val="75"/>
        </w:trPr>
        <w:tc>
          <w:tcPr>
            <w:tcW w:w="80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2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March 31, 2022, we have additional operating and finance leases, primarily for datacenters, that have not yet commenced of $5.7 billion and $5.9 billion, respectively. These operating and finance leases will commence between fiscal year 2022 and fiscal year 2027 with lease terms of 1 year to 17 years.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14 — CONTINGENCIES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and Intellectual Property Claims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were 64 patent infringement cases pending against Microsoft as of March 31, 2022, none of which are material individually or in aggregate.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Antitrust, Unfair Competition, and Overcharge Class Actions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Antitrust and unfair competition class action lawsuits were filed against us in British Columbia, Ontario, and Quebec, Canada. Following a mediation, the parties agreed to a global settlement of all three Canadian actions and submitted the proposed settlement agreement to the courts in all three jurisdictions for approval. The claim submission process has been completed, and settlement funds will be distributed in accordance with the agreement.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Antitrust Litigation and Claims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State Administration for Market Regulation Investigation</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2014, Microsoft was informed that China’s State Agency for Market Regulation (“SAMR”) (formerly State Administration for Industry and Commerce) had begun a formal investigation relating to China’s Anti-Monopoly Law, and the SAMR conducted onsite inspections of Microsoft offices in Beijing, Shanghai, Guangzhou, and Chengdu. In 2019, the SAMR presented preliminary views as to certain possible violations of China’s Anti-Monopoly Law.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Product-Related Litigation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Cell Phone Litigation</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Microsoft Mobile Oy, a subsidiary of Microsoft, along with other handset manufacturers and network operators, is a defendant in 46 lawsuits, including 45 lawsuits filed in the Superior Court for the District of Columbia by individual plaintiffs who allege that radio emissions from cellular handsets caused their brain tumors and other adverse health effects. We assumed responsibility for these claims in our agreement to acquire Nokia’s Devices and Services business and have been substituted for the Nokia defendants. Nine of these cases were filed in 2002 and are consolidated for certain pre-trial proceedings; the remaining cases are stayed. In a separate 2009 decision, the Court of Appeals for the District of Columbia held that adverse health effect claims arising from the use of cellular handsets that operate within the U.S. Federal Communications Commission radio frequency emission guidelines (“FCC Guidelines”) are pre-empted by federal law. The plaintiffs allege that their handsets either operated outside the FCC Guidelines or were manufactured before the FCC Guidelines went into effect. The lawsuits also allege an industry-wide conspiracy to manipulate the science and testing around emission guidelines.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5" w:name="page26"/>
    <w:bookmarkEnd w:id="2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2013, the defendants in the consolidated cases moved to exclude the plaintiffs’ expert evidence of general causation on the basis of flawed scientific methodologies. In 2014, the trial court granted in part and denied in part the defendants’ motion to exclude the plaintiffs’ general causation experts. The defendants filed an interlocutory appeal to the District of Columbia Court of Appeals challenging the standard for evaluating expert scientific evidence. In October 2016, the Court of Appeals issued its decision adopting the standard advocated by the defendants and remanding the cases to the trial court for further proceedings under that standard. The plaintiffs have filed supplemental expert evidence, portions of which the defendants have moved to strike. In August 2018, the trial court issued an order striking portions of the plaintiffs’ expert reports. A hearing on general causation is scheduled for September of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March 31, 2022, we accrued aggregate legal liabilities of $391 million. While we intend to defend these matters vigorously, adverse outcomes that we estimate could reach approximately $600 million in aggregate beyond recorded amounts are reasonably possible. Were unfavorable final outcomes to occur, there exists the possibility of a material adverse impact in our consolidated financial statements for the period in which the effects become reasonably estimable.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15 — STOCKHOLDERS’ EQUITY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September 18, 2019, our Board of Directors approved a share repurchase program authorizing up to $40.0 billion in share repurchases.</w:t>
      </w:r>
    </w:p>
    <w:p>
      <w:pPr>
        <w:spacing w:after="0"/>
        <w:rPr>
          <w:sz w:val="20"/>
          <w:szCs w:val="20"/>
          <w:color w:val="auto"/>
        </w:rPr>
      </w:pPr>
      <w:r>
        <w:rPr>
          <w:rFonts w:ascii="Arial" w:cs="Arial" w:eastAsia="Arial" w:hAnsi="Arial"/>
          <w:sz w:val="18"/>
          <w:szCs w:val="18"/>
          <w:color w:val="auto"/>
        </w:rPr>
        <w:t>This share repurchase program commenced in February 2020 and was completed in November 2021.</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September 14, 2021, our Board of Directors approved a share repurchase program authorizing up to $60.0 billion in share repurchases. This share repurchase program commenced in November 2021, following completion of the program approved on September 18, 2019, has no expiration date, and may be terminated at any time. As of March 31, 2022, $48.5 billion remained of this $60.0 billion share repurchase program.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the following shares of common stock under the share repurchase programs: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2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Amount</w:t>
            </w:r>
          </w:p>
        </w:tc>
        <w:tc>
          <w:tcPr>
            <w:tcW w:w="12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15"/>
                <w:szCs w:val="15"/>
                <w:color w:val="auto"/>
              </w:rPr>
            </w:pPr>
          </w:p>
        </w:tc>
        <w:tc>
          <w:tcPr>
            <w:tcW w:w="860" w:type="dxa"/>
            <w:vAlign w:val="bottom"/>
            <w:gridSpan w:val="2"/>
          </w:tcPr>
          <w:p>
            <w:pPr>
              <w:ind w:left="220"/>
              <w:spacing w:after="0"/>
              <w:rPr>
                <w:sz w:val="20"/>
                <w:szCs w:val="20"/>
                <w:color w:val="auto"/>
              </w:rPr>
            </w:pPr>
            <w:r>
              <w:rPr>
                <w:rFonts w:ascii="Arial" w:cs="Arial" w:eastAsia="Arial" w:hAnsi="Arial"/>
                <w:sz w:val="13"/>
                <w:szCs w:val="13"/>
                <w:b w:val="1"/>
                <w:bCs w:val="1"/>
                <w:color w:val="auto"/>
              </w:rPr>
              <w:t>Amount</w:t>
            </w:r>
          </w:p>
        </w:tc>
      </w:tr>
      <w:tr>
        <w:trPr>
          <w:trHeight w:val="55"/>
        </w:trPr>
        <w:tc>
          <w:tcPr>
            <w:tcW w:w="64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3"/>
                <w:szCs w:val="13"/>
                <w:b w:val="1"/>
                <w:bCs w:val="1"/>
                <w:color w:val="auto"/>
              </w:rPr>
              <w:t>Fiscal Year</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9"/>
                <w:szCs w:val="19"/>
                <w:color w:val="auto"/>
              </w:rPr>
            </w:pPr>
          </w:p>
        </w:tc>
      </w:tr>
      <w:tr>
        <w:trPr>
          <w:trHeight w:val="55"/>
        </w:trPr>
        <w:tc>
          <w:tcPr>
            <w:tcW w:w="6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6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First Quarter</w:t>
            </w:r>
          </w:p>
        </w:tc>
        <w:tc>
          <w:tcPr>
            <w:tcW w:w="12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21</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6,200</w:t>
            </w:r>
          </w:p>
        </w:tc>
        <w:tc>
          <w:tcPr>
            <w:tcW w:w="12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25</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5,270</w:t>
            </w:r>
          </w:p>
        </w:tc>
        <w:tc>
          <w:tcPr>
            <w:tcW w:w="120" w:type="dxa"/>
            <w:vAlign w:val="bottom"/>
            <w:shd w:val="clear" w:color="auto" w:fill="E5E5E5"/>
          </w:tcPr>
          <w:p>
            <w:pPr>
              <w:spacing w:after="0"/>
              <w:rPr>
                <w:sz w:val="16"/>
                <w:szCs w:val="16"/>
                <w:color w:val="auto"/>
              </w:rPr>
            </w:pPr>
          </w:p>
        </w:tc>
      </w:tr>
      <w:tr>
        <w:trPr>
          <w:trHeight w:val="189"/>
        </w:trPr>
        <w:tc>
          <w:tcPr>
            <w:tcW w:w="6440" w:type="dxa"/>
            <w:vAlign w:val="bottom"/>
          </w:tcPr>
          <w:p>
            <w:pPr>
              <w:spacing w:after="0" w:line="189" w:lineRule="exact"/>
              <w:rPr>
                <w:sz w:val="20"/>
                <w:szCs w:val="20"/>
                <w:color w:val="auto"/>
              </w:rPr>
            </w:pPr>
            <w:r>
              <w:rPr>
                <w:rFonts w:ascii="Arial" w:cs="Arial" w:eastAsia="Arial" w:hAnsi="Arial"/>
                <w:sz w:val="18"/>
                <w:szCs w:val="18"/>
                <w:color w:val="auto"/>
              </w:rPr>
              <w:t>Second Quarter</w:t>
            </w:r>
          </w:p>
        </w:tc>
        <w:tc>
          <w:tcPr>
            <w:tcW w:w="120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20</w:t>
            </w:r>
          </w:p>
        </w:tc>
        <w:tc>
          <w:tcPr>
            <w:tcW w:w="300" w:type="dxa"/>
            <w:vAlign w:val="bottom"/>
          </w:tcPr>
          <w:p>
            <w:pPr>
              <w:spacing w:after="0"/>
              <w:rPr>
                <w:sz w:val="16"/>
                <w:szCs w:val="16"/>
                <w:color w:val="auto"/>
              </w:rPr>
            </w:pPr>
          </w:p>
        </w:tc>
        <w:tc>
          <w:tcPr>
            <w:tcW w:w="94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6,233</w:t>
            </w:r>
          </w:p>
        </w:tc>
        <w:tc>
          <w:tcPr>
            <w:tcW w:w="12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27</w:t>
            </w:r>
          </w:p>
        </w:tc>
        <w:tc>
          <w:tcPr>
            <w:tcW w:w="2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5,750</w:t>
            </w:r>
          </w:p>
        </w:tc>
        <w:tc>
          <w:tcPr>
            <w:tcW w:w="120" w:type="dxa"/>
            <w:vAlign w:val="bottom"/>
          </w:tcPr>
          <w:p>
            <w:pPr>
              <w:spacing w:after="0"/>
              <w:rPr>
                <w:sz w:val="16"/>
                <w:szCs w:val="16"/>
                <w:color w:val="auto"/>
              </w:rPr>
            </w:pPr>
          </w:p>
        </w:tc>
      </w:tr>
      <w:tr>
        <w:trPr>
          <w:trHeight w:val="189"/>
        </w:trPr>
        <w:tc>
          <w:tcPr>
            <w:tcW w:w="6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Third Quarter</w:t>
            </w:r>
          </w:p>
        </w:tc>
        <w:tc>
          <w:tcPr>
            <w:tcW w:w="12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26</w:t>
            </w:r>
          </w:p>
        </w:tc>
        <w:tc>
          <w:tcPr>
            <w:tcW w:w="3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7,800</w:t>
            </w:r>
          </w:p>
        </w:tc>
        <w:tc>
          <w:tcPr>
            <w:tcW w:w="12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25</w:t>
            </w:r>
          </w:p>
        </w:tc>
        <w:tc>
          <w:tcPr>
            <w:tcW w:w="28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5,750</w:t>
            </w:r>
          </w:p>
        </w:tc>
        <w:tc>
          <w:tcPr>
            <w:tcW w:w="120" w:type="dxa"/>
            <w:vAlign w:val="bottom"/>
            <w:shd w:val="clear" w:color="auto" w:fill="E5E5E5"/>
          </w:tcPr>
          <w:p>
            <w:pPr>
              <w:spacing w:after="0"/>
              <w:rPr>
                <w:sz w:val="16"/>
                <w:szCs w:val="16"/>
                <w:color w:val="auto"/>
              </w:rPr>
            </w:pPr>
          </w:p>
        </w:tc>
      </w:tr>
      <w:tr>
        <w:trPr>
          <w:trHeight w:val="68"/>
        </w:trPr>
        <w:tc>
          <w:tcPr>
            <w:tcW w:w="64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63"/>
        </w:trPr>
        <w:tc>
          <w:tcPr>
            <w:tcW w:w="6440" w:type="dxa"/>
            <w:vAlign w:val="bottom"/>
          </w:tcPr>
          <w:p>
            <w:pPr>
              <w:ind w:left="300"/>
              <w:spacing w:after="0"/>
              <w:rPr>
                <w:sz w:val="20"/>
                <w:szCs w:val="20"/>
                <w:color w:val="auto"/>
              </w:rPr>
            </w:pPr>
            <w:r>
              <w:rPr>
                <w:rFonts w:ascii="Arial" w:cs="Arial" w:eastAsia="Arial" w:hAnsi="Arial"/>
                <w:sz w:val="18"/>
                <w:szCs w:val="18"/>
                <w:color w:val="auto"/>
              </w:rPr>
              <w:t>Total</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67</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20,233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16,770</w:t>
            </w:r>
          </w:p>
        </w:tc>
        <w:tc>
          <w:tcPr>
            <w:tcW w:w="120" w:type="dxa"/>
            <w:vAlign w:val="bottom"/>
          </w:tcPr>
          <w:p>
            <w:pPr>
              <w:spacing w:after="0"/>
              <w:rPr>
                <w:sz w:val="22"/>
                <w:szCs w:val="22"/>
                <w:color w:val="auto"/>
              </w:rPr>
            </w:pPr>
          </w:p>
        </w:tc>
      </w:tr>
      <w:tr>
        <w:trPr>
          <w:trHeight w:val="61"/>
        </w:trPr>
        <w:tc>
          <w:tcPr>
            <w:tcW w:w="644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bl>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All repurchases were made using cash resources. Shares repurchased during the third quarter of fiscal year 2022 were under the share repurchase program approved on September 14, 2021. Shares repurchased during the second quarter of fiscal year 2022 were under the share repurchase programs approved on both September 14, 2021 and September 18, 2019. All other shares repurchased were under the share repurchase program approved on September 18, 2019. The above table excludes shares repurchased to settle employee tax withholding related to the vesting of stock awards of $1.0 billion and $3.7 billion for the three and nine months ended March 31, 2022, respectively, and $1.1 billion and $3.4 billion the three and nine months ended March 31, 2021, respectively.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6" w:name="page27"/>
    <w:bookmarkEnd w:id="2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Dividend</w:t>
            </w: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540" w:type="dxa"/>
            <w:vAlign w:val="bottom"/>
          </w:tcPr>
          <w:p>
            <w:pPr>
              <w:spacing w:after="0"/>
              <w:rPr>
                <w:sz w:val="20"/>
                <w:szCs w:val="20"/>
                <w:color w:val="auto"/>
              </w:rPr>
            </w:pPr>
            <w:r>
              <w:rPr>
                <w:rFonts w:ascii="Arial" w:cs="Arial" w:eastAsia="Arial" w:hAnsi="Arial"/>
                <w:sz w:val="13"/>
                <w:szCs w:val="13"/>
                <w:b w:val="1"/>
                <w:bCs w:val="1"/>
                <w:color w:val="auto"/>
              </w:rPr>
              <w:t>Declaration Date</w:t>
            </w:r>
          </w:p>
        </w:tc>
        <w:tc>
          <w:tcPr>
            <w:tcW w:w="2900" w:type="dxa"/>
            <w:vAlign w:val="bottom"/>
          </w:tcPr>
          <w:p>
            <w:pPr>
              <w:ind w:left="840"/>
              <w:spacing w:after="0"/>
              <w:rPr>
                <w:sz w:val="20"/>
                <w:szCs w:val="20"/>
                <w:color w:val="auto"/>
              </w:rPr>
            </w:pPr>
            <w:r>
              <w:rPr>
                <w:rFonts w:ascii="Arial" w:cs="Arial" w:eastAsia="Arial" w:hAnsi="Arial"/>
                <w:sz w:val="13"/>
                <w:szCs w:val="13"/>
                <w:b w:val="1"/>
                <w:bCs w:val="1"/>
                <w:color w:val="auto"/>
              </w:rPr>
              <w:t>Record Date</w:t>
            </w:r>
          </w:p>
        </w:tc>
        <w:tc>
          <w:tcPr>
            <w:tcW w:w="2460" w:type="dxa"/>
            <w:vAlign w:val="bottom"/>
          </w:tcPr>
          <w:p>
            <w:pPr>
              <w:ind w:left="420"/>
              <w:spacing w:after="0"/>
              <w:rPr>
                <w:sz w:val="20"/>
                <w:szCs w:val="20"/>
                <w:color w:val="auto"/>
              </w:rPr>
            </w:pPr>
            <w:r>
              <w:rPr>
                <w:rFonts w:ascii="Arial" w:cs="Arial" w:eastAsia="Arial" w:hAnsi="Arial"/>
                <w:sz w:val="13"/>
                <w:szCs w:val="13"/>
                <w:b w:val="1"/>
                <w:bCs w:val="1"/>
                <w:color w:val="auto"/>
              </w:rPr>
              <w:t>Payment Date</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Per Share</w:t>
            </w:r>
          </w:p>
        </w:tc>
        <w:tc>
          <w:tcPr>
            <w:tcW w:w="32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54"/>
        </w:trPr>
        <w:tc>
          <w:tcPr>
            <w:tcW w:w="254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20"/>
                <w:szCs w:val="20"/>
                <w:color w:val="auto"/>
              </w:rPr>
            </w:pPr>
            <w:r>
              <w:rPr>
                <w:rFonts w:ascii="Arial" w:cs="Arial" w:eastAsia="Arial" w:hAnsi="Arial"/>
                <w:sz w:val="13"/>
                <w:szCs w:val="13"/>
                <w:b w:val="1"/>
                <w:bCs w:val="1"/>
                <w:color w:val="auto"/>
              </w:rPr>
              <w:t>Fiscal Year 2022</w:t>
            </w:r>
          </w:p>
        </w:tc>
        <w:tc>
          <w:tcPr>
            <w:tcW w:w="2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55"/>
        </w:trPr>
        <w:tc>
          <w:tcPr>
            <w:tcW w:w="25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September 14, 2021</w:t>
            </w:r>
          </w:p>
        </w:tc>
        <w:tc>
          <w:tcPr>
            <w:tcW w:w="2900" w:type="dxa"/>
            <w:vAlign w:val="bottom"/>
            <w:shd w:val="clear" w:color="auto" w:fill="E5E5E5"/>
          </w:tcPr>
          <w:p>
            <w:pPr>
              <w:ind w:left="840"/>
              <w:spacing w:after="0" w:line="202" w:lineRule="exact"/>
              <w:rPr>
                <w:sz w:val="20"/>
                <w:szCs w:val="20"/>
                <w:color w:val="auto"/>
              </w:rPr>
            </w:pPr>
            <w:r>
              <w:rPr>
                <w:rFonts w:ascii="Arial" w:cs="Arial" w:eastAsia="Arial" w:hAnsi="Arial"/>
                <w:sz w:val="18"/>
                <w:szCs w:val="18"/>
                <w:b w:val="1"/>
                <w:bCs w:val="1"/>
                <w:color w:val="auto"/>
              </w:rPr>
              <w:t>November 18, 2021</w:t>
            </w:r>
          </w:p>
        </w:tc>
        <w:tc>
          <w:tcPr>
            <w:tcW w:w="246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b w:val="1"/>
                <w:bCs w:val="1"/>
                <w:color w:val="auto"/>
              </w:rPr>
              <w:t>December 9, 2021</w:t>
            </w:r>
          </w:p>
        </w:tc>
        <w:tc>
          <w:tcPr>
            <w:tcW w:w="84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0.62</w:t>
            </w:r>
          </w:p>
        </w:tc>
        <w:tc>
          <w:tcPr>
            <w:tcW w:w="32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4,652</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40" w:type="dxa"/>
            <w:vAlign w:val="bottom"/>
          </w:tcPr>
          <w:p>
            <w:pPr>
              <w:spacing w:after="0" w:line="189" w:lineRule="exact"/>
              <w:rPr>
                <w:sz w:val="20"/>
                <w:szCs w:val="20"/>
                <w:color w:val="auto"/>
              </w:rPr>
            </w:pPr>
            <w:r>
              <w:rPr>
                <w:rFonts w:ascii="Arial" w:cs="Arial" w:eastAsia="Arial" w:hAnsi="Arial"/>
                <w:sz w:val="18"/>
                <w:szCs w:val="18"/>
                <w:b w:val="1"/>
                <w:bCs w:val="1"/>
                <w:color w:val="auto"/>
              </w:rPr>
              <w:t>December 7, 2021</w:t>
            </w:r>
          </w:p>
        </w:tc>
        <w:tc>
          <w:tcPr>
            <w:tcW w:w="2900" w:type="dxa"/>
            <w:vAlign w:val="bottom"/>
          </w:tcPr>
          <w:p>
            <w:pPr>
              <w:ind w:left="840"/>
              <w:spacing w:after="0" w:line="189" w:lineRule="exact"/>
              <w:rPr>
                <w:sz w:val="20"/>
                <w:szCs w:val="20"/>
                <w:color w:val="auto"/>
              </w:rPr>
            </w:pPr>
            <w:r>
              <w:rPr>
                <w:rFonts w:ascii="Arial" w:cs="Arial" w:eastAsia="Arial" w:hAnsi="Arial"/>
                <w:sz w:val="18"/>
                <w:szCs w:val="18"/>
                <w:b w:val="1"/>
                <w:bCs w:val="1"/>
                <w:color w:val="auto"/>
              </w:rPr>
              <w:t>February 17, 2022</w:t>
            </w:r>
          </w:p>
        </w:tc>
        <w:tc>
          <w:tcPr>
            <w:tcW w:w="2460" w:type="dxa"/>
            <w:vAlign w:val="bottom"/>
          </w:tcPr>
          <w:p>
            <w:pPr>
              <w:ind w:left="420"/>
              <w:spacing w:after="0" w:line="189" w:lineRule="exact"/>
              <w:rPr>
                <w:sz w:val="20"/>
                <w:szCs w:val="20"/>
                <w:color w:val="auto"/>
              </w:rPr>
            </w:pPr>
            <w:r>
              <w:rPr>
                <w:rFonts w:ascii="Arial" w:cs="Arial" w:eastAsia="Arial" w:hAnsi="Arial"/>
                <w:sz w:val="18"/>
                <w:szCs w:val="18"/>
                <w:b w:val="1"/>
                <w:bCs w:val="1"/>
                <w:color w:val="auto"/>
              </w:rPr>
              <w:t>March 10, 2022</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0.62</w:t>
            </w:r>
          </w:p>
        </w:tc>
        <w:tc>
          <w:tcPr>
            <w:tcW w:w="3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4,645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March 14, 2022</w:t>
            </w:r>
          </w:p>
        </w:tc>
        <w:tc>
          <w:tcPr>
            <w:tcW w:w="2900" w:type="dxa"/>
            <w:vAlign w:val="bottom"/>
            <w:shd w:val="clear" w:color="auto" w:fill="E5E5E5"/>
          </w:tcPr>
          <w:p>
            <w:pPr>
              <w:ind w:left="840"/>
              <w:spacing w:after="0" w:line="189" w:lineRule="exact"/>
              <w:rPr>
                <w:sz w:val="20"/>
                <w:szCs w:val="20"/>
                <w:color w:val="auto"/>
              </w:rPr>
            </w:pPr>
            <w:r>
              <w:rPr>
                <w:rFonts w:ascii="Arial" w:cs="Arial" w:eastAsia="Arial" w:hAnsi="Arial"/>
                <w:sz w:val="18"/>
                <w:szCs w:val="18"/>
                <w:b w:val="1"/>
                <w:bCs w:val="1"/>
                <w:color w:val="auto"/>
              </w:rPr>
              <w:t>May 19, 2022</w:t>
            </w:r>
          </w:p>
        </w:tc>
        <w:tc>
          <w:tcPr>
            <w:tcW w:w="246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b w:val="1"/>
                <w:bCs w:val="1"/>
                <w:color w:val="auto"/>
              </w:rPr>
              <w:t>June 9, 2022</w:t>
            </w:r>
          </w:p>
        </w:tc>
        <w:tc>
          <w:tcPr>
            <w:tcW w:w="46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0.62</w:t>
            </w:r>
          </w:p>
        </w:tc>
        <w:tc>
          <w:tcPr>
            <w:tcW w:w="32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4,639</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540" w:type="dxa"/>
            <w:vAlign w:val="bottom"/>
            <w:tcBorders>
              <w:bottom w:val="single" w:sz="8" w:color="auto"/>
            </w:tcBorders>
          </w:tcPr>
          <w:p>
            <w:pPr>
              <w:spacing w:after="0"/>
              <w:rPr>
                <w:sz w:val="5"/>
                <w:szCs w:val="5"/>
                <w:color w:val="auto"/>
              </w:rPr>
            </w:pPr>
          </w:p>
        </w:tc>
        <w:tc>
          <w:tcPr>
            <w:tcW w:w="2900" w:type="dxa"/>
            <w:vAlign w:val="bottom"/>
            <w:tcBorders>
              <w:bottom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2"/>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54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29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1.86</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13,936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540" w:type="dxa"/>
            <w:vAlign w:val="bottom"/>
            <w:vMerge w:val="restart"/>
          </w:tcPr>
          <w:p>
            <w:pPr>
              <w:spacing w:after="0"/>
              <w:rPr>
                <w:sz w:val="20"/>
                <w:szCs w:val="20"/>
                <w:color w:val="auto"/>
              </w:rPr>
            </w:pPr>
            <w:r>
              <w:rPr>
                <w:rFonts w:ascii="Arial" w:cs="Arial" w:eastAsia="Arial" w:hAnsi="Arial"/>
                <w:sz w:val="13"/>
                <w:szCs w:val="13"/>
                <w:b w:val="1"/>
                <w:bCs w:val="1"/>
                <w:color w:val="auto"/>
              </w:rPr>
              <w:t>Fiscal Year 2021</w:t>
            </w:r>
          </w:p>
        </w:tc>
        <w:tc>
          <w:tcPr>
            <w:tcW w:w="29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540" w:type="dxa"/>
            <w:vAlign w:val="bottom"/>
            <w:vMerge w:val="continue"/>
          </w:tcPr>
          <w:p>
            <w:pPr>
              <w:spacing w:after="0"/>
              <w:rPr>
                <w:sz w:val="19"/>
                <w:szCs w:val="19"/>
                <w:color w:val="auto"/>
              </w:rPr>
            </w:pPr>
          </w:p>
        </w:tc>
        <w:tc>
          <w:tcPr>
            <w:tcW w:w="2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5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September 15, 2020</w:t>
            </w:r>
          </w:p>
        </w:tc>
        <w:tc>
          <w:tcPr>
            <w:tcW w:w="2900" w:type="dxa"/>
            <w:vAlign w:val="bottom"/>
            <w:shd w:val="clear" w:color="auto" w:fill="E5E5E5"/>
          </w:tcPr>
          <w:p>
            <w:pPr>
              <w:ind w:left="840"/>
              <w:spacing w:after="0" w:line="202" w:lineRule="exact"/>
              <w:rPr>
                <w:sz w:val="20"/>
                <w:szCs w:val="20"/>
                <w:color w:val="auto"/>
              </w:rPr>
            </w:pPr>
            <w:r>
              <w:rPr>
                <w:rFonts w:ascii="Arial" w:cs="Arial" w:eastAsia="Arial" w:hAnsi="Arial"/>
                <w:sz w:val="18"/>
                <w:szCs w:val="18"/>
                <w:color w:val="auto"/>
              </w:rPr>
              <w:t>November 19, 2020</w:t>
            </w:r>
          </w:p>
        </w:tc>
        <w:tc>
          <w:tcPr>
            <w:tcW w:w="246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December 10, 2020</w:t>
            </w:r>
          </w:p>
        </w:tc>
        <w:tc>
          <w:tcPr>
            <w:tcW w:w="84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0.56</w:t>
            </w:r>
          </w:p>
        </w:tc>
        <w:tc>
          <w:tcPr>
            <w:tcW w:w="32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4,230</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40" w:type="dxa"/>
            <w:vAlign w:val="bottom"/>
          </w:tcPr>
          <w:p>
            <w:pPr>
              <w:spacing w:after="0" w:line="189" w:lineRule="exact"/>
              <w:rPr>
                <w:sz w:val="20"/>
                <w:szCs w:val="20"/>
                <w:color w:val="auto"/>
              </w:rPr>
            </w:pPr>
            <w:r>
              <w:rPr>
                <w:rFonts w:ascii="Arial" w:cs="Arial" w:eastAsia="Arial" w:hAnsi="Arial"/>
                <w:sz w:val="18"/>
                <w:szCs w:val="18"/>
                <w:color w:val="auto"/>
              </w:rPr>
              <w:t>December 2, 2020</w:t>
            </w:r>
          </w:p>
        </w:tc>
        <w:tc>
          <w:tcPr>
            <w:tcW w:w="2900" w:type="dxa"/>
            <w:vAlign w:val="bottom"/>
          </w:tcPr>
          <w:p>
            <w:pPr>
              <w:ind w:left="840"/>
              <w:spacing w:after="0" w:line="189" w:lineRule="exact"/>
              <w:rPr>
                <w:sz w:val="20"/>
                <w:szCs w:val="20"/>
                <w:color w:val="auto"/>
              </w:rPr>
            </w:pPr>
            <w:r>
              <w:rPr>
                <w:rFonts w:ascii="Arial" w:cs="Arial" w:eastAsia="Arial" w:hAnsi="Arial"/>
                <w:sz w:val="18"/>
                <w:szCs w:val="18"/>
                <w:color w:val="auto"/>
              </w:rPr>
              <w:t>February 18, 2021</w:t>
            </w:r>
          </w:p>
        </w:tc>
        <w:tc>
          <w:tcPr>
            <w:tcW w:w="2460" w:type="dxa"/>
            <w:vAlign w:val="bottom"/>
          </w:tcPr>
          <w:p>
            <w:pPr>
              <w:ind w:left="420"/>
              <w:spacing w:after="0" w:line="189" w:lineRule="exact"/>
              <w:rPr>
                <w:sz w:val="20"/>
                <w:szCs w:val="20"/>
                <w:color w:val="auto"/>
              </w:rPr>
            </w:pPr>
            <w:r>
              <w:rPr>
                <w:rFonts w:ascii="Arial" w:cs="Arial" w:eastAsia="Arial" w:hAnsi="Arial"/>
                <w:sz w:val="18"/>
                <w:szCs w:val="18"/>
                <w:color w:val="auto"/>
              </w:rPr>
              <w:t>March 11, 2021</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0.56</w:t>
            </w:r>
          </w:p>
        </w:tc>
        <w:tc>
          <w:tcPr>
            <w:tcW w:w="3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4,221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March 16, 2021</w:t>
            </w:r>
          </w:p>
        </w:tc>
        <w:tc>
          <w:tcPr>
            <w:tcW w:w="2900" w:type="dxa"/>
            <w:vAlign w:val="bottom"/>
            <w:shd w:val="clear" w:color="auto" w:fill="E5E5E5"/>
          </w:tcPr>
          <w:p>
            <w:pPr>
              <w:ind w:left="840"/>
              <w:spacing w:after="0" w:line="189" w:lineRule="exact"/>
              <w:rPr>
                <w:sz w:val="20"/>
                <w:szCs w:val="20"/>
                <w:color w:val="auto"/>
              </w:rPr>
            </w:pPr>
            <w:r>
              <w:rPr>
                <w:rFonts w:ascii="Arial" w:cs="Arial" w:eastAsia="Arial" w:hAnsi="Arial"/>
                <w:sz w:val="18"/>
                <w:szCs w:val="18"/>
                <w:color w:val="auto"/>
              </w:rPr>
              <w:t>May 20, 2021</w:t>
            </w:r>
          </w:p>
        </w:tc>
        <w:tc>
          <w:tcPr>
            <w:tcW w:w="246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June 10, 2021</w:t>
            </w:r>
          </w:p>
        </w:tc>
        <w:tc>
          <w:tcPr>
            <w:tcW w:w="46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0.56</w:t>
            </w:r>
          </w:p>
        </w:tc>
        <w:tc>
          <w:tcPr>
            <w:tcW w:w="32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4,214</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540" w:type="dxa"/>
            <w:vAlign w:val="bottom"/>
            <w:tcBorders>
              <w:bottom w:val="single" w:sz="8" w:color="auto"/>
            </w:tcBorders>
          </w:tcPr>
          <w:p>
            <w:pPr>
              <w:spacing w:after="0"/>
              <w:rPr>
                <w:sz w:val="5"/>
                <w:szCs w:val="5"/>
                <w:color w:val="auto"/>
              </w:rPr>
            </w:pPr>
          </w:p>
        </w:tc>
        <w:tc>
          <w:tcPr>
            <w:tcW w:w="2900" w:type="dxa"/>
            <w:vAlign w:val="bottom"/>
            <w:tcBorders>
              <w:bottom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2"/>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540" w:type="dxa"/>
            <w:vAlign w:val="bottom"/>
          </w:tcPr>
          <w:p>
            <w:pPr>
              <w:ind w:left="220"/>
              <w:spacing w:after="0"/>
              <w:rPr>
                <w:sz w:val="20"/>
                <w:szCs w:val="20"/>
                <w:color w:val="auto"/>
              </w:rPr>
            </w:pPr>
            <w:r>
              <w:rPr>
                <w:rFonts w:ascii="Arial" w:cs="Arial" w:eastAsia="Arial" w:hAnsi="Arial"/>
                <w:sz w:val="18"/>
                <w:szCs w:val="18"/>
                <w:color w:val="auto"/>
              </w:rPr>
              <w:t>Total</w:t>
            </w:r>
          </w:p>
        </w:tc>
        <w:tc>
          <w:tcPr>
            <w:tcW w:w="29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12,665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5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dividend declared on March 14, 2022 was included in other current liabilities as of March 31, 2022.</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7" w:name="page28"/>
    <w:bookmarkEnd w:id="27"/>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85" w:lineRule="exact"/>
        <w:rPr>
          <w:sz w:val="20"/>
          <w:szCs w:val="20"/>
          <w:color w:val="auto"/>
        </w:rPr>
      </w:pPr>
    </w:p>
    <w:p>
      <w:pPr>
        <w:ind w:left="2560"/>
        <w:spacing w:after="0"/>
        <w:rPr>
          <w:sz w:val="20"/>
          <w:szCs w:val="20"/>
          <w:color w:val="auto"/>
        </w:rPr>
      </w:pPr>
      <w:r>
        <w:rPr>
          <w:rFonts w:ascii="Arial" w:cs="Arial" w:eastAsia="Arial" w:hAnsi="Arial"/>
          <w:sz w:val="18"/>
          <w:szCs w:val="18"/>
          <w:u w:val="single" w:color="auto"/>
          <w:color w:val="auto"/>
        </w:rPr>
        <w:t>NOTE 16 —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income (loss) by component: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ind w:right="440"/>
              <w:spacing w:after="0"/>
              <w:rPr>
                <w:sz w:val="20"/>
                <w:szCs w:val="20"/>
                <w:color w:val="auto"/>
              </w:rPr>
            </w:pPr>
            <w:r>
              <w:rPr>
                <w:rFonts w:ascii="Arial" w:cs="Arial" w:eastAsia="Arial" w:hAnsi="Arial"/>
                <w:sz w:val="13"/>
                <w:szCs w:val="13"/>
                <w:b w:val="1"/>
                <w:bCs w:val="1"/>
                <w:color w:val="auto"/>
              </w:rPr>
              <w:t>Three Months Ended</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8"/>
        </w:trPr>
        <w:tc>
          <w:tcPr>
            <w:tcW w:w="40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March 31,</w:t>
            </w: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54"/>
        </w:trPr>
        <w:tc>
          <w:tcPr>
            <w:tcW w:w="40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2022</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2021</w:t>
            </w:r>
          </w:p>
        </w:tc>
        <w:tc>
          <w:tcPr>
            <w:tcW w:w="5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3"/>
                <w:szCs w:val="13"/>
                <w:b w:val="1"/>
                <w:bCs w:val="1"/>
                <w:color w:val="auto"/>
              </w:rPr>
              <w:t>Derivatives</w:t>
            </w: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40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(17)</w:t>
            </w:r>
          </w:p>
        </w:tc>
        <w:tc>
          <w:tcPr>
            <w:tcW w:w="820" w:type="dxa"/>
            <w:vAlign w:val="bottom"/>
            <w:gridSpan w:val="2"/>
            <w:shd w:val="clear" w:color="auto" w:fill="E5E5E5"/>
          </w:tcPr>
          <w:p>
            <w:pPr>
              <w:jc w:val="right"/>
              <w:ind w:right="293"/>
              <w:spacing w:after="0" w:line="189"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(26)</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(19)</w:t>
            </w:r>
          </w:p>
        </w:tc>
        <w:tc>
          <w:tcPr>
            <w:tcW w:w="3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53"/>
        </w:trPr>
        <w:tc>
          <w:tcPr>
            <w:tcW w:w="4060" w:type="dxa"/>
            <w:vAlign w:val="bottom"/>
          </w:tcPr>
          <w:p>
            <w:pPr>
              <w:spacing w:after="0" w:line="153" w:lineRule="exact"/>
              <w:rPr>
                <w:sz w:val="20"/>
                <w:szCs w:val="20"/>
                <w:color w:val="auto"/>
              </w:rPr>
            </w:pPr>
            <w:r>
              <w:rPr>
                <w:rFonts w:ascii="Arial" w:cs="Arial" w:eastAsia="Arial" w:hAnsi="Arial"/>
                <w:sz w:val="17"/>
                <w:szCs w:val="17"/>
                <w:color w:val="auto"/>
              </w:rPr>
              <w:t xml:space="preserve">Unrealized gains (losses), net of tax of </w:t>
            </w:r>
            <w:r>
              <w:rPr>
                <w:rFonts w:ascii="Arial" w:cs="Arial" w:eastAsia="Arial" w:hAnsi="Arial"/>
                <w:sz w:val="17"/>
                <w:szCs w:val="17"/>
                <w:b w:val="1"/>
                <w:bCs w:val="1"/>
                <w:color w:val="auto"/>
              </w:rPr>
              <w:t>$(1)</w:t>
            </w:r>
            <w:r>
              <w:rPr>
                <w:rFonts w:ascii="Arial" w:cs="Arial" w:eastAsia="Arial" w:hAnsi="Arial"/>
                <w:sz w:val="17"/>
                <w:szCs w:val="17"/>
                <w:color w:val="auto"/>
              </w:rPr>
              <w:t>, $0</w:t>
            </w:r>
            <w:r>
              <w:rPr>
                <w:rFonts w:ascii="Arial" w:cs="Arial" w:eastAsia="Arial" w:hAnsi="Arial"/>
                <w:sz w:val="17"/>
                <w:szCs w:val="17"/>
                <w:b w:val="1"/>
                <w:bCs w:val="1"/>
                <w:color w:val="auto"/>
              </w:rPr>
              <w:t>,</w:t>
            </w:r>
          </w:p>
        </w:tc>
        <w:tc>
          <w:tcPr>
            <w:tcW w:w="50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(27)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4060" w:type="dxa"/>
            <w:vAlign w:val="bottom"/>
          </w:tcPr>
          <w:p>
            <w:pPr>
              <w:ind w:left="220"/>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 and $12</w:t>
            </w:r>
          </w:p>
        </w:tc>
        <w:tc>
          <w:tcPr>
            <w:tcW w:w="5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54"/>
        </w:trPr>
        <w:tc>
          <w:tcPr>
            <w:tcW w:w="40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6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Reclassification adjustments for (gains) losses</w:t>
            </w:r>
          </w:p>
        </w:tc>
        <w:tc>
          <w:tcPr>
            <w:tcW w:w="500" w:type="dxa"/>
            <w:vAlign w:val="bottom"/>
            <w:shd w:val="clear" w:color="auto" w:fill="E5E5E5"/>
          </w:tcPr>
          <w:p>
            <w:pPr>
              <w:spacing w:after="0"/>
              <w:rPr>
                <w:sz w:val="15"/>
                <w:szCs w:val="15"/>
                <w:color w:val="auto"/>
              </w:rPr>
            </w:pPr>
          </w:p>
        </w:tc>
        <w:tc>
          <w:tcPr>
            <w:tcW w:w="980" w:type="dxa"/>
            <w:vAlign w:val="bottom"/>
            <w:gridSpan w:val="2"/>
            <w:vMerge w:val="restart"/>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15</w:t>
            </w:r>
          </w:p>
        </w:tc>
        <w:tc>
          <w:tcPr>
            <w:tcW w:w="360" w:type="dxa"/>
            <w:vAlign w:val="bottom"/>
            <w:shd w:val="clear" w:color="auto" w:fill="E5E5E5"/>
          </w:tcPr>
          <w:p>
            <w:pPr>
              <w:spacing w:after="0"/>
              <w:rPr>
                <w:sz w:val="15"/>
                <w:szCs w:val="15"/>
                <w:color w:val="auto"/>
              </w:rPr>
            </w:pPr>
          </w:p>
        </w:tc>
        <w:tc>
          <w:tcPr>
            <w:tcW w:w="460" w:type="dxa"/>
            <w:vAlign w:val="bottom"/>
            <w:shd w:val="clear" w:color="auto" w:fill="E5E5E5"/>
          </w:tcPr>
          <w:p>
            <w:pPr>
              <w:spacing w:after="0"/>
              <w:rPr>
                <w:sz w:val="15"/>
                <w:szCs w:val="15"/>
                <w:color w:val="auto"/>
              </w:rPr>
            </w:pPr>
          </w:p>
        </w:tc>
        <w:tc>
          <w:tcPr>
            <w:tcW w:w="96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c>
          <w:tcPr>
            <w:tcW w:w="500" w:type="dxa"/>
            <w:vAlign w:val="bottom"/>
            <w:shd w:val="clear" w:color="auto" w:fill="E5E5E5"/>
          </w:tcPr>
          <w:p>
            <w:pPr>
              <w:spacing w:after="0"/>
              <w:rPr>
                <w:sz w:val="15"/>
                <w:szCs w:val="15"/>
                <w:color w:val="auto"/>
              </w:rPr>
            </w:pPr>
          </w:p>
        </w:tc>
        <w:tc>
          <w:tcPr>
            <w:tcW w:w="116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44</w:t>
            </w:r>
          </w:p>
        </w:tc>
        <w:tc>
          <w:tcPr>
            <w:tcW w:w="1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12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E5E5E5"/>
          </w:tcPr>
          <w:p>
            <w:pPr>
              <w:ind w:left="220"/>
              <w:spacing w:after="0" w:line="203" w:lineRule="exact"/>
              <w:rPr>
                <w:sz w:val="20"/>
                <w:szCs w:val="20"/>
                <w:color w:val="auto"/>
              </w:rPr>
            </w:pPr>
            <w:r>
              <w:rPr>
                <w:rFonts w:ascii="Arial" w:cs="Arial" w:eastAsia="Arial" w:hAnsi="Arial"/>
                <w:sz w:val="18"/>
                <w:szCs w:val="18"/>
                <w:color w:val="auto"/>
              </w:rPr>
              <w:t>included in other income (expense), net</w:t>
            </w:r>
          </w:p>
        </w:tc>
        <w:tc>
          <w:tcPr>
            <w:tcW w:w="500" w:type="dxa"/>
            <w:vAlign w:val="bottom"/>
            <w:shd w:val="clear" w:color="auto" w:fill="E5E5E5"/>
          </w:tcPr>
          <w:p>
            <w:pPr>
              <w:spacing w:after="0"/>
              <w:rPr>
                <w:sz w:val="17"/>
                <w:szCs w:val="17"/>
                <w:color w:val="auto"/>
              </w:rPr>
            </w:pPr>
          </w:p>
        </w:tc>
        <w:tc>
          <w:tcPr>
            <w:tcW w:w="980" w:type="dxa"/>
            <w:vAlign w:val="bottom"/>
            <w:gridSpan w:val="2"/>
            <w:vMerge w:val="continue"/>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400" w:type="dxa"/>
            <w:vAlign w:val="bottom"/>
            <w:gridSpan w:val="2"/>
            <w:shd w:val="clear" w:color="auto" w:fill="E5E5E5"/>
          </w:tcPr>
          <w:p>
            <w:pPr>
              <w:jc w:val="right"/>
              <w:ind w:right="440"/>
              <w:spacing w:after="0" w:line="203" w:lineRule="exact"/>
              <w:rPr>
                <w:sz w:val="20"/>
                <w:szCs w:val="20"/>
                <w:color w:val="auto"/>
              </w:rPr>
            </w:pPr>
            <w:r>
              <w:rPr>
                <w:rFonts w:ascii="Arial" w:cs="Arial" w:eastAsia="Arial" w:hAnsi="Arial"/>
                <w:sz w:val="18"/>
                <w:szCs w:val="18"/>
                <w:color w:val="auto"/>
              </w:rPr>
              <w:t>26</w:t>
            </w:r>
          </w:p>
        </w:tc>
        <w:tc>
          <w:tcPr>
            <w:tcW w:w="500" w:type="dxa"/>
            <w:vAlign w:val="bottom"/>
            <w:shd w:val="clear" w:color="auto" w:fill="E5E5E5"/>
          </w:tcPr>
          <w:p>
            <w:pPr>
              <w:spacing w:after="0"/>
              <w:rPr>
                <w:sz w:val="17"/>
                <w:szCs w:val="17"/>
                <w:color w:val="auto"/>
              </w:rPr>
            </w:pPr>
          </w:p>
        </w:tc>
        <w:tc>
          <w:tcPr>
            <w:tcW w:w="1160" w:type="dxa"/>
            <w:vAlign w:val="bottom"/>
            <w:gridSpan w:val="2"/>
            <w:vMerge w:val="continue"/>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500" w:type="dxa"/>
            <w:vAlign w:val="bottom"/>
            <w:gridSpan w:val="2"/>
            <w:shd w:val="clear" w:color="auto" w:fill="E5E5E5"/>
          </w:tcPr>
          <w:p>
            <w:pPr>
              <w:jc w:val="right"/>
              <w:ind w:right="1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75"/>
        </w:trPr>
        <w:tc>
          <w:tcPr>
            <w:tcW w:w="4060" w:type="dxa"/>
            <w:vAlign w:val="bottom"/>
          </w:tcPr>
          <w:p>
            <w:pPr>
              <w:spacing w:after="0" w:line="175" w:lineRule="exact"/>
              <w:rPr>
                <w:sz w:val="20"/>
                <w:szCs w:val="20"/>
                <w:color w:val="auto"/>
              </w:rPr>
            </w:pPr>
            <w:r>
              <w:rPr>
                <w:rFonts w:ascii="Arial" w:cs="Arial" w:eastAsia="Arial" w:hAnsi="Arial"/>
                <w:sz w:val="18"/>
                <w:szCs w:val="18"/>
                <w:color w:val="auto"/>
              </w:rPr>
              <w:t>Tax expense (benefit) included in provision for</w:t>
            </w:r>
          </w:p>
        </w:tc>
        <w:tc>
          <w:tcPr>
            <w:tcW w:w="500" w:type="dxa"/>
            <w:vAlign w:val="bottom"/>
          </w:tcPr>
          <w:p>
            <w:pPr>
              <w:spacing w:after="0"/>
              <w:rPr>
                <w:sz w:val="15"/>
                <w:szCs w:val="15"/>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6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5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0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0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060" w:type="dxa"/>
            <w:vAlign w:val="bottom"/>
            <w:shd w:val="clear" w:color="auto" w:fill="E5E5E5"/>
          </w:tcPr>
          <w:p>
            <w:pPr>
              <w:ind w:left="220"/>
              <w:spacing w:after="0" w:line="175" w:lineRule="exact"/>
              <w:rPr>
                <w:sz w:val="20"/>
                <w:szCs w:val="20"/>
                <w:color w:val="auto"/>
              </w:rPr>
            </w:pPr>
            <w:r>
              <w:rPr>
                <w:rFonts w:ascii="Arial" w:cs="Arial" w:eastAsia="Arial" w:hAnsi="Arial"/>
                <w:sz w:val="18"/>
                <w:szCs w:val="18"/>
                <w:color w:val="auto"/>
              </w:rPr>
              <w:t>Amounts reclassified from accumulated other</w:t>
            </w:r>
          </w:p>
        </w:tc>
        <w:tc>
          <w:tcPr>
            <w:tcW w:w="500" w:type="dxa"/>
            <w:vAlign w:val="bottom"/>
            <w:shd w:val="clear" w:color="auto" w:fill="E5E5E5"/>
          </w:tcPr>
          <w:p>
            <w:pPr>
              <w:spacing w:after="0"/>
              <w:rPr>
                <w:sz w:val="15"/>
                <w:szCs w:val="15"/>
                <w:color w:val="auto"/>
              </w:rPr>
            </w:pPr>
          </w:p>
        </w:tc>
        <w:tc>
          <w:tcPr>
            <w:tcW w:w="980" w:type="dxa"/>
            <w:vAlign w:val="bottom"/>
            <w:gridSpan w:val="2"/>
            <w:vMerge w:val="restart"/>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12</w:t>
            </w:r>
          </w:p>
        </w:tc>
        <w:tc>
          <w:tcPr>
            <w:tcW w:w="360" w:type="dxa"/>
            <w:vAlign w:val="bottom"/>
            <w:shd w:val="clear" w:color="auto" w:fill="E5E5E5"/>
          </w:tcPr>
          <w:p>
            <w:pPr>
              <w:spacing w:after="0"/>
              <w:rPr>
                <w:sz w:val="15"/>
                <w:szCs w:val="15"/>
                <w:color w:val="auto"/>
              </w:rPr>
            </w:pPr>
          </w:p>
        </w:tc>
        <w:tc>
          <w:tcPr>
            <w:tcW w:w="460" w:type="dxa"/>
            <w:vAlign w:val="bottom"/>
            <w:shd w:val="clear" w:color="auto" w:fill="E5E5E5"/>
          </w:tcPr>
          <w:p>
            <w:pPr>
              <w:spacing w:after="0"/>
              <w:rPr>
                <w:sz w:val="15"/>
                <w:szCs w:val="15"/>
                <w:color w:val="auto"/>
              </w:rPr>
            </w:pPr>
          </w:p>
        </w:tc>
        <w:tc>
          <w:tcPr>
            <w:tcW w:w="96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c>
          <w:tcPr>
            <w:tcW w:w="500" w:type="dxa"/>
            <w:vAlign w:val="bottom"/>
            <w:shd w:val="clear" w:color="auto" w:fill="E5E5E5"/>
          </w:tcPr>
          <w:p>
            <w:pPr>
              <w:spacing w:after="0"/>
              <w:rPr>
                <w:sz w:val="15"/>
                <w:szCs w:val="15"/>
                <w:color w:val="auto"/>
              </w:rPr>
            </w:pPr>
          </w:p>
        </w:tc>
        <w:tc>
          <w:tcPr>
            <w:tcW w:w="116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35</w:t>
            </w:r>
          </w:p>
        </w:tc>
        <w:tc>
          <w:tcPr>
            <w:tcW w:w="1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12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E5E5E5"/>
          </w:tcPr>
          <w:p>
            <w:pPr>
              <w:ind w:left="440"/>
              <w:spacing w:after="0" w:line="203" w:lineRule="exact"/>
              <w:rPr>
                <w:sz w:val="20"/>
                <w:szCs w:val="20"/>
                <w:color w:val="auto"/>
              </w:rPr>
            </w:pPr>
            <w:r>
              <w:rPr>
                <w:rFonts w:ascii="Arial" w:cs="Arial" w:eastAsia="Arial" w:hAnsi="Arial"/>
                <w:sz w:val="18"/>
                <w:szCs w:val="18"/>
                <w:color w:val="auto"/>
              </w:rPr>
              <w:t>comprehensive income (loss)</w:t>
            </w:r>
          </w:p>
        </w:tc>
        <w:tc>
          <w:tcPr>
            <w:tcW w:w="500" w:type="dxa"/>
            <w:vAlign w:val="bottom"/>
            <w:shd w:val="clear" w:color="auto" w:fill="E5E5E5"/>
          </w:tcPr>
          <w:p>
            <w:pPr>
              <w:spacing w:after="0"/>
              <w:rPr>
                <w:sz w:val="17"/>
                <w:szCs w:val="17"/>
                <w:color w:val="auto"/>
              </w:rPr>
            </w:pPr>
          </w:p>
        </w:tc>
        <w:tc>
          <w:tcPr>
            <w:tcW w:w="980" w:type="dxa"/>
            <w:vAlign w:val="bottom"/>
            <w:gridSpan w:val="2"/>
            <w:vMerge w:val="continue"/>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400" w:type="dxa"/>
            <w:vAlign w:val="bottom"/>
            <w:gridSpan w:val="2"/>
            <w:shd w:val="clear" w:color="auto" w:fill="E5E5E5"/>
          </w:tcPr>
          <w:p>
            <w:pPr>
              <w:jc w:val="right"/>
              <w:ind w:right="440"/>
              <w:spacing w:after="0" w:line="203" w:lineRule="exact"/>
              <w:rPr>
                <w:sz w:val="20"/>
                <w:szCs w:val="20"/>
                <w:color w:val="auto"/>
              </w:rPr>
            </w:pPr>
            <w:r>
              <w:rPr>
                <w:rFonts w:ascii="Arial" w:cs="Arial" w:eastAsia="Arial" w:hAnsi="Arial"/>
                <w:sz w:val="18"/>
                <w:szCs w:val="18"/>
                <w:color w:val="auto"/>
              </w:rPr>
              <w:t>20</w:t>
            </w:r>
          </w:p>
        </w:tc>
        <w:tc>
          <w:tcPr>
            <w:tcW w:w="500" w:type="dxa"/>
            <w:vAlign w:val="bottom"/>
            <w:shd w:val="clear" w:color="auto" w:fill="E5E5E5"/>
          </w:tcPr>
          <w:p>
            <w:pPr>
              <w:spacing w:after="0"/>
              <w:rPr>
                <w:sz w:val="17"/>
                <w:szCs w:val="17"/>
                <w:color w:val="auto"/>
              </w:rPr>
            </w:pPr>
          </w:p>
        </w:tc>
        <w:tc>
          <w:tcPr>
            <w:tcW w:w="1160" w:type="dxa"/>
            <w:vAlign w:val="bottom"/>
            <w:gridSpan w:val="2"/>
            <w:vMerge w:val="continue"/>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500" w:type="dxa"/>
            <w:vAlign w:val="bottom"/>
            <w:gridSpan w:val="2"/>
            <w:shd w:val="clear" w:color="auto" w:fill="E5E5E5"/>
          </w:tcPr>
          <w:p>
            <w:pPr>
              <w:jc w:val="right"/>
              <w:ind w:right="160"/>
              <w:spacing w:after="0" w:line="203"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68"/>
        </w:trPr>
        <w:tc>
          <w:tcPr>
            <w:tcW w:w="40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060" w:type="dxa"/>
            <w:vAlign w:val="bottom"/>
          </w:tcPr>
          <w:p>
            <w:pPr>
              <w:spacing w:after="0"/>
              <w:rPr>
                <w:sz w:val="20"/>
                <w:szCs w:val="20"/>
                <w:color w:val="auto"/>
              </w:rPr>
            </w:pPr>
            <w:r>
              <w:rPr>
                <w:rFonts w:ascii="Arial" w:cs="Arial" w:eastAsia="Arial" w:hAnsi="Arial"/>
                <w:sz w:val="18"/>
                <w:szCs w:val="18"/>
                <w:color w:val="auto"/>
              </w:rPr>
              <w:t>Net change related to derivatives, net of tax of</w:t>
            </w:r>
          </w:p>
        </w:tc>
        <w:tc>
          <w:tcPr>
            <w:tcW w:w="500" w:type="dxa"/>
            <w:vAlign w:val="bottom"/>
          </w:tcPr>
          <w:p>
            <w:pPr>
              <w:spacing w:after="0"/>
              <w:rPr>
                <w:sz w:val="18"/>
                <w:szCs w:val="18"/>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6</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60" w:type="dxa"/>
            <w:vAlign w:val="bottom"/>
          </w:tcPr>
          <w:p>
            <w:pPr>
              <w:ind w:left="22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 $6</w:t>
            </w:r>
            <w:r>
              <w:rPr>
                <w:rFonts w:ascii="Arial" w:cs="Arial" w:eastAsia="Arial" w:hAnsi="Arial"/>
                <w:sz w:val="18"/>
                <w:szCs w:val="18"/>
                <w:b w:val="1"/>
                <w:bCs w:val="1"/>
                <w:color w:val="auto"/>
              </w:rPr>
              <w:t>, $2</w:t>
            </w:r>
            <w:r>
              <w:rPr>
                <w:rFonts w:ascii="Arial" w:cs="Arial" w:eastAsia="Arial" w:hAnsi="Arial"/>
                <w:sz w:val="18"/>
                <w:szCs w:val="18"/>
                <w:color w:val="auto"/>
              </w:rPr>
              <w:t>, and $10</w:t>
            </w:r>
          </w:p>
        </w:tc>
        <w:tc>
          <w:tcPr>
            <w:tcW w:w="5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54"/>
        </w:trPr>
        <w:tc>
          <w:tcPr>
            <w:tcW w:w="40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0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(11)</w:t>
            </w:r>
          </w:p>
        </w:tc>
        <w:tc>
          <w:tcPr>
            <w:tcW w:w="820" w:type="dxa"/>
            <w:vAlign w:val="bottom"/>
            <w:gridSpan w:val="2"/>
            <w:shd w:val="clear" w:color="auto" w:fill="E5E5E5"/>
          </w:tcPr>
          <w:p>
            <w:pPr>
              <w:jc w:val="right"/>
              <w:ind w:right="293"/>
              <w:spacing w:after="0" w:line="189"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(8)</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(11)</w:t>
            </w:r>
          </w:p>
        </w:tc>
        <w:tc>
          <w:tcPr>
            <w:tcW w:w="3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8"/>
        </w:trPr>
        <w:tc>
          <w:tcPr>
            <w:tcW w:w="40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3"/>
                <w:szCs w:val="13"/>
                <w:b w:val="1"/>
                <w:bCs w:val="1"/>
                <w:color w:val="auto"/>
              </w:rPr>
              <w:t>Investments</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0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2,057</w:t>
            </w:r>
          </w:p>
        </w:tc>
        <w:tc>
          <w:tcPr>
            <w:tcW w:w="820" w:type="dxa"/>
            <w:vAlign w:val="bottom"/>
            <w:gridSpan w:val="2"/>
            <w:shd w:val="clear" w:color="auto" w:fill="E5E5E5"/>
          </w:tcPr>
          <w:p>
            <w:pPr>
              <w:jc w:val="right"/>
              <w:ind w:right="293"/>
              <w:spacing w:after="0" w:line="189"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color w:val="auto"/>
              </w:rPr>
              <w:t>4,795</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3,222</w:t>
            </w:r>
          </w:p>
        </w:tc>
        <w:tc>
          <w:tcPr>
            <w:tcW w:w="3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5,478</w:t>
            </w:r>
          </w:p>
        </w:tc>
        <w:tc>
          <w:tcPr>
            <w:tcW w:w="0" w:type="dxa"/>
            <w:vAlign w:val="bottom"/>
          </w:tcPr>
          <w:p>
            <w:pPr>
              <w:spacing w:after="0"/>
              <w:rPr>
                <w:sz w:val="1"/>
                <w:szCs w:val="1"/>
                <w:color w:val="auto"/>
              </w:rPr>
            </w:pPr>
          </w:p>
        </w:tc>
      </w:tr>
      <w:tr>
        <w:trPr>
          <w:trHeight w:val="153"/>
        </w:trPr>
        <w:tc>
          <w:tcPr>
            <w:tcW w:w="4060" w:type="dxa"/>
            <w:vAlign w:val="bottom"/>
          </w:tcPr>
          <w:p>
            <w:pPr>
              <w:spacing w:after="0" w:line="153" w:lineRule="exact"/>
              <w:rPr>
                <w:sz w:val="20"/>
                <w:szCs w:val="20"/>
                <w:color w:val="auto"/>
              </w:rPr>
            </w:pPr>
            <w:r>
              <w:rPr>
                <w:rFonts w:ascii="Arial" w:cs="Arial" w:eastAsia="Arial" w:hAnsi="Arial"/>
                <w:sz w:val="17"/>
                <w:szCs w:val="17"/>
                <w:color w:val="auto"/>
              </w:rPr>
              <w:t xml:space="preserve">Unrealized losses, net of tax of </w:t>
            </w:r>
            <w:r>
              <w:rPr>
                <w:rFonts w:ascii="Arial" w:cs="Arial" w:eastAsia="Arial" w:hAnsi="Arial"/>
                <w:sz w:val="17"/>
                <w:szCs w:val="17"/>
                <w:b w:val="1"/>
                <w:bCs w:val="1"/>
                <w:color w:val="auto"/>
              </w:rPr>
              <w:t>$(769)</w:t>
            </w:r>
            <w:r>
              <w:rPr>
                <w:rFonts w:ascii="Arial" w:cs="Arial" w:eastAsia="Arial" w:hAnsi="Arial"/>
                <w:sz w:val="17"/>
                <w:szCs w:val="17"/>
                <w:color w:val="auto"/>
              </w:rPr>
              <w:t>, $(451),</w:t>
            </w:r>
          </w:p>
        </w:tc>
        <w:tc>
          <w:tcPr>
            <w:tcW w:w="50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(2,894)</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(4,051)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4060" w:type="dxa"/>
            <w:vAlign w:val="bottom"/>
          </w:tcPr>
          <w:p>
            <w:pPr>
              <w:ind w:left="220"/>
              <w:spacing w:after="0"/>
              <w:rPr>
                <w:sz w:val="20"/>
                <w:szCs w:val="20"/>
                <w:color w:val="auto"/>
              </w:rPr>
            </w:pPr>
            <w:r>
              <w:rPr>
                <w:rFonts w:ascii="Arial" w:cs="Arial" w:eastAsia="Arial" w:hAnsi="Arial"/>
                <w:sz w:val="18"/>
                <w:szCs w:val="18"/>
                <w:b w:val="1"/>
                <w:bCs w:val="1"/>
                <w:color w:val="auto"/>
              </w:rPr>
              <w:t>$(1,076)</w:t>
            </w:r>
            <w:r>
              <w:rPr>
                <w:rFonts w:ascii="Arial" w:cs="Arial" w:eastAsia="Arial" w:hAnsi="Arial"/>
                <w:sz w:val="18"/>
                <w:szCs w:val="18"/>
                <w:color w:val="auto"/>
              </w:rPr>
              <w:t>, and $(629)</w:t>
            </w:r>
          </w:p>
        </w:tc>
        <w:tc>
          <w:tcPr>
            <w:tcW w:w="5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(1,696)</w:t>
            </w:r>
          </w:p>
        </w:tc>
        <w:tc>
          <w:tcPr>
            <w:tcW w:w="5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54"/>
        </w:trPr>
        <w:tc>
          <w:tcPr>
            <w:tcW w:w="40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6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Reclassification adjustments for (gains) losses</w:t>
            </w:r>
          </w:p>
        </w:tc>
        <w:tc>
          <w:tcPr>
            <w:tcW w:w="500" w:type="dxa"/>
            <w:vAlign w:val="bottom"/>
            <w:shd w:val="clear" w:color="auto" w:fill="E5E5E5"/>
          </w:tcPr>
          <w:p>
            <w:pPr>
              <w:spacing w:after="0"/>
              <w:rPr>
                <w:sz w:val="15"/>
                <w:szCs w:val="15"/>
                <w:color w:val="auto"/>
              </w:rPr>
            </w:pPr>
          </w:p>
        </w:tc>
        <w:tc>
          <w:tcPr>
            <w:tcW w:w="980" w:type="dxa"/>
            <w:vAlign w:val="bottom"/>
            <w:gridSpan w:val="2"/>
            <w:vMerge w:val="restart"/>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15</w:t>
            </w:r>
          </w:p>
        </w:tc>
        <w:tc>
          <w:tcPr>
            <w:tcW w:w="360" w:type="dxa"/>
            <w:vAlign w:val="bottom"/>
            <w:shd w:val="clear" w:color="auto" w:fill="E5E5E5"/>
          </w:tcPr>
          <w:p>
            <w:pPr>
              <w:spacing w:after="0"/>
              <w:rPr>
                <w:sz w:val="15"/>
                <w:szCs w:val="15"/>
                <w:color w:val="auto"/>
              </w:rPr>
            </w:pPr>
          </w:p>
        </w:tc>
        <w:tc>
          <w:tcPr>
            <w:tcW w:w="460" w:type="dxa"/>
            <w:vAlign w:val="bottom"/>
            <w:shd w:val="clear" w:color="auto" w:fill="E5E5E5"/>
          </w:tcPr>
          <w:p>
            <w:pPr>
              <w:spacing w:after="0"/>
              <w:rPr>
                <w:sz w:val="15"/>
                <w:szCs w:val="15"/>
                <w:color w:val="auto"/>
              </w:rPr>
            </w:pPr>
          </w:p>
        </w:tc>
        <w:tc>
          <w:tcPr>
            <w:tcW w:w="96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c>
          <w:tcPr>
            <w:tcW w:w="500" w:type="dxa"/>
            <w:vAlign w:val="bottom"/>
            <w:shd w:val="clear" w:color="auto" w:fill="E5E5E5"/>
          </w:tcPr>
          <w:p>
            <w:pPr>
              <w:spacing w:after="0"/>
              <w:rPr>
                <w:sz w:val="15"/>
                <w:szCs w:val="15"/>
                <w:color w:val="auto"/>
              </w:rPr>
            </w:pPr>
          </w:p>
        </w:tc>
        <w:tc>
          <w:tcPr>
            <w:tcW w:w="116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5</w:t>
            </w:r>
          </w:p>
        </w:tc>
        <w:tc>
          <w:tcPr>
            <w:tcW w:w="1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12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E5E5E5"/>
          </w:tcPr>
          <w:p>
            <w:pPr>
              <w:ind w:left="220"/>
              <w:spacing w:after="0" w:line="203" w:lineRule="exact"/>
              <w:rPr>
                <w:sz w:val="20"/>
                <w:szCs w:val="20"/>
                <w:color w:val="auto"/>
              </w:rPr>
            </w:pPr>
            <w:r>
              <w:rPr>
                <w:rFonts w:ascii="Arial" w:cs="Arial" w:eastAsia="Arial" w:hAnsi="Arial"/>
                <w:sz w:val="18"/>
                <w:szCs w:val="18"/>
                <w:color w:val="auto"/>
              </w:rPr>
              <w:t>included in other income (expense), net</w:t>
            </w:r>
          </w:p>
        </w:tc>
        <w:tc>
          <w:tcPr>
            <w:tcW w:w="500" w:type="dxa"/>
            <w:vAlign w:val="bottom"/>
            <w:shd w:val="clear" w:color="auto" w:fill="E5E5E5"/>
          </w:tcPr>
          <w:p>
            <w:pPr>
              <w:spacing w:after="0"/>
              <w:rPr>
                <w:sz w:val="17"/>
                <w:szCs w:val="17"/>
                <w:color w:val="auto"/>
              </w:rPr>
            </w:pPr>
          </w:p>
        </w:tc>
        <w:tc>
          <w:tcPr>
            <w:tcW w:w="980" w:type="dxa"/>
            <w:vAlign w:val="bottom"/>
            <w:gridSpan w:val="2"/>
            <w:vMerge w:val="continue"/>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400" w:type="dxa"/>
            <w:vAlign w:val="bottom"/>
            <w:gridSpan w:val="2"/>
            <w:shd w:val="clear" w:color="auto" w:fill="E5E5E5"/>
          </w:tcPr>
          <w:p>
            <w:pPr>
              <w:jc w:val="right"/>
              <w:ind w:right="380"/>
              <w:spacing w:after="0" w:line="203" w:lineRule="exact"/>
              <w:rPr>
                <w:sz w:val="20"/>
                <w:szCs w:val="20"/>
                <w:color w:val="auto"/>
              </w:rPr>
            </w:pPr>
            <w:r>
              <w:rPr>
                <w:rFonts w:ascii="Arial" w:cs="Arial" w:eastAsia="Arial" w:hAnsi="Arial"/>
                <w:sz w:val="18"/>
                <w:szCs w:val="18"/>
                <w:color w:val="auto"/>
              </w:rPr>
              <w:t>(11)</w:t>
            </w:r>
          </w:p>
        </w:tc>
        <w:tc>
          <w:tcPr>
            <w:tcW w:w="500" w:type="dxa"/>
            <w:vAlign w:val="bottom"/>
            <w:shd w:val="clear" w:color="auto" w:fill="E5E5E5"/>
          </w:tcPr>
          <w:p>
            <w:pPr>
              <w:spacing w:after="0"/>
              <w:rPr>
                <w:sz w:val="17"/>
                <w:szCs w:val="17"/>
                <w:color w:val="auto"/>
              </w:rPr>
            </w:pPr>
          </w:p>
        </w:tc>
        <w:tc>
          <w:tcPr>
            <w:tcW w:w="1160" w:type="dxa"/>
            <w:vAlign w:val="bottom"/>
            <w:gridSpan w:val="2"/>
            <w:vMerge w:val="continue"/>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500" w:type="dxa"/>
            <w:vAlign w:val="bottom"/>
            <w:gridSpan w:val="2"/>
            <w:shd w:val="clear" w:color="auto" w:fill="E5E5E5"/>
          </w:tcPr>
          <w:p>
            <w:pPr>
              <w:jc w:val="right"/>
              <w:ind w:right="160"/>
              <w:spacing w:after="0" w:line="203"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75"/>
        </w:trPr>
        <w:tc>
          <w:tcPr>
            <w:tcW w:w="4060" w:type="dxa"/>
            <w:vAlign w:val="bottom"/>
          </w:tcPr>
          <w:p>
            <w:pPr>
              <w:spacing w:after="0" w:line="175" w:lineRule="exact"/>
              <w:rPr>
                <w:sz w:val="20"/>
                <w:szCs w:val="20"/>
                <w:color w:val="auto"/>
              </w:rPr>
            </w:pPr>
            <w:r>
              <w:rPr>
                <w:rFonts w:ascii="Arial" w:cs="Arial" w:eastAsia="Arial" w:hAnsi="Arial"/>
                <w:sz w:val="18"/>
                <w:szCs w:val="18"/>
                <w:color w:val="auto"/>
              </w:rPr>
              <w:t>Tax expense (benefit) included in provision for</w:t>
            </w:r>
          </w:p>
        </w:tc>
        <w:tc>
          <w:tcPr>
            <w:tcW w:w="500" w:type="dxa"/>
            <w:vAlign w:val="bottom"/>
          </w:tcPr>
          <w:p>
            <w:pPr>
              <w:spacing w:after="0"/>
              <w:rPr>
                <w:sz w:val="15"/>
                <w:szCs w:val="15"/>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6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5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54"/>
        </w:trPr>
        <w:tc>
          <w:tcPr>
            <w:tcW w:w="40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0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060" w:type="dxa"/>
            <w:vAlign w:val="bottom"/>
            <w:shd w:val="clear" w:color="auto" w:fill="E5E5E5"/>
          </w:tcPr>
          <w:p>
            <w:pPr>
              <w:ind w:left="220"/>
              <w:spacing w:after="0" w:line="175" w:lineRule="exact"/>
              <w:rPr>
                <w:sz w:val="20"/>
                <w:szCs w:val="20"/>
                <w:color w:val="auto"/>
              </w:rPr>
            </w:pPr>
            <w:r>
              <w:rPr>
                <w:rFonts w:ascii="Arial" w:cs="Arial" w:eastAsia="Arial" w:hAnsi="Arial"/>
                <w:sz w:val="18"/>
                <w:szCs w:val="18"/>
                <w:color w:val="auto"/>
              </w:rPr>
              <w:t>Amounts reclassified from accumulated other</w:t>
            </w:r>
          </w:p>
        </w:tc>
        <w:tc>
          <w:tcPr>
            <w:tcW w:w="500" w:type="dxa"/>
            <w:vAlign w:val="bottom"/>
            <w:shd w:val="clear" w:color="auto" w:fill="E5E5E5"/>
          </w:tcPr>
          <w:p>
            <w:pPr>
              <w:spacing w:after="0"/>
              <w:rPr>
                <w:sz w:val="15"/>
                <w:szCs w:val="15"/>
                <w:color w:val="auto"/>
              </w:rPr>
            </w:pPr>
          </w:p>
        </w:tc>
        <w:tc>
          <w:tcPr>
            <w:tcW w:w="980" w:type="dxa"/>
            <w:vAlign w:val="bottom"/>
            <w:gridSpan w:val="2"/>
            <w:vMerge w:val="restart"/>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12</w:t>
            </w:r>
          </w:p>
        </w:tc>
        <w:tc>
          <w:tcPr>
            <w:tcW w:w="360" w:type="dxa"/>
            <w:vAlign w:val="bottom"/>
            <w:shd w:val="clear" w:color="auto" w:fill="E5E5E5"/>
          </w:tcPr>
          <w:p>
            <w:pPr>
              <w:spacing w:after="0"/>
              <w:rPr>
                <w:sz w:val="15"/>
                <w:szCs w:val="15"/>
                <w:color w:val="auto"/>
              </w:rPr>
            </w:pPr>
          </w:p>
        </w:tc>
        <w:tc>
          <w:tcPr>
            <w:tcW w:w="460" w:type="dxa"/>
            <w:vAlign w:val="bottom"/>
            <w:shd w:val="clear" w:color="auto" w:fill="E5E5E5"/>
          </w:tcPr>
          <w:p>
            <w:pPr>
              <w:spacing w:after="0"/>
              <w:rPr>
                <w:sz w:val="15"/>
                <w:szCs w:val="15"/>
                <w:color w:val="auto"/>
              </w:rPr>
            </w:pPr>
          </w:p>
        </w:tc>
        <w:tc>
          <w:tcPr>
            <w:tcW w:w="96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c>
          <w:tcPr>
            <w:tcW w:w="500" w:type="dxa"/>
            <w:vAlign w:val="bottom"/>
            <w:shd w:val="clear" w:color="auto" w:fill="E5E5E5"/>
          </w:tcPr>
          <w:p>
            <w:pPr>
              <w:spacing w:after="0"/>
              <w:rPr>
                <w:sz w:val="15"/>
                <w:szCs w:val="15"/>
                <w:color w:val="auto"/>
              </w:rPr>
            </w:pPr>
          </w:p>
        </w:tc>
        <w:tc>
          <w:tcPr>
            <w:tcW w:w="116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4</w:t>
            </w:r>
          </w:p>
        </w:tc>
        <w:tc>
          <w:tcPr>
            <w:tcW w:w="1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12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E5E5E5"/>
          </w:tcPr>
          <w:p>
            <w:pPr>
              <w:ind w:left="440"/>
              <w:spacing w:after="0" w:line="203" w:lineRule="exact"/>
              <w:rPr>
                <w:sz w:val="20"/>
                <w:szCs w:val="20"/>
                <w:color w:val="auto"/>
              </w:rPr>
            </w:pPr>
            <w:r>
              <w:rPr>
                <w:rFonts w:ascii="Arial" w:cs="Arial" w:eastAsia="Arial" w:hAnsi="Arial"/>
                <w:sz w:val="18"/>
                <w:szCs w:val="18"/>
                <w:color w:val="auto"/>
              </w:rPr>
              <w:t>comprehensive income (loss)</w:t>
            </w:r>
          </w:p>
        </w:tc>
        <w:tc>
          <w:tcPr>
            <w:tcW w:w="500" w:type="dxa"/>
            <w:vAlign w:val="bottom"/>
            <w:shd w:val="clear" w:color="auto" w:fill="E5E5E5"/>
          </w:tcPr>
          <w:p>
            <w:pPr>
              <w:spacing w:after="0"/>
              <w:rPr>
                <w:sz w:val="17"/>
                <w:szCs w:val="17"/>
                <w:color w:val="auto"/>
              </w:rPr>
            </w:pPr>
          </w:p>
        </w:tc>
        <w:tc>
          <w:tcPr>
            <w:tcW w:w="980" w:type="dxa"/>
            <w:vAlign w:val="bottom"/>
            <w:gridSpan w:val="2"/>
            <w:vMerge w:val="continue"/>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400" w:type="dxa"/>
            <w:vAlign w:val="bottom"/>
            <w:gridSpan w:val="2"/>
            <w:shd w:val="clear" w:color="auto" w:fill="E5E5E5"/>
          </w:tcPr>
          <w:p>
            <w:pPr>
              <w:jc w:val="right"/>
              <w:ind w:right="380"/>
              <w:spacing w:after="0" w:line="203" w:lineRule="exact"/>
              <w:rPr>
                <w:sz w:val="20"/>
                <w:szCs w:val="20"/>
                <w:color w:val="auto"/>
              </w:rPr>
            </w:pPr>
            <w:r>
              <w:rPr>
                <w:rFonts w:ascii="Arial" w:cs="Arial" w:eastAsia="Arial" w:hAnsi="Arial"/>
                <w:sz w:val="18"/>
                <w:szCs w:val="18"/>
                <w:color w:val="auto"/>
              </w:rPr>
              <w:t>(9)</w:t>
            </w:r>
          </w:p>
        </w:tc>
        <w:tc>
          <w:tcPr>
            <w:tcW w:w="500" w:type="dxa"/>
            <w:vAlign w:val="bottom"/>
            <w:shd w:val="clear" w:color="auto" w:fill="E5E5E5"/>
          </w:tcPr>
          <w:p>
            <w:pPr>
              <w:spacing w:after="0"/>
              <w:rPr>
                <w:sz w:val="17"/>
                <w:szCs w:val="17"/>
                <w:color w:val="auto"/>
              </w:rPr>
            </w:pPr>
          </w:p>
        </w:tc>
        <w:tc>
          <w:tcPr>
            <w:tcW w:w="1160" w:type="dxa"/>
            <w:vAlign w:val="bottom"/>
            <w:gridSpan w:val="2"/>
            <w:vMerge w:val="continue"/>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500" w:type="dxa"/>
            <w:vAlign w:val="bottom"/>
            <w:gridSpan w:val="2"/>
            <w:shd w:val="clear" w:color="auto" w:fill="E5E5E5"/>
          </w:tcPr>
          <w:p>
            <w:pPr>
              <w:jc w:val="right"/>
              <w:ind w:right="160"/>
              <w:spacing w:after="0" w:line="203"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68"/>
        </w:trPr>
        <w:tc>
          <w:tcPr>
            <w:tcW w:w="40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060" w:type="dxa"/>
            <w:vAlign w:val="bottom"/>
          </w:tcPr>
          <w:p>
            <w:pPr>
              <w:spacing w:after="0"/>
              <w:rPr>
                <w:sz w:val="20"/>
                <w:szCs w:val="20"/>
                <w:color w:val="auto"/>
              </w:rPr>
            </w:pPr>
            <w:r>
              <w:rPr>
                <w:rFonts w:ascii="Arial" w:cs="Arial" w:eastAsia="Arial" w:hAnsi="Arial"/>
                <w:sz w:val="18"/>
                <w:szCs w:val="18"/>
                <w:color w:val="auto"/>
              </w:rPr>
              <w:t>Net change related to investments, net of tax of</w:t>
            </w:r>
          </w:p>
        </w:tc>
        <w:tc>
          <w:tcPr>
            <w:tcW w:w="500" w:type="dxa"/>
            <w:vAlign w:val="bottom"/>
          </w:tcPr>
          <w:p>
            <w:pPr>
              <w:spacing w:after="0"/>
              <w:rPr>
                <w:sz w:val="18"/>
                <w:szCs w:val="18"/>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(2,882)</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(4,047)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60" w:type="dxa"/>
            <w:vAlign w:val="bottom"/>
          </w:tcPr>
          <w:p>
            <w:pPr>
              <w:ind w:left="220"/>
              <w:spacing w:after="0"/>
              <w:rPr>
                <w:sz w:val="20"/>
                <w:szCs w:val="20"/>
                <w:color w:val="auto"/>
              </w:rPr>
            </w:pPr>
            <w:r>
              <w:rPr>
                <w:rFonts w:ascii="Arial" w:cs="Arial" w:eastAsia="Arial" w:hAnsi="Arial"/>
                <w:sz w:val="18"/>
                <w:szCs w:val="18"/>
                <w:b w:val="1"/>
                <w:bCs w:val="1"/>
                <w:color w:val="auto"/>
              </w:rPr>
              <w:t>$(766)</w:t>
            </w:r>
            <w:r>
              <w:rPr>
                <w:rFonts w:ascii="Arial" w:cs="Arial" w:eastAsia="Arial" w:hAnsi="Arial"/>
                <w:sz w:val="18"/>
                <w:szCs w:val="18"/>
                <w:color w:val="auto"/>
              </w:rPr>
              <w:t>, $ (453),</w:t>
            </w:r>
            <w:r>
              <w:rPr>
                <w:rFonts w:ascii="Arial" w:cs="Arial" w:eastAsia="Arial" w:hAnsi="Arial"/>
                <w:sz w:val="18"/>
                <w:szCs w:val="18"/>
                <w:b w:val="1"/>
                <w:bCs w:val="1"/>
                <w:color w:val="auto"/>
              </w:rPr>
              <w:t xml:space="preserve"> $(1,075)</w:t>
            </w:r>
            <w:r>
              <w:rPr>
                <w:rFonts w:ascii="Arial" w:cs="Arial" w:eastAsia="Arial" w:hAnsi="Arial"/>
                <w:sz w:val="18"/>
                <w:szCs w:val="18"/>
                <w:color w:val="auto"/>
              </w:rPr>
              <w:t>, and $(639)</w:t>
            </w:r>
          </w:p>
        </w:tc>
        <w:tc>
          <w:tcPr>
            <w:tcW w:w="5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(1,705)</w:t>
            </w:r>
          </w:p>
        </w:tc>
        <w:tc>
          <w:tcPr>
            <w:tcW w:w="5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189"/>
        </w:trPr>
        <w:tc>
          <w:tcPr>
            <w:tcW w:w="4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Cumulative effect of accounting changes</w:t>
            </w:r>
          </w:p>
        </w:tc>
        <w:tc>
          <w:tcPr>
            <w:tcW w:w="5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3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40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color w:val="auto"/>
              </w:rPr>
              <w:t>0</w:t>
            </w:r>
          </w:p>
        </w:tc>
        <w:tc>
          <w:tcPr>
            <w:tcW w:w="50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0</w:t>
            </w:r>
          </w:p>
        </w:tc>
        <w:tc>
          <w:tcPr>
            <w:tcW w:w="1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5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68"/>
        </w:trPr>
        <w:tc>
          <w:tcPr>
            <w:tcW w:w="40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060" w:type="dxa"/>
            <w:vAlign w:val="bottom"/>
          </w:tcPr>
          <w:p>
            <w:pPr>
              <w:spacing w:after="0"/>
              <w:rPr>
                <w:sz w:val="20"/>
                <w:szCs w:val="20"/>
                <w:color w:val="auto"/>
              </w:rPr>
            </w:pPr>
            <w:r>
              <w:rPr>
                <w:rFonts w:ascii="Arial" w:cs="Arial" w:eastAsia="Arial" w:hAnsi="Arial"/>
                <w:sz w:val="18"/>
                <w:szCs w:val="18"/>
                <w:color w:val="auto"/>
              </w:rPr>
              <w:t>Balance, end of period</w:t>
            </w: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(825)</w:t>
            </w:r>
          </w:p>
        </w:tc>
        <w:tc>
          <w:tcPr>
            <w:tcW w:w="820" w:type="dxa"/>
            <w:vAlign w:val="bottom"/>
            <w:gridSpan w:val="2"/>
          </w:tcPr>
          <w:p>
            <w:pPr>
              <w:jc w:val="right"/>
              <w:ind w:right="293"/>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3,090</w:t>
            </w: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(825)</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54"/>
        </w:trPr>
        <w:tc>
          <w:tcPr>
            <w:tcW w:w="40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3"/>
                <w:szCs w:val="13"/>
                <w:b w:val="1"/>
                <w:bCs w:val="1"/>
                <w:color w:val="auto"/>
              </w:rPr>
              <w:t>Translation Adjustments and Other</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40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(1,603)</w:t>
            </w:r>
          </w:p>
        </w:tc>
        <w:tc>
          <w:tcPr>
            <w:tcW w:w="820" w:type="dxa"/>
            <w:vAlign w:val="bottom"/>
            <w:gridSpan w:val="2"/>
            <w:shd w:val="clear" w:color="auto" w:fill="E5E5E5"/>
          </w:tcPr>
          <w:p>
            <w:pPr>
              <w:jc w:val="right"/>
              <w:ind w:right="293"/>
              <w:spacing w:after="0" w:line="189"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(1,402)</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(1,381)</w:t>
            </w:r>
          </w:p>
        </w:tc>
        <w:tc>
          <w:tcPr>
            <w:tcW w:w="3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153"/>
        </w:trPr>
        <w:tc>
          <w:tcPr>
            <w:tcW w:w="4060" w:type="dxa"/>
            <w:vAlign w:val="bottom"/>
          </w:tcPr>
          <w:p>
            <w:pPr>
              <w:spacing w:after="0" w:line="153" w:lineRule="exact"/>
              <w:rPr>
                <w:sz w:val="20"/>
                <w:szCs w:val="20"/>
                <w:color w:val="auto"/>
              </w:rPr>
            </w:pPr>
            <w:r>
              <w:rPr>
                <w:rFonts w:ascii="Arial" w:cs="Arial" w:eastAsia="Arial" w:hAnsi="Arial"/>
                <w:sz w:val="17"/>
                <w:szCs w:val="17"/>
                <w:color w:val="auto"/>
              </w:rPr>
              <w:t>Translation adjustments and other, net of tax of</w:t>
            </w:r>
          </w:p>
        </w:tc>
        <w:tc>
          <w:tcPr>
            <w:tcW w:w="50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(37)</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(259)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4060" w:type="dxa"/>
            <w:vAlign w:val="bottom"/>
          </w:tcPr>
          <w:p>
            <w:pPr>
              <w:ind w:left="220"/>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color w:val="auto"/>
              </w:rPr>
              <w:t>, $0,</w:t>
            </w:r>
            <w:r>
              <w:rPr>
                <w:rFonts w:ascii="Arial" w:cs="Arial" w:eastAsia="Arial" w:hAnsi="Arial"/>
                <w:sz w:val="18"/>
                <w:szCs w:val="18"/>
                <w:b w:val="1"/>
                <w:bCs w:val="1"/>
                <w:color w:val="auto"/>
              </w:rPr>
              <w:t xml:space="preserve"> $0</w:t>
            </w:r>
            <w:r>
              <w:rPr>
                <w:rFonts w:ascii="Arial" w:cs="Arial" w:eastAsia="Arial" w:hAnsi="Arial"/>
                <w:sz w:val="18"/>
                <w:szCs w:val="18"/>
                <w:color w:val="auto"/>
              </w:rPr>
              <w:t>, and $(9)</w:t>
            </w:r>
          </w:p>
        </w:tc>
        <w:tc>
          <w:tcPr>
            <w:tcW w:w="5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(218)</w:t>
            </w:r>
          </w:p>
        </w:tc>
        <w:tc>
          <w:tcPr>
            <w:tcW w:w="5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0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(1,640)</w:t>
            </w:r>
          </w:p>
        </w:tc>
        <w:tc>
          <w:tcPr>
            <w:tcW w:w="820" w:type="dxa"/>
            <w:vAlign w:val="bottom"/>
            <w:gridSpan w:val="2"/>
            <w:shd w:val="clear" w:color="auto" w:fill="E5E5E5"/>
          </w:tcPr>
          <w:p>
            <w:pPr>
              <w:jc w:val="right"/>
              <w:ind w:right="293"/>
              <w:spacing w:after="0" w:line="189"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(1,620)</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(1,640)</w:t>
            </w:r>
          </w:p>
        </w:tc>
        <w:tc>
          <w:tcPr>
            <w:tcW w:w="3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68"/>
        </w:trPr>
        <w:tc>
          <w:tcPr>
            <w:tcW w:w="40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40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5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(2,476)</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(2,476)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060" w:type="dxa"/>
            <w:vAlign w:val="bottom"/>
          </w:tcPr>
          <w:p>
            <w:pPr>
              <w:ind w:left="220"/>
              <w:spacing w:after="0"/>
              <w:rPr>
                <w:sz w:val="20"/>
                <w:szCs w:val="20"/>
                <w:color w:val="auto"/>
              </w:rPr>
            </w:pPr>
            <w:r>
              <w:rPr>
                <w:rFonts w:ascii="Arial" w:cs="Arial" w:eastAsia="Arial" w:hAnsi="Arial"/>
                <w:sz w:val="18"/>
                <w:szCs w:val="18"/>
                <w:color w:val="auto"/>
              </w:rPr>
              <w:t>(loss), end of period</w:t>
            </w:r>
          </w:p>
        </w:tc>
        <w:tc>
          <w:tcPr>
            <w:tcW w:w="50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20" w:type="dxa"/>
            <w:vAlign w:val="bottom"/>
            <w:gridSpan w:val="2"/>
          </w:tcPr>
          <w:p>
            <w:pPr>
              <w:jc w:val="right"/>
              <w:ind w:right="293"/>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1,462</w:t>
            </w:r>
          </w:p>
        </w:tc>
        <w:tc>
          <w:tcPr>
            <w:tcW w:w="50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61"/>
        </w:trPr>
        <w:tc>
          <w:tcPr>
            <w:tcW w:w="406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vMerge w:val="restart"/>
          </w:tcPr>
          <w:p>
            <w:pPr>
              <w:jc w:val="right"/>
              <w:ind w:right="112"/>
              <w:spacing w:after="0"/>
              <w:rPr>
                <w:sz w:val="20"/>
                <w:szCs w:val="20"/>
                <w:color w:val="auto"/>
              </w:rPr>
            </w:pPr>
            <w:r>
              <w:rPr>
                <w:rFonts w:ascii="Arial" w:cs="Arial" w:eastAsia="Arial" w:hAnsi="Arial"/>
                <w:sz w:val="14"/>
                <w:szCs w:val="14"/>
                <w:color w:val="auto"/>
                <w:w w:val="89"/>
              </w:rPr>
              <w:t>28</w:t>
            </w:r>
          </w:p>
        </w:tc>
        <w:tc>
          <w:tcPr>
            <w:tcW w:w="4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5"/>
        </w:trPr>
        <w:tc>
          <w:tcPr>
            <w:tcW w:w="4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0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8" w:name="page29"/>
    <w:bookmarkEnd w:id="28"/>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17 — SEGMENT INFORMATION AND GEOGRAPHIC DATA</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its operation of the business, management, including our chief operating decision maker, who is also our Chief Executive Officer, reviews certain financial information, including segmented internal profit and loss statements prepared on a basis not consistent with GAAP. During the periods presented, we reported our financial performance based on the following segments: Productivity and Business Processes, Intelligent Cloud, and More Personal Computing.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48" w:lineRule="exact"/>
        <w:rPr>
          <w:sz w:val="20"/>
          <w:szCs w:val="20"/>
          <w:color w:val="auto"/>
        </w:rPr>
      </w:pPr>
    </w:p>
    <w:p>
      <w:pPr>
        <w:jc w:val="both"/>
        <w:ind w:left="1060" w:hanging="39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Office Commercial (Office 365 subscriptions, the Office 365 portion of Microsoft 365 Commercial subscriptions, and Office licensed on-premises), comprising Office, Exchange, SharePoint, Microsoft Teams, Office 365 Security and Compliance, and Skype for Business.</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Office Consumer, including Microsoft 365 Consumer subscriptions, Office licensed on-premises, and other Office services.</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LinkedIn, including Talent Solutions, Marketing Solutions, Premium Subscriptions, Sales Solutions, and Learning Solutions.</w:t>
      </w:r>
    </w:p>
    <w:p>
      <w:pPr>
        <w:spacing w:after="0" w:line="6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Dynamics business solutions, including Dynamics 365, comprising a set of intelligent, cloud-based applications across ERP, CRM, Customer Insights, Power Apps, and Power Automate; and on-premises ERP and CRM applications.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Intelligent Cloud segment consists of our public, private, and hybrid server products and cloud services that can power modern business and developers. This segment primarily comprises:</w:t>
      </w:r>
    </w:p>
    <w:p>
      <w:pPr>
        <w:spacing w:after="0" w:line="48" w:lineRule="exact"/>
        <w:rPr>
          <w:sz w:val="20"/>
          <w:szCs w:val="20"/>
          <w:color w:val="auto"/>
        </w:rPr>
      </w:pPr>
    </w:p>
    <w:p>
      <w:pPr>
        <w:ind w:left="1060" w:hanging="391"/>
        <w:spacing w:after="0" w:line="246"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Server products and cloud services, including Azure and other cloud services; SQL Server, Windows Server, Visual Studio, System Center, and related Client Access Licenses (“CALs”); and Nuance and GitHub.</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Enterprise Services, including Enterprise Support Services, Microsoft Consulting Services, and Nuance professional services.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More Personal Computing segment consists of products and services that put customers at the center of the experience with our technology. This segment primarily comprises:</w:t>
      </w:r>
    </w:p>
    <w:p>
      <w:pPr>
        <w:spacing w:after="0" w:line="62" w:lineRule="exact"/>
        <w:rPr>
          <w:sz w:val="20"/>
          <w:szCs w:val="20"/>
          <w:color w:val="auto"/>
        </w:rPr>
      </w:pPr>
    </w:p>
    <w:p>
      <w:pPr>
        <w:jc w:val="both"/>
        <w:ind w:left="1060" w:hanging="391"/>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Windows, including Windows OEM licensing and other non-volume licensing of the Windows operating system; Windows Commercial, comprising volume licensing of the Windows operating system, Windows cloud services, and other Windows commercial offerings; patent licensing; and Windows Internet of Things.</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Devices, including Surface and PC accessories.</w:t>
      </w:r>
    </w:p>
    <w:p>
      <w:pPr>
        <w:spacing w:after="0" w:line="63" w:lineRule="exact"/>
        <w:rPr>
          <w:rFonts w:ascii="Arial" w:cs="Arial" w:eastAsia="Arial" w:hAnsi="Arial"/>
          <w:sz w:val="18"/>
          <w:szCs w:val="18"/>
          <w:color w:val="auto"/>
        </w:rPr>
      </w:pPr>
    </w:p>
    <w:p>
      <w:pPr>
        <w:ind w:left="1060" w:right="20" w:hanging="391"/>
        <w:spacing w:after="0" w:line="246"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Gaming, including Xbox hardware and Xbox content and services, comprising digital transactions, Xbox Game Pass and other subscriptions, video games, third-party video game royalties, cloud services, and advertising.</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Search and news advertising.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9" w:name="page30"/>
    <w:bookmarkEnd w:id="29"/>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3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certain costs incurred at a corporate level that are identifiable and that benefit our segments are allocated to them. These allocated costs include legal, including settlements and fines, information technology, human resources, finance, excise taxes, field selling, shared facilities services, and customer service and support. Each allocation is measured differently based on the specific facts and circumstances of the costs being allocated. Certain corporate-level activity is not allocated to our segments.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operating income were as follows during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tcPr>
          <w:p>
            <w:pPr>
              <w:ind w:left="10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8"/>
        </w:trPr>
        <w:tc>
          <w:tcPr>
            <w:tcW w:w="40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gridSpan w:val="2"/>
          </w:tcPr>
          <w:p>
            <w:pPr>
              <w:ind w:left="300"/>
              <w:spacing w:after="0"/>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55"/>
        </w:trPr>
        <w:tc>
          <w:tcPr>
            <w:tcW w:w="4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152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15,789</w:t>
            </w:r>
          </w:p>
        </w:tc>
        <w:tc>
          <w:tcPr>
            <w:tcW w:w="52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13,552</w:t>
            </w:r>
          </w:p>
        </w:tc>
        <w:tc>
          <w:tcPr>
            <w:tcW w:w="50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46,764</w:t>
            </w:r>
          </w:p>
        </w:tc>
        <w:tc>
          <w:tcPr>
            <w:tcW w:w="400" w:type="dxa"/>
            <w:vAlign w:val="bottom"/>
            <w:shd w:val="clear" w:color="auto" w:fill="E5E5E5"/>
          </w:tcPr>
          <w:p>
            <w:pPr>
              <w:jc w:val="right"/>
              <w:ind w:right="215"/>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39,224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19,051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15,118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54,342</w:t>
            </w:r>
          </w:p>
        </w:tc>
        <w:tc>
          <w:tcPr>
            <w:tcW w:w="4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42,705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1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14,520</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13,036</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45,299</w:t>
            </w:r>
          </w:p>
        </w:tc>
        <w:tc>
          <w:tcPr>
            <w:tcW w:w="40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40,007</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0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gridSpan w:val="2"/>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060" w:type="dxa"/>
            <w:vAlign w:val="bottom"/>
          </w:tcPr>
          <w:p>
            <w:pPr>
              <w:ind w:left="220"/>
              <w:spacing w:after="0"/>
              <w:rPr>
                <w:sz w:val="20"/>
                <w:szCs w:val="20"/>
                <w:color w:val="auto"/>
              </w:rPr>
            </w:pPr>
            <w:r>
              <w:rPr>
                <w:rFonts w:ascii="Arial" w:cs="Arial" w:eastAsia="Arial" w:hAnsi="Arial"/>
                <w:sz w:val="18"/>
                <w:szCs w:val="18"/>
                <w:color w:val="auto"/>
              </w:rPr>
              <w:t>Total</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49,360</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41,706</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146,405</w:t>
            </w:r>
          </w:p>
        </w:tc>
        <w:tc>
          <w:tcPr>
            <w:tcW w:w="400" w:type="dxa"/>
            <w:vAlign w:val="bottom"/>
          </w:tcPr>
          <w:p>
            <w:pPr>
              <w:jc w:val="right"/>
              <w:ind w:right="21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121,936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06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110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6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152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7,184</w:t>
            </w:r>
          </w:p>
        </w:tc>
        <w:tc>
          <w:tcPr>
            <w:tcW w:w="52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6,029</w:t>
            </w:r>
          </w:p>
        </w:tc>
        <w:tc>
          <w:tcPr>
            <w:tcW w:w="50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22,453</w:t>
            </w:r>
          </w:p>
        </w:tc>
        <w:tc>
          <w:tcPr>
            <w:tcW w:w="400" w:type="dxa"/>
            <w:vAlign w:val="bottom"/>
            <w:shd w:val="clear" w:color="auto" w:fill="E5E5E5"/>
          </w:tcPr>
          <w:p>
            <w:pPr>
              <w:jc w:val="right"/>
              <w:ind w:right="215"/>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17,916</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8,281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6,425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24,040</w:t>
            </w:r>
          </w:p>
        </w:tc>
        <w:tc>
          <w:tcPr>
            <w:tcW w:w="4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18,339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1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4,899</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4,594</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16,356</w:t>
            </w:r>
          </w:p>
        </w:tc>
        <w:tc>
          <w:tcPr>
            <w:tcW w:w="40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14,566</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0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gridSpan w:val="2"/>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060" w:type="dxa"/>
            <w:vAlign w:val="bottom"/>
          </w:tcPr>
          <w:p>
            <w:pPr>
              <w:ind w:left="220"/>
              <w:spacing w:after="0"/>
              <w:rPr>
                <w:sz w:val="20"/>
                <w:szCs w:val="20"/>
                <w:color w:val="auto"/>
              </w:rPr>
            </w:pPr>
            <w:r>
              <w:rPr>
                <w:rFonts w:ascii="Arial" w:cs="Arial" w:eastAsia="Arial" w:hAnsi="Arial"/>
                <w:sz w:val="18"/>
                <w:szCs w:val="18"/>
                <w:color w:val="auto"/>
              </w:rPr>
              <w:t>Total</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20,364</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17,048</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62,849</w:t>
            </w:r>
          </w:p>
        </w:tc>
        <w:tc>
          <w:tcPr>
            <w:tcW w:w="400" w:type="dxa"/>
            <w:vAlign w:val="bottom"/>
          </w:tcPr>
          <w:p>
            <w:pPr>
              <w:jc w:val="right"/>
              <w:ind w:right="21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50,821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 sales to an individual customer or country other than the United States accounted for more than 10% of revenue for the three or nine months ended March 31, 2022 or 2021. Revenue, classified by the major geographic areas in which our customers were located,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4"/>
          </w:tcPr>
          <w:p>
            <w:pPr>
              <w:ind w:left="120"/>
              <w:spacing w:after="0"/>
              <w:rPr>
                <w:sz w:val="20"/>
                <w:szCs w:val="20"/>
                <w:color w:val="auto"/>
              </w:rPr>
            </w:pPr>
            <w:r>
              <w:rPr>
                <w:rFonts w:ascii="Arial" w:cs="Arial" w:eastAsia="Arial" w:hAnsi="Arial"/>
                <w:sz w:val="13"/>
                <w:szCs w:val="13"/>
                <w:b w:val="1"/>
                <w:bCs w:val="1"/>
                <w:color w:val="auto"/>
              </w:rPr>
              <w:t>Three Months Ended</w:t>
            </w: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Nine Months Ended</w:t>
            </w:r>
          </w:p>
        </w:tc>
      </w:tr>
      <w:tr>
        <w:trPr>
          <w:trHeight w:val="178"/>
        </w:trPr>
        <w:tc>
          <w:tcPr>
            <w:tcW w:w="50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March 31,</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March 31,</w:t>
            </w:r>
          </w:p>
        </w:tc>
      </w:tr>
      <w:tr>
        <w:trPr>
          <w:trHeight w:val="54"/>
        </w:trPr>
        <w:tc>
          <w:tcPr>
            <w:tcW w:w="50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23"/>
        </w:trPr>
        <w:tc>
          <w:tcPr>
            <w:tcW w:w="5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4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9"/>
                <w:szCs w:val="19"/>
                <w:color w:val="auto"/>
              </w:rPr>
            </w:pPr>
          </w:p>
        </w:tc>
      </w:tr>
      <w:tr>
        <w:trPr>
          <w:trHeight w:val="55"/>
        </w:trPr>
        <w:tc>
          <w:tcPr>
            <w:tcW w:w="5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50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15"/>
                <w:szCs w:val="15"/>
                <w:color w:val="auto"/>
              </w:rPr>
              <w:t>(a)</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24,771</w:t>
            </w:r>
          </w:p>
        </w:tc>
        <w:tc>
          <w:tcPr>
            <w:tcW w:w="52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20,373</w:t>
            </w:r>
          </w:p>
        </w:tc>
        <w:tc>
          <w:tcPr>
            <w:tcW w:w="4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74,064</w:t>
            </w:r>
          </w:p>
        </w:tc>
        <w:tc>
          <w:tcPr>
            <w:tcW w:w="24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61,234</w:t>
            </w:r>
          </w:p>
        </w:tc>
        <w:tc>
          <w:tcPr>
            <w:tcW w:w="120" w:type="dxa"/>
            <w:vAlign w:val="bottom"/>
            <w:shd w:val="clear" w:color="auto" w:fill="E5E5E5"/>
          </w:tcPr>
          <w:p>
            <w:pPr>
              <w:spacing w:after="0"/>
              <w:rPr>
                <w:sz w:val="16"/>
                <w:szCs w:val="16"/>
                <w:color w:val="auto"/>
              </w:rPr>
            </w:pPr>
          </w:p>
        </w:tc>
      </w:tr>
      <w:tr>
        <w:trPr>
          <w:trHeight w:val="250"/>
        </w:trPr>
        <w:tc>
          <w:tcPr>
            <w:tcW w:w="5080" w:type="dxa"/>
            <w:vAlign w:val="bottom"/>
          </w:tcPr>
          <w:p>
            <w:pPr>
              <w:spacing w:after="0"/>
              <w:rPr>
                <w:sz w:val="20"/>
                <w:szCs w:val="20"/>
                <w:color w:val="auto"/>
              </w:rPr>
            </w:pPr>
            <w:r>
              <w:rPr>
                <w:rFonts w:ascii="Arial" w:cs="Arial" w:eastAsia="Arial" w:hAnsi="Arial"/>
                <w:sz w:val="18"/>
                <w:szCs w:val="18"/>
                <w:color w:val="auto"/>
              </w:rPr>
              <w:t>Other countries</w:t>
            </w:r>
          </w:p>
        </w:tc>
        <w:tc>
          <w:tcPr>
            <w:tcW w:w="4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24,589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21,333</w:t>
            </w:r>
          </w:p>
        </w:tc>
        <w:tc>
          <w:tcPr>
            <w:tcW w:w="4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72,341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60,702</w:t>
            </w:r>
          </w:p>
        </w:tc>
        <w:tc>
          <w:tcPr>
            <w:tcW w:w="120" w:type="dxa"/>
            <w:vAlign w:val="bottom"/>
          </w:tcPr>
          <w:p>
            <w:pPr>
              <w:spacing w:after="0"/>
              <w:rPr>
                <w:sz w:val="21"/>
                <w:szCs w:val="21"/>
                <w:color w:val="auto"/>
              </w:rPr>
            </w:pPr>
          </w:p>
        </w:tc>
      </w:tr>
      <w:tr>
        <w:trPr>
          <w:trHeight w:val="68"/>
        </w:trPr>
        <w:tc>
          <w:tcPr>
            <w:tcW w:w="508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189"/>
        </w:trPr>
        <w:tc>
          <w:tcPr>
            <w:tcW w:w="50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49,360</w:t>
            </w:r>
          </w:p>
        </w:tc>
        <w:tc>
          <w:tcPr>
            <w:tcW w:w="52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41,706</w:t>
            </w:r>
          </w:p>
        </w:tc>
        <w:tc>
          <w:tcPr>
            <w:tcW w:w="4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146,405</w:t>
            </w:r>
          </w:p>
        </w:tc>
        <w:tc>
          <w:tcPr>
            <w:tcW w:w="24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121,936</w:t>
            </w:r>
          </w:p>
        </w:tc>
        <w:tc>
          <w:tcPr>
            <w:tcW w:w="120" w:type="dxa"/>
            <w:vAlign w:val="bottom"/>
            <w:shd w:val="clear" w:color="auto" w:fill="E5E5E5"/>
          </w:tcPr>
          <w:p>
            <w:pPr>
              <w:spacing w:after="0"/>
              <w:rPr>
                <w:sz w:val="16"/>
                <w:szCs w:val="16"/>
                <w:color w:val="auto"/>
              </w:rPr>
            </w:pPr>
          </w:p>
        </w:tc>
      </w:tr>
      <w:tr>
        <w:trPr>
          <w:trHeight w:val="75"/>
        </w:trPr>
        <w:tc>
          <w:tcPr>
            <w:tcW w:w="50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r>
    </w:tbl>
    <w:p>
      <w:pPr>
        <w:spacing w:after="0" w:line="143" w:lineRule="exact"/>
        <w:rPr>
          <w:sz w:val="20"/>
          <w:szCs w:val="20"/>
          <w:color w:val="auto"/>
        </w:rPr>
      </w:pPr>
    </w:p>
    <w:p>
      <w:pPr>
        <w:ind w:left="540" w:right="20" w:hanging="532"/>
        <w:spacing w:after="0" w:line="26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Includes billings to OEMs and certain multinational organizations because of the nature of these businesses and the impracticability of determining the geographic source of the revenue.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0" w:name="page31"/>
    <w:bookmarkEnd w:id="30"/>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Revenue from external customers, classified by significant product and service offerings,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4"/>
          </w:tcPr>
          <w:p>
            <w:pPr>
              <w:ind w:left="120"/>
              <w:spacing w:after="0"/>
              <w:rPr>
                <w:sz w:val="20"/>
                <w:szCs w:val="20"/>
                <w:color w:val="auto"/>
              </w:rPr>
            </w:pPr>
            <w:r>
              <w:rPr>
                <w:rFonts w:ascii="Arial" w:cs="Arial" w:eastAsia="Arial" w:hAnsi="Arial"/>
                <w:sz w:val="13"/>
                <w:szCs w:val="13"/>
                <w:b w:val="1"/>
                <w:bCs w:val="1"/>
                <w:color w:val="auto"/>
              </w:rPr>
              <w:t>Three Months Ended</w:t>
            </w: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Nine Months Ended</w:t>
            </w:r>
          </w:p>
        </w:tc>
      </w:tr>
      <w:tr>
        <w:trPr>
          <w:trHeight w:val="178"/>
        </w:trPr>
        <w:tc>
          <w:tcPr>
            <w:tcW w:w="50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March 31,</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March 31,</w:t>
            </w:r>
          </w:p>
        </w:tc>
      </w:tr>
      <w:tr>
        <w:trPr>
          <w:trHeight w:val="54"/>
        </w:trPr>
        <w:tc>
          <w:tcPr>
            <w:tcW w:w="50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23"/>
        </w:trPr>
        <w:tc>
          <w:tcPr>
            <w:tcW w:w="5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4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9"/>
                <w:szCs w:val="19"/>
                <w:color w:val="auto"/>
              </w:rPr>
            </w:pPr>
          </w:p>
        </w:tc>
      </w:tr>
      <w:tr>
        <w:trPr>
          <w:trHeight w:val="54"/>
        </w:trPr>
        <w:tc>
          <w:tcPr>
            <w:tcW w:w="5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50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Server products and cloud services</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17,038</w:t>
            </w:r>
          </w:p>
        </w:tc>
        <w:tc>
          <w:tcPr>
            <w:tcW w:w="52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13,204</w:t>
            </w:r>
          </w:p>
        </w:tc>
        <w:tc>
          <w:tcPr>
            <w:tcW w:w="4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48,482</w:t>
            </w: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37,128</w:t>
            </w:r>
          </w:p>
        </w:tc>
        <w:tc>
          <w:tcPr>
            <w:tcW w:w="120" w:type="dxa"/>
            <w:vAlign w:val="bottom"/>
            <w:shd w:val="clear" w:color="auto" w:fill="E5E5E5"/>
          </w:tcPr>
          <w:p>
            <w:pPr>
              <w:spacing w:after="0"/>
              <w:rPr>
                <w:sz w:val="16"/>
                <w:szCs w:val="16"/>
                <w:color w:val="auto"/>
              </w:rPr>
            </w:pPr>
          </w:p>
        </w:tc>
      </w:tr>
      <w:tr>
        <w:trPr>
          <w:trHeight w:val="189"/>
        </w:trPr>
        <w:tc>
          <w:tcPr>
            <w:tcW w:w="5080" w:type="dxa"/>
            <w:vAlign w:val="bottom"/>
          </w:tcPr>
          <w:p>
            <w:pPr>
              <w:spacing w:after="0" w:line="189" w:lineRule="exact"/>
              <w:rPr>
                <w:sz w:val="20"/>
                <w:szCs w:val="20"/>
                <w:color w:val="auto"/>
              </w:rPr>
            </w:pPr>
            <w:r>
              <w:rPr>
                <w:rFonts w:ascii="Arial" w:cs="Arial" w:eastAsia="Arial" w:hAnsi="Arial"/>
                <w:sz w:val="18"/>
                <w:szCs w:val="18"/>
                <w:color w:val="auto"/>
              </w:rPr>
              <w:t>Office products and cloud services</w:t>
            </w:r>
          </w:p>
        </w:tc>
        <w:tc>
          <w:tcPr>
            <w:tcW w:w="44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11,164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10,016</w:t>
            </w:r>
          </w:p>
        </w:tc>
        <w:tc>
          <w:tcPr>
            <w:tcW w:w="400" w:type="dxa"/>
            <w:vAlign w:val="bottom"/>
          </w:tcPr>
          <w:p>
            <w:pPr>
              <w:spacing w:after="0"/>
              <w:rPr>
                <w:sz w:val="16"/>
                <w:szCs w:val="16"/>
                <w:color w:val="auto"/>
              </w:rPr>
            </w:pPr>
          </w:p>
        </w:tc>
        <w:tc>
          <w:tcPr>
            <w:tcW w:w="11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33,223</w:t>
            </w:r>
          </w:p>
        </w:tc>
        <w:tc>
          <w:tcPr>
            <w:tcW w:w="1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29,175</w:t>
            </w:r>
          </w:p>
        </w:tc>
        <w:tc>
          <w:tcPr>
            <w:tcW w:w="120" w:type="dxa"/>
            <w:vAlign w:val="bottom"/>
          </w:tcPr>
          <w:p>
            <w:pPr>
              <w:spacing w:after="0"/>
              <w:rPr>
                <w:sz w:val="16"/>
                <w:szCs w:val="16"/>
                <w:color w:val="auto"/>
              </w:rPr>
            </w:pPr>
          </w:p>
        </w:tc>
      </w:tr>
      <w:tr>
        <w:trPr>
          <w:trHeight w:val="189"/>
        </w:trPr>
        <w:tc>
          <w:tcPr>
            <w:tcW w:w="50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Windows</w:t>
            </w:r>
          </w:p>
        </w:tc>
        <w:tc>
          <w:tcPr>
            <w:tcW w:w="4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6,077</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5,463</w:t>
            </w:r>
          </w:p>
        </w:tc>
        <w:tc>
          <w:tcPr>
            <w:tcW w:w="40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18,353</w:t>
            </w:r>
          </w:p>
        </w:tc>
        <w:tc>
          <w:tcPr>
            <w:tcW w:w="120" w:type="dxa"/>
            <w:vAlign w:val="bottom"/>
            <w:shd w:val="clear" w:color="auto" w:fill="E5E5E5"/>
          </w:tcPr>
          <w:p>
            <w:pPr>
              <w:spacing w:after="0"/>
              <w:rPr>
                <w:sz w:val="16"/>
                <w:szCs w:val="16"/>
                <w:color w:val="auto"/>
              </w:rPr>
            </w:pPr>
          </w:p>
        </w:tc>
        <w:tc>
          <w:tcPr>
            <w:tcW w:w="12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16,128</w:t>
            </w:r>
          </w:p>
        </w:tc>
        <w:tc>
          <w:tcPr>
            <w:tcW w:w="120" w:type="dxa"/>
            <w:vAlign w:val="bottom"/>
            <w:shd w:val="clear" w:color="auto" w:fill="E5E5E5"/>
          </w:tcPr>
          <w:p>
            <w:pPr>
              <w:spacing w:after="0"/>
              <w:rPr>
                <w:sz w:val="16"/>
                <w:szCs w:val="16"/>
                <w:color w:val="auto"/>
              </w:rPr>
            </w:pPr>
          </w:p>
        </w:tc>
      </w:tr>
      <w:tr>
        <w:trPr>
          <w:trHeight w:val="189"/>
        </w:trPr>
        <w:tc>
          <w:tcPr>
            <w:tcW w:w="5080" w:type="dxa"/>
            <w:vAlign w:val="bottom"/>
          </w:tcPr>
          <w:p>
            <w:pPr>
              <w:spacing w:after="0" w:line="189" w:lineRule="exact"/>
              <w:rPr>
                <w:sz w:val="20"/>
                <w:szCs w:val="20"/>
                <w:color w:val="auto"/>
              </w:rPr>
            </w:pPr>
            <w:r>
              <w:rPr>
                <w:rFonts w:ascii="Arial" w:cs="Arial" w:eastAsia="Arial" w:hAnsi="Arial"/>
                <w:sz w:val="18"/>
                <w:szCs w:val="18"/>
                <w:color w:val="auto"/>
              </w:rPr>
              <w:t>Gaming</w:t>
            </w:r>
          </w:p>
        </w:tc>
        <w:tc>
          <w:tcPr>
            <w:tcW w:w="44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3,740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3,533</w:t>
            </w:r>
          </w:p>
        </w:tc>
        <w:tc>
          <w:tcPr>
            <w:tcW w:w="400" w:type="dxa"/>
            <w:vAlign w:val="bottom"/>
          </w:tcPr>
          <w:p>
            <w:pPr>
              <w:spacing w:after="0"/>
              <w:rPr>
                <w:sz w:val="16"/>
                <w:szCs w:val="16"/>
                <w:color w:val="auto"/>
              </w:rPr>
            </w:pPr>
          </w:p>
        </w:tc>
        <w:tc>
          <w:tcPr>
            <w:tcW w:w="11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12,775</w:t>
            </w:r>
          </w:p>
        </w:tc>
        <w:tc>
          <w:tcPr>
            <w:tcW w:w="1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11,656</w:t>
            </w:r>
          </w:p>
        </w:tc>
        <w:tc>
          <w:tcPr>
            <w:tcW w:w="120" w:type="dxa"/>
            <w:vAlign w:val="bottom"/>
          </w:tcPr>
          <w:p>
            <w:pPr>
              <w:spacing w:after="0"/>
              <w:rPr>
                <w:sz w:val="16"/>
                <w:szCs w:val="16"/>
                <w:color w:val="auto"/>
              </w:rPr>
            </w:pPr>
          </w:p>
        </w:tc>
      </w:tr>
      <w:tr>
        <w:trPr>
          <w:trHeight w:val="189"/>
        </w:trPr>
        <w:tc>
          <w:tcPr>
            <w:tcW w:w="50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LinkedIn</w:t>
            </w:r>
          </w:p>
        </w:tc>
        <w:tc>
          <w:tcPr>
            <w:tcW w:w="4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3,437</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2,562</w:t>
            </w:r>
          </w:p>
        </w:tc>
        <w:tc>
          <w:tcPr>
            <w:tcW w:w="40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10,104</w:t>
            </w:r>
          </w:p>
        </w:tc>
        <w:tc>
          <w:tcPr>
            <w:tcW w:w="120" w:type="dxa"/>
            <w:vAlign w:val="bottom"/>
            <w:shd w:val="clear" w:color="auto" w:fill="E5E5E5"/>
          </w:tcPr>
          <w:p>
            <w:pPr>
              <w:spacing w:after="0"/>
              <w:rPr>
                <w:sz w:val="16"/>
                <w:szCs w:val="16"/>
                <w:color w:val="auto"/>
              </w:rPr>
            </w:pPr>
          </w:p>
        </w:tc>
        <w:tc>
          <w:tcPr>
            <w:tcW w:w="12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7,345</w:t>
            </w:r>
          </w:p>
        </w:tc>
        <w:tc>
          <w:tcPr>
            <w:tcW w:w="120" w:type="dxa"/>
            <w:vAlign w:val="bottom"/>
            <w:shd w:val="clear" w:color="auto" w:fill="E5E5E5"/>
          </w:tcPr>
          <w:p>
            <w:pPr>
              <w:spacing w:after="0"/>
              <w:rPr>
                <w:sz w:val="16"/>
                <w:szCs w:val="16"/>
                <w:color w:val="auto"/>
              </w:rPr>
            </w:pPr>
          </w:p>
        </w:tc>
      </w:tr>
      <w:tr>
        <w:trPr>
          <w:trHeight w:val="189"/>
        </w:trPr>
        <w:tc>
          <w:tcPr>
            <w:tcW w:w="5080" w:type="dxa"/>
            <w:vAlign w:val="bottom"/>
          </w:tcPr>
          <w:p>
            <w:pPr>
              <w:spacing w:after="0" w:line="189" w:lineRule="exact"/>
              <w:rPr>
                <w:sz w:val="20"/>
                <w:szCs w:val="20"/>
                <w:color w:val="auto"/>
              </w:rPr>
            </w:pPr>
            <w:r>
              <w:rPr>
                <w:rFonts w:ascii="Arial" w:cs="Arial" w:eastAsia="Arial" w:hAnsi="Arial"/>
                <w:sz w:val="18"/>
                <w:szCs w:val="18"/>
                <w:color w:val="auto"/>
              </w:rPr>
              <w:t>Search and news advertising</w:t>
            </w:r>
          </w:p>
        </w:tc>
        <w:tc>
          <w:tcPr>
            <w:tcW w:w="44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2,945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2,401</w:t>
            </w:r>
          </w:p>
        </w:tc>
        <w:tc>
          <w:tcPr>
            <w:tcW w:w="400" w:type="dxa"/>
            <w:vAlign w:val="bottom"/>
          </w:tcPr>
          <w:p>
            <w:pPr>
              <w:spacing w:after="0"/>
              <w:rPr>
                <w:sz w:val="16"/>
                <w:szCs w:val="16"/>
                <w:color w:val="auto"/>
              </w:rPr>
            </w:pPr>
          </w:p>
        </w:tc>
        <w:tc>
          <w:tcPr>
            <w:tcW w:w="11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8,665</w:t>
            </w:r>
          </w:p>
        </w:tc>
        <w:tc>
          <w:tcPr>
            <w:tcW w:w="1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6,730</w:t>
            </w:r>
          </w:p>
        </w:tc>
        <w:tc>
          <w:tcPr>
            <w:tcW w:w="120" w:type="dxa"/>
            <w:vAlign w:val="bottom"/>
          </w:tcPr>
          <w:p>
            <w:pPr>
              <w:spacing w:after="0"/>
              <w:rPr>
                <w:sz w:val="16"/>
                <w:szCs w:val="16"/>
                <w:color w:val="auto"/>
              </w:rPr>
            </w:pPr>
          </w:p>
        </w:tc>
      </w:tr>
      <w:tr>
        <w:trPr>
          <w:trHeight w:val="189"/>
        </w:trPr>
        <w:tc>
          <w:tcPr>
            <w:tcW w:w="50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Enterprise Services</w:t>
            </w:r>
          </w:p>
        </w:tc>
        <w:tc>
          <w:tcPr>
            <w:tcW w:w="4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1,891</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1,803</w:t>
            </w:r>
          </w:p>
        </w:tc>
        <w:tc>
          <w:tcPr>
            <w:tcW w:w="40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5,505</w:t>
            </w:r>
          </w:p>
        </w:tc>
        <w:tc>
          <w:tcPr>
            <w:tcW w:w="120" w:type="dxa"/>
            <w:vAlign w:val="bottom"/>
            <w:shd w:val="clear" w:color="auto" w:fill="E5E5E5"/>
          </w:tcPr>
          <w:p>
            <w:pPr>
              <w:spacing w:after="0"/>
              <w:rPr>
                <w:sz w:val="16"/>
                <w:szCs w:val="16"/>
                <w:color w:val="auto"/>
              </w:rPr>
            </w:pPr>
          </w:p>
        </w:tc>
        <w:tc>
          <w:tcPr>
            <w:tcW w:w="12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5,135</w:t>
            </w:r>
          </w:p>
        </w:tc>
        <w:tc>
          <w:tcPr>
            <w:tcW w:w="120" w:type="dxa"/>
            <w:vAlign w:val="bottom"/>
            <w:shd w:val="clear" w:color="auto" w:fill="E5E5E5"/>
          </w:tcPr>
          <w:p>
            <w:pPr>
              <w:spacing w:after="0"/>
              <w:rPr>
                <w:sz w:val="16"/>
                <w:szCs w:val="16"/>
                <w:color w:val="auto"/>
              </w:rPr>
            </w:pPr>
          </w:p>
        </w:tc>
      </w:tr>
      <w:tr>
        <w:trPr>
          <w:trHeight w:val="189"/>
        </w:trPr>
        <w:tc>
          <w:tcPr>
            <w:tcW w:w="5080" w:type="dxa"/>
            <w:vAlign w:val="bottom"/>
          </w:tcPr>
          <w:p>
            <w:pPr>
              <w:spacing w:after="0" w:line="189" w:lineRule="exact"/>
              <w:rPr>
                <w:sz w:val="20"/>
                <w:szCs w:val="20"/>
                <w:color w:val="auto"/>
              </w:rPr>
            </w:pPr>
            <w:r>
              <w:rPr>
                <w:rFonts w:ascii="Arial" w:cs="Arial" w:eastAsia="Arial" w:hAnsi="Arial"/>
                <w:sz w:val="18"/>
                <w:szCs w:val="18"/>
                <w:color w:val="auto"/>
              </w:rPr>
              <w:t>Devices</w:t>
            </w:r>
          </w:p>
        </w:tc>
        <w:tc>
          <w:tcPr>
            <w:tcW w:w="44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1,764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1,599</w:t>
            </w:r>
          </w:p>
        </w:tc>
        <w:tc>
          <w:tcPr>
            <w:tcW w:w="400" w:type="dxa"/>
            <w:vAlign w:val="bottom"/>
          </w:tcPr>
          <w:p>
            <w:pPr>
              <w:spacing w:after="0"/>
              <w:rPr>
                <w:sz w:val="16"/>
                <w:szCs w:val="16"/>
                <w:color w:val="auto"/>
              </w:rPr>
            </w:pPr>
          </w:p>
        </w:tc>
        <w:tc>
          <w:tcPr>
            <w:tcW w:w="11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5,410</w:t>
            </w:r>
          </w:p>
        </w:tc>
        <w:tc>
          <w:tcPr>
            <w:tcW w:w="1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5,339</w:t>
            </w:r>
          </w:p>
        </w:tc>
        <w:tc>
          <w:tcPr>
            <w:tcW w:w="120" w:type="dxa"/>
            <w:vAlign w:val="bottom"/>
          </w:tcPr>
          <w:p>
            <w:pPr>
              <w:spacing w:after="0"/>
              <w:rPr>
                <w:sz w:val="16"/>
                <w:szCs w:val="16"/>
                <w:color w:val="auto"/>
              </w:rPr>
            </w:pPr>
          </w:p>
        </w:tc>
      </w:tr>
      <w:tr>
        <w:trPr>
          <w:trHeight w:val="189"/>
        </w:trPr>
        <w:tc>
          <w:tcPr>
            <w:tcW w:w="50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w:t>
            </w:r>
          </w:p>
        </w:tc>
        <w:tc>
          <w:tcPr>
            <w:tcW w:w="4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1,304</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1,125</w:t>
            </w:r>
          </w:p>
        </w:tc>
        <w:tc>
          <w:tcPr>
            <w:tcW w:w="40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3,888</w:t>
            </w:r>
          </w:p>
        </w:tc>
        <w:tc>
          <w:tcPr>
            <w:tcW w:w="120" w:type="dxa"/>
            <w:vAlign w:val="bottom"/>
            <w:shd w:val="clear" w:color="auto" w:fill="E5E5E5"/>
          </w:tcPr>
          <w:p>
            <w:pPr>
              <w:spacing w:after="0"/>
              <w:rPr>
                <w:sz w:val="16"/>
                <w:szCs w:val="16"/>
                <w:color w:val="auto"/>
              </w:rPr>
            </w:pPr>
          </w:p>
        </w:tc>
        <w:tc>
          <w:tcPr>
            <w:tcW w:w="12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3,300</w:t>
            </w:r>
          </w:p>
        </w:tc>
        <w:tc>
          <w:tcPr>
            <w:tcW w:w="120" w:type="dxa"/>
            <w:vAlign w:val="bottom"/>
            <w:shd w:val="clear" w:color="auto" w:fill="E5E5E5"/>
          </w:tcPr>
          <w:p>
            <w:pPr>
              <w:spacing w:after="0"/>
              <w:rPr>
                <w:sz w:val="16"/>
                <w:szCs w:val="16"/>
                <w:color w:val="auto"/>
              </w:rPr>
            </w:pPr>
          </w:p>
        </w:tc>
      </w:tr>
      <w:tr>
        <w:trPr>
          <w:trHeight w:val="68"/>
        </w:trPr>
        <w:tc>
          <w:tcPr>
            <w:tcW w:w="50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63"/>
        </w:trPr>
        <w:tc>
          <w:tcPr>
            <w:tcW w:w="5080" w:type="dxa"/>
            <w:vAlign w:val="bottom"/>
          </w:tcPr>
          <w:p>
            <w:pPr>
              <w:ind w:left="22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49,360</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41,706</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146,405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121,936</w:t>
            </w:r>
          </w:p>
        </w:tc>
        <w:tc>
          <w:tcPr>
            <w:tcW w:w="120" w:type="dxa"/>
            <w:vAlign w:val="bottom"/>
          </w:tcPr>
          <w:p>
            <w:pPr>
              <w:spacing w:after="0"/>
              <w:rPr>
                <w:sz w:val="22"/>
                <w:szCs w:val="22"/>
                <w:color w:val="auto"/>
              </w:rPr>
            </w:pPr>
          </w:p>
        </w:tc>
      </w:tr>
      <w:tr>
        <w:trPr>
          <w:trHeight w:val="61"/>
        </w:trPr>
        <w:tc>
          <w:tcPr>
            <w:tcW w:w="508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recast certain previously reported amounts in the table above to conform to the way we internally manage and monitor our business.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Microsoft Cloud (formerly commercial cloud) revenue, which includes Azure and other cloud services, Office 365 Commercial, the commercial portion of LinkedIn, Dynamics 365, and other commercial cloud properties, was $23.4 billion and $66.2 billion for the three and nine months ended March 31, 2022, respectively, and $17.7 billion and $49.6 billion for the three and nine months ended March 31, 2021, respectively. These amounts are primarily included in Server products and cloud services, Office products and cloud services, and LinkedIn in the table above.</w:t>
      </w:r>
    </w:p>
    <w:p>
      <w:pPr>
        <w:spacing w:after="0" w:line="14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1" w:name="page32"/>
    <w:bookmarkEnd w:id="31"/>
    <w:p>
      <w:pPr>
        <w:ind w:left="5200"/>
        <w:spacing w:after="0"/>
        <w:rPr>
          <w:sz w:val="20"/>
          <w:szCs w:val="20"/>
          <w:color w:val="auto"/>
        </w:rPr>
      </w:pPr>
      <w:r>
        <w:rPr>
          <w:rFonts w:ascii="Arial" w:cs="Arial" w:eastAsia="Arial" w:hAnsi="Arial"/>
          <w:sz w:val="13"/>
          <w:szCs w:val="13"/>
          <w:u w:val="single" w:color="auto"/>
          <w:color w:val="auto"/>
        </w:rPr>
        <w:t>PART I</w:t>
      </w:r>
    </w:p>
    <w:p>
      <w:pPr>
        <w:ind w:left="5220"/>
        <w:spacing w:after="0"/>
        <w:rPr>
          <w:sz w:val="20"/>
          <w:szCs w:val="20"/>
          <w:color w:val="auto"/>
        </w:rPr>
      </w:pPr>
      <w:r>
        <w:rPr>
          <w:rFonts w:ascii="Arial" w:cs="Arial" w:eastAsia="Arial" w:hAnsi="Arial"/>
          <w:sz w:val="13"/>
          <w:szCs w:val="13"/>
          <w:color w:val="auto"/>
        </w:rPr>
        <w:t>Item 1</w:t>
      </w:r>
    </w:p>
    <w:p>
      <w:pPr>
        <w:spacing w:after="0" w:line="395" w:lineRule="exact"/>
        <w:rPr>
          <w:sz w:val="20"/>
          <w:szCs w:val="20"/>
          <w:color w:val="auto"/>
        </w:rPr>
      </w:pPr>
    </w:p>
    <w:p>
      <w:pPr>
        <w:ind w:right="4600"/>
        <w:spacing w:after="0" w:line="43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Microsoft Corporation </w:t>
      </w:r>
      <w:r>
        <w:rPr>
          <w:rFonts w:ascii="Arial" w:cs="Arial" w:eastAsia="Arial" w:hAnsi="Arial"/>
          <w:sz w:val="18"/>
          <w:szCs w:val="18"/>
          <w:b w:val="1"/>
          <w:bCs w:val="1"/>
          <w:color w:val="auto"/>
        </w:rPr>
        <w:t>Results of Review of Interim Financial Information</w:t>
      </w:r>
    </w:p>
    <w:p>
      <w:pPr>
        <w:jc w:val="both"/>
        <w:spacing w:after="0" w:line="237" w:lineRule="auto"/>
        <w:rPr>
          <w:sz w:val="20"/>
          <w:szCs w:val="20"/>
          <w:color w:val="auto"/>
        </w:rPr>
      </w:pPr>
      <w:r>
        <w:rPr>
          <w:rFonts w:ascii="Arial" w:cs="Arial" w:eastAsia="Arial" w:hAnsi="Arial"/>
          <w:sz w:val="18"/>
          <w:szCs w:val="18"/>
          <w:color w:val="auto"/>
        </w:rPr>
        <w:t>We have reviewed the accompanying consolidated balance sheet of Microsoft Corporation and subsidiaries (the "Company") as of March 31, 2022, the related consolidated statements of income, comprehensive income, cash flows, and stockholders’ equity for the three-month and nine-month periods ended March 31, 2022 and 2021,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June 30, 2021, and the related consolidated statements of income, comprehensive income, cash flows, and stockholders' equity for the year then ended (not presented herein); and in our report dated July 29, 2021, we expressed an unqualified opinion on those consolidated financial statements. In our opinion, the information set forth in the accompanying consolidated balance sheet as of June 30, 2021, is fairly stated, in all material respects, in relation to the consolidated balance sheet from which it has been derived.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rPr>
          <w:sz w:val="20"/>
          <w:szCs w:val="20"/>
          <w:color w:val="auto"/>
        </w:rPr>
      </w:pPr>
      <w:r>
        <w:rPr>
          <w:rFonts w:ascii="Arial" w:cs="Arial" w:eastAsia="Arial" w:hAnsi="Arial"/>
          <w:sz w:val="18"/>
          <w:szCs w:val="18"/>
          <w:color w:val="auto"/>
        </w:rPr>
        <w:t>April 26,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540" w:top="138" w:right="679" w:bottom="1440" w:gutter="0" w:footer="0" w:header="0"/>
        </w:sectPr>
      </w:pPr>
    </w:p>
    <w:bookmarkStart w:id="32" w:name="page33"/>
    <w:bookmarkEnd w:id="3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386" w:lineRule="exact"/>
        <w:rPr>
          <w:sz w:val="20"/>
          <w:szCs w:val="20"/>
          <w:color w:val="auto"/>
        </w:rPr>
      </w:pPr>
    </w:p>
    <w:p>
      <w:pPr>
        <w:jc w:val="center"/>
        <w:ind w:left="340" w:right="38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“Management’s Discussion and Analysis of Financial Condition and Results of Operations” and “Risk Factors” (Part II, Item 1A of this Form 10-Q).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“Management’s Discussion and Analysis of Financial Condition and Results of Operations,” “Quantitative and Qualitative Disclosures about Market Risk” (Part I, Item 3 of this Form 10-Q), and “Risk Factors”. We undertake no obligation to update or revise publicly any forward-looking statements, whether because of new information, future events, or otherwise.</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Annual Report on Form 10-K for the year ended June 30, 2021, and our financial statements and the accompanying Notes to Financial Statements (Part I, Item 1 of this Form 10-Q).</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OVERVIEW</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Microsoft is a technology company whose mission is to empower every person and every organization on the planet to achieve more. We strive to create local opportunity, growth, and impact in every country around the world. Our platforms and tools help drive small business productivity, large business competitiveness, and public-sector efficiency. They also support new startups, improve educational and health outcomes, and empower human ingenuity.</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generate revenue by offering a wide range of cloud-based and other services to people and businesses; licensing and supporting an array of software products; designing, manufacturing, and selling devices; and delivering relevant online advertising to a global audience. Our most significant expenses are related to compensating employees; designing, manufacturing, marketing, and selling our products and services; datacenter costs in support of our cloud-based services; and income taxes.</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the world continues to respond to COVID-19, we are working to do our part by ensuring the safety of our employees, striving to protect the health and well-being of the communities in which we operate, and providing technology and resources to our customers to help them do their best work while remote.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third quarter of fiscal year 2022 compared with the third quarter of fiscal year 2021 included:</w:t>
      </w:r>
    </w:p>
    <w:p>
      <w:pPr>
        <w:spacing w:after="0" w:line="77" w:lineRule="exact"/>
        <w:rPr>
          <w:sz w:val="20"/>
          <w:szCs w:val="20"/>
          <w:color w:val="auto"/>
        </w:rPr>
      </w:pPr>
    </w:p>
    <w:p>
      <w:pPr>
        <w:ind w:left="1060" w:hanging="39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Microsoft Cloud (formerly commercial cloud) revenue increased 32% to $23.4 billion.</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Office Commercial products and cloud services revenue increased 12% driven by Office 365 Commercial growth of 17%.</w:t>
      </w:r>
    </w:p>
    <w:p>
      <w:pPr>
        <w:spacing w:after="0" w:line="63" w:lineRule="exact"/>
        <w:rPr>
          <w:rFonts w:ascii="Arial" w:cs="Arial" w:eastAsia="Arial" w:hAnsi="Arial"/>
          <w:sz w:val="18"/>
          <w:szCs w:val="18"/>
          <w:color w:val="auto"/>
        </w:rPr>
      </w:pPr>
    </w:p>
    <w:p>
      <w:pPr>
        <w:ind w:left="1060" w:right="20" w:hanging="391"/>
        <w:spacing w:after="0" w:line="246"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Office Consumer products and cloud services revenue increased 11% and Microsoft 365 Consumer subscribers grew to 58.4 million.</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LinkedIn revenue increased 34%.</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Dynamics products and cloud services revenue increased 22% driven by Dynamics 365 growth of 35%.</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29% driven by Azure and other cloud services growth of 46%.</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Windows original equipment manufacturer licensing (“Windows OEM”) revenue increased 11%.</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Windows Commercial products and cloud services revenue increased 14%.</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Xbox content and services revenue increased 4%.</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3" w:name="page34"/>
    <w:bookmarkEnd w:id="3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85" w:lineRule="exact"/>
        <w:rPr>
          <w:sz w:val="20"/>
          <w:szCs w:val="20"/>
          <w:color w:val="auto"/>
        </w:rPr>
      </w:pPr>
    </w:p>
    <w:p>
      <w:pPr>
        <w:ind w:left="1060" w:hanging="39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Search and news advertising revenue excluding traffic acquisition costs increased 23%.</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Surface revenue increased 13%.</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March 4, 2022, we completed our acquisition of Nuance Communications, Inc. (“Nuance”) for a total purchase price of $ 18.8 billion, consisting primarily of cash. Nuance is a cloud and artificial intelligence (“AI”) software provider with healthcare and enterprise AI experience, and the acquisition will build on our industry-specific cloud offerings. The financial results of Nuance have been included in our consolidated financial statements since the date of the acquisition. Nuance is reported as part of our Intelligent Cloud segment. Refer to Note 7 – Business Combinations of the Notes to the Financial Statements (Part I, Item 1 of this Form 10-Q) for further discussion.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Challenges, and Risks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and influence how users access services in the cloud, and in some cases, the user’s choice of which suite of cloud-based services to use. We must continue to evolve and adapt over an extended time in pace with this changing environment. The investments we are making in infrastructure and devices will continue to increase our operating costs and may decrease our operating margins.</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 Aggregate demand for our software, services, and devices is correlated to global macroeconomic and geopolitical factors, which remain dynamic.</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devices are primarily manufactured by third-party contract manufacturers, some of which contain certain components for which there are very few qualified suppliers. For these components, we have limited near-term flexibility to use other manufacturers if a current vendor becomes unavailable or is unable to meet our requirements. Extended disruptions at these suppliers could lead to a similar disruption in our ability to manufacture devices on time to meet consumer demand.</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Fluctuations in the U.S. dollar relative to certain foreign currencies reduced reported revenue and expenses from our international operations for the three months ended March 31, 2022, and did not have a material impact on reported revenue or expenses from our international operations for the nine months ended March 31, 2022.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Refer to Risk Factors (Part II, Item 1A of this Form 10-Q) for a discussion of these factors and other risks.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COVID-19 pandemic continues to impact our business operations and financial results, although some of the effects have lessened over time. Our commercial and consumer businesses have benefited from demand for cloud and productivity tools, and we have experienced savings in operating expenses related to COVID-19. The COVID-19 pandemic may continue to impact our business operations and financial operating results, and there is uncertainty in the nature and degree of its continued effects over time. Refer to Risk Factors (Part II, Item 1A of this Form 10-Q) for a discussion of these factors and other risks.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4" w:name="page35"/>
    <w:bookmarkEnd w:id="3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revenue fluctuates quarterly and is generally higher in the second and fourth quarters of our fiscal year. Second quarter revenue is driven by corporate year-end spending trends in our major markets and holiday season spending by consumers, and fourth quarter revenue is driven by the volume of multi-year on-premises contracts executed during the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report our financial performance based on the following segments: Productivity and Business Processes, Intelligent Cloud, and More Personal Computing. The segment amounts included in MD&amp;A are presented on a basis consistent with our internal management reporting. All differences between our internal management reporting basis and accounting principles generally accepted in the United States of America (“GAAP”), along with certain corporate-level and other activity, are included in Corporate and Other.</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Additional information on our reportable segments is contained in Note 17 – Segment Information and Geographic Data of the Notes to Financial Statements (Part I, Item 1 of this Form 10-Q).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Metrics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use metrics in assessing the performance of our business and to make informed decisions regarding the allocation of resources. We disclose metrics to enable investors to evaluate progress against our ambitions, provide transparency into performance trends, and reflect the continued evolution of our products and services. Our commercial and other business metrics are fundamentally connected based on how customers use our products and services. The metrics are disclosed in the MD&amp;A or the Notes to Financial Statements (Part I, Item 1 of this Form 10-Q). Financial metrics are calculated based on GAAP results and growth comparisons relate to the corresponding period of last fiscal year.</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first quarter of fiscal year 2022, we made updates to the presentation and method of calculation for certain metrics, most notably changes to incorporate all current and anticipated revenue streams within our Office Consumer and Server products and cloud services metrics and changes to align with how we manage our Windows OEM and Search and news advertising businesses. None of these changes had a material impact on previously reported amounts in our MD&amp;A.</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third quarter of fiscal year 2022, we completed our acquisition of Nuance. Nuance is included in all commercial metrics and our Server products and cloud services revenue growth metric. Azure and other cloud services revenue includes Nuance cloud services, and Server products revenue includes Nuance on-premises offerings.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commercial business primarily consists of Server products and cloud services, Office Commercial, Windows Commercial, the commercial portion of LinkedIn, Enterprise Services, and Dynamics. Our commercial metrics allow management and investors to assess the overall health of our commercial business and include leading indicators of future performance.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ind w:left="180"/>
              <w:spacing w:after="0"/>
              <w:rPr>
                <w:sz w:val="20"/>
                <w:szCs w:val="20"/>
                <w:color w:val="auto"/>
              </w:rPr>
            </w:pPr>
            <w:r>
              <w:rPr>
                <w:rFonts w:ascii="Arial" w:cs="Arial" w:eastAsia="Arial" w:hAnsi="Arial"/>
                <w:sz w:val="18"/>
                <w:szCs w:val="18"/>
                <w:color w:val="auto"/>
              </w:rPr>
              <w:t>Commercial remaining performance obligation</w:t>
            </w:r>
          </w:p>
        </w:tc>
        <w:tc>
          <w:tcPr>
            <w:tcW w:w="7060" w:type="dxa"/>
            <w:vAlign w:val="bottom"/>
          </w:tcPr>
          <w:p>
            <w:pPr>
              <w:ind w:left="320"/>
              <w:spacing w:after="0"/>
              <w:rPr>
                <w:sz w:val="20"/>
                <w:szCs w:val="20"/>
                <w:color w:val="auto"/>
              </w:rPr>
            </w:pPr>
            <w:r>
              <w:rPr>
                <w:rFonts w:ascii="Arial" w:cs="Arial" w:eastAsia="Arial" w:hAnsi="Arial"/>
                <w:sz w:val="18"/>
                <w:szCs w:val="18"/>
                <w:color w:val="auto"/>
              </w:rPr>
              <w:t>Commercial portion of revenue allocated to remaining performance obligations,</w:t>
            </w:r>
          </w:p>
        </w:tc>
      </w:tr>
      <w:tr>
        <w:trPr>
          <w:trHeight w:val="203"/>
        </w:trPr>
        <w:tc>
          <w:tcPr>
            <w:tcW w:w="4180" w:type="dxa"/>
            <w:vAlign w:val="bottom"/>
          </w:tcPr>
          <w:p>
            <w:pPr>
              <w:spacing w:after="0"/>
              <w:rPr>
                <w:sz w:val="17"/>
                <w:szCs w:val="17"/>
                <w:color w:val="auto"/>
              </w:rPr>
            </w:pPr>
          </w:p>
        </w:tc>
        <w:tc>
          <w:tcPr>
            <w:tcW w:w="7060" w:type="dxa"/>
            <w:vAlign w:val="bottom"/>
          </w:tcPr>
          <w:p>
            <w:pPr>
              <w:ind w:left="320"/>
              <w:spacing w:after="0" w:line="202" w:lineRule="exact"/>
              <w:rPr>
                <w:sz w:val="20"/>
                <w:szCs w:val="20"/>
                <w:color w:val="auto"/>
              </w:rPr>
            </w:pPr>
            <w:r>
              <w:rPr>
                <w:rFonts w:ascii="Arial" w:cs="Arial" w:eastAsia="Arial" w:hAnsi="Arial"/>
                <w:sz w:val="18"/>
                <w:szCs w:val="18"/>
                <w:color w:val="auto"/>
              </w:rPr>
              <w:t>which includes unearned revenue and amounts that will be invoiced and recognized</w:t>
            </w:r>
          </w:p>
        </w:tc>
      </w:tr>
      <w:tr>
        <w:trPr>
          <w:trHeight w:val="217"/>
        </w:trPr>
        <w:tc>
          <w:tcPr>
            <w:tcW w:w="4180" w:type="dxa"/>
            <w:vAlign w:val="bottom"/>
          </w:tcPr>
          <w:p>
            <w:pPr>
              <w:spacing w:after="0"/>
              <w:rPr>
                <w:sz w:val="18"/>
                <w:szCs w:val="18"/>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rPr>
              <w:t>as revenue in future periods</w:t>
            </w:r>
          </w:p>
        </w:tc>
      </w:tr>
      <w:tr>
        <w:trPr>
          <w:trHeight w:val="269"/>
        </w:trPr>
        <w:tc>
          <w:tcPr>
            <w:tcW w:w="4180" w:type="dxa"/>
            <w:vAlign w:val="bottom"/>
          </w:tcPr>
          <w:p>
            <w:pPr>
              <w:ind w:left="180"/>
              <w:spacing w:after="0"/>
              <w:rPr>
                <w:sz w:val="20"/>
                <w:szCs w:val="20"/>
                <w:color w:val="auto"/>
              </w:rPr>
            </w:pPr>
            <w:r>
              <w:rPr>
                <w:rFonts w:ascii="Arial" w:cs="Arial" w:eastAsia="Arial" w:hAnsi="Arial"/>
                <w:sz w:val="18"/>
                <w:szCs w:val="18"/>
                <w:color w:val="auto"/>
              </w:rPr>
              <w:t>Microsoft Cloud revenue</w:t>
            </w:r>
          </w:p>
        </w:tc>
        <w:tc>
          <w:tcPr>
            <w:tcW w:w="7060" w:type="dxa"/>
            <w:vAlign w:val="bottom"/>
          </w:tcPr>
          <w:p>
            <w:pPr>
              <w:ind w:left="320"/>
              <w:spacing w:after="0"/>
              <w:rPr>
                <w:sz w:val="20"/>
                <w:szCs w:val="20"/>
                <w:color w:val="auto"/>
              </w:rPr>
            </w:pPr>
            <w:r>
              <w:rPr>
                <w:rFonts w:ascii="Arial" w:cs="Arial" w:eastAsia="Arial" w:hAnsi="Arial"/>
                <w:sz w:val="18"/>
                <w:szCs w:val="18"/>
                <w:color w:val="auto"/>
                <w:w w:val="99"/>
              </w:rPr>
              <w:t>Revenue from our commercial cloud business, which includes Azure and other cloud</w:t>
            </w:r>
          </w:p>
        </w:tc>
      </w:tr>
      <w:tr>
        <w:trPr>
          <w:trHeight w:val="203"/>
        </w:trPr>
        <w:tc>
          <w:tcPr>
            <w:tcW w:w="4180" w:type="dxa"/>
            <w:vAlign w:val="bottom"/>
          </w:tcPr>
          <w:p>
            <w:pPr>
              <w:spacing w:after="0"/>
              <w:rPr>
                <w:sz w:val="17"/>
                <w:szCs w:val="17"/>
                <w:color w:val="auto"/>
              </w:rPr>
            </w:pPr>
          </w:p>
        </w:tc>
        <w:tc>
          <w:tcPr>
            <w:tcW w:w="7060" w:type="dxa"/>
            <w:vAlign w:val="bottom"/>
          </w:tcPr>
          <w:p>
            <w:pPr>
              <w:ind w:left="320"/>
              <w:spacing w:after="0" w:line="202" w:lineRule="exact"/>
              <w:rPr>
                <w:sz w:val="20"/>
                <w:szCs w:val="20"/>
                <w:color w:val="auto"/>
              </w:rPr>
            </w:pPr>
            <w:r>
              <w:rPr>
                <w:rFonts w:ascii="Arial" w:cs="Arial" w:eastAsia="Arial" w:hAnsi="Arial"/>
                <w:sz w:val="18"/>
                <w:szCs w:val="18"/>
                <w:color w:val="auto"/>
                <w:w w:val="99"/>
              </w:rPr>
              <w:t>services, Office 365 Commercial, the commercial portion of LinkedIn, Dynamics 365,</w:t>
            </w:r>
          </w:p>
        </w:tc>
      </w:tr>
      <w:tr>
        <w:trPr>
          <w:trHeight w:val="217"/>
        </w:trPr>
        <w:tc>
          <w:tcPr>
            <w:tcW w:w="4180" w:type="dxa"/>
            <w:vAlign w:val="bottom"/>
          </w:tcPr>
          <w:p>
            <w:pPr>
              <w:spacing w:after="0"/>
              <w:rPr>
                <w:sz w:val="18"/>
                <w:szCs w:val="18"/>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rPr>
              <w:t>and other commercial cloud properties</w:t>
            </w:r>
          </w:p>
        </w:tc>
      </w:tr>
      <w:tr>
        <w:trPr>
          <w:trHeight w:val="283"/>
        </w:trPr>
        <w:tc>
          <w:tcPr>
            <w:tcW w:w="4180" w:type="dxa"/>
            <w:vAlign w:val="bottom"/>
          </w:tcPr>
          <w:p>
            <w:pPr>
              <w:ind w:left="180"/>
              <w:spacing w:after="0"/>
              <w:rPr>
                <w:sz w:val="20"/>
                <w:szCs w:val="20"/>
                <w:color w:val="auto"/>
              </w:rPr>
            </w:pPr>
            <w:r>
              <w:rPr>
                <w:rFonts w:ascii="Arial" w:cs="Arial" w:eastAsia="Arial" w:hAnsi="Arial"/>
                <w:sz w:val="18"/>
                <w:szCs w:val="18"/>
                <w:color w:val="auto"/>
              </w:rPr>
              <w:t>Microsoft Cloud gross margin percentage</w:t>
            </w:r>
          </w:p>
        </w:tc>
        <w:tc>
          <w:tcPr>
            <w:tcW w:w="7060" w:type="dxa"/>
            <w:vAlign w:val="bottom"/>
          </w:tcPr>
          <w:p>
            <w:pPr>
              <w:ind w:left="320"/>
              <w:spacing w:after="0"/>
              <w:rPr>
                <w:sz w:val="20"/>
                <w:szCs w:val="20"/>
                <w:color w:val="auto"/>
              </w:rPr>
            </w:pPr>
            <w:r>
              <w:rPr>
                <w:rFonts w:ascii="Arial" w:cs="Arial" w:eastAsia="Arial" w:hAnsi="Arial"/>
                <w:sz w:val="18"/>
                <w:szCs w:val="18"/>
                <w:color w:val="auto"/>
              </w:rPr>
              <w:t>Gross margin percentage for our commercial cloud business</w:t>
            </w:r>
          </w:p>
        </w:tc>
      </w:tr>
      <w:tr>
        <w:trPr>
          <w:trHeight w:val="582"/>
        </w:trPr>
        <w:tc>
          <w:tcPr>
            <w:tcW w:w="4180" w:type="dxa"/>
            <w:vAlign w:val="bottom"/>
          </w:tcPr>
          <w:p>
            <w:pPr>
              <w:spacing w:after="0"/>
              <w:rPr>
                <w:sz w:val="24"/>
                <w:szCs w:val="24"/>
                <w:color w:val="auto"/>
              </w:rPr>
            </w:pPr>
          </w:p>
        </w:tc>
        <w:tc>
          <w:tcPr>
            <w:tcW w:w="7060" w:type="dxa"/>
            <w:vAlign w:val="bottom"/>
          </w:tcPr>
          <w:p>
            <w:pPr>
              <w:ind w:left="1360"/>
              <w:spacing w:after="0"/>
              <w:rPr>
                <w:sz w:val="20"/>
                <w:szCs w:val="20"/>
                <w:color w:val="auto"/>
              </w:rPr>
            </w:pPr>
            <w:r>
              <w:rPr>
                <w:rFonts w:ascii="Arial" w:cs="Arial" w:eastAsia="Arial" w:hAnsi="Arial"/>
                <w:sz w:val="14"/>
                <w:szCs w:val="14"/>
                <w:color w:val="auto"/>
              </w:rPr>
              <w:t>35</w:t>
            </w:r>
          </w:p>
        </w:tc>
      </w:tr>
      <w:tr>
        <w:trPr>
          <w:trHeight w:val="100"/>
        </w:trPr>
        <w:tc>
          <w:tcPr>
            <w:tcW w:w="4180" w:type="dxa"/>
            <w:vAlign w:val="bottom"/>
            <w:tcBorders>
              <w:bottom w:val="single" w:sz="8" w:color="9A9A9A"/>
            </w:tcBorders>
          </w:tcPr>
          <w:p>
            <w:pPr>
              <w:spacing w:after="0"/>
              <w:rPr>
                <w:sz w:val="8"/>
                <w:szCs w:val="8"/>
                <w:color w:val="auto"/>
              </w:rPr>
            </w:pPr>
          </w:p>
        </w:tc>
        <w:tc>
          <w:tcPr>
            <w:tcW w:w="7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5" w:name="page36"/>
    <w:bookmarkEnd w:id="3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Productivity and Business Processes and Intelligent Cloud</w:t>
      </w:r>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Metrics related to our Productivity and Business Processes and Intelligent Cloud segments assess the health of our core businesses within these segments. The metrics reflect our cloud and on-premises product strategies and trends.</w:t>
      </w:r>
    </w:p>
    <w:p>
      <w:pPr>
        <w:spacing w:after="0" w:line="183" w:lineRule="exact"/>
        <w:rPr>
          <w:sz w:val="20"/>
          <w:szCs w:val="20"/>
          <w:color w:val="auto"/>
        </w:rPr>
      </w:pPr>
    </w:p>
    <w:p>
      <w:pPr>
        <w:jc w:val="both"/>
        <w:ind w:left="5320" w:hanging="5142"/>
        <w:spacing w:after="0" w:line="238" w:lineRule="auto"/>
        <w:rPr>
          <w:sz w:val="20"/>
          <w:szCs w:val="20"/>
          <w:color w:val="auto"/>
        </w:rPr>
      </w:pPr>
      <w:r>
        <w:rPr>
          <w:rFonts w:ascii="Arial" w:cs="Arial" w:eastAsia="Arial" w:hAnsi="Arial"/>
          <w:sz w:val="18"/>
          <w:szCs w:val="18"/>
          <w:color w:val="auto"/>
        </w:rPr>
        <w:t>Office Commercial products and cloud services revenue growth Revenue from Office Commercial products and cloud services (Office 365 subscriptions, the Office 365 portion of Microsoft 365 Commercial subscriptions, and Office licensed on-premises), comprising Office, Exchange, SharePoint, Microsoft Teams, Office 365 Security and Compliance, and Skype for Business</w:t>
      </w:r>
    </w:p>
    <w:p>
      <w:pPr>
        <w:sectPr>
          <w:pgSz w:w="11900" w:h="16838" w:orient="portrait"/>
          <w:cols w:equalWidth="0" w:num="1">
            <w:col w:w="11240"/>
          </w:cols>
          <w:pgMar w:left="320" w:top="138" w:right="339" w:bottom="1440" w:gutter="0" w:footer="0" w:header="0"/>
        </w:sectPr>
      </w:pPr>
    </w:p>
    <w:p>
      <w:pPr>
        <w:spacing w:after="0" w:line="6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Office Consumer products and cloud services revenue growth</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from Office Consumer products and cloud services, including Microsoft 365 Consumer subscriptions, Office licensed on-premises, and other Office services</w:t>
      </w:r>
    </w:p>
    <w:p>
      <w:pPr>
        <w:spacing w:after="0" w:line="68" w:lineRule="exact"/>
        <w:rPr>
          <w:sz w:val="20"/>
          <w:szCs w:val="20"/>
          <w:color w:val="auto"/>
        </w:rPr>
      </w:pPr>
    </w:p>
    <w:p>
      <w:pPr>
        <w:sectPr>
          <w:pgSz w:w="11900" w:h="16838" w:orient="portrait"/>
          <w:cols w:equalWidth="0" w:num="2">
            <w:col w:w="5080" w:space="240"/>
            <w:col w:w="5920"/>
          </w:cols>
          <w:pgMar w:left="320" w:top="138"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Office 365 Commercial seat growth</w:t>
      </w:r>
    </w:p>
    <w:p>
      <w:pPr>
        <w:spacing w:after="0" w:line="20" w:lineRule="exact"/>
        <w:rPr>
          <w:sz w:val="20"/>
          <w:szCs w:val="20"/>
          <w:color w:val="auto"/>
        </w:rPr>
      </w:pPr>
      <w:r>
        <w:rPr>
          <w:sz w:val="20"/>
          <w:szCs w:val="20"/>
          <w:color w:val="auto"/>
        </w:rPr>
        <w:br w:type="column"/>
      </w:r>
    </w:p>
    <w:p>
      <w:pPr>
        <w:ind w:right="20"/>
        <w:spacing w:after="0" w:line="246" w:lineRule="auto"/>
        <w:rPr>
          <w:sz w:val="20"/>
          <w:szCs w:val="20"/>
          <w:color w:val="auto"/>
        </w:rPr>
      </w:pPr>
      <w:r>
        <w:rPr>
          <w:rFonts w:ascii="Arial" w:cs="Arial" w:eastAsia="Arial" w:hAnsi="Arial"/>
          <w:sz w:val="18"/>
          <w:szCs w:val="18"/>
          <w:color w:val="auto"/>
        </w:rPr>
        <w:t>The number of Office 365 Commercial seats at end of period where seats are paid users covered by an Office 365 Commercial subscription</w:t>
      </w:r>
    </w:p>
    <w:p>
      <w:pPr>
        <w:spacing w:after="0" w:line="62" w:lineRule="exact"/>
        <w:rPr>
          <w:sz w:val="20"/>
          <w:szCs w:val="20"/>
          <w:color w:val="auto"/>
        </w:rPr>
      </w:pPr>
    </w:p>
    <w:p>
      <w:pPr>
        <w:sectPr>
          <w:pgSz w:w="11900" w:h="16838" w:orient="portrait"/>
          <w:cols w:equalWidth="0" w:num="2">
            <w:col w:w="4600" w:space="720"/>
            <w:col w:w="5920"/>
          </w:cols>
          <w:pgMar w:left="320" w:top="138"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Microsoft 365 Consumer subscribers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number of Microsoft 365 Consumer subscribers at end of period</w:t>
      </w:r>
    </w:p>
    <w:p>
      <w:pPr>
        <w:spacing w:after="0" w:line="88" w:lineRule="exact"/>
        <w:rPr>
          <w:sz w:val="20"/>
          <w:szCs w:val="20"/>
          <w:color w:val="auto"/>
        </w:rPr>
      </w:pPr>
    </w:p>
    <w:p>
      <w:pPr>
        <w:sectPr>
          <w:pgSz w:w="11900" w:h="16838" w:orient="portrait"/>
          <w:cols w:equalWidth="0" w:num="2">
            <w:col w:w="4600" w:space="720"/>
            <w:col w:w="5920"/>
          </w:cols>
          <w:pgMar w:left="320" w:top="138"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Dynamics products and cloud services revenue growth</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Arial" w:cs="Arial" w:eastAsia="Arial" w:hAnsi="Arial"/>
          <w:sz w:val="18"/>
          <w:szCs w:val="18"/>
          <w:color w:val="auto"/>
        </w:rPr>
        <w:t>Revenue from Dynamics products and cloud services, including Dynamics 365, comprising a set of intelligent, cloud-based applications across ERP, CRM, Customer Insights, Power Apps, and Power Automate; and on-premises ERP and CRM applications</w:t>
      </w:r>
    </w:p>
    <w:p>
      <w:pPr>
        <w:spacing w:after="0" w:line="70" w:lineRule="exact"/>
        <w:rPr>
          <w:sz w:val="20"/>
          <w:szCs w:val="20"/>
          <w:color w:val="auto"/>
        </w:rPr>
      </w:pPr>
    </w:p>
    <w:p>
      <w:pPr>
        <w:sectPr>
          <w:pgSz w:w="11900" w:h="16838" w:orient="portrait"/>
          <w:cols w:equalWidth="0" w:num="2">
            <w:col w:w="4600" w:space="720"/>
            <w:col w:w="5920"/>
          </w:cols>
          <w:pgMar w:left="320" w:top="138"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LinkedIn revenue growth</w:t>
      </w:r>
    </w:p>
    <w:p>
      <w:pPr>
        <w:spacing w:after="0" w:line="20" w:lineRule="exact"/>
        <w:rPr>
          <w:sz w:val="20"/>
          <w:szCs w:val="20"/>
          <w:color w:val="auto"/>
        </w:rPr>
      </w:pPr>
      <w:r>
        <w:rPr>
          <w:sz w:val="20"/>
          <w:szCs w:val="20"/>
          <w:color w:val="auto"/>
        </w:rPr>
        <w:br w:type="column"/>
      </w:r>
    </w:p>
    <w:p>
      <w:pPr>
        <w:spacing w:after="0" w:line="246" w:lineRule="auto"/>
        <w:rPr>
          <w:sz w:val="20"/>
          <w:szCs w:val="20"/>
          <w:color w:val="auto"/>
        </w:rPr>
      </w:pPr>
      <w:r>
        <w:rPr>
          <w:rFonts w:ascii="Arial" w:cs="Arial" w:eastAsia="Arial" w:hAnsi="Arial"/>
          <w:sz w:val="18"/>
          <w:szCs w:val="18"/>
          <w:color w:val="auto"/>
        </w:rPr>
        <w:t>Revenue from LinkedIn, including Talent Solutions, Marketing Solutions, Premium Subscriptions, Sales Solutions, and Learning Solutions</w:t>
      </w:r>
    </w:p>
    <w:p>
      <w:pPr>
        <w:spacing w:after="0" w:line="62" w:lineRule="exact"/>
        <w:rPr>
          <w:sz w:val="20"/>
          <w:szCs w:val="20"/>
          <w:color w:val="auto"/>
        </w:rPr>
      </w:pPr>
    </w:p>
    <w:p>
      <w:pPr>
        <w:sectPr>
          <w:pgSz w:w="11900" w:h="16838" w:orient="portrait"/>
          <w:cols w:equalWidth="0" w:num="2">
            <w:col w:w="4600" w:space="720"/>
            <w:col w:w="5920"/>
          </w:cols>
          <w:pgMar w:left="320" w:top="138"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Server products and cloud services revenue growth</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Arial" w:cs="Arial" w:eastAsia="Arial" w:hAnsi="Arial"/>
          <w:sz w:val="18"/>
          <w:szCs w:val="18"/>
          <w:color w:val="auto"/>
        </w:rPr>
        <w:t>Revenue from Server products and cloud services, including Azure and other cloud services; SQL Server, Windows Server, Visual Studio, System Center, and related Client Access Licenses (“CALs”); and Nuance and GitHub</w:t>
      </w:r>
    </w:p>
    <w:p>
      <w:pPr>
        <w:spacing w:after="0" w:line="200" w:lineRule="exact"/>
        <w:rPr>
          <w:sz w:val="20"/>
          <w:szCs w:val="20"/>
          <w:color w:val="auto"/>
        </w:rPr>
      </w:pPr>
    </w:p>
    <w:p>
      <w:pPr>
        <w:sectPr>
          <w:pgSz w:w="11900" w:h="16838" w:orient="portrait"/>
          <w:cols w:equalWidth="0" w:num="2">
            <w:col w:w="4600" w:space="720"/>
            <w:col w:w="5920"/>
          </w:cols>
          <w:pgMar w:left="320" w:top="138"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More Personal Computing</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Metrics related to our More Personal Computing segment assess the performance of key lines of business within this segment. These metrics provide strategic product insights which allow us to assess the performance across our commercial and consumer businesses. As we have diversity of target audiences and sales motions within the Windows business, we monitor metrics that are reflective of those varying motions.</w:t>
      </w:r>
    </w:p>
    <w:p>
      <w:pPr>
        <w:sectPr>
          <w:pgSz w:w="11900" w:h="16838" w:orient="portrait"/>
          <w:cols w:equalWidth="0" w:num="1">
            <w:col w:w="11240"/>
          </w:cols>
          <w:pgMar w:left="320" w:top="138" w:right="339" w:bottom="1440" w:gutter="0" w:footer="0" w:header="0"/>
          <w:type w:val="continuous"/>
        </w:sectPr>
      </w:pPr>
    </w:p>
    <w:p>
      <w:pPr>
        <w:spacing w:after="0" w:line="19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Windows OEM revenue growth</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Revenue from sales of Windows Pro and non-Pro licenses sold through the OEM channel</w:t>
      </w:r>
    </w:p>
    <w:p>
      <w:pPr>
        <w:spacing w:after="0" w:line="62" w:lineRule="exact"/>
        <w:rPr>
          <w:sz w:val="20"/>
          <w:szCs w:val="20"/>
          <w:color w:val="auto"/>
        </w:rPr>
      </w:pPr>
    </w:p>
    <w:p>
      <w:pPr>
        <w:sectPr>
          <w:pgSz w:w="11900" w:h="16838" w:orient="portrait"/>
          <w:cols w:equalWidth="0" w:num="2">
            <w:col w:w="4860" w:space="720"/>
            <w:col w:w="5660"/>
          </w:cols>
          <w:pgMar w:left="320" w:top="138" w:right="339" w:bottom="1440" w:gutter="0" w:footer="0" w:header="0"/>
          <w:type w:val="continuous"/>
        </w:sectPr>
      </w:pPr>
    </w:p>
    <w:p>
      <w:pPr>
        <w:jc w:val="both"/>
        <w:ind w:left="5580" w:hanging="5412"/>
        <w:spacing w:after="0"/>
        <w:rPr>
          <w:sz w:val="20"/>
          <w:szCs w:val="20"/>
          <w:color w:val="auto"/>
        </w:rPr>
      </w:pPr>
      <w:r>
        <w:rPr>
          <w:rFonts w:ascii="Arial" w:cs="Arial" w:eastAsia="Arial" w:hAnsi="Arial"/>
          <w:sz w:val="18"/>
          <w:szCs w:val="18"/>
          <w:color w:val="auto"/>
        </w:rPr>
        <w:t>Windows Commercial products and cloud services revenue growth Revenue from Windows Commercial products and cloud services, comprising volume licensing of the Windows operating system, Windows cloud services, and other Windows commercial offerings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ind w:left="180"/>
              <w:spacing w:after="0"/>
              <w:rPr>
                <w:sz w:val="20"/>
                <w:szCs w:val="20"/>
                <w:color w:val="auto"/>
              </w:rPr>
            </w:pPr>
            <w:r>
              <w:rPr>
                <w:rFonts w:ascii="Arial" w:cs="Arial" w:eastAsia="Arial" w:hAnsi="Arial"/>
                <w:sz w:val="18"/>
                <w:szCs w:val="18"/>
                <w:color w:val="auto"/>
              </w:rPr>
              <w:t>Surface revenue growth</w:t>
            </w:r>
          </w:p>
        </w:tc>
        <w:tc>
          <w:tcPr>
            <w:tcW w:w="5920" w:type="dxa"/>
            <w:vAlign w:val="bottom"/>
          </w:tcPr>
          <w:p>
            <w:pPr>
              <w:ind w:left="260"/>
              <w:spacing w:after="0"/>
              <w:rPr>
                <w:sz w:val="20"/>
                <w:szCs w:val="20"/>
                <w:color w:val="auto"/>
              </w:rPr>
            </w:pPr>
            <w:r>
              <w:rPr>
                <w:rFonts w:ascii="Arial" w:cs="Arial" w:eastAsia="Arial" w:hAnsi="Arial"/>
                <w:sz w:val="18"/>
                <w:szCs w:val="18"/>
                <w:color w:val="auto"/>
              </w:rPr>
              <w:t>Revenue from Surface devices and accessories</w:t>
            </w:r>
          </w:p>
        </w:tc>
      </w:tr>
      <w:tr>
        <w:trPr>
          <w:trHeight w:val="269"/>
        </w:trPr>
        <w:tc>
          <w:tcPr>
            <w:tcW w:w="5320" w:type="dxa"/>
            <w:vAlign w:val="bottom"/>
          </w:tcPr>
          <w:p>
            <w:pPr>
              <w:ind w:left="180"/>
              <w:spacing w:after="0"/>
              <w:rPr>
                <w:sz w:val="20"/>
                <w:szCs w:val="20"/>
                <w:color w:val="auto"/>
              </w:rPr>
            </w:pPr>
            <w:r>
              <w:rPr>
                <w:rFonts w:ascii="Arial" w:cs="Arial" w:eastAsia="Arial" w:hAnsi="Arial"/>
                <w:sz w:val="18"/>
                <w:szCs w:val="18"/>
                <w:color w:val="auto"/>
              </w:rPr>
              <w:t>Xbox content and services revenue growth</w:t>
            </w:r>
          </w:p>
        </w:tc>
        <w:tc>
          <w:tcPr>
            <w:tcW w:w="5920" w:type="dxa"/>
            <w:vAlign w:val="bottom"/>
          </w:tcPr>
          <w:p>
            <w:pPr>
              <w:ind w:left="260"/>
              <w:spacing w:after="0"/>
              <w:rPr>
                <w:sz w:val="20"/>
                <w:szCs w:val="20"/>
                <w:color w:val="auto"/>
              </w:rPr>
            </w:pPr>
            <w:r>
              <w:rPr>
                <w:rFonts w:ascii="Arial" w:cs="Arial" w:eastAsia="Arial" w:hAnsi="Arial"/>
                <w:sz w:val="18"/>
                <w:szCs w:val="18"/>
                <w:color w:val="auto"/>
              </w:rPr>
              <w:t>Revenue  from  Xbox  content  and  services,  comprising  digital</w:t>
            </w:r>
          </w:p>
        </w:tc>
      </w:tr>
      <w:tr>
        <w:trPr>
          <w:trHeight w:val="203"/>
        </w:trPr>
        <w:tc>
          <w:tcPr>
            <w:tcW w:w="5320" w:type="dxa"/>
            <w:vAlign w:val="bottom"/>
          </w:tcPr>
          <w:p>
            <w:pPr>
              <w:spacing w:after="0"/>
              <w:rPr>
                <w:sz w:val="17"/>
                <w:szCs w:val="17"/>
                <w:color w:val="auto"/>
              </w:rPr>
            </w:pPr>
          </w:p>
        </w:tc>
        <w:tc>
          <w:tcPr>
            <w:tcW w:w="5920" w:type="dxa"/>
            <w:vAlign w:val="bottom"/>
          </w:tcPr>
          <w:p>
            <w:pPr>
              <w:ind w:left="260"/>
              <w:spacing w:after="0" w:line="202" w:lineRule="exact"/>
              <w:rPr>
                <w:sz w:val="20"/>
                <w:szCs w:val="20"/>
                <w:color w:val="auto"/>
              </w:rPr>
            </w:pPr>
            <w:r>
              <w:rPr>
                <w:rFonts w:ascii="Arial" w:cs="Arial" w:eastAsia="Arial" w:hAnsi="Arial"/>
                <w:sz w:val="18"/>
                <w:szCs w:val="18"/>
                <w:color w:val="auto"/>
              </w:rPr>
              <w:t>transactions, Xbox Game Pass and other subscriptions, video games,</w:t>
            </w:r>
          </w:p>
        </w:tc>
      </w:tr>
      <w:tr>
        <w:trPr>
          <w:trHeight w:val="217"/>
        </w:trPr>
        <w:tc>
          <w:tcPr>
            <w:tcW w:w="532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rPr>
              <w:t>third-party video game royalties, cloud services, and advertising</w:t>
            </w:r>
          </w:p>
        </w:tc>
      </w:tr>
      <w:tr>
        <w:trPr>
          <w:trHeight w:val="269"/>
        </w:trPr>
        <w:tc>
          <w:tcPr>
            <w:tcW w:w="5320" w:type="dxa"/>
            <w:vAlign w:val="bottom"/>
          </w:tcPr>
          <w:p>
            <w:pPr>
              <w:ind w:left="180"/>
              <w:spacing w:after="0"/>
              <w:rPr>
                <w:sz w:val="20"/>
                <w:szCs w:val="20"/>
                <w:color w:val="auto"/>
              </w:rPr>
            </w:pPr>
            <w:r>
              <w:rPr>
                <w:rFonts w:ascii="Arial" w:cs="Arial" w:eastAsia="Arial" w:hAnsi="Arial"/>
                <w:sz w:val="18"/>
                <w:szCs w:val="18"/>
                <w:color w:val="auto"/>
              </w:rPr>
              <w:t>Search and news advertising revenue, excluding TAC, growth</w:t>
            </w:r>
          </w:p>
        </w:tc>
        <w:tc>
          <w:tcPr>
            <w:tcW w:w="5920" w:type="dxa"/>
            <w:vAlign w:val="bottom"/>
          </w:tcPr>
          <w:p>
            <w:pPr>
              <w:ind w:left="260"/>
              <w:spacing w:after="0"/>
              <w:rPr>
                <w:sz w:val="20"/>
                <w:szCs w:val="20"/>
                <w:color w:val="auto"/>
              </w:rPr>
            </w:pPr>
            <w:r>
              <w:rPr>
                <w:rFonts w:ascii="Arial" w:cs="Arial" w:eastAsia="Arial" w:hAnsi="Arial"/>
                <w:sz w:val="18"/>
                <w:szCs w:val="18"/>
                <w:color w:val="auto"/>
              </w:rPr>
              <w:t>Revenue  from  search  and  news  advertising  excluding  traffic</w:t>
            </w:r>
          </w:p>
        </w:tc>
      </w:tr>
      <w:tr>
        <w:trPr>
          <w:trHeight w:val="203"/>
        </w:trPr>
        <w:tc>
          <w:tcPr>
            <w:tcW w:w="5320" w:type="dxa"/>
            <w:vAlign w:val="bottom"/>
          </w:tcPr>
          <w:p>
            <w:pPr>
              <w:spacing w:after="0"/>
              <w:rPr>
                <w:sz w:val="17"/>
                <w:szCs w:val="17"/>
                <w:color w:val="auto"/>
              </w:rPr>
            </w:pPr>
          </w:p>
        </w:tc>
        <w:tc>
          <w:tcPr>
            <w:tcW w:w="5920" w:type="dxa"/>
            <w:vAlign w:val="bottom"/>
          </w:tcPr>
          <w:p>
            <w:pPr>
              <w:ind w:left="260"/>
              <w:spacing w:after="0" w:line="202" w:lineRule="exact"/>
              <w:rPr>
                <w:sz w:val="20"/>
                <w:szCs w:val="20"/>
                <w:color w:val="auto"/>
              </w:rPr>
            </w:pPr>
            <w:r>
              <w:rPr>
                <w:rFonts w:ascii="Arial" w:cs="Arial" w:eastAsia="Arial" w:hAnsi="Arial"/>
                <w:sz w:val="18"/>
                <w:szCs w:val="18"/>
                <w:color w:val="auto"/>
              </w:rPr>
              <w:t>acquisition costs (“TAC”) paid to Bing Ads network publishers and</w:t>
            </w:r>
          </w:p>
        </w:tc>
      </w:tr>
      <w:tr>
        <w:trPr>
          <w:trHeight w:val="217"/>
        </w:trPr>
        <w:tc>
          <w:tcPr>
            <w:tcW w:w="532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rPr>
              <w:t>news partners</w:t>
            </w:r>
          </w:p>
        </w:tc>
      </w:tr>
      <w:tr>
        <w:trPr>
          <w:trHeight w:val="582"/>
        </w:trPr>
        <w:tc>
          <w:tcPr>
            <w:tcW w:w="5320" w:type="dxa"/>
            <w:vAlign w:val="bottom"/>
          </w:tcPr>
          <w:p>
            <w:pPr>
              <w:spacing w:after="0"/>
              <w:rPr>
                <w:sz w:val="24"/>
                <w:szCs w:val="24"/>
                <w:color w:val="auto"/>
              </w:rPr>
            </w:pPr>
          </w:p>
        </w:tc>
        <w:tc>
          <w:tcPr>
            <w:tcW w:w="5920" w:type="dxa"/>
            <w:vAlign w:val="bottom"/>
          </w:tcPr>
          <w:p>
            <w:pPr>
              <w:ind w:left="220"/>
              <w:spacing w:after="0"/>
              <w:rPr>
                <w:sz w:val="20"/>
                <w:szCs w:val="20"/>
                <w:color w:val="auto"/>
              </w:rPr>
            </w:pPr>
            <w:r>
              <w:rPr>
                <w:rFonts w:ascii="Arial" w:cs="Arial" w:eastAsia="Arial" w:hAnsi="Arial"/>
                <w:sz w:val="14"/>
                <w:szCs w:val="14"/>
                <w:color w:val="auto"/>
              </w:rPr>
              <w:t>36</w:t>
            </w:r>
          </w:p>
        </w:tc>
      </w:tr>
      <w:tr>
        <w:trPr>
          <w:trHeight w:val="100"/>
        </w:trPr>
        <w:tc>
          <w:tcPr>
            <w:tcW w:w="5320" w:type="dxa"/>
            <w:vAlign w:val="bottom"/>
            <w:tcBorders>
              <w:bottom w:val="single" w:sz="8" w:color="9A9A9A"/>
            </w:tcBorders>
          </w:tcPr>
          <w:p>
            <w:pPr>
              <w:spacing w:after="0"/>
              <w:rPr>
                <w:sz w:val="8"/>
                <w:szCs w:val="8"/>
                <w:color w:val="auto"/>
              </w:rPr>
            </w:pPr>
          </w:p>
        </w:tc>
        <w:tc>
          <w:tcPr>
            <w:tcW w:w="5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type w:val="continuous"/>
        </w:sectPr>
      </w:pPr>
    </w:p>
    <w:bookmarkStart w:id="36" w:name="page37"/>
    <w:bookmarkEnd w:id="3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SUMMARY 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0" w:type="dxa"/>
            <w:vAlign w:val="bottom"/>
            <w:gridSpan w:val="3"/>
          </w:tcPr>
          <w:p>
            <w:pPr>
              <w:jc w:val="right"/>
              <w:ind w:right="155"/>
              <w:spacing w:after="0"/>
              <w:rPr>
                <w:sz w:val="20"/>
                <w:szCs w:val="20"/>
                <w:color w:val="auto"/>
              </w:rPr>
            </w:pPr>
            <w:r>
              <w:rPr>
                <w:rFonts w:ascii="Arial" w:cs="Arial" w:eastAsia="Arial" w:hAnsi="Arial"/>
                <w:sz w:val="13"/>
                <w:szCs w:val="13"/>
                <w:b w:val="1"/>
                <w:bCs w:val="1"/>
                <w:color w:val="auto"/>
              </w:rPr>
              <w:t>Three Months Ended</w:t>
            </w:r>
          </w:p>
        </w:tc>
        <w:tc>
          <w:tcPr>
            <w:tcW w:w="1080" w:type="dxa"/>
            <w:vAlign w:val="bottom"/>
          </w:tcPr>
          <w:p>
            <w:pPr>
              <w:jc w:val="right"/>
              <w:ind w:right="15"/>
              <w:spacing w:after="0"/>
              <w:rPr>
                <w:sz w:val="20"/>
                <w:szCs w:val="20"/>
                <w:color w:val="auto"/>
              </w:rPr>
            </w:pPr>
            <w:r>
              <w:rPr>
                <w:rFonts w:ascii="Arial" w:cs="Arial" w:eastAsia="Arial" w:hAnsi="Arial"/>
                <w:sz w:val="13"/>
                <w:szCs w:val="13"/>
                <w:b w:val="1"/>
                <w:bCs w:val="1"/>
                <w:color w:val="auto"/>
              </w:rPr>
              <w:t>Percentage</w:t>
            </w:r>
          </w:p>
        </w:tc>
        <w:tc>
          <w:tcPr>
            <w:tcW w:w="340" w:type="dxa"/>
            <w:vAlign w:val="bottom"/>
          </w:tcPr>
          <w:p>
            <w:pPr>
              <w:spacing w:after="0"/>
              <w:rPr>
                <w:sz w:val="13"/>
                <w:szCs w:val="13"/>
                <w:color w:val="auto"/>
              </w:rPr>
            </w:pPr>
          </w:p>
        </w:tc>
        <w:tc>
          <w:tcPr>
            <w:tcW w:w="2280" w:type="dxa"/>
            <w:vAlign w:val="bottom"/>
            <w:gridSpan w:val="3"/>
          </w:tcPr>
          <w:p>
            <w:pPr>
              <w:jc w:val="right"/>
              <w:ind w:right="175"/>
              <w:spacing w:after="0"/>
              <w:rPr>
                <w:sz w:val="20"/>
                <w:szCs w:val="20"/>
                <w:color w:val="auto"/>
              </w:rPr>
            </w:pPr>
            <w:r>
              <w:rPr>
                <w:rFonts w:ascii="Arial" w:cs="Arial" w:eastAsia="Arial" w:hAnsi="Arial"/>
                <w:sz w:val="13"/>
                <w:szCs w:val="13"/>
                <w:b w:val="1"/>
                <w:bCs w:val="1"/>
                <w:color w:val="auto"/>
              </w:rPr>
              <w:t>Nine Months Ended</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8"/>
        </w:trPr>
        <w:tc>
          <w:tcPr>
            <w:tcW w:w="3800" w:type="dxa"/>
            <w:vAlign w:val="bottom"/>
          </w:tcPr>
          <w:p>
            <w:pPr>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155"/>
              <w:spacing w:after="0"/>
              <w:rPr>
                <w:sz w:val="20"/>
                <w:szCs w:val="20"/>
                <w:color w:val="auto"/>
              </w:rPr>
            </w:pPr>
            <w:r>
              <w:rPr>
                <w:rFonts w:ascii="Arial" w:cs="Arial" w:eastAsia="Arial" w:hAnsi="Arial"/>
                <w:sz w:val="13"/>
                <w:szCs w:val="13"/>
                <w:b w:val="1"/>
                <w:bCs w:val="1"/>
                <w:color w:val="auto"/>
              </w:rPr>
              <w:t>March 31,</w:t>
            </w:r>
          </w:p>
        </w:tc>
        <w:tc>
          <w:tcPr>
            <w:tcW w:w="1080" w:type="dxa"/>
            <w:vAlign w:val="bottom"/>
          </w:tcPr>
          <w:p>
            <w:pPr>
              <w:jc w:val="right"/>
              <w:ind w:right="15"/>
              <w:spacing w:after="0"/>
              <w:rPr>
                <w:sz w:val="20"/>
                <w:szCs w:val="20"/>
                <w:color w:val="auto"/>
              </w:rPr>
            </w:pPr>
            <w:r>
              <w:rPr>
                <w:rFonts w:ascii="Arial" w:cs="Arial" w:eastAsia="Arial" w:hAnsi="Arial"/>
                <w:sz w:val="13"/>
                <w:szCs w:val="13"/>
                <w:b w:val="1"/>
                <w:bCs w:val="1"/>
                <w:color w:val="auto"/>
              </w:rPr>
              <w:t>Change</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175"/>
              <w:spacing w:after="0"/>
              <w:rPr>
                <w:sz w:val="20"/>
                <w:szCs w:val="20"/>
                <w:color w:val="auto"/>
              </w:rPr>
            </w:pPr>
            <w:r>
              <w:rPr>
                <w:rFonts w:ascii="Arial" w:cs="Arial" w:eastAsia="Arial" w:hAnsi="Arial"/>
                <w:sz w:val="13"/>
                <w:szCs w:val="13"/>
                <w:b w:val="1"/>
                <w:bCs w:val="1"/>
                <w:color w:val="auto"/>
              </w:rPr>
              <w:t>March 31,</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4"/>
        </w:trPr>
        <w:tc>
          <w:tcPr>
            <w:tcW w:w="38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b w:val="1"/>
                <w:bCs w:val="1"/>
                <w:color w:val="auto"/>
              </w:rPr>
              <w:t>2022</w:t>
            </w:r>
          </w:p>
        </w:tc>
        <w:tc>
          <w:tcPr>
            <w:tcW w:w="340" w:type="dxa"/>
            <w:vAlign w:val="bottom"/>
          </w:tcPr>
          <w:p>
            <w:pPr>
              <w:spacing w:after="0"/>
              <w:rPr>
                <w:sz w:val="19"/>
                <w:szCs w:val="19"/>
                <w:color w:val="auto"/>
              </w:rPr>
            </w:pPr>
          </w:p>
        </w:tc>
        <w:tc>
          <w:tcPr>
            <w:tcW w:w="1020" w:type="dxa"/>
            <w:vAlign w:val="bottom"/>
          </w:tcPr>
          <w:p>
            <w:pPr>
              <w:jc w:val="right"/>
              <w:ind w:right="155"/>
              <w:spacing w:after="0"/>
              <w:rPr>
                <w:sz w:val="20"/>
                <w:szCs w:val="20"/>
                <w:color w:val="auto"/>
              </w:rPr>
            </w:pPr>
            <w:r>
              <w:rPr>
                <w:rFonts w:ascii="Arial" w:cs="Arial" w:eastAsia="Arial" w:hAnsi="Arial"/>
                <w:sz w:val="13"/>
                <w:szCs w:val="13"/>
                <w:b w:val="1"/>
                <w:bCs w:val="1"/>
                <w:color w:val="auto"/>
              </w:rPr>
              <w:t>2021</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Arial" w:cs="Arial" w:eastAsia="Arial" w:hAnsi="Arial"/>
                <w:sz w:val="13"/>
                <w:szCs w:val="13"/>
                <w:b w:val="1"/>
                <w:bCs w:val="1"/>
                <w:color w:val="auto"/>
              </w:rPr>
              <w:t>2022</w:t>
            </w:r>
          </w:p>
        </w:tc>
        <w:tc>
          <w:tcPr>
            <w:tcW w:w="340" w:type="dxa"/>
            <w:vAlign w:val="bottom"/>
          </w:tcPr>
          <w:p>
            <w:pPr>
              <w:spacing w:after="0"/>
              <w:rPr>
                <w:sz w:val="19"/>
                <w:szCs w:val="19"/>
                <w:color w:val="auto"/>
              </w:rPr>
            </w:pPr>
          </w:p>
        </w:tc>
        <w:tc>
          <w:tcPr>
            <w:tcW w:w="1040" w:type="dxa"/>
            <w:vAlign w:val="bottom"/>
          </w:tcPr>
          <w:p>
            <w:pPr>
              <w:jc w:val="right"/>
              <w:ind w:right="175"/>
              <w:spacing w:after="0"/>
              <w:rPr>
                <w:sz w:val="20"/>
                <w:szCs w:val="20"/>
                <w:color w:val="auto"/>
              </w:rPr>
            </w:pPr>
            <w:r>
              <w:rPr>
                <w:rFonts w:ascii="Arial" w:cs="Arial" w:eastAsia="Arial" w:hAnsi="Arial"/>
                <w:sz w:val="13"/>
                <w:szCs w:val="13"/>
                <w:b w:val="1"/>
                <w:bCs w:val="1"/>
                <w:color w:val="auto"/>
              </w:rPr>
              <w:t>2021</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44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49,360</w:t>
            </w:r>
          </w:p>
        </w:tc>
        <w:tc>
          <w:tcPr>
            <w:tcW w:w="3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155"/>
              <w:spacing w:after="0" w:line="189" w:lineRule="exact"/>
              <w:rPr>
                <w:sz w:val="20"/>
                <w:szCs w:val="20"/>
                <w:color w:val="auto"/>
              </w:rPr>
            </w:pPr>
            <w:r>
              <w:rPr>
                <w:rFonts w:ascii="Arial" w:cs="Arial" w:eastAsia="Arial" w:hAnsi="Arial"/>
                <w:sz w:val="18"/>
                <w:szCs w:val="18"/>
                <w:color w:val="auto"/>
              </w:rPr>
              <w:t>41,706</w:t>
            </w:r>
          </w:p>
        </w:tc>
        <w:tc>
          <w:tcPr>
            <w:tcW w:w="108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color w:val="auto"/>
              </w:rPr>
              <w:t>18%</w:t>
            </w:r>
          </w:p>
        </w:tc>
        <w:tc>
          <w:tcPr>
            <w:tcW w:w="34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146,405</w:t>
            </w:r>
          </w:p>
        </w:tc>
        <w:tc>
          <w:tcPr>
            <w:tcW w:w="3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75"/>
              <w:spacing w:after="0" w:line="189" w:lineRule="exact"/>
              <w:rPr>
                <w:sz w:val="20"/>
                <w:szCs w:val="20"/>
                <w:color w:val="auto"/>
              </w:rPr>
            </w:pPr>
            <w:r>
              <w:rPr>
                <w:rFonts w:ascii="Arial" w:cs="Arial" w:eastAsia="Arial" w:hAnsi="Arial"/>
                <w:sz w:val="18"/>
                <w:szCs w:val="18"/>
                <w:color w:val="auto"/>
              </w:rPr>
              <w:t>121,936</w:t>
            </w:r>
          </w:p>
        </w:tc>
        <w:tc>
          <w:tcPr>
            <w:tcW w:w="11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9"/>
        </w:trPr>
        <w:tc>
          <w:tcPr>
            <w:tcW w:w="3800" w:type="dxa"/>
            <w:vAlign w:val="bottom"/>
          </w:tcPr>
          <w:p>
            <w:pPr>
              <w:spacing w:after="0" w:line="189" w:lineRule="exact"/>
              <w:rPr>
                <w:sz w:val="20"/>
                <w:szCs w:val="20"/>
                <w:color w:val="auto"/>
              </w:rPr>
            </w:pPr>
            <w:r>
              <w:rPr>
                <w:rFonts w:ascii="Arial" w:cs="Arial" w:eastAsia="Arial" w:hAnsi="Arial"/>
                <w:sz w:val="18"/>
                <w:szCs w:val="18"/>
                <w:color w:val="auto"/>
              </w:rPr>
              <w:t>Gross margin</w:t>
            </w:r>
          </w:p>
        </w:tc>
        <w:tc>
          <w:tcPr>
            <w:tcW w:w="440" w:type="dxa"/>
            <w:vAlign w:val="bottom"/>
          </w:tcPr>
          <w:p>
            <w:pPr>
              <w:spacing w:after="0"/>
              <w:rPr>
                <w:sz w:val="16"/>
                <w:szCs w:val="16"/>
                <w:color w:val="auto"/>
              </w:rPr>
            </w:pPr>
          </w:p>
        </w:tc>
        <w:tc>
          <w:tcPr>
            <w:tcW w:w="840" w:type="dxa"/>
            <w:vAlign w:val="bottom"/>
          </w:tcPr>
          <w:p>
            <w:pPr>
              <w:jc w:val="right"/>
              <w:ind w:right="35"/>
              <w:spacing w:after="0" w:line="189" w:lineRule="exact"/>
              <w:rPr>
                <w:sz w:val="20"/>
                <w:szCs w:val="20"/>
                <w:color w:val="auto"/>
              </w:rPr>
            </w:pPr>
            <w:r>
              <w:rPr>
                <w:rFonts w:ascii="Arial" w:cs="Arial" w:eastAsia="Arial" w:hAnsi="Arial"/>
                <w:sz w:val="18"/>
                <w:szCs w:val="18"/>
                <w:b w:val="1"/>
                <w:bCs w:val="1"/>
                <w:color w:val="auto"/>
              </w:rPr>
              <w:t>33,745</w:t>
            </w:r>
          </w:p>
        </w:tc>
        <w:tc>
          <w:tcPr>
            <w:tcW w:w="340" w:type="dxa"/>
            <w:vAlign w:val="bottom"/>
          </w:tcPr>
          <w:p>
            <w:pPr>
              <w:spacing w:after="0"/>
              <w:rPr>
                <w:sz w:val="16"/>
                <w:szCs w:val="16"/>
                <w:color w:val="auto"/>
              </w:rPr>
            </w:pPr>
          </w:p>
        </w:tc>
        <w:tc>
          <w:tcPr>
            <w:tcW w:w="1020" w:type="dxa"/>
            <w:vAlign w:val="bottom"/>
          </w:tcPr>
          <w:p>
            <w:pPr>
              <w:jc w:val="right"/>
              <w:ind w:right="155"/>
              <w:spacing w:after="0" w:line="189" w:lineRule="exact"/>
              <w:rPr>
                <w:sz w:val="20"/>
                <w:szCs w:val="20"/>
                <w:color w:val="auto"/>
              </w:rPr>
            </w:pPr>
            <w:r>
              <w:rPr>
                <w:rFonts w:ascii="Arial" w:cs="Arial" w:eastAsia="Arial" w:hAnsi="Arial"/>
                <w:sz w:val="18"/>
                <w:szCs w:val="18"/>
                <w:color w:val="auto"/>
              </w:rPr>
              <w:t>28,661</w:t>
            </w:r>
          </w:p>
        </w:tc>
        <w:tc>
          <w:tcPr>
            <w:tcW w:w="1080" w:type="dxa"/>
            <w:vAlign w:val="bottom"/>
          </w:tcPr>
          <w:p>
            <w:pPr>
              <w:jc w:val="right"/>
              <w:ind w:right="15"/>
              <w:spacing w:after="0" w:line="189" w:lineRule="exact"/>
              <w:rPr>
                <w:sz w:val="20"/>
                <w:szCs w:val="20"/>
                <w:color w:val="auto"/>
              </w:rPr>
            </w:pPr>
            <w:r>
              <w:rPr>
                <w:rFonts w:ascii="Arial" w:cs="Arial" w:eastAsia="Arial" w:hAnsi="Arial"/>
                <w:sz w:val="18"/>
                <w:szCs w:val="18"/>
                <w:color w:val="auto"/>
              </w:rPr>
              <w:t>18%</w:t>
            </w:r>
          </w:p>
        </w:tc>
        <w:tc>
          <w:tcPr>
            <w:tcW w:w="340" w:type="dxa"/>
            <w:vAlign w:val="bottom"/>
          </w:tcPr>
          <w:p>
            <w:pPr>
              <w:spacing w:after="0"/>
              <w:rPr>
                <w:sz w:val="16"/>
                <w:szCs w:val="16"/>
                <w:color w:val="auto"/>
              </w:rPr>
            </w:pPr>
          </w:p>
        </w:tc>
        <w:tc>
          <w:tcPr>
            <w:tcW w:w="900" w:type="dxa"/>
            <w:vAlign w:val="bottom"/>
          </w:tcPr>
          <w:p>
            <w:pPr>
              <w:jc w:val="right"/>
              <w:ind w:right="35"/>
              <w:spacing w:after="0" w:line="189" w:lineRule="exact"/>
              <w:rPr>
                <w:sz w:val="20"/>
                <w:szCs w:val="20"/>
                <w:color w:val="auto"/>
              </w:rPr>
            </w:pPr>
            <w:r>
              <w:rPr>
                <w:rFonts w:ascii="Arial" w:cs="Arial" w:eastAsia="Arial" w:hAnsi="Arial"/>
                <w:sz w:val="18"/>
                <w:szCs w:val="18"/>
                <w:b w:val="1"/>
                <w:bCs w:val="1"/>
                <w:color w:val="auto"/>
              </w:rPr>
              <w:t>100,184</w:t>
            </w:r>
          </w:p>
        </w:tc>
        <w:tc>
          <w:tcPr>
            <w:tcW w:w="340" w:type="dxa"/>
            <w:vAlign w:val="bottom"/>
          </w:tcPr>
          <w:p>
            <w:pPr>
              <w:spacing w:after="0"/>
              <w:rPr>
                <w:sz w:val="16"/>
                <w:szCs w:val="16"/>
                <w:color w:val="auto"/>
              </w:rPr>
            </w:pPr>
          </w:p>
        </w:tc>
        <w:tc>
          <w:tcPr>
            <w:tcW w:w="1040" w:type="dxa"/>
            <w:vAlign w:val="bottom"/>
          </w:tcPr>
          <w:p>
            <w:pPr>
              <w:jc w:val="right"/>
              <w:ind w:right="175"/>
              <w:spacing w:after="0" w:line="189" w:lineRule="exact"/>
              <w:rPr>
                <w:sz w:val="20"/>
                <w:szCs w:val="20"/>
                <w:color w:val="auto"/>
              </w:rPr>
            </w:pPr>
            <w:r>
              <w:rPr>
                <w:rFonts w:ascii="Arial" w:cs="Arial" w:eastAsia="Arial" w:hAnsi="Arial"/>
                <w:sz w:val="18"/>
                <w:szCs w:val="18"/>
                <w:color w:val="auto"/>
              </w:rPr>
              <w:t>83,695</w:t>
            </w:r>
          </w:p>
        </w:tc>
        <w:tc>
          <w:tcPr>
            <w:tcW w:w="11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440" w:type="dxa"/>
            <w:vAlign w:val="bottom"/>
            <w:shd w:val="clear" w:color="auto" w:fill="E5E5E5"/>
          </w:tcPr>
          <w:p>
            <w:pPr>
              <w:spacing w:after="0"/>
              <w:rPr>
                <w:sz w:val="16"/>
                <w:szCs w:val="16"/>
                <w:color w:val="auto"/>
              </w:rPr>
            </w:pPr>
          </w:p>
        </w:tc>
        <w:tc>
          <w:tcPr>
            <w:tcW w:w="84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20,364</w:t>
            </w:r>
          </w:p>
        </w:tc>
        <w:tc>
          <w:tcPr>
            <w:tcW w:w="340" w:type="dxa"/>
            <w:vAlign w:val="bottom"/>
            <w:shd w:val="clear" w:color="auto" w:fill="E5E5E5"/>
          </w:tcPr>
          <w:p>
            <w:pPr>
              <w:spacing w:after="0"/>
              <w:rPr>
                <w:sz w:val="16"/>
                <w:szCs w:val="16"/>
                <w:color w:val="auto"/>
              </w:rPr>
            </w:pPr>
          </w:p>
        </w:tc>
        <w:tc>
          <w:tcPr>
            <w:tcW w:w="1020" w:type="dxa"/>
            <w:vAlign w:val="bottom"/>
            <w:shd w:val="clear" w:color="auto" w:fill="E5E5E5"/>
          </w:tcPr>
          <w:p>
            <w:pPr>
              <w:jc w:val="right"/>
              <w:ind w:right="155"/>
              <w:spacing w:after="0" w:line="189" w:lineRule="exact"/>
              <w:rPr>
                <w:sz w:val="20"/>
                <w:szCs w:val="20"/>
                <w:color w:val="auto"/>
              </w:rPr>
            </w:pPr>
            <w:r>
              <w:rPr>
                <w:rFonts w:ascii="Arial" w:cs="Arial" w:eastAsia="Arial" w:hAnsi="Arial"/>
                <w:sz w:val="18"/>
                <w:szCs w:val="18"/>
                <w:color w:val="auto"/>
              </w:rPr>
              <w:t>17,048</w:t>
            </w:r>
          </w:p>
        </w:tc>
        <w:tc>
          <w:tcPr>
            <w:tcW w:w="108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color w:val="auto"/>
              </w:rPr>
              <w:t>19%</w:t>
            </w:r>
          </w:p>
        </w:tc>
        <w:tc>
          <w:tcPr>
            <w:tcW w:w="34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62,849</w:t>
            </w:r>
          </w:p>
        </w:tc>
        <w:tc>
          <w:tcPr>
            <w:tcW w:w="34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175"/>
              <w:spacing w:after="0" w:line="189" w:lineRule="exact"/>
              <w:rPr>
                <w:sz w:val="20"/>
                <w:szCs w:val="20"/>
                <w:color w:val="auto"/>
              </w:rPr>
            </w:pPr>
            <w:r>
              <w:rPr>
                <w:rFonts w:ascii="Arial" w:cs="Arial" w:eastAsia="Arial" w:hAnsi="Arial"/>
                <w:sz w:val="18"/>
                <w:szCs w:val="18"/>
                <w:color w:val="auto"/>
              </w:rPr>
              <w:t>50,821</w:t>
            </w:r>
          </w:p>
        </w:tc>
        <w:tc>
          <w:tcPr>
            <w:tcW w:w="11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9"/>
        </w:trPr>
        <w:tc>
          <w:tcPr>
            <w:tcW w:w="380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16"/>
                <w:szCs w:val="16"/>
                <w:color w:val="auto"/>
              </w:rPr>
            </w:pPr>
          </w:p>
        </w:tc>
        <w:tc>
          <w:tcPr>
            <w:tcW w:w="840" w:type="dxa"/>
            <w:vAlign w:val="bottom"/>
          </w:tcPr>
          <w:p>
            <w:pPr>
              <w:jc w:val="right"/>
              <w:ind w:right="35"/>
              <w:spacing w:after="0" w:line="189" w:lineRule="exact"/>
              <w:rPr>
                <w:sz w:val="20"/>
                <w:szCs w:val="20"/>
                <w:color w:val="auto"/>
              </w:rPr>
            </w:pPr>
            <w:r>
              <w:rPr>
                <w:rFonts w:ascii="Arial" w:cs="Arial" w:eastAsia="Arial" w:hAnsi="Arial"/>
                <w:sz w:val="18"/>
                <w:szCs w:val="18"/>
                <w:b w:val="1"/>
                <w:bCs w:val="1"/>
                <w:color w:val="auto"/>
              </w:rPr>
              <w:t>16,728</w:t>
            </w:r>
          </w:p>
        </w:tc>
        <w:tc>
          <w:tcPr>
            <w:tcW w:w="340" w:type="dxa"/>
            <w:vAlign w:val="bottom"/>
          </w:tcPr>
          <w:p>
            <w:pPr>
              <w:spacing w:after="0"/>
              <w:rPr>
                <w:sz w:val="16"/>
                <w:szCs w:val="16"/>
                <w:color w:val="auto"/>
              </w:rPr>
            </w:pPr>
          </w:p>
        </w:tc>
        <w:tc>
          <w:tcPr>
            <w:tcW w:w="1020" w:type="dxa"/>
            <w:vAlign w:val="bottom"/>
          </w:tcPr>
          <w:p>
            <w:pPr>
              <w:jc w:val="right"/>
              <w:ind w:right="155"/>
              <w:spacing w:after="0" w:line="189" w:lineRule="exact"/>
              <w:rPr>
                <w:sz w:val="20"/>
                <w:szCs w:val="20"/>
                <w:color w:val="auto"/>
              </w:rPr>
            </w:pPr>
            <w:r>
              <w:rPr>
                <w:rFonts w:ascii="Arial" w:cs="Arial" w:eastAsia="Arial" w:hAnsi="Arial"/>
                <w:sz w:val="18"/>
                <w:szCs w:val="18"/>
                <w:color w:val="auto"/>
              </w:rPr>
              <w:t>15,457</w:t>
            </w:r>
          </w:p>
        </w:tc>
        <w:tc>
          <w:tcPr>
            <w:tcW w:w="1080" w:type="dxa"/>
            <w:vAlign w:val="bottom"/>
          </w:tcPr>
          <w:p>
            <w:pPr>
              <w:jc w:val="right"/>
              <w:ind w:right="15"/>
              <w:spacing w:after="0" w:line="189" w:lineRule="exact"/>
              <w:rPr>
                <w:sz w:val="20"/>
                <w:szCs w:val="20"/>
                <w:color w:val="auto"/>
              </w:rPr>
            </w:pPr>
            <w:r>
              <w:rPr>
                <w:rFonts w:ascii="Arial" w:cs="Arial" w:eastAsia="Arial" w:hAnsi="Arial"/>
                <w:sz w:val="18"/>
                <w:szCs w:val="18"/>
                <w:color w:val="auto"/>
              </w:rPr>
              <w:t>8%</w:t>
            </w:r>
          </w:p>
        </w:tc>
        <w:tc>
          <w:tcPr>
            <w:tcW w:w="340" w:type="dxa"/>
            <w:vAlign w:val="bottom"/>
          </w:tcPr>
          <w:p>
            <w:pPr>
              <w:spacing w:after="0"/>
              <w:rPr>
                <w:sz w:val="16"/>
                <w:szCs w:val="16"/>
                <w:color w:val="auto"/>
              </w:rPr>
            </w:pPr>
          </w:p>
        </w:tc>
        <w:tc>
          <w:tcPr>
            <w:tcW w:w="900" w:type="dxa"/>
            <w:vAlign w:val="bottom"/>
          </w:tcPr>
          <w:p>
            <w:pPr>
              <w:jc w:val="right"/>
              <w:ind w:right="35"/>
              <w:spacing w:after="0" w:line="189" w:lineRule="exact"/>
              <w:rPr>
                <w:sz w:val="20"/>
                <w:szCs w:val="20"/>
                <w:color w:val="auto"/>
              </w:rPr>
            </w:pPr>
            <w:r>
              <w:rPr>
                <w:rFonts w:ascii="Arial" w:cs="Arial" w:eastAsia="Arial" w:hAnsi="Arial"/>
                <w:sz w:val="18"/>
                <w:szCs w:val="18"/>
                <w:b w:val="1"/>
                <w:bCs w:val="1"/>
                <w:color w:val="auto"/>
              </w:rPr>
              <w:t>55,998</w:t>
            </w:r>
          </w:p>
        </w:tc>
        <w:tc>
          <w:tcPr>
            <w:tcW w:w="340" w:type="dxa"/>
            <w:vAlign w:val="bottom"/>
          </w:tcPr>
          <w:p>
            <w:pPr>
              <w:spacing w:after="0"/>
              <w:rPr>
                <w:sz w:val="16"/>
                <w:szCs w:val="16"/>
                <w:color w:val="auto"/>
              </w:rPr>
            </w:pPr>
          </w:p>
        </w:tc>
        <w:tc>
          <w:tcPr>
            <w:tcW w:w="1040" w:type="dxa"/>
            <w:vAlign w:val="bottom"/>
          </w:tcPr>
          <w:p>
            <w:pPr>
              <w:jc w:val="right"/>
              <w:ind w:right="175"/>
              <w:spacing w:after="0" w:line="189" w:lineRule="exact"/>
              <w:rPr>
                <w:sz w:val="20"/>
                <w:szCs w:val="20"/>
                <w:color w:val="auto"/>
              </w:rPr>
            </w:pPr>
            <w:r>
              <w:rPr>
                <w:rFonts w:ascii="Arial" w:cs="Arial" w:eastAsia="Arial" w:hAnsi="Arial"/>
                <w:sz w:val="18"/>
                <w:szCs w:val="18"/>
                <w:color w:val="auto"/>
              </w:rPr>
              <w:t>44,813</w:t>
            </w:r>
          </w:p>
        </w:tc>
        <w:tc>
          <w:tcPr>
            <w:tcW w:w="11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Diluted earnings per share</w:t>
            </w:r>
          </w:p>
        </w:tc>
        <w:tc>
          <w:tcPr>
            <w:tcW w:w="440" w:type="dxa"/>
            <w:vAlign w:val="bottom"/>
            <w:shd w:val="clear" w:color="auto" w:fill="E5E5E5"/>
          </w:tcPr>
          <w:p>
            <w:pPr>
              <w:spacing w:after="0"/>
              <w:rPr>
                <w:sz w:val="16"/>
                <w:szCs w:val="16"/>
                <w:color w:val="auto"/>
              </w:rPr>
            </w:pPr>
          </w:p>
        </w:tc>
        <w:tc>
          <w:tcPr>
            <w:tcW w:w="84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2.22</w:t>
            </w:r>
          </w:p>
        </w:tc>
        <w:tc>
          <w:tcPr>
            <w:tcW w:w="340" w:type="dxa"/>
            <w:vAlign w:val="bottom"/>
            <w:shd w:val="clear" w:color="auto" w:fill="E5E5E5"/>
          </w:tcPr>
          <w:p>
            <w:pPr>
              <w:spacing w:after="0"/>
              <w:rPr>
                <w:sz w:val="16"/>
                <w:szCs w:val="16"/>
                <w:color w:val="auto"/>
              </w:rPr>
            </w:pPr>
          </w:p>
        </w:tc>
        <w:tc>
          <w:tcPr>
            <w:tcW w:w="1020" w:type="dxa"/>
            <w:vAlign w:val="bottom"/>
            <w:shd w:val="clear" w:color="auto" w:fill="E5E5E5"/>
          </w:tcPr>
          <w:p>
            <w:pPr>
              <w:jc w:val="right"/>
              <w:ind w:right="155"/>
              <w:spacing w:after="0" w:line="189" w:lineRule="exact"/>
              <w:rPr>
                <w:sz w:val="20"/>
                <w:szCs w:val="20"/>
                <w:color w:val="auto"/>
              </w:rPr>
            </w:pPr>
            <w:r>
              <w:rPr>
                <w:rFonts w:ascii="Arial" w:cs="Arial" w:eastAsia="Arial" w:hAnsi="Arial"/>
                <w:sz w:val="18"/>
                <w:szCs w:val="18"/>
                <w:color w:val="auto"/>
              </w:rPr>
              <w:t>2.03</w:t>
            </w:r>
          </w:p>
        </w:tc>
        <w:tc>
          <w:tcPr>
            <w:tcW w:w="108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color w:val="auto"/>
              </w:rPr>
              <w:t>9%</w:t>
            </w:r>
          </w:p>
        </w:tc>
        <w:tc>
          <w:tcPr>
            <w:tcW w:w="34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7.41</w:t>
            </w:r>
          </w:p>
        </w:tc>
        <w:tc>
          <w:tcPr>
            <w:tcW w:w="34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175"/>
              <w:spacing w:after="0" w:line="189" w:lineRule="exact"/>
              <w:rPr>
                <w:sz w:val="20"/>
                <w:szCs w:val="20"/>
                <w:color w:val="auto"/>
              </w:rPr>
            </w:pPr>
            <w:r>
              <w:rPr>
                <w:rFonts w:ascii="Arial" w:cs="Arial" w:eastAsia="Arial" w:hAnsi="Arial"/>
                <w:sz w:val="18"/>
                <w:szCs w:val="18"/>
                <w:color w:val="auto"/>
              </w:rPr>
              <w:t>5.88</w:t>
            </w:r>
          </w:p>
        </w:tc>
        <w:tc>
          <w:tcPr>
            <w:tcW w:w="11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0"/>
                <w:szCs w:val="20"/>
                <w:color w:val="auto"/>
              </w:rPr>
            </w:pPr>
            <w:r>
              <w:rPr>
                <w:rFonts w:ascii="Arial" w:cs="Arial" w:eastAsia="Arial" w:hAnsi="Arial"/>
                <w:sz w:val="18"/>
                <w:szCs w:val="18"/>
                <w:color w:val="auto"/>
              </w:rPr>
              <w:t>Adjusted net income (non-GAAP)</w:t>
            </w:r>
          </w:p>
        </w:tc>
        <w:tc>
          <w:tcPr>
            <w:tcW w:w="440" w:type="dxa"/>
            <w:vAlign w:val="bottom"/>
          </w:tcPr>
          <w:p>
            <w:pPr>
              <w:spacing w:after="0"/>
              <w:rPr>
                <w:sz w:val="22"/>
                <w:szCs w:val="22"/>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b w:val="1"/>
                <w:bCs w:val="1"/>
                <w:color w:val="auto"/>
              </w:rPr>
              <w:t>16,728</w:t>
            </w:r>
          </w:p>
        </w:tc>
        <w:tc>
          <w:tcPr>
            <w:tcW w:w="340" w:type="dxa"/>
            <w:vAlign w:val="bottom"/>
          </w:tcPr>
          <w:p>
            <w:pPr>
              <w:spacing w:after="0"/>
              <w:rPr>
                <w:sz w:val="22"/>
                <w:szCs w:val="22"/>
                <w:color w:val="auto"/>
              </w:rPr>
            </w:pP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14,837</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2"/>
                <w:szCs w:val="22"/>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b w:val="1"/>
                <w:bCs w:val="1"/>
                <w:color w:val="auto"/>
              </w:rPr>
              <w:t>52,707</w:t>
            </w:r>
          </w:p>
        </w:tc>
        <w:tc>
          <w:tcPr>
            <w:tcW w:w="340" w:type="dxa"/>
            <w:vAlign w:val="bottom"/>
          </w:tcPr>
          <w:p>
            <w:pPr>
              <w:spacing w:after="0"/>
              <w:rPr>
                <w:sz w:val="22"/>
                <w:szCs w:val="22"/>
                <w:color w:val="auto"/>
              </w:rPr>
            </w:pPr>
          </w:p>
        </w:tc>
        <w:tc>
          <w:tcPr>
            <w:tcW w:w="1040" w:type="dxa"/>
            <w:vAlign w:val="bottom"/>
          </w:tcPr>
          <w:p>
            <w:pPr>
              <w:jc w:val="right"/>
              <w:ind w:right="175"/>
              <w:spacing w:after="0"/>
              <w:rPr>
                <w:sz w:val="20"/>
                <w:szCs w:val="20"/>
                <w:color w:val="auto"/>
              </w:rPr>
            </w:pPr>
            <w:r>
              <w:rPr>
                <w:rFonts w:ascii="Arial" w:cs="Arial" w:eastAsia="Arial" w:hAnsi="Arial"/>
                <w:sz w:val="18"/>
                <w:szCs w:val="18"/>
                <w:color w:val="auto"/>
              </w:rPr>
              <w:t>44,193</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5"/>
        </w:trPr>
        <w:tc>
          <w:tcPr>
            <w:tcW w:w="380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Adjusted diluted earnings per share (non-</w:t>
            </w:r>
          </w:p>
        </w:tc>
        <w:tc>
          <w:tcPr>
            <w:tcW w:w="440" w:type="dxa"/>
            <w:vAlign w:val="bottom"/>
            <w:shd w:val="clear" w:color="auto" w:fill="E5E5E5"/>
          </w:tcPr>
          <w:p>
            <w:pPr>
              <w:spacing w:after="0"/>
              <w:rPr>
                <w:sz w:val="15"/>
                <w:szCs w:val="15"/>
                <w:color w:val="auto"/>
              </w:rPr>
            </w:pPr>
          </w:p>
        </w:tc>
        <w:tc>
          <w:tcPr>
            <w:tcW w:w="840" w:type="dxa"/>
            <w:vAlign w:val="bottom"/>
            <w:vMerge w:val="restart"/>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2.22</w:t>
            </w:r>
          </w:p>
        </w:tc>
        <w:tc>
          <w:tcPr>
            <w:tcW w:w="340" w:type="dxa"/>
            <w:vAlign w:val="bottom"/>
            <w:shd w:val="clear" w:color="auto" w:fill="E5E5E5"/>
          </w:tcPr>
          <w:p>
            <w:pPr>
              <w:spacing w:after="0"/>
              <w:rPr>
                <w:sz w:val="15"/>
                <w:szCs w:val="15"/>
                <w:color w:val="auto"/>
              </w:rPr>
            </w:pPr>
          </w:p>
        </w:tc>
        <w:tc>
          <w:tcPr>
            <w:tcW w:w="1020" w:type="dxa"/>
            <w:vAlign w:val="bottom"/>
            <w:shd w:val="clear" w:color="auto" w:fill="E5E5E5"/>
          </w:tcPr>
          <w:p>
            <w:pPr>
              <w:spacing w:after="0"/>
              <w:rPr>
                <w:sz w:val="15"/>
                <w:szCs w:val="15"/>
                <w:color w:val="auto"/>
              </w:rPr>
            </w:pPr>
          </w:p>
        </w:tc>
        <w:tc>
          <w:tcPr>
            <w:tcW w:w="108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900" w:type="dxa"/>
            <w:vAlign w:val="bottom"/>
            <w:vMerge w:val="restart"/>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6.98</w:t>
            </w:r>
          </w:p>
        </w:tc>
        <w:tc>
          <w:tcPr>
            <w:tcW w:w="34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E5E5E5"/>
          </w:tcPr>
          <w:p>
            <w:pPr>
              <w:ind w:left="220"/>
              <w:spacing w:after="0" w:line="203" w:lineRule="exact"/>
              <w:rPr>
                <w:sz w:val="20"/>
                <w:szCs w:val="20"/>
                <w:color w:val="auto"/>
              </w:rPr>
            </w:pPr>
            <w:r>
              <w:rPr>
                <w:rFonts w:ascii="Arial" w:cs="Arial" w:eastAsia="Arial" w:hAnsi="Arial"/>
                <w:sz w:val="18"/>
                <w:szCs w:val="18"/>
                <w:color w:val="auto"/>
              </w:rPr>
              <w:t>GAAP)</w:t>
            </w:r>
          </w:p>
        </w:tc>
        <w:tc>
          <w:tcPr>
            <w:tcW w:w="440" w:type="dxa"/>
            <w:vAlign w:val="bottom"/>
            <w:shd w:val="clear" w:color="auto" w:fill="E5E5E5"/>
          </w:tcPr>
          <w:p>
            <w:pPr>
              <w:spacing w:after="0"/>
              <w:rPr>
                <w:sz w:val="17"/>
                <w:szCs w:val="17"/>
                <w:color w:val="auto"/>
              </w:rPr>
            </w:pPr>
          </w:p>
        </w:tc>
        <w:tc>
          <w:tcPr>
            <w:tcW w:w="840" w:type="dxa"/>
            <w:vAlign w:val="bottom"/>
            <w:vMerge w:val="continue"/>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20" w:type="dxa"/>
            <w:vAlign w:val="bottom"/>
            <w:shd w:val="clear" w:color="auto" w:fill="E5E5E5"/>
          </w:tcPr>
          <w:p>
            <w:pPr>
              <w:jc w:val="right"/>
              <w:ind w:right="155"/>
              <w:spacing w:after="0" w:line="203" w:lineRule="exact"/>
              <w:rPr>
                <w:sz w:val="20"/>
                <w:szCs w:val="20"/>
                <w:color w:val="auto"/>
              </w:rPr>
            </w:pPr>
            <w:r>
              <w:rPr>
                <w:rFonts w:ascii="Arial" w:cs="Arial" w:eastAsia="Arial" w:hAnsi="Arial"/>
                <w:sz w:val="18"/>
                <w:szCs w:val="18"/>
                <w:color w:val="auto"/>
              </w:rPr>
              <w:t>1.95</w:t>
            </w:r>
          </w:p>
        </w:tc>
        <w:tc>
          <w:tcPr>
            <w:tcW w:w="1080" w:type="dxa"/>
            <w:vAlign w:val="bottom"/>
            <w:shd w:val="clear" w:color="auto" w:fill="E5E5E5"/>
          </w:tcPr>
          <w:p>
            <w:pPr>
              <w:jc w:val="right"/>
              <w:ind w:right="15"/>
              <w:spacing w:after="0" w:line="203" w:lineRule="exact"/>
              <w:rPr>
                <w:sz w:val="20"/>
                <w:szCs w:val="20"/>
                <w:color w:val="auto"/>
              </w:rPr>
            </w:pPr>
            <w:r>
              <w:rPr>
                <w:rFonts w:ascii="Arial" w:cs="Arial" w:eastAsia="Arial" w:hAnsi="Arial"/>
                <w:sz w:val="18"/>
                <w:szCs w:val="18"/>
                <w:color w:val="auto"/>
              </w:rPr>
              <w:t>14%</w:t>
            </w:r>
          </w:p>
        </w:tc>
        <w:tc>
          <w:tcPr>
            <w:tcW w:w="340" w:type="dxa"/>
            <w:vAlign w:val="bottom"/>
            <w:shd w:val="clear" w:color="auto" w:fill="E5E5E5"/>
          </w:tcPr>
          <w:p>
            <w:pPr>
              <w:spacing w:after="0"/>
              <w:rPr>
                <w:sz w:val="17"/>
                <w:szCs w:val="17"/>
                <w:color w:val="auto"/>
              </w:rPr>
            </w:pPr>
          </w:p>
        </w:tc>
        <w:tc>
          <w:tcPr>
            <w:tcW w:w="900" w:type="dxa"/>
            <w:vAlign w:val="bottom"/>
            <w:vMerge w:val="continue"/>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40" w:type="dxa"/>
            <w:vAlign w:val="bottom"/>
            <w:shd w:val="clear" w:color="auto" w:fill="E5E5E5"/>
          </w:tcPr>
          <w:p>
            <w:pPr>
              <w:jc w:val="right"/>
              <w:ind w:right="175"/>
              <w:spacing w:after="0" w:line="203" w:lineRule="exact"/>
              <w:rPr>
                <w:sz w:val="20"/>
                <w:szCs w:val="20"/>
                <w:color w:val="auto"/>
              </w:rPr>
            </w:pPr>
            <w:r>
              <w:rPr>
                <w:rFonts w:ascii="Arial" w:cs="Arial" w:eastAsia="Arial" w:hAnsi="Arial"/>
                <w:sz w:val="18"/>
                <w:szCs w:val="18"/>
                <w:color w:val="auto"/>
              </w:rPr>
              <w:t>5.80</w:t>
            </w:r>
          </w:p>
        </w:tc>
        <w:tc>
          <w:tcPr>
            <w:tcW w:w="1100" w:type="dxa"/>
            <w:vAlign w:val="bottom"/>
            <w:gridSpan w:val="2"/>
            <w:shd w:val="clear" w:color="auto" w:fill="E5E5E5"/>
          </w:tcPr>
          <w:p>
            <w:pPr>
              <w:jc w:val="right"/>
              <w:ind w:right="120"/>
              <w:spacing w:after="0" w:line="203"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68"/>
        </w:trPr>
        <w:tc>
          <w:tcPr>
            <w:tcW w:w="38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Adjusted net income and adjusted diluted earnings per share (“EPS”) are non-GAAP financial measures which exclude the net income tax benefit related to transfer of intangible properties in the first quarter of fiscal year 2022 and the net income tax benefit related to an India Supreme Court decision on withholding taxes in the third quarter of fiscal year 2021. Refer to the Non-GAAP Financial Measures section below for a reconciliation of our financial results reported in accordance with GAAP to non-GAAP financial results. Refer to Note 11 – Income Taxes of the Notes to Financial Statements (Part I, Item 1 of this Form 10-Q) for further discussion.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Compared with Three Months Ended March 31, 2021</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increased $7.7 billion or 18% driven by growth across each of our segments. Intelligent Cloud revenue increased driven by Azure and other cloud services. Productivity and Business Processes revenue increased driven by Office 365 Commercial and LinkedIn. More Personal Computing revenue increased driven by Windows and Search and news advertising.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increased $2.6 billion or 20% driven by growth in Microsoft Cloud.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Gross margin increased $5.1 billion or 18% driven by growth across each of our segments.</w:t>
      </w:r>
    </w:p>
    <w:p>
      <w:pPr>
        <w:spacing w:after="0" w:line="63" w:lineRule="exact"/>
        <w:rPr>
          <w:sz w:val="20"/>
          <w:szCs w:val="20"/>
          <w:color w:val="auto"/>
        </w:rPr>
      </w:pPr>
    </w:p>
    <w:p>
      <w:pPr>
        <w:jc w:val="both"/>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Gross margin percentage decreased slightly. Excluding the impact of the change in accounting estimate for the useful lives of our server and network equipment, gross margin percentage increased 1 point driven by improvements in Productivity and Business Processes and Intelligent Cloud.</w:t>
      </w:r>
    </w:p>
    <w:p>
      <w:pPr>
        <w:spacing w:after="0" w:line="54" w:lineRule="exact"/>
        <w:rPr>
          <w:rFonts w:ascii="Arial" w:cs="Arial" w:eastAsia="Arial" w:hAnsi="Arial"/>
          <w:sz w:val="18"/>
          <w:szCs w:val="18"/>
          <w:color w:val="auto"/>
        </w:rPr>
      </w:pPr>
    </w:p>
    <w:p>
      <w:pPr>
        <w:jc w:val="both"/>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Microsoft Cloud gross margin percentage decreased slightly to 70%. Excluding the impact of the change in accounting estimate, Microsoft Cloud gross margin percentage increased 3 points driven by improvement across our cloud services, offset in part by sales mix shift to Azure and other cloud services.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increased $1.8 billion or 15% driven by investments in cloud engineering, LinkedIn, and commercial sales.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Key changes in operating expenses were:</w:t>
      </w:r>
    </w:p>
    <w:p>
      <w:pPr>
        <w:spacing w:after="0" w:line="63" w:lineRule="exact"/>
        <w:rPr>
          <w:sz w:val="20"/>
          <w:szCs w:val="20"/>
          <w:color w:val="auto"/>
        </w:rPr>
      </w:pPr>
    </w:p>
    <w:p>
      <w:pPr>
        <w:ind w:left="1060" w:hanging="391"/>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Research and development expenses increased $1.1 billion or 21% driven by investments in cloud engineering.</w:t>
      </w:r>
    </w:p>
    <w:p>
      <w:pPr>
        <w:spacing w:after="0" w:line="6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and marketing expenses increased $513 million or 10% driven by investments in commercial sales and LinkedIn. Sales and marketing included a favorable foreign currency impact of 3%.</w:t>
      </w:r>
    </w:p>
    <w:p>
      <w:pPr>
        <w:spacing w:after="0" w:line="48"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and administrative expenses increased $153 million or 12% driven by investments in corporate functions. General and administrative included a favorable foreign currency impact of 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$3.3 billion or 19% driven by growth across each of our segments.</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Prior year net income and diluted EPS were positively impacted by the tax benefit related to the India Supreme Court decision on withholding taxes, which resulted in an increase to net income and diluted EPS of $620 million and $0.08, respectively.</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Revenue, gross margin, and operating income included an unfavorable foreign currency impact of 3%, 3%, and 4%, respectively. Operating expenses included a favorable foreign currency impact of 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7" w:name="page38"/>
    <w:bookmarkEnd w:id="37"/>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2022 Compared with Nine Months Ended March 31, 2021</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increased $24.5 billion or 20% driven by growth across each of our segments. Intelligent Cloud revenue increased driven by Azure and other cloud services. Productivity and Business Processes revenue increased driven by Office 365 Commercial and LinkedIn. More Personal Computing revenue increased driven by Windows, Search and news advertising, and Gaming.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increased $8.0 billion or 21% driven by growth in Microsoft Cloud.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Gross margin increased $16.5 billion or 20% driven by growth across each of our segments.</w:t>
      </w:r>
    </w:p>
    <w:p>
      <w:pPr>
        <w:spacing w:after="0" w:line="77" w:lineRule="exact"/>
        <w:rPr>
          <w:sz w:val="20"/>
          <w:szCs w:val="20"/>
          <w:color w:val="auto"/>
        </w:rPr>
      </w:pPr>
    </w:p>
    <w:p>
      <w:pPr>
        <w:ind w:left="1060" w:hanging="391"/>
        <w:spacing w:after="0" w:line="246"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margin percentage decreased slightly. Excluding the impact of the change in accounting estimate, gross margin percentage increased 2 points driven by improvements across each of our segments.</w:t>
      </w:r>
    </w:p>
    <w:p>
      <w:pPr>
        <w:spacing w:after="0" w:line="48" w:lineRule="exact"/>
        <w:rPr>
          <w:rFonts w:ascii="Arial" w:cs="Arial" w:eastAsia="Arial" w:hAnsi="Arial"/>
          <w:sz w:val="18"/>
          <w:szCs w:val="18"/>
          <w:color w:val="auto"/>
        </w:rPr>
      </w:pPr>
    </w:p>
    <w:p>
      <w:pPr>
        <w:jc w:val="both"/>
        <w:ind w:left="1060" w:hanging="391"/>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Microsoft Cloud gross margin percentage decreased slightly to 70%. Excluding the impact of the change in accounting estimate, Microsoft Cloud gross margin percentage increased 3 points driven by improvement across our cloud services, offset in part by sales mix shift to Azure and other cloud services.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increased $4.5 billion or 14% driven by investments in cloud engineering, LinkedIn, Gaming, and commercial sales.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Key changes in operating expenses were:</w:t>
      </w:r>
    </w:p>
    <w:p>
      <w:pPr>
        <w:spacing w:after="0" w:line="77" w:lineRule="exact"/>
        <w:rPr>
          <w:sz w:val="20"/>
          <w:szCs w:val="20"/>
          <w:color w:val="auto"/>
        </w:rPr>
      </w:pPr>
    </w:p>
    <w:p>
      <w:pPr>
        <w:ind w:left="1060" w:hanging="39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Research and development expenses increased $2.6 billion or 18% driven by investments in cloud engineering and Gaming.</w:t>
      </w:r>
    </w:p>
    <w:p>
      <w:pPr>
        <w:spacing w:after="0" w:line="63" w:lineRule="exact"/>
        <w:rPr>
          <w:rFonts w:ascii="Arial" w:cs="Arial" w:eastAsia="Arial" w:hAnsi="Arial"/>
          <w:sz w:val="18"/>
          <w:szCs w:val="18"/>
          <w:color w:val="auto"/>
        </w:rPr>
      </w:pPr>
    </w:p>
    <w:p>
      <w:pPr>
        <w:ind w:left="1060" w:right="20" w:hanging="391"/>
        <w:spacing w:after="0" w:line="246"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and marketing expenses increased $1.3 billion or 9% driven by investments in commercial sales, LinkedIn, and Windows marketing.</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and administrative expenses increased $566 million or 16% driven by investments in corporate functions.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$12.0 billion or 24% driven by growth across each of our segments.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Current year net income and diluted EPS were positively impacted by the net tax benefit related to the transfer of intangible properties, which resulted in an increase to net income and diluted EPS of $3.3 billion and $0.43, respectively. Prior year net income and diluted EPS were positively impacted by the net tax benefit related to the India Supreme Court decision on withholding taxes, which resulted in an increase to net income and diluted EPS of $620 million and $0.08, respectively.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SEGMENT 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0" w:type="dxa"/>
            <w:vAlign w:val="bottom"/>
            <w:gridSpan w:val="5"/>
          </w:tcPr>
          <w:p>
            <w:pPr>
              <w:jc w:val="right"/>
              <w:ind w:right="260"/>
              <w:spacing w:after="0"/>
              <w:rPr>
                <w:sz w:val="20"/>
                <w:szCs w:val="20"/>
                <w:color w:val="auto"/>
              </w:rPr>
            </w:pPr>
            <w:r>
              <w:rPr>
                <w:rFonts w:ascii="Arial" w:cs="Arial" w:eastAsia="Arial" w:hAnsi="Arial"/>
                <w:sz w:val="13"/>
                <w:szCs w:val="13"/>
                <w:b w:val="1"/>
                <w:bCs w:val="1"/>
                <w:color w:val="auto"/>
              </w:rPr>
              <w:t>Three Months Ended</w:t>
            </w:r>
          </w:p>
        </w:tc>
        <w:tc>
          <w:tcPr>
            <w:tcW w:w="1180" w:type="dxa"/>
            <w:vAlign w:val="bottom"/>
          </w:tcPr>
          <w:p>
            <w:pPr>
              <w:jc w:val="right"/>
              <w:ind w:right="115"/>
              <w:spacing w:after="0"/>
              <w:rPr>
                <w:sz w:val="20"/>
                <w:szCs w:val="20"/>
                <w:color w:val="auto"/>
              </w:rPr>
            </w:pPr>
            <w:r>
              <w:rPr>
                <w:rFonts w:ascii="Arial" w:cs="Arial" w:eastAsia="Arial" w:hAnsi="Arial"/>
                <w:sz w:val="13"/>
                <w:szCs w:val="13"/>
                <w:b w:val="1"/>
                <w:bCs w:val="1"/>
                <w:color w:val="auto"/>
              </w:rPr>
              <w:t>Percentage</w:t>
            </w:r>
          </w:p>
        </w:tc>
        <w:tc>
          <w:tcPr>
            <w:tcW w:w="220" w:type="dxa"/>
            <w:vAlign w:val="bottom"/>
          </w:tcPr>
          <w:p>
            <w:pPr>
              <w:spacing w:after="0"/>
              <w:rPr>
                <w:sz w:val="12"/>
                <w:szCs w:val="12"/>
                <w:color w:val="auto"/>
              </w:rPr>
            </w:pPr>
          </w:p>
        </w:tc>
        <w:tc>
          <w:tcPr>
            <w:tcW w:w="2240" w:type="dxa"/>
            <w:vAlign w:val="bottom"/>
            <w:gridSpan w:val="6"/>
          </w:tcPr>
          <w:p>
            <w:pPr>
              <w:jc w:val="right"/>
              <w:ind w:right="240"/>
              <w:spacing w:after="0"/>
              <w:rPr>
                <w:sz w:val="20"/>
                <w:szCs w:val="20"/>
                <w:color w:val="auto"/>
              </w:rPr>
            </w:pPr>
            <w:r>
              <w:rPr>
                <w:rFonts w:ascii="Arial" w:cs="Arial" w:eastAsia="Arial" w:hAnsi="Arial"/>
                <w:sz w:val="13"/>
                <w:szCs w:val="13"/>
                <w:b w:val="1"/>
                <w:bCs w:val="1"/>
                <w:color w:val="auto"/>
              </w:rPr>
              <w:t>Nine Months Ended</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8"/>
        </w:trPr>
        <w:tc>
          <w:tcPr>
            <w:tcW w:w="348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March 31,</w:t>
            </w:r>
          </w:p>
        </w:tc>
        <w:tc>
          <w:tcPr>
            <w:tcW w:w="1180" w:type="dxa"/>
            <w:vAlign w:val="bottom"/>
          </w:tcPr>
          <w:p>
            <w:pPr>
              <w:jc w:val="right"/>
              <w:ind w:right="115"/>
              <w:spacing w:after="0"/>
              <w:rPr>
                <w:sz w:val="20"/>
                <w:szCs w:val="20"/>
                <w:color w:val="auto"/>
              </w:rPr>
            </w:pPr>
            <w:r>
              <w:rPr>
                <w:rFonts w:ascii="Arial" w:cs="Arial" w:eastAsia="Arial" w:hAnsi="Arial"/>
                <w:sz w:val="13"/>
                <w:szCs w:val="13"/>
                <w:b w:val="1"/>
                <w:bCs w:val="1"/>
                <w:color w:val="auto"/>
              </w:rPr>
              <w:t>Change</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March 31,</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4"/>
        </w:trPr>
        <w:tc>
          <w:tcPr>
            <w:tcW w:w="34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2021</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82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15,789</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13,552</w:t>
            </w:r>
          </w:p>
        </w:tc>
        <w:tc>
          <w:tcPr>
            <w:tcW w:w="1180" w:type="dxa"/>
            <w:vAlign w:val="bottom"/>
            <w:shd w:val="clear" w:color="auto" w:fill="E5E5E5"/>
          </w:tcPr>
          <w:p>
            <w:pPr>
              <w:jc w:val="right"/>
              <w:ind w:right="115"/>
              <w:spacing w:after="0" w:line="189" w:lineRule="exact"/>
              <w:rPr>
                <w:sz w:val="20"/>
                <w:szCs w:val="20"/>
                <w:color w:val="auto"/>
              </w:rPr>
            </w:pPr>
            <w:r>
              <w:rPr>
                <w:rFonts w:ascii="Arial" w:cs="Arial" w:eastAsia="Arial" w:hAnsi="Arial"/>
                <w:sz w:val="18"/>
                <w:szCs w:val="18"/>
                <w:color w:val="auto"/>
              </w:rPr>
              <w:t>17%</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46,764</w:t>
            </w:r>
          </w:p>
        </w:tc>
        <w:tc>
          <w:tcPr>
            <w:tcW w:w="3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39,224</w:t>
            </w: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9"/>
        </w:trPr>
        <w:tc>
          <w:tcPr>
            <w:tcW w:w="348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19,051</w:t>
            </w:r>
          </w:p>
        </w:tc>
        <w:tc>
          <w:tcPr>
            <w:tcW w:w="200" w:type="dxa"/>
            <w:vAlign w:val="bottom"/>
          </w:tcPr>
          <w:p>
            <w:pPr>
              <w:spacing w:after="0"/>
              <w:rPr>
                <w:sz w:val="16"/>
                <w:szCs w:val="16"/>
                <w:color w:val="auto"/>
              </w:rPr>
            </w:pPr>
          </w:p>
        </w:tc>
        <w:tc>
          <w:tcPr>
            <w:tcW w:w="106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15,118</w:t>
            </w:r>
          </w:p>
        </w:tc>
        <w:tc>
          <w:tcPr>
            <w:tcW w:w="1180" w:type="dxa"/>
            <w:vAlign w:val="bottom"/>
          </w:tcPr>
          <w:p>
            <w:pPr>
              <w:jc w:val="right"/>
              <w:ind w:right="115"/>
              <w:spacing w:after="0" w:line="189" w:lineRule="exact"/>
              <w:rPr>
                <w:sz w:val="20"/>
                <w:szCs w:val="20"/>
                <w:color w:val="auto"/>
              </w:rPr>
            </w:pPr>
            <w:r>
              <w:rPr>
                <w:rFonts w:ascii="Arial" w:cs="Arial" w:eastAsia="Arial" w:hAnsi="Arial"/>
                <w:sz w:val="18"/>
                <w:szCs w:val="18"/>
                <w:color w:val="auto"/>
              </w:rPr>
              <w:t>26%</w:t>
            </w:r>
          </w:p>
        </w:tc>
        <w:tc>
          <w:tcPr>
            <w:tcW w:w="22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54,342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42,705</w:t>
            </w:r>
          </w:p>
        </w:tc>
        <w:tc>
          <w:tcPr>
            <w:tcW w:w="11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9"/>
        </w:trPr>
        <w:tc>
          <w:tcPr>
            <w:tcW w:w="3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5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14,520</w:t>
            </w:r>
          </w:p>
        </w:tc>
        <w:tc>
          <w:tcPr>
            <w:tcW w:w="2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13,036</w:t>
            </w:r>
          </w:p>
        </w:tc>
        <w:tc>
          <w:tcPr>
            <w:tcW w:w="1180" w:type="dxa"/>
            <w:vAlign w:val="bottom"/>
            <w:shd w:val="clear" w:color="auto" w:fill="E5E5E5"/>
          </w:tcPr>
          <w:p>
            <w:pPr>
              <w:jc w:val="right"/>
              <w:ind w:right="115"/>
              <w:spacing w:after="0" w:line="189" w:lineRule="exact"/>
              <w:rPr>
                <w:sz w:val="20"/>
                <w:szCs w:val="20"/>
                <w:color w:val="auto"/>
              </w:rPr>
            </w:pPr>
            <w:r>
              <w:rPr>
                <w:rFonts w:ascii="Arial" w:cs="Arial" w:eastAsia="Arial" w:hAnsi="Arial"/>
                <w:sz w:val="18"/>
                <w:szCs w:val="18"/>
                <w:color w:val="auto"/>
              </w:rPr>
              <w:t>11%</w:t>
            </w:r>
          </w:p>
        </w:tc>
        <w:tc>
          <w:tcPr>
            <w:tcW w:w="2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45,299</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40,007</w:t>
            </w: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68"/>
        </w:trPr>
        <w:tc>
          <w:tcPr>
            <w:tcW w:w="34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gridSpan w:val="2"/>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480" w:type="dxa"/>
            <w:vAlign w:val="bottom"/>
          </w:tcPr>
          <w:p>
            <w:pPr>
              <w:ind w:left="220"/>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49,360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41,706</w:t>
            </w: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18%</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146,405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121,936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61"/>
        </w:trPr>
        <w:tc>
          <w:tcPr>
            <w:tcW w:w="348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5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4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3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82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7,184</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6,029</w:t>
            </w:r>
          </w:p>
        </w:tc>
        <w:tc>
          <w:tcPr>
            <w:tcW w:w="1180" w:type="dxa"/>
            <w:vAlign w:val="bottom"/>
            <w:shd w:val="clear" w:color="auto" w:fill="E5E5E5"/>
          </w:tcPr>
          <w:p>
            <w:pPr>
              <w:jc w:val="right"/>
              <w:ind w:right="115"/>
              <w:spacing w:after="0" w:line="189" w:lineRule="exact"/>
              <w:rPr>
                <w:sz w:val="20"/>
                <w:szCs w:val="20"/>
                <w:color w:val="auto"/>
              </w:rPr>
            </w:pPr>
            <w:r>
              <w:rPr>
                <w:rFonts w:ascii="Arial" w:cs="Arial" w:eastAsia="Arial" w:hAnsi="Arial"/>
                <w:sz w:val="18"/>
                <w:szCs w:val="18"/>
                <w:color w:val="auto"/>
              </w:rPr>
              <w:t>19%</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22,453</w:t>
            </w:r>
          </w:p>
        </w:tc>
        <w:tc>
          <w:tcPr>
            <w:tcW w:w="3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17,916</w:t>
            </w: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9"/>
        </w:trPr>
        <w:tc>
          <w:tcPr>
            <w:tcW w:w="348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8,281</w:t>
            </w:r>
          </w:p>
        </w:tc>
        <w:tc>
          <w:tcPr>
            <w:tcW w:w="200" w:type="dxa"/>
            <w:vAlign w:val="bottom"/>
          </w:tcPr>
          <w:p>
            <w:pPr>
              <w:spacing w:after="0"/>
              <w:rPr>
                <w:sz w:val="16"/>
                <w:szCs w:val="16"/>
                <w:color w:val="auto"/>
              </w:rPr>
            </w:pPr>
          </w:p>
        </w:tc>
        <w:tc>
          <w:tcPr>
            <w:tcW w:w="106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6,425</w:t>
            </w:r>
          </w:p>
        </w:tc>
        <w:tc>
          <w:tcPr>
            <w:tcW w:w="1180" w:type="dxa"/>
            <w:vAlign w:val="bottom"/>
          </w:tcPr>
          <w:p>
            <w:pPr>
              <w:jc w:val="right"/>
              <w:ind w:right="115"/>
              <w:spacing w:after="0" w:line="189" w:lineRule="exact"/>
              <w:rPr>
                <w:sz w:val="20"/>
                <w:szCs w:val="20"/>
                <w:color w:val="auto"/>
              </w:rPr>
            </w:pPr>
            <w:r>
              <w:rPr>
                <w:rFonts w:ascii="Arial" w:cs="Arial" w:eastAsia="Arial" w:hAnsi="Arial"/>
                <w:sz w:val="18"/>
                <w:szCs w:val="18"/>
                <w:color w:val="auto"/>
              </w:rPr>
              <w:t>29%</w:t>
            </w:r>
          </w:p>
        </w:tc>
        <w:tc>
          <w:tcPr>
            <w:tcW w:w="22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24,040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18,339</w:t>
            </w:r>
          </w:p>
        </w:tc>
        <w:tc>
          <w:tcPr>
            <w:tcW w:w="11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9"/>
        </w:trPr>
        <w:tc>
          <w:tcPr>
            <w:tcW w:w="3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5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4,899</w:t>
            </w:r>
          </w:p>
        </w:tc>
        <w:tc>
          <w:tcPr>
            <w:tcW w:w="2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4,594</w:t>
            </w:r>
          </w:p>
        </w:tc>
        <w:tc>
          <w:tcPr>
            <w:tcW w:w="1180" w:type="dxa"/>
            <w:vAlign w:val="bottom"/>
            <w:shd w:val="clear" w:color="auto" w:fill="E5E5E5"/>
          </w:tcPr>
          <w:p>
            <w:pPr>
              <w:jc w:val="right"/>
              <w:ind w:right="115"/>
              <w:spacing w:after="0" w:line="189" w:lineRule="exact"/>
              <w:rPr>
                <w:sz w:val="20"/>
                <w:szCs w:val="20"/>
                <w:color w:val="auto"/>
              </w:rPr>
            </w:pPr>
            <w:r>
              <w:rPr>
                <w:rFonts w:ascii="Arial" w:cs="Arial" w:eastAsia="Arial" w:hAnsi="Arial"/>
                <w:sz w:val="18"/>
                <w:szCs w:val="18"/>
                <w:color w:val="auto"/>
              </w:rPr>
              <w:t>7%</w:t>
            </w:r>
          </w:p>
        </w:tc>
        <w:tc>
          <w:tcPr>
            <w:tcW w:w="2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16,356</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14,566</w:t>
            </w: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68"/>
        </w:trPr>
        <w:tc>
          <w:tcPr>
            <w:tcW w:w="34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gridSpan w:val="2"/>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480" w:type="dxa"/>
            <w:vAlign w:val="bottom"/>
          </w:tcPr>
          <w:p>
            <w:pPr>
              <w:ind w:left="220"/>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20,364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17,048</w:t>
            </w: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19%</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62,849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50,821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61"/>
        </w:trPr>
        <w:tc>
          <w:tcPr>
            <w:tcW w:w="3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5"/>
        </w:trPr>
        <w:tc>
          <w:tcPr>
            <w:tcW w:w="3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76"/>
              <w:spacing w:after="0"/>
              <w:rPr>
                <w:sz w:val="20"/>
                <w:szCs w:val="20"/>
                <w:color w:val="auto"/>
              </w:rPr>
            </w:pPr>
            <w:r>
              <w:rPr>
                <w:rFonts w:ascii="Arial" w:cs="Arial" w:eastAsia="Arial" w:hAnsi="Arial"/>
                <w:sz w:val="14"/>
                <w:szCs w:val="14"/>
                <w:color w:val="auto"/>
              </w:rPr>
              <w:t>38</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4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8" w:name="page39"/>
    <w:bookmarkEnd w:id="38"/>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Compared with Three Months Ended March 31,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$2.2 billion or 17%.</w:t>
      </w:r>
    </w:p>
    <w:p>
      <w:pPr>
        <w:spacing w:after="0" w:line="77" w:lineRule="exact"/>
        <w:rPr>
          <w:sz w:val="20"/>
          <w:szCs w:val="20"/>
          <w:color w:val="auto"/>
        </w:rPr>
      </w:pPr>
    </w:p>
    <w:p>
      <w:pPr>
        <w:jc w:val="both"/>
        <w:ind w:left="1060" w:hanging="391"/>
        <w:spacing w:after="0" w:line="238"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Office Commercial products and cloud services revenue increased $999 million or 12%. Office 365 Commercial revenue grew 17% driven by seat growth of 16%, with continued momentum in small and medium business and frontline worker offerings, as well as growth in revenue per user. Office Commercial products revenue declined 28% driven by continued customer shift to cloud offerings.</w:t>
      </w:r>
    </w:p>
    <w:p>
      <w:pPr>
        <w:spacing w:after="0" w:line="56"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Office Consumer products and cloud services revenue increased $150 million or 11% driven by Microsoft 365 Consumer subscription revenue. Microsoft 365 Consumer subscribers grew 16% to 58.4 million.</w:t>
      </w:r>
    </w:p>
    <w:p>
      <w:pPr>
        <w:spacing w:after="0" w:line="48"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LinkedIn revenue increased $875 million or 34% driven by a strong job market in our Talent Solutions business and advertising demand in our Marketing Solutions business.</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Dynamics products and cloud services revenue increased 22% driven by Dynamics 365 growth of 35%.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$1.2 billion or 19%.</w:t>
      </w:r>
    </w:p>
    <w:p>
      <w:pPr>
        <w:spacing w:after="0" w:line="77" w:lineRule="exact"/>
        <w:rPr>
          <w:sz w:val="20"/>
          <w:szCs w:val="20"/>
          <w:color w:val="auto"/>
        </w:rPr>
      </w:pPr>
    </w:p>
    <w:p>
      <w:pPr>
        <w:jc w:val="both"/>
        <w:ind w:left="1060" w:hanging="39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margin increased $1.7 billion or 16% driven by growth in Office 365 Commercial and LinkedIn. Gross margin percentage was relatively unchanged. Excluding the impact of the change in accounting estimate, gross margin percentage increased 2 points driven by improvement across all cloud services.</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expenses increased $565 million or 13% driven by investments in LinkedIn and cloud engineering.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Revenue, gross margin, and operating income included an unfavorable foreign currency impact of 2%, 3%, and 4%,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$3.9 billion or 26%.</w:t>
      </w:r>
    </w:p>
    <w:p>
      <w:pPr>
        <w:spacing w:after="0" w:line="63" w:lineRule="exact"/>
        <w:rPr>
          <w:sz w:val="20"/>
          <w:szCs w:val="20"/>
          <w:color w:val="auto"/>
        </w:rPr>
      </w:pPr>
    </w:p>
    <w:p>
      <w:pPr>
        <w:jc w:val="both"/>
        <w:ind w:left="1060" w:hanging="39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$3.8 billion or 29% driven by Azure and other cloud services. Azure and other cloud services revenue grew 46% driven by growth in our consumption-based services. Server products revenue increased 5% driven by hybrid solutions, including Windows Server and SQL Server running in multi-cloud environments.</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Enterprise Services revenue increased $88 million or 5% driven by growth in Enterprise Support Services.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$1.9 billion or 29%.</w:t>
      </w:r>
    </w:p>
    <w:p>
      <w:pPr>
        <w:spacing w:after="0" w:line="63" w:lineRule="exact"/>
        <w:rPr>
          <w:sz w:val="20"/>
          <w:szCs w:val="20"/>
          <w:color w:val="auto"/>
        </w:rPr>
      </w:pPr>
    </w:p>
    <w:p>
      <w:pPr>
        <w:jc w:val="both"/>
        <w:ind w:left="1060" w:hanging="391"/>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Gross margin increased $2.6 billion or 24% driven by growth in Azure and other cloud services. Gross margin percentage decreased. Excluding the impact of the change in accounting estimate, gross margin percentage increased 1 point driven by improvement in Azure and other cloud services, offset in part by sales mix shift to Azure and other cloud services.</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expenses increased $753 million or 17% driven by investments in Azure and other cloud services.</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Revenue, gross margin, and operating income included an unfavorable foreign currency impact of 3%, 3%, and 4%, respectively. Operating expenses included a favorable foreign currency impact of 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$1.5 billion or 11%.</w:t>
      </w:r>
    </w:p>
    <w:p>
      <w:pPr>
        <w:spacing w:after="0" w:line="63" w:lineRule="exact"/>
        <w:rPr>
          <w:sz w:val="20"/>
          <w:szCs w:val="20"/>
          <w:color w:val="auto"/>
        </w:rPr>
      </w:pPr>
    </w:p>
    <w:p>
      <w:pPr>
        <w:jc w:val="both"/>
        <w:ind w:left="1060" w:hanging="391"/>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Windows revenue increased $614 million or 11% driven by growth in Windows OEM and Windows Commercial. Windows OEM revenue increased 11% driven by continued strength in the commercial PC market, which has higher revenue per license. Windows Commercial products and cloud services revenue increased 14% driven by demand for Microsoft 365.</w:t>
      </w:r>
    </w:p>
    <w:p>
      <w:pPr>
        <w:spacing w:after="0" w:line="54"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Search and news advertising revenue increased $544 million or 23%. Search and news advertising revenue excluding traffic acquisition costs increased 23% driven by higher revenue per search and search volume.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9" w:name="page40"/>
    <w:bookmarkEnd w:id="39"/>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69" w:lineRule="exact"/>
        <w:rPr>
          <w:sz w:val="20"/>
          <w:szCs w:val="20"/>
          <w:color w:val="auto"/>
        </w:rPr>
      </w:pPr>
    </w:p>
    <w:p>
      <w:pPr>
        <w:jc w:val="both"/>
        <w:ind w:left="1060" w:hanging="391"/>
        <w:spacing w:after="0" w:line="238"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Gaming revenue increased $207 million or 6% on a strong prior year comparable that benefited from Xbox Series X|S launches, driven by growth in Xbox content and services and Xbox Hardware. Xbox content and services revenue increased 4% driven by growth in Xbox Game Pass subscriptions and first-party titles, offset in part by a decline in third-party titles. Xbox hardware revenue increased 14% due to continued demand for Xbox Series X|S.</w:t>
      </w:r>
    </w:p>
    <w:p>
      <w:pPr>
        <w:spacing w:after="0" w:line="56" w:lineRule="exact"/>
        <w:rPr>
          <w:rFonts w:ascii="Arial" w:cs="Arial" w:eastAsia="Arial" w:hAnsi="Arial"/>
          <w:sz w:val="18"/>
          <w:szCs w:val="18"/>
          <w:color w:val="auto"/>
        </w:rPr>
      </w:pPr>
    </w:p>
    <w:p>
      <w:pPr>
        <w:ind w:left="1060" w:hanging="391"/>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Surface revenue increased $195 million or 13%.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$305 million or 7%.</w:t>
      </w:r>
    </w:p>
    <w:p>
      <w:pPr>
        <w:spacing w:after="0" w:line="63" w:lineRule="exact"/>
        <w:rPr>
          <w:sz w:val="20"/>
          <w:szCs w:val="20"/>
          <w:color w:val="auto"/>
        </w:rPr>
      </w:pPr>
    </w:p>
    <w:p>
      <w:pPr>
        <w:ind w:left="1060" w:hanging="391"/>
        <w:spacing w:after="0" w:line="246"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Gross margin increased $755 million or 10% driven by growth in Windows and Search and news advertising. Gross margin percentage decreased slightly.</w:t>
      </w:r>
    </w:p>
    <w:p>
      <w:pPr>
        <w:spacing w:after="0" w:line="48"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expenses increased $450 million or 17% driven by investments in Gaming, Search and news advertising, and Windows marketing.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Revenue, gross margin, and operating income included an unfavorable foreign currency impact of 2%, 3%, and 3%,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2022 Compared with Nine Months Ended March 31,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$7.5 billion or 19%.</w:t>
      </w:r>
    </w:p>
    <w:p>
      <w:pPr>
        <w:spacing w:after="0" w:line="77" w:lineRule="exact"/>
        <w:rPr>
          <w:sz w:val="20"/>
          <w:szCs w:val="20"/>
          <w:color w:val="auto"/>
        </w:rPr>
      </w:pPr>
    </w:p>
    <w:p>
      <w:pPr>
        <w:jc w:val="both"/>
        <w:ind w:left="1060" w:hanging="391"/>
        <w:spacing w:after="0" w:line="238"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Office Commercial products and cloud services revenue increased $3.5 billion or 14%. Office 365 Commercial revenue grew 20% driven by seat growth of 16%, with continued momentum in small and medium business and frontline worker offerings, as well as growth in revenue per user. Office Commercial products revenue declined 19% driven by continued customer shift to cloud offerings, on a low prior year comparable impacted by a slowdown in transactional licensing.</w:t>
      </w:r>
    </w:p>
    <w:p>
      <w:pPr>
        <w:spacing w:after="0" w:line="56"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Office Consumer products and cloud services revenue increased $505 million or 12% driven by Microsoft 365 Consumer subscription revenue.</w:t>
      </w:r>
    </w:p>
    <w:p>
      <w:pPr>
        <w:spacing w:after="0" w:line="48"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LinkedIn revenue increased $2.8 billion or 38% driven by a strong job market in our Talent Solutions business and advertising demand in our Marketing Solutions business.</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Dynamics products and cloud services revenue increased 27% driven by Dynamics 365 growth of 42%.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$4.5 billion or 25%.</w:t>
      </w:r>
    </w:p>
    <w:p>
      <w:pPr>
        <w:spacing w:after="0" w:line="77" w:lineRule="exact"/>
        <w:rPr>
          <w:sz w:val="20"/>
          <w:szCs w:val="20"/>
          <w:color w:val="auto"/>
        </w:rPr>
      </w:pPr>
    </w:p>
    <w:p>
      <w:pPr>
        <w:jc w:val="both"/>
        <w:ind w:left="1060" w:hanging="391"/>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Gross margin increased $5.9 billion or 19% driven by growth in Office 365 Commercial and LinkedIn. Gross margin percentage was relatively unchanged. Excluding the impact of the change in accounting estimate, gross margin percentage increased 2 points driven by improvement across all cloud services.</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expenses increased $1.4 billion or 11% driven by investments in cloud engineering and LinkedIn.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$11.6 billion or 27%.</w:t>
      </w:r>
    </w:p>
    <w:p>
      <w:pPr>
        <w:spacing w:after="0" w:line="63" w:lineRule="exact"/>
        <w:rPr>
          <w:sz w:val="20"/>
          <w:szCs w:val="20"/>
          <w:color w:val="auto"/>
        </w:rPr>
      </w:pPr>
    </w:p>
    <w:p>
      <w:pPr>
        <w:jc w:val="both"/>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$11.4 billion or 31% driven by Azure and other cloud services. Azure and other cloud services revenue grew 47% driven by growth in our consumption-based services. Server products revenue increased 8% driven by hybrid solutions, including Windows Server and SQL Server running in multi-cloud environments.</w:t>
      </w:r>
    </w:p>
    <w:p>
      <w:pPr>
        <w:spacing w:after="0" w:line="54" w:lineRule="exact"/>
        <w:rPr>
          <w:rFonts w:ascii="Arial" w:cs="Arial" w:eastAsia="Arial" w:hAnsi="Arial"/>
          <w:sz w:val="18"/>
          <w:szCs w:val="18"/>
          <w:color w:val="auto"/>
        </w:rPr>
      </w:pPr>
    </w:p>
    <w:p>
      <w:pPr>
        <w:ind w:left="1060" w:right="20" w:hanging="391"/>
        <w:spacing w:after="0" w:line="246"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Enterprise Services revenue increased $370 million or 7% driven by growth in Enterprise Support Services and Microsoft Consulting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$5.7 billion or 31%.</w:t>
      </w:r>
    </w:p>
    <w:p>
      <w:pPr>
        <w:spacing w:after="0" w:line="63" w:lineRule="exact"/>
        <w:rPr>
          <w:sz w:val="20"/>
          <w:szCs w:val="20"/>
          <w:color w:val="auto"/>
        </w:rPr>
      </w:pPr>
    </w:p>
    <w:p>
      <w:pPr>
        <w:jc w:val="both"/>
        <w:ind w:left="1060" w:hanging="391"/>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Gross margin increased $7.5 billion or 24% driven by growth in Azure and other cloud services. Gross margin percentage decreased. Excluding the impact of the change in accounting estimate, gross margin percentage increased 1 point driven by improvement in Azure and other cloud services, offset in part by sales mix shift to Azure and other cloud services.</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expenses increased $1.8 billion or 15% driven by investments in Azure and other cloud services.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0" w:name="page41"/>
    <w:bookmarkEnd w:id="40"/>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$5.3 billion or 13%.</w:t>
      </w:r>
    </w:p>
    <w:p>
      <w:pPr>
        <w:spacing w:after="0" w:line="77" w:lineRule="exact"/>
        <w:rPr>
          <w:sz w:val="20"/>
          <w:szCs w:val="20"/>
          <w:color w:val="auto"/>
        </w:rPr>
      </w:pPr>
    </w:p>
    <w:p>
      <w:pPr>
        <w:jc w:val="both"/>
        <w:ind w:left="1060" w:right="20" w:hanging="391"/>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Windows revenue increased $2.2 billion or 14% driven by growth in Windows OEM and Windows Commercial. Windows OEM revenue increased 16% driven by continued strength in the commercial PC market, which has higher revenue per license. Windows Commercial products and cloud services revenue increased 13% driven by demand for Microsoft 365.</w:t>
      </w:r>
    </w:p>
    <w:p>
      <w:pPr>
        <w:spacing w:after="0" w:line="54"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Search and news advertising revenue increased $1.9 billion or 29%. Search and news advertising revenue excluding traffic acquisition costs increased 31% driven by higher revenue per search.</w:t>
      </w:r>
    </w:p>
    <w:p>
      <w:pPr>
        <w:spacing w:after="0" w:line="48" w:lineRule="exact"/>
        <w:rPr>
          <w:rFonts w:ascii="Arial" w:cs="Arial" w:eastAsia="Arial" w:hAnsi="Arial"/>
          <w:sz w:val="18"/>
          <w:szCs w:val="18"/>
          <w:color w:val="auto"/>
        </w:rPr>
      </w:pPr>
    </w:p>
    <w:p>
      <w:pPr>
        <w:jc w:val="both"/>
        <w:ind w:left="1060" w:hanging="391"/>
        <w:spacing w:after="0" w:line="238"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Gaming revenue increased $1.1 billion or 10% on a strong prior year comparable that benefited from Xbox Series X|S launches and stay-at-home scenarios, driven by growth in Xbox hardware and Xbox content and services. Xbox hardware revenue increased 25% due to continued demand for Xbox Series X|S. Xbox content and services revenue increased 6% driven by growth in first-party titles and Xbox Game Pass subscriptions, offset in part by a decline in third-party titles.</w:t>
      </w:r>
    </w:p>
    <w:p>
      <w:pPr>
        <w:spacing w:after="0" w:line="56" w:lineRule="exact"/>
        <w:rPr>
          <w:rFonts w:ascii="Arial" w:cs="Arial" w:eastAsia="Arial" w:hAnsi="Arial"/>
          <w:sz w:val="18"/>
          <w:szCs w:val="18"/>
          <w:color w:val="auto"/>
        </w:rPr>
      </w:pPr>
    </w:p>
    <w:p>
      <w:pPr>
        <w:ind w:left="1060" w:hanging="391"/>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Surface revenue increased $90 million or 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$1.8 billion or 12%.</w:t>
      </w:r>
    </w:p>
    <w:p>
      <w:pPr>
        <w:spacing w:after="0" w:line="77" w:lineRule="exact"/>
        <w:rPr>
          <w:sz w:val="20"/>
          <w:szCs w:val="20"/>
          <w:color w:val="auto"/>
        </w:rPr>
      </w:pPr>
    </w:p>
    <w:p>
      <w:pPr>
        <w:jc w:val="both"/>
        <w:ind w:left="1060" w:hanging="391"/>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Gross margin increased $3.0 billion or 14% driven by growth in Windows and Search and news advertising. Gross margin percentage increased slightly driven by sales mix shift to higher margin businesses and improvement in Search and news advertising.</w:t>
      </w:r>
    </w:p>
    <w:p>
      <w:pPr>
        <w:spacing w:after="0" w:line="54" w:lineRule="exact"/>
        <w:rPr>
          <w:rFonts w:ascii="Arial" w:cs="Arial" w:eastAsia="Arial" w:hAnsi="Arial"/>
          <w:sz w:val="18"/>
          <w:szCs w:val="18"/>
          <w:color w:val="auto"/>
        </w:rPr>
      </w:pPr>
    </w:p>
    <w:p>
      <w:pPr>
        <w:ind w:left="1060" w:right="20" w:hanging="391"/>
        <w:spacing w:after="0" w:line="246"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Operating expenses increased $1.3 billion or 16% driven by investments in Gaming, Windows marketing, and Search and news advertising.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EXPENSES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160" w:type="dxa"/>
            <w:vAlign w:val="bottom"/>
            <w:gridSpan w:val="3"/>
          </w:tcPr>
          <w:p>
            <w:pPr>
              <w:jc w:val="right"/>
              <w:ind w:right="181"/>
              <w:spacing w:after="0"/>
              <w:rPr>
                <w:sz w:val="20"/>
                <w:szCs w:val="20"/>
                <w:color w:val="auto"/>
              </w:rPr>
            </w:pPr>
            <w:r>
              <w:rPr>
                <w:rFonts w:ascii="Arial" w:cs="Arial" w:eastAsia="Arial" w:hAnsi="Arial"/>
                <w:sz w:val="13"/>
                <w:szCs w:val="13"/>
                <w:b w:val="1"/>
                <w:bCs w:val="1"/>
                <w:color w:val="auto"/>
              </w:rPr>
              <w:t>Three Months Ended</w:t>
            </w:r>
          </w:p>
        </w:tc>
        <w:tc>
          <w:tcPr>
            <w:tcW w:w="1100" w:type="dxa"/>
            <w:vAlign w:val="bottom"/>
          </w:tcPr>
          <w:p>
            <w:pPr>
              <w:jc w:val="right"/>
              <w:ind w:right="41"/>
              <w:spacing w:after="0"/>
              <w:rPr>
                <w:sz w:val="20"/>
                <w:szCs w:val="20"/>
                <w:color w:val="auto"/>
              </w:rPr>
            </w:pPr>
            <w:r>
              <w:rPr>
                <w:rFonts w:ascii="Arial" w:cs="Arial" w:eastAsia="Arial" w:hAnsi="Arial"/>
                <w:sz w:val="13"/>
                <w:szCs w:val="13"/>
                <w:b w:val="1"/>
                <w:bCs w:val="1"/>
                <w:color w:val="auto"/>
              </w:rPr>
              <w:t>Percentage</w:t>
            </w:r>
          </w:p>
        </w:tc>
        <w:tc>
          <w:tcPr>
            <w:tcW w:w="380" w:type="dxa"/>
            <w:vAlign w:val="bottom"/>
          </w:tcPr>
          <w:p>
            <w:pPr>
              <w:spacing w:after="0"/>
              <w:rPr>
                <w:sz w:val="13"/>
                <w:szCs w:val="13"/>
                <w:color w:val="auto"/>
              </w:rPr>
            </w:pPr>
          </w:p>
        </w:tc>
        <w:tc>
          <w:tcPr>
            <w:tcW w:w="2220" w:type="dxa"/>
            <w:vAlign w:val="bottom"/>
            <w:gridSpan w:val="3"/>
          </w:tcPr>
          <w:p>
            <w:pPr>
              <w:jc w:val="right"/>
              <w:ind w:right="181"/>
              <w:spacing w:after="0"/>
              <w:rPr>
                <w:sz w:val="20"/>
                <w:szCs w:val="20"/>
                <w:color w:val="auto"/>
              </w:rPr>
            </w:pPr>
            <w:r>
              <w:rPr>
                <w:rFonts w:ascii="Arial" w:cs="Arial" w:eastAsia="Arial" w:hAnsi="Arial"/>
                <w:sz w:val="13"/>
                <w:szCs w:val="13"/>
                <w:b w:val="1"/>
                <w:bCs w:val="1"/>
                <w:color w:val="auto"/>
              </w:rPr>
              <w:t>Nine Months Ended</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r>
      <w:tr>
        <w:trPr>
          <w:trHeight w:val="178"/>
        </w:trPr>
        <w:tc>
          <w:tcPr>
            <w:tcW w:w="310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1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181"/>
              <w:spacing w:after="0"/>
              <w:rPr>
                <w:sz w:val="20"/>
                <w:szCs w:val="20"/>
                <w:color w:val="auto"/>
              </w:rPr>
            </w:pPr>
            <w:r>
              <w:rPr>
                <w:rFonts w:ascii="Arial" w:cs="Arial" w:eastAsia="Arial" w:hAnsi="Arial"/>
                <w:sz w:val="13"/>
                <w:szCs w:val="13"/>
                <w:b w:val="1"/>
                <w:bCs w:val="1"/>
                <w:color w:val="auto"/>
              </w:rPr>
              <w:t>March 31,</w:t>
            </w:r>
          </w:p>
        </w:tc>
        <w:tc>
          <w:tcPr>
            <w:tcW w:w="1100" w:type="dxa"/>
            <w:vAlign w:val="bottom"/>
          </w:tcPr>
          <w:p>
            <w:pPr>
              <w:jc w:val="right"/>
              <w:ind w:right="41"/>
              <w:spacing w:after="0"/>
              <w:rPr>
                <w:sz w:val="20"/>
                <w:szCs w:val="20"/>
                <w:color w:val="auto"/>
              </w:rPr>
            </w:pPr>
            <w:r>
              <w:rPr>
                <w:rFonts w:ascii="Arial" w:cs="Arial" w:eastAsia="Arial" w:hAnsi="Arial"/>
                <w:sz w:val="13"/>
                <w:szCs w:val="13"/>
                <w:b w:val="1"/>
                <w:bCs w:val="1"/>
                <w:color w:val="auto"/>
              </w:rPr>
              <w:t>Change</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181"/>
              <w:spacing w:after="0"/>
              <w:rPr>
                <w:sz w:val="20"/>
                <w:szCs w:val="20"/>
                <w:color w:val="auto"/>
              </w:rPr>
            </w:pPr>
            <w:r>
              <w:rPr>
                <w:rFonts w:ascii="Arial" w:cs="Arial" w:eastAsia="Arial" w:hAnsi="Arial"/>
                <w:sz w:val="13"/>
                <w:szCs w:val="13"/>
                <w:b w:val="1"/>
                <w:bCs w:val="1"/>
                <w:color w:val="auto"/>
              </w:rPr>
              <w:t>March 31,</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Change</w:t>
            </w:r>
          </w:p>
        </w:tc>
      </w:tr>
      <w:tr>
        <w:trPr>
          <w:trHeight w:val="55"/>
        </w:trPr>
        <w:tc>
          <w:tcPr>
            <w:tcW w:w="3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3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Arial" w:cs="Arial" w:eastAsia="Arial" w:hAnsi="Arial"/>
                <w:sz w:val="13"/>
                <w:szCs w:val="13"/>
                <w:b w:val="1"/>
                <w:bCs w:val="1"/>
                <w:color w:val="auto"/>
              </w:rPr>
              <w:t>2022</w:t>
            </w:r>
          </w:p>
        </w:tc>
        <w:tc>
          <w:tcPr>
            <w:tcW w:w="340" w:type="dxa"/>
            <w:vAlign w:val="bottom"/>
          </w:tcPr>
          <w:p>
            <w:pPr>
              <w:spacing w:after="0"/>
              <w:rPr>
                <w:sz w:val="19"/>
                <w:szCs w:val="19"/>
                <w:color w:val="auto"/>
              </w:rPr>
            </w:pPr>
          </w:p>
        </w:tc>
        <w:tc>
          <w:tcPr>
            <w:tcW w:w="1020" w:type="dxa"/>
            <w:vAlign w:val="bottom"/>
          </w:tcPr>
          <w:p>
            <w:pPr>
              <w:jc w:val="right"/>
              <w:ind w:right="181"/>
              <w:spacing w:after="0"/>
              <w:rPr>
                <w:sz w:val="20"/>
                <w:szCs w:val="20"/>
                <w:color w:val="auto"/>
              </w:rPr>
            </w:pPr>
            <w:r>
              <w:rPr>
                <w:rFonts w:ascii="Arial" w:cs="Arial" w:eastAsia="Arial" w:hAnsi="Arial"/>
                <w:sz w:val="13"/>
                <w:szCs w:val="13"/>
                <w:b w:val="1"/>
                <w:bCs w:val="1"/>
                <w:color w:val="auto"/>
              </w:rPr>
              <w:t>2021</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21"/>
              <w:spacing w:after="0"/>
              <w:rPr>
                <w:sz w:val="20"/>
                <w:szCs w:val="20"/>
                <w:color w:val="auto"/>
              </w:rPr>
            </w:pPr>
            <w:r>
              <w:rPr>
                <w:rFonts w:ascii="Arial" w:cs="Arial" w:eastAsia="Arial" w:hAnsi="Arial"/>
                <w:sz w:val="13"/>
                <w:szCs w:val="13"/>
                <w:b w:val="1"/>
                <w:bCs w:val="1"/>
                <w:color w:val="auto"/>
              </w:rPr>
              <w:t>2022</w:t>
            </w:r>
          </w:p>
        </w:tc>
        <w:tc>
          <w:tcPr>
            <w:tcW w:w="360" w:type="dxa"/>
            <w:vAlign w:val="bottom"/>
          </w:tcPr>
          <w:p>
            <w:pPr>
              <w:spacing w:after="0"/>
              <w:rPr>
                <w:sz w:val="19"/>
                <w:szCs w:val="19"/>
                <w:color w:val="auto"/>
              </w:rPr>
            </w:pPr>
          </w:p>
        </w:tc>
        <w:tc>
          <w:tcPr>
            <w:tcW w:w="1020" w:type="dxa"/>
            <w:vAlign w:val="bottom"/>
          </w:tcPr>
          <w:p>
            <w:pPr>
              <w:jc w:val="right"/>
              <w:ind w:right="181"/>
              <w:spacing w:after="0"/>
              <w:rPr>
                <w:sz w:val="20"/>
                <w:szCs w:val="20"/>
                <w:color w:val="auto"/>
              </w:rPr>
            </w:pPr>
            <w:r>
              <w:rPr>
                <w:rFonts w:ascii="Arial" w:cs="Arial" w:eastAsia="Arial" w:hAnsi="Arial"/>
                <w:sz w:val="13"/>
                <w:szCs w:val="13"/>
                <w:b w:val="1"/>
                <w:bCs w:val="1"/>
                <w:color w:val="auto"/>
              </w:rPr>
              <w:t>2021</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5"/>
        </w:trPr>
        <w:tc>
          <w:tcPr>
            <w:tcW w:w="3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31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ind w:right="41"/>
              <w:spacing w:after="0" w:line="189" w:lineRule="exact"/>
              <w:rPr>
                <w:sz w:val="20"/>
                <w:szCs w:val="20"/>
                <w:color w:val="auto"/>
              </w:rPr>
            </w:pPr>
            <w:r>
              <w:rPr>
                <w:rFonts w:ascii="Arial" w:cs="Arial" w:eastAsia="Arial" w:hAnsi="Arial"/>
                <w:sz w:val="18"/>
                <w:szCs w:val="18"/>
                <w:b w:val="1"/>
                <w:bCs w:val="1"/>
                <w:color w:val="auto"/>
              </w:rPr>
              <w:t>6,306</w:t>
            </w:r>
          </w:p>
        </w:tc>
        <w:tc>
          <w:tcPr>
            <w:tcW w:w="3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161"/>
              <w:spacing w:after="0" w:line="189" w:lineRule="exact"/>
              <w:rPr>
                <w:sz w:val="20"/>
                <w:szCs w:val="20"/>
                <w:color w:val="auto"/>
              </w:rPr>
            </w:pPr>
            <w:r>
              <w:rPr>
                <w:rFonts w:ascii="Arial" w:cs="Arial" w:eastAsia="Arial" w:hAnsi="Arial"/>
                <w:sz w:val="18"/>
                <w:szCs w:val="18"/>
                <w:color w:val="auto"/>
              </w:rPr>
              <w:t>5,204</w:t>
            </w:r>
          </w:p>
        </w:tc>
        <w:tc>
          <w:tcPr>
            <w:tcW w:w="1100" w:type="dxa"/>
            <w:vAlign w:val="bottom"/>
            <w:shd w:val="clear" w:color="auto" w:fill="E5E5E5"/>
          </w:tcPr>
          <w:p>
            <w:pPr>
              <w:jc w:val="right"/>
              <w:ind w:right="41"/>
              <w:spacing w:after="0" w:line="189" w:lineRule="exact"/>
              <w:rPr>
                <w:sz w:val="20"/>
                <w:szCs w:val="20"/>
                <w:color w:val="auto"/>
              </w:rPr>
            </w:pPr>
            <w:r>
              <w:rPr>
                <w:rFonts w:ascii="Arial" w:cs="Arial" w:eastAsia="Arial" w:hAnsi="Arial"/>
                <w:sz w:val="18"/>
                <w:szCs w:val="18"/>
                <w:color w:val="auto"/>
              </w:rPr>
              <w:t>21%</w:t>
            </w:r>
          </w:p>
        </w:tc>
        <w:tc>
          <w:tcPr>
            <w:tcW w:w="3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b w:val="1"/>
                <w:bCs w:val="1"/>
                <w:color w:val="auto"/>
              </w:rPr>
              <w:t>17,663</w:t>
            </w:r>
          </w:p>
        </w:tc>
        <w:tc>
          <w:tcPr>
            <w:tcW w:w="36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181"/>
              <w:spacing w:after="0" w:line="189" w:lineRule="exact"/>
              <w:rPr>
                <w:sz w:val="20"/>
                <w:szCs w:val="20"/>
                <w:color w:val="auto"/>
              </w:rPr>
            </w:pPr>
            <w:r>
              <w:rPr>
                <w:rFonts w:ascii="Arial" w:cs="Arial" w:eastAsia="Arial" w:hAnsi="Arial"/>
                <w:sz w:val="18"/>
                <w:szCs w:val="18"/>
                <w:color w:val="auto"/>
              </w:rPr>
              <w:t>15,029</w:t>
            </w: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18%</w:t>
            </w:r>
          </w:p>
        </w:tc>
        <w:tc>
          <w:tcPr>
            <w:tcW w:w="100" w:type="dxa"/>
            <w:vAlign w:val="bottom"/>
            <w:shd w:val="clear" w:color="auto" w:fill="E5E5E5"/>
          </w:tcPr>
          <w:p>
            <w:pPr>
              <w:spacing w:after="0"/>
              <w:rPr>
                <w:sz w:val="16"/>
                <w:szCs w:val="16"/>
                <w:color w:val="auto"/>
              </w:rPr>
            </w:pPr>
          </w:p>
        </w:tc>
      </w:tr>
      <w:tr>
        <w:trPr>
          <w:trHeight w:val="248"/>
        </w:trPr>
        <w:tc>
          <w:tcPr>
            <w:tcW w:w="3100" w:type="dxa"/>
            <w:vAlign w:val="bottom"/>
          </w:tcPr>
          <w:p>
            <w:pPr>
              <w:spacing w:after="0"/>
              <w:rPr>
                <w:sz w:val="20"/>
                <w:szCs w:val="20"/>
                <w:color w:val="auto"/>
              </w:rPr>
            </w:pPr>
            <w:r>
              <w:rPr>
                <w:rFonts w:ascii="Arial" w:cs="Arial" w:eastAsia="Arial" w:hAnsi="Arial"/>
                <w:sz w:val="18"/>
                <w:szCs w:val="18"/>
                <w:color w:val="auto"/>
              </w:rPr>
              <w:t>As a percent of revenue</w:t>
            </w:r>
          </w:p>
        </w:tc>
        <w:tc>
          <w:tcPr>
            <w:tcW w:w="1200" w:type="dxa"/>
            <w:vAlign w:val="bottom"/>
          </w:tcPr>
          <w:p>
            <w:pPr>
              <w:spacing w:after="0"/>
              <w:rPr>
                <w:sz w:val="21"/>
                <w:szCs w:val="21"/>
                <w:color w:val="auto"/>
              </w:rPr>
            </w:pPr>
          </w:p>
        </w:tc>
        <w:tc>
          <w:tcPr>
            <w:tcW w:w="800" w:type="dxa"/>
            <w:vAlign w:val="bottom"/>
          </w:tcPr>
          <w:p>
            <w:pPr>
              <w:jc w:val="right"/>
              <w:ind w:right="41"/>
              <w:spacing w:after="0"/>
              <w:rPr>
                <w:sz w:val="20"/>
                <w:szCs w:val="20"/>
                <w:color w:val="auto"/>
              </w:rPr>
            </w:pPr>
            <w:r>
              <w:rPr>
                <w:rFonts w:ascii="Arial" w:cs="Arial" w:eastAsia="Arial" w:hAnsi="Arial"/>
                <w:sz w:val="18"/>
                <w:szCs w:val="18"/>
                <w:b w:val="1"/>
                <w:bCs w:val="1"/>
                <w:color w:val="auto"/>
              </w:rPr>
              <w:t>13%</w:t>
            </w:r>
          </w:p>
        </w:tc>
        <w:tc>
          <w:tcPr>
            <w:tcW w:w="340" w:type="dxa"/>
            <w:vAlign w:val="bottom"/>
          </w:tcPr>
          <w:p>
            <w:pPr>
              <w:spacing w:after="0"/>
              <w:rPr>
                <w:sz w:val="21"/>
                <w:szCs w:val="21"/>
                <w:color w:val="auto"/>
              </w:rPr>
            </w:pPr>
          </w:p>
        </w:tc>
        <w:tc>
          <w:tcPr>
            <w:tcW w:w="1020" w:type="dxa"/>
            <w:vAlign w:val="bottom"/>
          </w:tcPr>
          <w:p>
            <w:pPr>
              <w:jc w:val="right"/>
              <w:ind w:right="161"/>
              <w:spacing w:after="0"/>
              <w:rPr>
                <w:sz w:val="20"/>
                <w:szCs w:val="20"/>
                <w:color w:val="auto"/>
              </w:rPr>
            </w:pPr>
            <w:r>
              <w:rPr>
                <w:rFonts w:ascii="Arial" w:cs="Arial" w:eastAsia="Arial" w:hAnsi="Arial"/>
                <w:sz w:val="18"/>
                <w:szCs w:val="18"/>
                <w:color w:val="auto"/>
              </w:rPr>
              <w:t>12%</w:t>
            </w: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1ppt</w:t>
            </w:r>
          </w:p>
        </w:tc>
        <w:tc>
          <w:tcPr>
            <w:tcW w:w="380" w:type="dxa"/>
            <w:vAlign w:val="bottom"/>
          </w:tcPr>
          <w:p>
            <w:pPr>
              <w:spacing w:after="0"/>
              <w:rPr>
                <w:sz w:val="21"/>
                <w:szCs w:val="21"/>
                <w:color w:val="auto"/>
              </w:rPr>
            </w:pPr>
          </w:p>
        </w:tc>
        <w:tc>
          <w:tcPr>
            <w:tcW w:w="840" w:type="dxa"/>
            <w:vAlign w:val="bottom"/>
          </w:tcPr>
          <w:p>
            <w:pPr>
              <w:jc w:val="right"/>
              <w:ind w:right="21"/>
              <w:spacing w:after="0"/>
              <w:rPr>
                <w:sz w:val="20"/>
                <w:szCs w:val="20"/>
                <w:color w:val="auto"/>
              </w:rPr>
            </w:pPr>
            <w:r>
              <w:rPr>
                <w:rFonts w:ascii="Arial" w:cs="Arial" w:eastAsia="Arial" w:hAnsi="Arial"/>
                <w:sz w:val="18"/>
                <w:szCs w:val="18"/>
                <w:b w:val="1"/>
                <w:bCs w:val="1"/>
                <w:color w:val="auto"/>
              </w:rPr>
              <w:t>12%</w:t>
            </w:r>
          </w:p>
        </w:tc>
        <w:tc>
          <w:tcPr>
            <w:tcW w:w="360" w:type="dxa"/>
            <w:vAlign w:val="bottom"/>
          </w:tcPr>
          <w:p>
            <w:pPr>
              <w:spacing w:after="0"/>
              <w:rPr>
                <w:sz w:val="21"/>
                <w:szCs w:val="21"/>
                <w:color w:val="auto"/>
              </w:rPr>
            </w:pPr>
          </w:p>
        </w:tc>
        <w:tc>
          <w:tcPr>
            <w:tcW w:w="1020" w:type="dxa"/>
            <w:vAlign w:val="bottom"/>
          </w:tcPr>
          <w:p>
            <w:pPr>
              <w:jc w:val="right"/>
              <w:ind w:right="181"/>
              <w:spacing w:after="0"/>
              <w:rPr>
                <w:sz w:val="20"/>
                <w:szCs w:val="20"/>
                <w:color w:val="auto"/>
              </w:rPr>
            </w:pPr>
            <w:r>
              <w:rPr>
                <w:rFonts w:ascii="Arial" w:cs="Arial" w:eastAsia="Arial" w:hAnsi="Arial"/>
                <w:sz w:val="18"/>
                <w:szCs w:val="18"/>
                <w:color w:val="auto"/>
              </w:rPr>
              <w:t>12%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0ppt</w:t>
            </w:r>
          </w:p>
        </w:tc>
      </w:tr>
      <w:tr>
        <w:trPr>
          <w:trHeight w:val="22"/>
        </w:trPr>
        <w:tc>
          <w:tcPr>
            <w:tcW w:w="3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localization costs incurred to translate software for international markets, and the amortization of purchased software code and services content.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Compared with Three Months Ended March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$1.1 billion or 21% driven by investments in cloud engineering.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2022 Compared with Nine Months Ended March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$2.6 billion or 18% driven by investments in cloud engineering and Gaming.</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1" w:name="page42"/>
    <w:bookmarkEnd w:id="41"/>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140" w:type="dxa"/>
            <w:vAlign w:val="bottom"/>
            <w:gridSpan w:val="3"/>
          </w:tcPr>
          <w:p>
            <w:pPr>
              <w:jc w:val="right"/>
              <w:ind w:right="161"/>
              <w:spacing w:after="0"/>
              <w:rPr>
                <w:sz w:val="20"/>
                <w:szCs w:val="20"/>
                <w:color w:val="auto"/>
              </w:rPr>
            </w:pPr>
            <w:r>
              <w:rPr>
                <w:rFonts w:ascii="Arial" w:cs="Arial" w:eastAsia="Arial" w:hAnsi="Arial"/>
                <w:sz w:val="13"/>
                <w:szCs w:val="13"/>
                <w:b w:val="1"/>
                <w:bCs w:val="1"/>
                <w:color w:val="auto"/>
              </w:rPr>
              <w:t>Three Months Ended</w:t>
            </w:r>
          </w:p>
        </w:tc>
        <w:tc>
          <w:tcPr>
            <w:tcW w:w="1100" w:type="dxa"/>
            <w:vAlign w:val="bottom"/>
          </w:tcPr>
          <w:p>
            <w:pPr>
              <w:jc w:val="right"/>
              <w:ind w:right="41"/>
              <w:spacing w:after="0"/>
              <w:rPr>
                <w:sz w:val="20"/>
                <w:szCs w:val="20"/>
                <w:color w:val="auto"/>
              </w:rPr>
            </w:pPr>
            <w:r>
              <w:rPr>
                <w:rFonts w:ascii="Arial" w:cs="Arial" w:eastAsia="Arial" w:hAnsi="Arial"/>
                <w:sz w:val="13"/>
                <w:szCs w:val="13"/>
                <w:b w:val="1"/>
                <w:bCs w:val="1"/>
                <w:color w:val="auto"/>
              </w:rPr>
              <w:t>Percentage</w:t>
            </w:r>
          </w:p>
        </w:tc>
        <w:tc>
          <w:tcPr>
            <w:tcW w:w="400" w:type="dxa"/>
            <w:vAlign w:val="bottom"/>
          </w:tcPr>
          <w:p>
            <w:pPr>
              <w:spacing w:after="0"/>
              <w:rPr>
                <w:sz w:val="13"/>
                <w:szCs w:val="13"/>
                <w:color w:val="auto"/>
              </w:rPr>
            </w:pPr>
          </w:p>
        </w:tc>
        <w:tc>
          <w:tcPr>
            <w:tcW w:w="2200" w:type="dxa"/>
            <w:vAlign w:val="bottom"/>
            <w:gridSpan w:val="3"/>
          </w:tcPr>
          <w:p>
            <w:pPr>
              <w:jc w:val="right"/>
              <w:ind w:right="161"/>
              <w:spacing w:after="0"/>
              <w:rPr>
                <w:sz w:val="20"/>
                <w:szCs w:val="20"/>
                <w:color w:val="auto"/>
              </w:rPr>
            </w:pPr>
            <w:r>
              <w:rPr>
                <w:rFonts w:ascii="Arial" w:cs="Arial" w:eastAsia="Arial" w:hAnsi="Arial"/>
                <w:sz w:val="13"/>
                <w:szCs w:val="13"/>
                <w:b w:val="1"/>
                <w:bCs w:val="1"/>
                <w:color w:val="auto"/>
              </w:rPr>
              <w:t>Nine Months Ended</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r>
      <w:tr>
        <w:trPr>
          <w:trHeight w:val="178"/>
        </w:trPr>
        <w:tc>
          <w:tcPr>
            <w:tcW w:w="304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Arial" w:cs="Arial" w:eastAsia="Arial" w:hAnsi="Arial"/>
                <w:sz w:val="13"/>
                <w:szCs w:val="13"/>
                <w:b w:val="1"/>
                <w:bCs w:val="1"/>
                <w:color w:val="auto"/>
              </w:rPr>
              <w:t>March 31,</w:t>
            </w:r>
          </w:p>
        </w:tc>
        <w:tc>
          <w:tcPr>
            <w:tcW w:w="1100" w:type="dxa"/>
            <w:vAlign w:val="bottom"/>
          </w:tcPr>
          <w:p>
            <w:pPr>
              <w:jc w:val="right"/>
              <w:ind w:right="41"/>
              <w:spacing w:after="0"/>
              <w:rPr>
                <w:sz w:val="20"/>
                <w:szCs w:val="20"/>
                <w:color w:val="auto"/>
              </w:rPr>
            </w:pPr>
            <w:r>
              <w:rPr>
                <w:rFonts w:ascii="Arial" w:cs="Arial" w:eastAsia="Arial" w:hAnsi="Arial"/>
                <w:sz w:val="13"/>
                <w:szCs w:val="13"/>
                <w:b w:val="1"/>
                <w:bCs w:val="1"/>
                <w:color w:val="auto"/>
              </w:rPr>
              <w:t>Change</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161"/>
              <w:spacing w:after="0"/>
              <w:rPr>
                <w:sz w:val="20"/>
                <w:szCs w:val="20"/>
                <w:color w:val="auto"/>
              </w:rPr>
            </w:pPr>
            <w:r>
              <w:rPr>
                <w:rFonts w:ascii="Arial" w:cs="Arial" w:eastAsia="Arial" w:hAnsi="Arial"/>
                <w:sz w:val="13"/>
                <w:szCs w:val="13"/>
                <w:b w:val="1"/>
                <w:bCs w:val="1"/>
                <w:color w:val="auto"/>
              </w:rPr>
              <w:t>March 31,</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Change</w:t>
            </w:r>
          </w:p>
        </w:tc>
      </w:tr>
      <w:tr>
        <w:trPr>
          <w:trHeight w:val="54"/>
        </w:trPr>
        <w:tc>
          <w:tcPr>
            <w:tcW w:w="30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3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Pr>
          <w:p>
            <w:pPr>
              <w:jc w:val="right"/>
              <w:ind w:right="41"/>
              <w:spacing w:after="0"/>
              <w:rPr>
                <w:sz w:val="20"/>
                <w:szCs w:val="20"/>
                <w:color w:val="auto"/>
              </w:rPr>
            </w:pPr>
            <w:r>
              <w:rPr>
                <w:rFonts w:ascii="Arial" w:cs="Arial" w:eastAsia="Arial" w:hAnsi="Arial"/>
                <w:sz w:val="13"/>
                <w:szCs w:val="13"/>
                <w:b w:val="1"/>
                <w:bCs w:val="1"/>
                <w:color w:val="auto"/>
              </w:rPr>
              <w:t>2022</w:t>
            </w:r>
          </w:p>
        </w:tc>
        <w:tc>
          <w:tcPr>
            <w:tcW w:w="360" w:type="dxa"/>
            <w:vAlign w:val="bottom"/>
          </w:tcPr>
          <w:p>
            <w:pPr>
              <w:spacing w:after="0"/>
              <w:rPr>
                <w:sz w:val="19"/>
                <w:szCs w:val="19"/>
                <w:color w:val="auto"/>
              </w:rPr>
            </w:pPr>
          </w:p>
        </w:tc>
        <w:tc>
          <w:tcPr>
            <w:tcW w:w="1000" w:type="dxa"/>
            <w:vAlign w:val="bottom"/>
          </w:tcPr>
          <w:p>
            <w:pPr>
              <w:jc w:val="right"/>
              <w:ind w:right="161"/>
              <w:spacing w:after="0"/>
              <w:rPr>
                <w:sz w:val="20"/>
                <w:szCs w:val="20"/>
                <w:color w:val="auto"/>
              </w:rPr>
            </w:pPr>
            <w:r>
              <w:rPr>
                <w:rFonts w:ascii="Arial" w:cs="Arial" w:eastAsia="Arial" w:hAnsi="Arial"/>
                <w:sz w:val="13"/>
                <w:szCs w:val="13"/>
                <w:b w:val="1"/>
                <w:bCs w:val="1"/>
                <w:color w:val="auto"/>
              </w:rPr>
              <w:t>2021</w:t>
            </w: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3"/>
                <w:szCs w:val="13"/>
                <w:b w:val="1"/>
                <w:bCs w:val="1"/>
                <w:color w:val="auto"/>
              </w:rPr>
              <w:t>2022</w:t>
            </w:r>
          </w:p>
        </w:tc>
        <w:tc>
          <w:tcPr>
            <w:tcW w:w="360" w:type="dxa"/>
            <w:vAlign w:val="bottom"/>
          </w:tcPr>
          <w:p>
            <w:pPr>
              <w:spacing w:after="0"/>
              <w:rPr>
                <w:sz w:val="19"/>
                <w:szCs w:val="19"/>
                <w:color w:val="auto"/>
              </w:rPr>
            </w:pPr>
          </w:p>
        </w:tc>
        <w:tc>
          <w:tcPr>
            <w:tcW w:w="1020" w:type="dxa"/>
            <w:vAlign w:val="bottom"/>
          </w:tcPr>
          <w:p>
            <w:pPr>
              <w:jc w:val="right"/>
              <w:ind w:right="161"/>
              <w:spacing w:after="0"/>
              <w:rPr>
                <w:sz w:val="20"/>
                <w:szCs w:val="20"/>
                <w:color w:val="auto"/>
              </w:rPr>
            </w:pPr>
            <w:r>
              <w:rPr>
                <w:rFonts w:ascii="Arial" w:cs="Arial" w:eastAsia="Arial" w:hAnsi="Arial"/>
                <w:sz w:val="13"/>
                <w:szCs w:val="13"/>
                <w:b w:val="1"/>
                <w:bCs w:val="1"/>
                <w:color w:val="auto"/>
              </w:rPr>
              <w:t>2021</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5"/>
        </w:trPr>
        <w:tc>
          <w:tcPr>
            <w:tcW w:w="3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3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and marketing</w:t>
            </w:r>
          </w:p>
        </w:tc>
        <w:tc>
          <w:tcPr>
            <w:tcW w:w="126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b w:val="1"/>
                <w:bCs w:val="1"/>
                <w:color w:val="auto"/>
              </w:rPr>
              <w:t>5,595</w:t>
            </w:r>
          </w:p>
        </w:tc>
        <w:tc>
          <w:tcPr>
            <w:tcW w:w="36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161"/>
              <w:spacing w:after="0" w:line="189" w:lineRule="exact"/>
              <w:rPr>
                <w:sz w:val="20"/>
                <w:szCs w:val="20"/>
                <w:color w:val="auto"/>
              </w:rPr>
            </w:pPr>
            <w:r>
              <w:rPr>
                <w:rFonts w:ascii="Arial" w:cs="Arial" w:eastAsia="Arial" w:hAnsi="Arial"/>
                <w:sz w:val="18"/>
                <w:szCs w:val="18"/>
                <w:color w:val="auto"/>
              </w:rPr>
              <w:t>5,082</w:t>
            </w:r>
          </w:p>
        </w:tc>
        <w:tc>
          <w:tcPr>
            <w:tcW w:w="110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color w:val="auto"/>
              </w:rPr>
              <w:t>10%</w:t>
            </w:r>
          </w:p>
        </w:tc>
        <w:tc>
          <w:tcPr>
            <w:tcW w:w="4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b w:val="1"/>
                <w:bCs w:val="1"/>
                <w:color w:val="auto"/>
              </w:rPr>
              <w:t>15,521</w:t>
            </w:r>
          </w:p>
        </w:tc>
        <w:tc>
          <w:tcPr>
            <w:tcW w:w="36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5E5E5"/>
          </w:tcPr>
          <w:p>
            <w:pPr>
              <w:jc w:val="right"/>
              <w:ind w:right="161"/>
              <w:spacing w:after="0" w:line="189" w:lineRule="exact"/>
              <w:rPr>
                <w:sz w:val="20"/>
                <w:szCs w:val="20"/>
                <w:color w:val="auto"/>
              </w:rPr>
            </w:pPr>
            <w:r>
              <w:rPr>
                <w:rFonts w:ascii="Arial" w:cs="Arial" w:eastAsia="Arial" w:hAnsi="Arial"/>
                <w:sz w:val="18"/>
                <w:szCs w:val="18"/>
                <w:color w:val="auto"/>
              </w:rPr>
              <w:t>14,260</w:t>
            </w: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w:t>
            </w:r>
          </w:p>
        </w:tc>
      </w:tr>
      <w:tr>
        <w:trPr>
          <w:trHeight w:val="250"/>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1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11%</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61"/>
              <w:spacing w:after="0"/>
              <w:rPr>
                <w:sz w:val="20"/>
                <w:szCs w:val="20"/>
                <w:color w:val="auto"/>
              </w:rPr>
            </w:pPr>
            <w:r>
              <w:rPr>
                <w:rFonts w:ascii="Arial" w:cs="Arial" w:eastAsia="Arial" w:hAnsi="Arial"/>
                <w:sz w:val="18"/>
                <w:szCs w:val="18"/>
                <w:color w:val="auto"/>
              </w:rPr>
              <w:t>12%</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(1)ppt</w:t>
            </w: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11%</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61"/>
              <w:spacing w:after="0"/>
              <w:rPr>
                <w:sz w:val="20"/>
                <w:szCs w:val="20"/>
                <w:color w:val="auto"/>
              </w:rPr>
            </w:pPr>
            <w:r>
              <w:rPr>
                <w:rFonts w:ascii="Arial" w:cs="Arial" w:eastAsia="Arial" w:hAnsi="Arial"/>
                <w:sz w:val="18"/>
                <w:szCs w:val="18"/>
                <w:color w:val="auto"/>
              </w:rPr>
              <w:t>12%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(1)ppt</w:t>
            </w:r>
          </w:p>
        </w:tc>
        <w:tc>
          <w:tcPr>
            <w:tcW w:w="100" w:type="dxa"/>
            <w:vAlign w:val="bottom"/>
          </w:tcPr>
          <w:p>
            <w:pPr>
              <w:spacing w:after="0"/>
              <w:rPr>
                <w:sz w:val="21"/>
                <w:szCs w:val="21"/>
                <w:color w:val="auto"/>
              </w:rPr>
            </w:pPr>
          </w:p>
        </w:tc>
      </w:tr>
    </w:tbl>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Compared with Three Months Ended March 31, 2021</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Sales and marketing expenses increased $513 million or 10% driven by investments in commercial sales and LinkedIn. Sales and marketing included a favorable foreign currency impact of 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2022 Compared with Nine Months Ended March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 expenses increased $1.3 billion or 9% driven by investments in commercial sales, LinkedIn, and Windows marketing.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0" w:type="dxa"/>
            <w:vAlign w:val="bottom"/>
            <w:gridSpan w:val="3"/>
          </w:tcPr>
          <w:p>
            <w:pPr>
              <w:jc w:val="right"/>
              <w:ind w:right="181"/>
              <w:spacing w:after="0"/>
              <w:rPr>
                <w:sz w:val="20"/>
                <w:szCs w:val="20"/>
                <w:color w:val="auto"/>
              </w:rPr>
            </w:pPr>
            <w:r>
              <w:rPr>
                <w:rFonts w:ascii="Arial" w:cs="Arial" w:eastAsia="Arial" w:hAnsi="Arial"/>
                <w:sz w:val="13"/>
                <w:szCs w:val="13"/>
                <w:b w:val="1"/>
                <w:bCs w:val="1"/>
                <w:color w:val="auto"/>
              </w:rPr>
              <w:t>Three Months Ended</w:t>
            </w:r>
          </w:p>
        </w:tc>
        <w:tc>
          <w:tcPr>
            <w:tcW w:w="1080" w:type="dxa"/>
            <w:vAlign w:val="bottom"/>
          </w:tcPr>
          <w:p>
            <w:pPr>
              <w:jc w:val="right"/>
              <w:ind w:right="41"/>
              <w:spacing w:after="0"/>
              <w:rPr>
                <w:sz w:val="20"/>
                <w:szCs w:val="20"/>
                <w:color w:val="auto"/>
              </w:rPr>
            </w:pPr>
            <w:r>
              <w:rPr>
                <w:rFonts w:ascii="Arial" w:cs="Arial" w:eastAsia="Arial" w:hAnsi="Arial"/>
                <w:sz w:val="13"/>
                <w:szCs w:val="13"/>
                <w:b w:val="1"/>
                <w:bCs w:val="1"/>
                <w:color w:val="auto"/>
              </w:rPr>
              <w:t>Percentage</w:t>
            </w:r>
          </w:p>
        </w:tc>
        <w:tc>
          <w:tcPr>
            <w:tcW w:w="440" w:type="dxa"/>
            <w:vAlign w:val="bottom"/>
          </w:tcPr>
          <w:p>
            <w:pPr>
              <w:spacing w:after="0"/>
              <w:rPr>
                <w:sz w:val="13"/>
                <w:szCs w:val="13"/>
                <w:color w:val="auto"/>
              </w:rPr>
            </w:pPr>
          </w:p>
        </w:tc>
        <w:tc>
          <w:tcPr>
            <w:tcW w:w="2140" w:type="dxa"/>
            <w:vAlign w:val="bottom"/>
            <w:gridSpan w:val="3"/>
          </w:tcPr>
          <w:p>
            <w:pPr>
              <w:jc w:val="right"/>
              <w:ind w:right="161"/>
              <w:spacing w:after="0"/>
              <w:rPr>
                <w:sz w:val="20"/>
                <w:szCs w:val="20"/>
                <w:color w:val="auto"/>
              </w:rPr>
            </w:pPr>
            <w:r>
              <w:rPr>
                <w:rFonts w:ascii="Arial" w:cs="Arial" w:eastAsia="Arial" w:hAnsi="Arial"/>
                <w:sz w:val="13"/>
                <w:szCs w:val="13"/>
                <w:b w:val="1"/>
                <w:bCs w:val="1"/>
                <w:color w:val="auto"/>
              </w:rPr>
              <w:t>Nine Months Ended</w:t>
            </w:r>
          </w:p>
        </w:tc>
        <w:tc>
          <w:tcPr>
            <w:tcW w:w="11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Percentage</w:t>
            </w:r>
          </w:p>
        </w:tc>
      </w:tr>
      <w:tr>
        <w:trPr>
          <w:trHeight w:val="178"/>
        </w:trPr>
        <w:tc>
          <w:tcPr>
            <w:tcW w:w="304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181"/>
              <w:spacing w:after="0"/>
              <w:rPr>
                <w:sz w:val="20"/>
                <w:szCs w:val="20"/>
                <w:color w:val="auto"/>
              </w:rPr>
            </w:pPr>
            <w:r>
              <w:rPr>
                <w:rFonts w:ascii="Arial" w:cs="Arial" w:eastAsia="Arial" w:hAnsi="Arial"/>
                <w:sz w:val="13"/>
                <w:szCs w:val="13"/>
                <w:b w:val="1"/>
                <w:bCs w:val="1"/>
                <w:color w:val="auto"/>
              </w:rPr>
              <w:t>March 31,</w:t>
            </w:r>
          </w:p>
        </w:tc>
        <w:tc>
          <w:tcPr>
            <w:tcW w:w="1080" w:type="dxa"/>
            <w:vAlign w:val="bottom"/>
          </w:tcPr>
          <w:p>
            <w:pPr>
              <w:jc w:val="right"/>
              <w:ind w:right="41"/>
              <w:spacing w:after="0"/>
              <w:rPr>
                <w:sz w:val="20"/>
                <w:szCs w:val="20"/>
                <w:color w:val="auto"/>
              </w:rPr>
            </w:pPr>
            <w:r>
              <w:rPr>
                <w:rFonts w:ascii="Arial" w:cs="Arial" w:eastAsia="Arial" w:hAnsi="Arial"/>
                <w:sz w:val="13"/>
                <w:szCs w:val="13"/>
                <w:b w:val="1"/>
                <w:bCs w:val="1"/>
                <w:color w:val="auto"/>
              </w:rPr>
              <w:t>Change</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161"/>
              <w:spacing w:after="0"/>
              <w:rPr>
                <w:sz w:val="20"/>
                <w:szCs w:val="20"/>
                <w:color w:val="auto"/>
              </w:rPr>
            </w:pPr>
            <w:r>
              <w:rPr>
                <w:rFonts w:ascii="Arial" w:cs="Arial" w:eastAsia="Arial" w:hAnsi="Arial"/>
                <w:sz w:val="13"/>
                <w:szCs w:val="13"/>
                <w:b w:val="1"/>
                <w:bCs w:val="1"/>
                <w:color w:val="auto"/>
              </w:rPr>
              <w:t>March 31,</w:t>
            </w:r>
          </w:p>
        </w:tc>
        <w:tc>
          <w:tcPr>
            <w:tcW w:w="11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Change</w:t>
            </w:r>
          </w:p>
        </w:tc>
      </w:tr>
      <w:tr>
        <w:trPr>
          <w:trHeight w:val="54"/>
        </w:trPr>
        <w:tc>
          <w:tcPr>
            <w:tcW w:w="30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23"/>
        </w:trPr>
        <w:tc>
          <w:tcPr>
            <w:tcW w:w="3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Arial" w:cs="Arial" w:eastAsia="Arial" w:hAnsi="Arial"/>
                <w:sz w:val="13"/>
                <w:szCs w:val="13"/>
                <w:b w:val="1"/>
                <w:bCs w:val="1"/>
                <w:color w:val="auto"/>
              </w:rPr>
              <w:t>2022</w:t>
            </w:r>
          </w:p>
        </w:tc>
        <w:tc>
          <w:tcPr>
            <w:tcW w:w="380" w:type="dxa"/>
            <w:vAlign w:val="bottom"/>
          </w:tcPr>
          <w:p>
            <w:pPr>
              <w:spacing w:after="0"/>
              <w:rPr>
                <w:sz w:val="19"/>
                <w:szCs w:val="19"/>
                <w:color w:val="auto"/>
              </w:rPr>
            </w:pPr>
          </w:p>
        </w:tc>
        <w:tc>
          <w:tcPr>
            <w:tcW w:w="1020" w:type="dxa"/>
            <w:vAlign w:val="bottom"/>
          </w:tcPr>
          <w:p>
            <w:pPr>
              <w:jc w:val="right"/>
              <w:ind w:right="181"/>
              <w:spacing w:after="0"/>
              <w:rPr>
                <w:sz w:val="20"/>
                <w:szCs w:val="20"/>
                <w:color w:val="auto"/>
              </w:rPr>
            </w:pPr>
            <w:r>
              <w:rPr>
                <w:rFonts w:ascii="Arial" w:cs="Arial" w:eastAsia="Arial" w:hAnsi="Arial"/>
                <w:sz w:val="13"/>
                <w:szCs w:val="13"/>
                <w:b w:val="1"/>
                <w:bCs w:val="1"/>
                <w:color w:val="auto"/>
              </w:rPr>
              <w:t>2021</w:t>
            </w: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21"/>
              <w:spacing w:after="0"/>
              <w:rPr>
                <w:sz w:val="20"/>
                <w:szCs w:val="20"/>
                <w:color w:val="auto"/>
              </w:rPr>
            </w:pPr>
            <w:r>
              <w:rPr>
                <w:rFonts w:ascii="Arial" w:cs="Arial" w:eastAsia="Arial" w:hAnsi="Arial"/>
                <w:sz w:val="13"/>
                <w:szCs w:val="13"/>
                <w:b w:val="1"/>
                <w:bCs w:val="1"/>
                <w:color w:val="auto"/>
              </w:rPr>
              <w:t>2022</w:t>
            </w:r>
          </w:p>
        </w:tc>
        <w:tc>
          <w:tcPr>
            <w:tcW w:w="340" w:type="dxa"/>
            <w:vAlign w:val="bottom"/>
          </w:tcPr>
          <w:p>
            <w:pPr>
              <w:spacing w:after="0"/>
              <w:rPr>
                <w:sz w:val="19"/>
                <w:szCs w:val="19"/>
                <w:color w:val="auto"/>
              </w:rPr>
            </w:pPr>
          </w:p>
        </w:tc>
        <w:tc>
          <w:tcPr>
            <w:tcW w:w="1020" w:type="dxa"/>
            <w:vAlign w:val="bottom"/>
          </w:tcPr>
          <w:p>
            <w:pPr>
              <w:jc w:val="right"/>
              <w:ind w:right="161"/>
              <w:spacing w:after="0"/>
              <w:rPr>
                <w:sz w:val="20"/>
                <w:szCs w:val="20"/>
                <w:color w:val="auto"/>
              </w:rPr>
            </w:pPr>
            <w:r>
              <w:rPr>
                <w:rFonts w:ascii="Arial" w:cs="Arial" w:eastAsia="Arial" w:hAnsi="Arial"/>
                <w:sz w:val="13"/>
                <w:szCs w:val="13"/>
                <w:b w:val="1"/>
                <w:bCs w:val="1"/>
                <w:color w:val="auto"/>
              </w:rPr>
              <w:t>2021</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55"/>
        </w:trPr>
        <w:tc>
          <w:tcPr>
            <w:tcW w:w="30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189"/>
        </w:trPr>
        <w:tc>
          <w:tcPr>
            <w:tcW w:w="3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General and administrative</w:t>
            </w:r>
          </w:p>
        </w:tc>
        <w:tc>
          <w:tcPr>
            <w:tcW w:w="12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ind w:right="41"/>
              <w:spacing w:after="0" w:line="189" w:lineRule="exact"/>
              <w:rPr>
                <w:sz w:val="20"/>
                <w:szCs w:val="20"/>
                <w:color w:val="auto"/>
              </w:rPr>
            </w:pPr>
            <w:r>
              <w:rPr>
                <w:rFonts w:ascii="Arial" w:cs="Arial" w:eastAsia="Arial" w:hAnsi="Arial"/>
                <w:sz w:val="18"/>
                <w:szCs w:val="18"/>
                <w:b w:val="1"/>
                <w:bCs w:val="1"/>
                <w:color w:val="auto"/>
              </w:rPr>
              <w:t>1,480</w:t>
            </w:r>
          </w:p>
        </w:tc>
        <w:tc>
          <w:tcPr>
            <w:tcW w:w="38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161"/>
              <w:spacing w:after="0" w:line="189" w:lineRule="exact"/>
              <w:rPr>
                <w:sz w:val="20"/>
                <w:szCs w:val="20"/>
                <w:color w:val="auto"/>
              </w:rPr>
            </w:pPr>
            <w:r>
              <w:rPr>
                <w:rFonts w:ascii="Arial" w:cs="Arial" w:eastAsia="Arial" w:hAnsi="Arial"/>
                <w:sz w:val="18"/>
                <w:szCs w:val="18"/>
                <w:color w:val="auto"/>
              </w:rPr>
              <w:t>1,327</w:t>
            </w:r>
          </w:p>
        </w:tc>
        <w:tc>
          <w:tcPr>
            <w:tcW w:w="108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color w:val="auto"/>
              </w:rPr>
              <w:t>12%</w:t>
            </w:r>
          </w:p>
        </w:tc>
        <w:tc>
          <w:tcPr>
            <w:tcW w:w="44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b w:val="1"/>
                <w:bCs w:val="1"/>
                <w:color w:val="auto"/>
              </w:rPr>
              <w:t>4,151</w:t>
            </w:r>
          </w:p>
        </w:tc>
        <w:tc>
          <w:tcPr>
            <w:tcW w:w="34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161"/>
              <w:spacing w:after="0" w:line="189" w:lineRule="exact"/>
              <w:rPr>
                <w:sz w:val="20"/>
                <w:szCs w:val="20"/>
                <w:color w:val="auto"/>
              </w:rPr>
            </w:pPr>
            <w:r>
              <w:rPr>
                <w:rFonts w:ascii="Arial" w:cs="Arial" w:eastAsia="Arial" w:hAnsi="Arial"/>
                <w:sz w:val="18"/>
                <w:szCs w:val="18"/>
                <w:color w:val="auto"/>
              </w:rPr>
              <w:t>3,585</w:t>
            </w: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16%</w:t>
            </w:r>
          </w:p>
        </w:tc>
        <w:tc>
          <w:tcPr>
            <w:tcW w:w="140" w:type="dxa"/>
            <w:vAlign w:val="bottom"/>
            <w:shd w:val="clear" w:color="auto" w:fill="E5E5E5"/>
          </w:tcPr>
          <w:p>
            <w:pPr>
              <w:spacing w:after="0"/>
              <w:rPr>
                <w:sz w:val="16"/>
                <w:szCs w:val="16"/>
                <w:color w:val="auto"/>
              </w:rPr>
            </w:pPr>
          </w:p>
        </w:tc>
      </w:tr>
      <w:tr>
        <w:trPr>
          <w:trHeight w:val="248"/>
        </w:trPr>
        <w:tc>
          <w:tcPr>
            <w:tcW w:w="3040" w:type="dxa"/>
            <w:vAlign w:val="bottom"/>
          </w:tcPr>
          <w:p>
            <w:pPr>
              <w:spacing w:after="0"/>
              <w:rPr>
                <w:sz w:val="20"/>
                <w:szCs w:val="20"/>
                <w:color w:val="auto"/>
              </w:rPr>
            </w:pPr>
            <w:r>
              <w:rPr>
                <w:rFonts w:ascii="Arial" w:cs="Arial" w:eastAsia="Arial" w:hAnsi="Arial"/>
                <w:sz w:val="18"/>
                <w:szCs w:val="18"/>
                <w:color w:val="auto"/>
              </w:rPr>
              <w:t>As a percent of revenue</w:t>
            </w:r>
          </w:p>
        </w:tc>
        <w:tc>
          <w:tcPr>
            <w:tcW w:w="1240" w:type="dxa"/>
            <w:vAlign w:val="bottom"/>
          </w:tcPr>
          <w:p>
            <w:pPr>
              <w:spacing w:after="0"/>
              <w:rPr>
                <w:sz w:val="21"/>
                <w:szCs w:val="21"/>
                <w:color w:val="auto"/>
              </w:rPr>
            </w:pPr>
          </w:p>
        </w:tc>
        <w:tc>
          <w:tcPr>
            <w:tcW w:w="800" w:type="dxa"/>
            <w:vAlign w:val="bottom"/>
          </w:tcPr>
          <w:p>
            <w:pPr>
              <w:jc w:val="right"/>
              <w:ind w:right="41"/>
              <w:spacing w:after="0"/>
              <w:rPr>
                <w:sz w:val="20"/>
                <w:szCs w:val="20"/>
                <w:color w:val="auto"/>
              </w:rPr>
            </w:pPr>
            <w:r>
              <w:rPr>
                <w:rFonts w:ascii="Arial" w:cs="Arial" w:eastAsia="Arial" w:hAnsi="Arial"/>
                <w:sz w:val="18"/>
                <w:szCs w:val="18"/>
                <w:b w:val="1"/>
                <w:bCs w:val="1"/>
                <w:color w:val="auto"/>
              </w:rPr>
              <w:t>3%</w:t>
            </w:r>
          </w:p>
        </w:tc>
        <w:tc>
          <w:tcPr>
            <w:tcW w:w="380" w:type="dxa"/>
            <w:vAlign w:val="bottom"/>
          </w:tcPr>
          <w:p>
            <w:pPr>
              <w:spacing w:after="0"/>
              <w:rPr>
                <w:sz w:val="21"/>
                <w:szCs w:val="21"/>
                <w:color w:val="auto"/>
              </w:rPr>
            </w:pPr>
          </w:p>
        </w:tc>
        <w:tc>
          <w:tcPr>
            <w:tcW w:w="1020" w:type="dxa"/>
            <w:vAlign w:val="bottom"/>
          </w:tcPr>
          <w:p>
            <w:pPr>
              <w:jc w:val="right"/>
              <w:ind w:right="161"/>
              <w:spacing w:after="0"/>
              <w:rPr>
                <w:sz w:val="20"/>
                <w:szCs w:val="20"/>
                <w:color w:val="auto"/>
              </w:rPr>
            </w:pPr>
            <w:r>
              <w:rPr>
                <w:rFonts w:ascii="Arial" w:cs="Arial" w:eastAsia="Arial" w:hAnsi="Arial"/>
                <w:sz w:val="18"/>
                <w:szCs w:val="18"/>
                <w:color w:val="auto"/>
              </w:rPr>
              <w:t>3%</w:t>
            </w:r>
          </w:p>
        </w:tc>
        <w:tc>
          <w:tcPr>
            <w:tcW w:w="1080" w:type="dxa"/>
            <w:vAlign w:val="bottom"/>
          </w:tcPr>
          <w:p>
            <w:pPr>
              <w:jc w:val="right"/>
              <w:ind w:right="21"/>
              <w:spacing w:after="0"/>
              <w:rPr>
                <w:sz w:val="20"/>
                <w:szCs w:val="20"/>
                <w:color w:val="auto"/>
              </w:rPr>
            </w:pPr>
            <w:r>
              <w:rPr>
                <w:rFonts w:ascii="Arial" w:cs="Arial" w:eastAsia="Arial" w:hAnsi="Arial"/>
                <w:sz w:val="18"/>
                <w:szCs w:val="18"/>
                <w:color w:val="auto"/>
              </w:rPr>
              <w:t>0ppt</w:t>
            </w:r>
          </w:p>
        </w:tc>
        <w:tc>
          <w:tcPr>
            <w:tcW w:w="440" w:type="dxa"/>
            <w:vAlign w:val="bottom"/>
          </w:tcPr>
          <w:p>
            <w:pPr>
              <w:spacing w:after="0"/>
              <w:rPr>
                <w:sz w:val="21"/>
                <w:szCs w:val="21"/>
                <w:color w:val="auto"/>
              </w:rPr>
            </w:pPr>
          </w:p>
        </w:tc>
        <w:tc>
          <w:tcPr>
            <w:tcW w:w="780" w:type="dxa"/>
            <w:vAlign w:val="bottom"/>
          </w:tcPr>
          <w:p>
            <w:pPr>
              <w:jc w:val="right"/>
              <w:ind w:right="21"/>
              <w:spacing w:after="0"/>
              <w:rPr>
                <w:sz w:val="20"/>
                <w:szCs w:val="20"/>
                <w:color w:val="auto"/>
              </w:rPr>
            </w:pPr>
            <w:r>
              <w:rPr>
                <w:rFonts w:ascii="Arial" w:cs="Arial" w:eastAsia="Arial" w:hAnsi="Arial"/>
                <w:sz w:val="18"/>
                <w:szCs w:val="18"/>
                <w:b w:val="1"/>
                <w:bCs w:val="1"/>
                <w:color w:val="auto"/>
              </w:rPr>
              <w:t>3%</w:t>
            </w:r>
          </w:p>
        </w:tc>
        <w:tc>
          <w:tcPr>
            <w:tcW w:w="340" w:type="dxa"/>
            <w:vAlign w:val="bottom"/>
          </w:tcPr>
          <w:p>
            <w:pPr>
              <w:spacing w:after="0"/>
              <w:rPr>
                <w:sz w:val="21"/>
                <w:szCs w:val="21"/>
                <w:color w:val="auto"/>
              </w:rPr>
            </w:pPr>
          </w:p>
        </w:tc>
        <w:tc>
          <w:tcPr>
            <w:tcW w:w="1020" w:type="dxa"/>
            <w:vAlign w:val="bottom"/>
          </w:tcPr>
          <w:p>
            <w:pPr>
              <w:jc w:val="right"/>
              <w:ind w:right="161"/>
              <w:spacing w:after="0"/>
              <w:rPr>
                <w:sz w:val="20"/>
                <w:szCs w:val="20"/>
                <w:color w:val="auto"/>
              </w:rPr>
            </w:pPr>
            <w:r>
              <w:rPr>
                <w:rFonts w:ascii="Arial" w:cs="Arial" w:eastAsia="Arial" w:hAnsi="Arial"/>
                <w:sz w:val="18"/>
                <w:szCs w:val="18"/>
                <w:color w:val="auto"/>
              </w:rPr>
              <w:t>3%</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0ppt</w:t>
            </w:r>
          </w:p>
        </w:tc>
      </w:tr>
      <w:tr>
        <w:trPr>
          <w:trHeight w:val="22"/>
        </w:trPr>
        <w:tc>
          <w:tcPr>
            <w:tcW w:w="30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General and administrative expenses include payroll, employee benefits, stock-based compensation expense, severance expense, and other headcount-related expenses associated with finance, legal, facilities, certain human resources and other administrative personnel, certain taxes, and legal and other administrative fees.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Compared with Three Months Ended March 31, 2021</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General and administrative expenses increased $153 million or 12% driven by investments in corporate functions. General and administrative included a favorable foreign currency impact of 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2022 Compared with Nine Months Ended March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increased $566 million or 16% driven by investments in corporate functions.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2" w:name="page43"/>
    <w:bookmarkEnd w:id="4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31"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OTHER INCOME (EXPENSE),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Three Months Ended</w:t>
            </w: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Nine Months Ended</w:t>
            </w:r>
          </w:p>
        </w:tc>
      </w:tr>
      <w:tr>
        <w:trPr>
          <w:trHeight w:val="178"/>
        </w:trPr>
        <w:tc>
          <w:tcPr>
            <w:tcW w:w="49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March 31,</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March 31,</w:t>
            </w:r>
          </w:p>
        </w:tc>
      </w:tr>
      <w:tr>
        <w:trPr>
          <w:trHeight w:val="55"/>
        </w:trPr>
        <w:tc>
          <w:tcPr>
            <w:tcW w:w="49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r>
      <w:tr>
        <w:trPr>
          <w:trHeight w:val="54"/>
        </w:trPr>
        <w:tc>
          <w:tcPr>
            <w:tcW w:w="49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and dividends income</w:t>
            </w:r>
          </w:p>
        </w:tc>
        <w:tc>
          <w:tcPr>
            <w:tcW w:w="104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519</w:t>
            </w:r>
          </w:p>
        </w:tc>
        <w:tc>
          <w:tcPr>
            <w:tcW w:w="4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519</w:t>
            </w:r>
          </w:p>
        </w:tc>
        <w:tc>
          <w:tcPr>
            <w:tcW w:w="4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1,542</w:t>
            </w:r>
          </w:p>
        </w:tc>
        <w:tc>
          <w:tcPr>
            <w:tcW w:w="4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1,634</w:t>
            </w:r>
          </w:p>
        </w:tc>
      </w:tr>
      <w:tr>
        <w:trPr>
          <w:trHeight w:val="189"/>
        </w:trPr>
        <w:tc>
          <w:tcPr>
            <w:tcW w:w="498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(503)</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(633)</w:t>
            </w:r>
          </w:p>
        </w:tc>
        <w:tc>
          <w:tcPr>
            <w:tcW w:w="400" w:type="dxa"/>
            <w:vAlign w:val="bottom"/>
          </w:tcPr>
          <w:p>
            <w:pPr>
              <w:spacing w:after="0"/>
              <w:rPr>
                <w:sz w:val="16"/>
                <w:szCs w:val="16"/>
                <w:color w:val="auto"/>
              </w:rPr>
            </w:pPr>
          </w:p>
        </w:tc>
        <w:tc>
          <w:tcPr>
            <w:tcW w:w="94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(1,567)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(1,793)</w:t>
            </w:r>
          </w:p>
        </w:tc>
      </w:tr>
      <w:tr>
        <w:trPr>
          <w:trHeight w:val="189"/>
        </w:trPr>
        <w:tc>
          <w:tcPr>
            <w:tcW w:w="4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recognized gains (losses) on investments</w:t>
            </w:r>
          </w:p>
        </w:tc>
        <w:tc>
          <w:tcPr>
            <w:tcW w:w="54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(76)</w:t>
            </w:r>
          </w:p>
        </w:tc>
        <w:tc>
          <w:tcPr>
            <w:tcW w:w="1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353</w:t>
            </w:r>
          </w:p>
        </w:tc>
        <w:tc>
          <w:tcPr>
            <w:tcW w:w="4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595</w:t>
            </w:r>
          </w:p>
        </w:tc>
        <w:tc>
          <w:tcPr>
            <w:tcW w:w="1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837</w:t>
            </w:r>
          </w:p>
        </w:tc>
        <w:tc>
          <w:tcPr>
            <w:tcW w:w="100" w:type="dxa"/>
            <w:vAlign w:val="bottom"/>
            <w:shd w:val="clear" w:color="auto" w:fill="E5E5E5"/>
          </w:tcPr>
          <w:p>
            <w:pPr>
              <w:spacing w:after="0"/>
              <w:rPr>
                <w:sz w:val="16"/>
                <w:szCs w:val="16"/>
                <w:color w:val="auto"/>
              </w:rPr>
            </w:pPr>
          </w:p>
        </w:tc>
      </w:tr>
      <w:tr>
        <w:trPr>
          <w:trHeight w:val="189"/>
        </w:trPr>
        <w:tc>
          <w:tcPr>
            <w:tcW w:w="4980" w:type="dxa"/>
            <w:vAlign w:val="bottom"/>
          </w:tcPr>
          <w:p>
            <w:pPr>
              <w:spacing w:after="0" w:line="189" w:lineRule="exact"/>
              <w:rPr>
                <w:sz w:val="20"/>
                <w:szCs w:val="20"/>
                <w:color w:val="auto"/>
              </w:rPr>
            </w:pPr>
            <w:r>
              <w:rPr>
                <w:rFonts w:ascii="Arial" w:cs="Arial" w:eastAsia="Arial" w:hAnsi="Arial"/>
                <w:sz w:val="18"/>
                <w:szCs w:val="18"/>
                <w:color w:val="auto"/>
              </w:rPr>
              <w:t>Net losses on derivatives</w:t>
            </w: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(29)</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w:t>
            </w:r>
          </w:p>
        </w:tc>
        <w:tc>
          <w:tcPr>
            <w:tcW w:w="400" w:type="dxa"/>
            <w:vAlign w:val="bottom"/>
          </w:tcPr>
          <w:p>
            <w:pPr>
              <w:spacing w:after="0"/>
              <w:rPr>
                <w:sz w:val="16"/>
                <w:szCs w:val="16"/>
                <w:color w:val="auto"/>
              </w:rPr>
            </w:pPr>
          </w:p>
        </w:tc>
        <w:tc>
          <w:tcPr>
            <w:tcW w:w="94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(4)</w:t>
            </w:r>
          </w:p>
        </w:tc>
      </w:tr>
      <w:tr>
        <w:trPr>
          <w:trHeight w:val="189"/>
        </w:trPr>
        <w:tc>
          <w:tcPr>
            <w:tcW w:w="4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gains (losses) on foreign currency remeasurements</w:t>
            </w:r>
          </w:p>
        </w:tc>
        <w:tc>
          <w:tcPr>
            <w:tcW w:w="54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(74)</w:t>
            </w:r>
          </w:p>
        </w:tc>
        <w:tc>
          <w:tcPr>
            <w:tcW w:w="1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(55)</w:t>
            </w:r>
          </w:p>
        </w:tc>
        <w:tc>
          <w:tcPr>
            <w:tcW w:w="4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(152)</w:t>
            </w:r>
          </w:p>
        </w:tc>
        <w:tc>
          <w:tcPr>
            <w:tcW w:w="1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126</w:t>
            </w:r>
          </w:p>
        </w:tc>
        <w:tc>
          <w:tcPr>
            <w:tcW w:w="100" w:type="dxa"/>
            <w:vAlign w:val="bottom"/>
            <w:shd w:val="clear" w:color="auto" w:fill="E5E5E5"/>
          </w:tcPr>
          <w:p>
            <w:pPr>
              <w:spacing w:after="0"/>
              <w:rPr>
                <w:sz w:val="16"/>
                <w:szCs w:val="16"/>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Other, net</w:t>
            </w: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68"/>
        </w:trPr>
        <w:tc>
          <w:tcPr>
            <w:tcW w:w="498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9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(174)</w:t>
            </w:r>
          </w:p>
        </w:tc>
        <w:tc>
          <w:tcPr>
            <w:tcW w:w="4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188</w:t>
            </w:r>
          </w:p>
        </w:tc>
        <w:tc>
          <w:tcPr>
            <w:tcW w:w="4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380</w:t>
            </w:r>
          </w:p>
        </w:tc>
        <w:tc>
          <w:tcPr>
            <w:tcW w:w="4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876</w:t>
            </w:r>
          </w:p>
        </w:tc>
        <w:tc>
          <w:tcPr>
            <w:tcW w:w="100" w:type="dxa"/>
            <w:vAlign w:val="bottom"/>
            <w:shd w:val="clear" w:color="auto" w:fill="E5E5E5"/>
          </w:tcPr>
          <w:p>
            <w:pPr>
              <w:spacing w:after="0"/>
              <w:rPr>
                <w:sz w:val="16"/>
                <w:szCs w:val="16"/>
                <w:color w:val="auto"/>
              </w:rPr>
            </w:pPr>
          </w:p>
        </w:tc>
      </w:tr>
      <w:tr>
        <w:trPr>
          <w:trHeight w:val="74"/>
        </w:trPr>
        <w:tc>
          <w:tcPr>
            <w:tcW w:w="49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use derivative instruments to manage risks related to foreign currencies, equity prices, interest rates, and credit; enhance investment returns; and facilitate portfolio diversification. Gains and losses from changes in fair values of derivatives that are not designated as hedging instruments are primarily recognized in other income (expense), net.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Compared with Three Months Ended March 31, 2021</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Interest and dividends income was unchanged as lower portfolio balances were offset by higher yields on interest rate securities. Interest expense decreased due to a decrease in outstanding long-term debt due to debt maturities. Net recognized losses on investments increased due to losses on equity securities in the current period compared to gains in the prior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2022 Compared with Nine Months Ended March 31, 2021</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Interest and dividends income decreased due to lower portfolio balances. Interest expense decreased due to a decrease in outstanding long-term debt due to debt maturities. Net recognized gains on investments decreased due to lower gains on equity securities.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INCOME TAXES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effective tax rate was 17% and 10% for the three months ended March 31, 2022 and 2021, respectively, and 11% and 13% for the nine months ended March 31, 2022 and 2021, respectively. The increase in our effective tax rate for the three months ended March 31, 2022 compared to the prior year was primarily due to tax benefits from a decision by the India Supreme Court on withholding taxes in the case of Engineering Analysis Centre of Excellence Private Limited vs The Commissioner of Income Tax and an agreement between the U.S. and India tax authorities related to transfer pricing in fiscal year 2021, a decrease in tax benefits relating to stock-based compensation, and changes in the mix of our income before income taxes between the U.S. and foreign countries. The decrease in our effective tax rate for the nine months ended March 31, 2022 compared to the prior year was primarily due to a $3.3 billion net income tax benefit in the first quarter of fiscal year 2022 related to the transfer of intangible properties, offset in part by tax benefits from the India Supreme Court decision on withholding taxes and an agreement between the U.S. and India tax authorities related to transfer pricing in fiscal year 2021, and changes in the mix of our income before income taxes between the U.S. and foreign countries.</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historically paid India withholding taxes on software sales through distributor withholding and tax audit assessments in India. In March 2021, the India Supreme Court ruled favorably for companies in 86 separate appeals, some dating back to 2012, holding that software sales are not subject to India withholding taxes. Although we were not a party to the appeals, our software sales in India were determined to be not subject to withholding taxes. Therefore, we recorded a net income tax benefit of $ 620 million in the third quarter of fiscal year 2021 to reflect the results of the India Supreme Court decision impacting fiscal year 1996 through fiscal year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3" w:name="page44"/>
    <w:bookmarkEnd w:id="4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3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first quarter of fiscal year 2022, we transferred certain intangible properties from our Puerto Rico subsidiary to the U.S. The transfer of intangible properties resulted in a $3.3 billion net income tax benefit in the first quarter of fiscal year 2022, as the value of future U.S. tax deductions exceeds the current tax liability from the U.S. global intangible low-taxed income tax.</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effective tax rate was lower than the U.S. federal statutory rate for the three and nine months ended March 31, 2022, primarily due to earnings taxed at lower rates in foreign jurisdictions resulting from producing and distributing our products and services through our foreign regional operations center in Ireland, tax benefits relating to stock-based compensation, and for the nine months ended March 31, 2022, the net income tax benefit related to the transfer of intangible properties.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settled a portion of the Internal Revenue Service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In the second quarter of fiscal year 2021, we settled an additional portion of the IRS audits for tax years 2004 to 2013 and made a payment of $1.7 billion, including tax and interest. We remain under audit for tax years 2004 to 2017.</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March 31, 2022, the primary unresolved issues for the IRS audits relate to transfer pricing, which could have a material impact in our consolidated financial statements when the matters are resolved. We believe our allowances for income tax contingencies are adequate. We have not received a proposed assessment for the unresolved key transfer pricing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2021, some of which are currently under audit by local tax authorities. The resolution of each of these audits is not expected to be material to our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NON-GAAP FINANCIAL MEASURES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Adjusted net income and adjusted diluted EPS are non-GAAP financial measures which exclude the net tax benefit related to the transfer of intangible properties in the first quarter of fiscal year 2022 and the net income tax benefit related to an India Supreme Court decision on withholding taxes in the third quarter of fiscal year 2021. We believe these non-GAAP measures aid investors by providing additional insight into our operational performance and help clarify trends affecting our business. For comparability of reporting, management considers non-GAAP measures in conjunction with GAAP financial results in evaluating business performance. These non-GAAP financial measures presented should not be considered a substitute for, or superior to, the measures of financial performance prepared in accordance with GAAP.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4" w:name="page45"/>
    <w:bookmarkEnd w:id="4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financial results reported in accordance with GAAP to non-GAAP financial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2"/>
          </w:tcPr>
          <w:p>
            <w:pPr>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280" w:type="dxa"/>
            <w:vAlign w:val="bottom"/>
          </w:tcPr>
          <w:p>
            <w:pPr>
              <w:spacing w:after="0"/>
              <w:rPr>
                <w:sz w:val="13"/>
                <w:szCs w:val="13"/>
                <w:color w:val="auto"/>
              </w:rPr>
            </w:pPr>
          </w:p>
        </w:tc>
        <w:tc>
          <w:tcPr>
            <w:tcW w:w="2240" w:type="dxa"/>
            <w:vAlign w:val="bottom"/>
            <w:gridSpan w:val="5"/>
          </w:tcPr>
          <w:p>
            <w:pPr>
              <w:jc w:val="right"/>
              <w:ind w:right="300"/>
              <w:spacing w:after="0"/>
              <w:rPr>
                <w:sz w:val="20"/>
                <w:szCs w:val="20"/>
                <w:color w:val="auto"/>
              </w:rPr>
            </w:pPr>
            <w:r>
              <w:rPr>
                <w:rFonts w:ascii="Arial" w:cs="Arial" w:eastAsia="Arial" w:hAnsi="Arial"/>
                <w:sz w:val="13"/>
                <w:szCs w:val="13"/>
                <w:b w:val="1"/>
                <w:bCs w:val="1"/>
                <w:color w:val="auto"/>
              </w:rPr>
              <w:t>Three Months Ended</w:t>
            </w:r>
          </w:p>
        </w:tc>
        <w:tc>
          <w:tcPr>
            <w:tcW w:w="1060" w:type="dxa"/>
            <w:vAlign w:val="bottom"/>
          </w:tcPr>
          <w:p>
            <w:pPr>
              <w:jc w:val="right"/>
              <w:ind w:right="35"/>
              <w:spacing w:after="0"/>
              <w:rPr>
                <w:sz w:val="20"/>
                <w:szCs w:val="20"/>
                <w:color w:val="auto"/>
              </w:rPr>
            </w:pPr>
            <w:r>
              <w:rPr>
                <w:rFonts w:ascii="Arial" w:cs="Arial" w:eastAsia="Arial" w:hAnsi="Arial"/>
                <w:sz w:val="13"/>
                <w:szCs w:val="13"/>
                <w:b w:val="1"/>
                <w:bCs w:val="1"/>
                <w:color w:val="auto"/>
              </w:rPr>
              <w:t>Percentage</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jc w:val="right"/>
              <w:ind w:right="300"/>
              <w:spacing w:after="0"/>
              <w:rPr>
                <w:sz w:val="20"/>
                <w:szCs w:val="20"/>
                <w:color w:val="auto"/>
              </w:rPr>
            </w:pPr>
            <w:r>
              <w:rPr>
                <w:rFonts w:ascii="Arial" w:cs="Arial" w:eastAsia="Arial" w:hAnsi="Arial"/>
                <w:sz w:val="13"/>
                <w:szCs w:val="13"/>
                <w:b w:val="1"/>
                <w:bCs w:val="1"/>
                <w:color w:val="auto"/>
              </w:rPr>
              <w:t>Nine Months Ended</w:t>
            </w:r>
          </w:p>
        </w:tc>
        <w:tc>
          <w:tcPr>
            <w:tcW w:w="10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8"/>
        </w:trPr>
        <w:tc>
          <w:tcPr>
            <w:tcW w:w="1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March 31,</w:t>
            </w:r>
          </w:p>
        </w:tc>
        <w:tc>
          <w:tcPr>
            <w:tcW w:w="1060" w:type="dxa"/>
            <w:vAlign w:val="bottom"/>
          </w:tcPr>
          <w:p>
            <w:pPr>
              <w:jc w:val="right"/>
              <w:ind w:right="35"/>
              <w:spacing w:after="0"/>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March 31,</w:t>
            </w:r>
          </w:p>
        </w:tc>
        <w:tc>
          <w:tcPr>
            <w:tcW w:w="10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5"/>
        </w:trPr>
        <w:tc>
          <w:tcPr>
            <w:tcW w:w="160" w:type="dxa"/>
            <w:vAlign w:val="bottom"/>
            <w:tcBorders>
              <w:bottom w:val="single" w:sz="8" w:color="auto"/>
            </w:tcBorders>
          </w:tcPr>
          <w:p>
            <w:pPr>
              <w:spacing w:after="0"/>
              <w:rPr>
                <w:sz w:val="4"/>
                <w:szCs w:val="4"/>
                <w:color w:val="auto"/>
              </w:rPr>
            </w:pPr>
          </w:p>
        </w:tc>
        <w:tc>
          <w:tcPr>
            <w:tcW w:w="38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2021</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2021</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98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98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16,728</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color w:val="auto"/>
              </w:rPr>
              <w:t>15,457</w:t>
            </w:r>
          </w:p>
        </w:tc>
        <w:tc>
          <w:tcPr>
            <w:tcW w:w="106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color w:val="auto"/>
              </w:rPr>
              <w:t>8%</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55,998</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color w:val="auto"/>
              </w:rPr>
              <w:t>44,813</w:t>
            </w:r>
          </w:p>
        </w:tc>
        <w:tc>
          <w:tcPr>
            <w:tcW w:w="10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75"/>
        </w:trPr>
        <w:tc>
          <w:tcPr>
            <w:tcW w:w="3980" w:type="dxa"/>
            <w:vAlign w:val="bottom"/>
            <w:gridSpan w:val="2"/>
          </w:tcPr>
          <w:p>
            <w:pPr>
              <w:spacing w:after="0" w:line="175" w:lineRule="exact"/>
              <w:rPr>
                <w:sz w:val="20"/>
                <w:szCs w:val="20"/>
                <w:color w:val="auto"/>
              </w:rPr>
            </w:pPr>
            <w:r>
              <w:rPr>
                <w:rFonts w:ascii="Arial" w:cs="Arial" w:eastAsia="Arial" w:hAnsi="Arial"/>
                <w:sz w:val="18"/>
                <w:szCs w:val="18"/>
                <w:color w:val="auto"/>
              </w:rPr>
              <w:t>Net income tax benefit related to transfer of</w:t>
            </w:r>
          </w:p>
        </w:tc>
        <w:tc>
          <w:tcPr>
            <w:tcW w:w="280" w:type="dxa"/>
            <w:vAlign w:val="bottom"/>
          </w:tcPr>
          <w:p>
            <w:pPr>
              <w:spacing w:after="0"/>
              <w:rPr>
                <w:sz w:val="15"/>
                <w:szCs w:val="15"/>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(3,291)</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820" w:type="dxa"/>
            <w:vAlign w:val="bottom"/>
          </w:tcPr>
          <w:p>
            <w:pPr>
              <w:ind w:left="60"/>
              <w:spacing w:after="0" w:line="203" w:lineRule="exact"/>
              <w:rPr>
                <w:sz w:val="20"/>
                <w:szCs w:val="20"/>
                <w:color w:val="auto"/>
              </w:rPr>
            </w:pPr>
            <w:r>
              <w:rPr>
                <w:rFonts w:ascii="Arial" w:cs="Arial" w:eastAsia="Arial" w:hAnsi="Arial"/>
                <w:sz w:val="18"/>
                <w:szCs w:val="18"/>
                <w:color w:val="auto"/>
              </w:rPr>
              <w:t>intangible properties</w:t>
            </w:r>
          </w:p>
        </w:tc>
        <w:tc>
          <w:tcPr>
            <w:tcW w:w="2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0</w:t>
            </w:r>
          </w:p>
        </w:tc>
        <w:tc>
          <w:tcPr>
            <w:tcW w:w="1060" w:type="dxa"/>
            <w:vAlign w:val="bottom"/>
          </w:tcPr>
          <w:p>
            <w:pPr>
              <w:jc w:val="right"/>
              <w:ind w:right="35"/>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980" w:type="dxa"/>
            <w:vAlign w:val="bottom"/>
            <w:gridSpan w:val="2"/>
            <w:shd w:val="clear" w:color="auto" w:fill="E5E5E5"/>
          </w:tcPr>
          <w:p>
            <w:pPr>
              <w:spacing w:after="0" w:line="175" w:lineRule="exact"/>
              <w:rPr>
                <w:sz w:val="20"/>
                <w:szCs w:val="20"/>
                <w:color w:val="auto"/>
              </w:rPr>
            </w:pPr>
            <w:r>
              <w:rPr>
                <w:rFonts w:ascii="Arial" w:cs="Arial" w:eastAsia="Arial" w:hAnsi="Arial"/>
                <w:sz w:val="18"/>
                <w:szCs w:val="18"/>
                <w:color w:val="auto"/>
              </w:rPr>
              <w:t>Net income tax benefit related to India Supreme</w:t>
            </w:r>
          </w:p>
        </w:tc>
        <w:tc>
          <w:tcPr>
            <w:tcW w:w="280" w:type="dxa"/>
            <w:vAlign w:val="bottom"/>
            <w:shd w:val="clear" w:color="auto" w:fill="E5E5E5"/>
          </w:tcPr>
          <w:p>
            <w:pPr>
              <w:spacing w:after="0"/>
              <w:rPr>
                <w:sz w:val="15"/>
                <w:szCs w:val="15"/>
                <w:color w:val="auto"/>
              </w:rPr>
            </w:pPr>
          </w:p>
        </w:tc>
        <w:tc>
          <w:tcPr>
            <w:tcW w:w="94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96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96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E5E5E5"/>
          </w:tcPr>
          <w:p>
            <w:pPr>
              <w:spacing w:after="0"/>
              <w:rPr>
                <w:sz w:val="17"/>
                <w:szCs w:val="17"/>
                <w:color w:val="auto"/>
              </w:rPr>
            </w:pPr>
          </w:p>
        </w:tc>
        <w:tc>
          <w:tcPr>
            <w:tcW w:w="3820" w:type="dxa"/>
            <w:vAlign w:val="bottom"/>
            <w:shd w:val="clear" w:color="auto" w:fill="E5E5E5"/>
          </w:tcPr>
          <w:p>
            <w:pPr>
              <w:ind w:left="60"/>
              <w:spacing w:after="0" w:line="203" w:lineRule="exact"/>
              <w:rPr>
                <w:sz w:val="20"/>
                <w:szCs w:val="20"/>
                <w:color w:val="auto"/>
              </w:rPr>
            </w:pPr>
            <w:r>
              <w:rPr>
                <w:rFonts w:ascii="Arial" w:cs="Arial" w:eastAsia="Arial" w:hAnsi="Arial"/>
                <w:sz w:val="18"/>
                <w:szCs w:val="18"/>
                <w:color w:val="auto"/>
              </w:rPr>
              <w:t>Court decision on withholding taxes</w:t>
            </w:r>
          </w:p>
        </w:tc>
        <w:tc>
          <w:tcPr>
            <w:tcW w:w="280" w:type="dxa"/>
            <w:vAlign w:val="bottom"/>
            <w:shd w:val="clear" w:color="auto" w:fill="E5E5E5"/>
          </w:tcPr>
          <w:p>
            <w:pPr>
              <w:spacing w:after="0"/>
              <w:rPr>
                <w:sz w:val="17"/>
                <w:szCs w:val="17"/>
                <w:color w:val="auto"/>
              </w:rPr>
            </w:pPr>
          </w:p>
        </w:tc>
        <w:tc>
          <w:tcPr>
            <w:tcW w:w="940" w:type="dxa"/>
            <w:vAlign w:val="bottom"/>
            <w:gridSpan w:val="2"/>
            <w:vMerge w:val="continue"/>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40"/>
              <w:spacing w:after="0" w:line="203" w:lineRule="exact"/>
              <w:rPr>
                <w:sz w:val="20"/>
                <w:szCs w:val="20"/>
                <w:color w:val="auto"/>
              </w:rPr>
            </w:pPr>
            <w:r>
              <w:rPr>
                <w:rFonts w:ascii="Arial" w:cs="Arial" w:eastAsia="Arial" w:hAnsi="Arial"/>
                <w:sz w:val="18"/>
                <w:szCs w:val="18"/>
                <w:color w:val="auto"/>
              </w:rPr>
              <w:t>(620)</w:t>
            </w:r>
          </w:p>
        </w:tc>
        <w:tc>
          <w:tcPr>
            <w:tcW w:w="1060" w:type="dxa"/>
            <w:vAlign w:val="bottom"/>
            <w:shd w:val="clear" w:color="auto" w:fill="E5E5E5"/>
          </w:tcPr>
          <w:p>
            <w:pPr>
              <w:jc w:val="right"/>
              <w:ind w:right="35"/>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60" w:type="dxa"/>
            <w:vAlign w:val="bottom"/>
            <w:gridSpan w:val="2"/>
            <w:vMerge w:val="continue"/>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40"/>
              <w:spacing w:after="0" w:line="203" w:lineRule="exact"/>
              <w:rPr>
                <w:sz w:val="20"/>
                <w:szCs w:val="20"/>
                <w:color w:val="auto"/>
              </w:rPr>
            </w:pPr>
            <w:r>
              <w:rPr>
                <w:rFonts w:ascii="Arial" w:cs="Arial" w:eastAsia="Arial" w:hAnsi="Arial"/>
                <w:sz w:val="18"/>
                <w:szCs w:val="18"/>
                <w:color w:val="auto"/>
              </w:rPr>
              <w:t>(620)</w:t>
            </w:r>
          </w:p>
        </w:tc>
        <w:tc>
          <w:tcPr>
            <w:tcW w:w="1020" w:type="dxa"/>
            <w:vAlign w:val="bottom"/>
            <w:gridSpan w:val="2"/>
            <w:shd w:val="clear" w:color="auto" w:fill="E5E5E5"/>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980" w:type="dxa"/>
            <w:vAlign w:val="bottom"/>
            <w:tcBorders>
              <w:bottom w:val="single" w:sz="8" w:color="auto"/>
            </w:tcBorders>
            <w:gridSpan w:val="2"/>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980" w:type="dxa"/>
            <w:vAlign w:val="bottom"/>
            <w:gridSpan w:val="2"/>
          </w:tcPr>
          <w:p>
            <w:pPr>
              <w:spacing w:after="0"/>
              <w:rPr>
                <w:sz w:val="20"/>
                <w:szCs w:val="20"/>
                <w:color w:val="auto"/>
              </w:rPr>
            </w:pPr>
            <w:r>
              <w:rPr>
                <w:rFonts w:ascii="Arial" w:cs="Arial" w:eastAsia="Arial" w:hAnsi="Arial"/>
                <w:sz w:val="18"/>
                <w:szCs w:val="18"/>
                <w:color w:val="auto"/>
              </w:rPr>
              <w:t>Adjusted net income (non-GAAP)</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16,728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14,837</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52,707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44,193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61"/>
        </w:trPr>
        <w:tc>
          <w:tcPr>
            <w:tcW w:w="3980" w:type="dxa"/>
            <w:vAlign w:val="bottom"/>
            <w:gridSpan w:val="2"/>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3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98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2.22</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color w:val="auto"/>
              </w:rPr>
              <w:t>2.03</w:t>
            </w:r>
          </w:p>
        </w:tc>
        <w:tc>
          <w:tcPr>
            <w:tcW w:w="106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color w:val="auto"/>
              </w:rPr>
              <w:t>9%</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7.41</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color w:val="auto"/>
              </w:rPr>
              <w:t>5.88</w:t>
            </w:r>
          </w:p>
        </w:tc>
        <w:tc>
          <w:tcPr>
            <w:tcW w:w="10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75"/>
        </w:trPr>
        <w:tc>
          <w:tcPr>
            <w:tcW w:w="3980" w:type="dxa"/>
            <w:vAlign w:val="bottom"/>
            <w:gridSpan w:val="2"/>
          </w:tcPr>
          <w:p>
            <w:pPr>
              <w:spacing w:after="0" w:line="175" w:lineRule="exact"/>
              <w:rPr>
                <w:sz w:val="20"/>
                <w:szCs w:val="20"/>
                <w:color w:val="auto"/>
              </w:rPr>
            </w:pPr>
            <w:r>
              <w:rPr>
                <w:rFonts w:ascii="Arial" w:cs="Arial" w:eastAsia="Arial" w:hAnsi="Arial"/>
                <w:sz w:val="18"/>
                <w:szCs w:val="18"/>
                <w:color w:val="auto"/>
              </w:rPr>
              <w:t>Net income tax benefit related to transfer of</w:t>
            </w:r>
          </w:p>
        </w:tc>
        <w:tc>
          <w:tcPr>
            <w:tcW w:w="280" w:type="dxa"/>
            <w:vAlign w:val="bottom"/>
          </w:tcPr>
          <w:p>
            <w:pPr>
              <w:spacing w:after="0"/>
              <w:rPr>
                <w:sz w:val="15"/>
                <w:szCs w:val="15"/>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(0.43)</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820" w:type="dxa"/>
            <w:vAlign w:val="bottom"/>
          </w:tcPr>
          <w:p>
            <w:pPr>
              <w:ind w:left="60"/>
              <w:spacing w:after="0" w:line="203" w:lineRule="exact"/>
              <w:rPr>
                <w:sz w:val="20"/>
                <w:szCs w:val="20"/>
                <w:color w:val="auto"/>
              </w:rPr>
            </w:pPr>
            <w:r>
              <w:rPr>
                <w:rFonts w:ascii="Arial" w:cs="Arial" w:eastAsia="Arial" w:hAnsi="Arial"/>
                <w:sz w:val="18"/>
                <w:szCs w:val="18"/>
                <w:color w:val="auto"/>
              </w:rPr>
              <w:t>intangible properties</w:t>
            </w:r>
          </w:p>
        </w:tc>
        <w:tc>
          <w:tcPr>
            <w:tcW w:w="2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0</w:t>
            </w:r>
          </w:p>
        </w:tc>
        <w:tc>
          <w:tcPr>
            <w:tcW w:w="1060" w:type="dxa"/>
            <w:vAlign w:val="bottom"/>
          </w:tcPr>
          <w:p>
            <w:pPr>
              <w:jc w:val="right"/>
              <w:ind w:right="35"/>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980" w:type="dxa"/>
            <w:vAlign w:val="bottom"/>
            <w:gridSpan w:val="2"/>
            <w:shd w:val="clear" w:color="auto" w:fill="E5E5E5"/>
          </w:tcPr>
          <w:p>
            <w:pPr>
              <w:spacing w:after="0" w:line="175" w:lineRule="exact"/>
              <w:rPr>
                <w:sz w:val="20"/>
                <w:szCs w:val="20"/>
                <w:color w:val="auto"/>
              </w:rPr>
            </w:pPr>
            <w:r>
              <w:rPr>
                <w:rFonts w:ascii="Arial" w:cs="Arial" w:eastAsia="Arial" w:hAnsi="Arial"/>
                <w:sz w:val="18"/>
                <w:szCs w:val="18"/>
                <w:color w:val="auto"/>
              </w:rPr>
              <w:t>Net income tax benefit related to India Supreme</w:t>
            </w:r>
          </w:p>
        </w:tc>
        <w:tc>
          <w:tcPr>
            <w:tcW w:w="280" w:type="dxa"/>
            <w:vAlign w:val="bottom"/>
            <w:shd w:val="clear" w:color="auto" w:fill="E5E5E5"/>
          </w:tcPr>
          <w:p>
            <w:pPr>
              <w:spacing w:after="0"/>
              <w:rPr>
                <w:sz w:val="15"/>
                <w:szCs w:val="15"/>
                <w:color w:val="auto"/>
              </w:rPr>
            </w:pPr>
          </w:p>
        </w:tc>
        <w:tc>
          <w:tcPr>
            <w:tcW w:w="94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96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96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E5E5E5"/>
          </w:tcPr>
          <w:p>
            <w:pPr>
              <w:spacing w:after="0"/>
              <w:rPr>
                <w:sz w:val="17"/>
                <w:szCs w:val="17"/>
                <w:color w:val="auto"/>
              </w:rPr>
            </w:pPr>
          </w:p>
        </w:tc>
        <w:tc>
          <w:tcPr>
            <w:tcW w:w="3820" w:type="dxa"/>
            <w:vAlign w:val="bottom"/>
            <w:shd w:val="clear" w:color="auto" w:fill="E5E5E5"/>
          </w:tcPr>
          <w:p>
            <w:pPr>
              <w:ind w:left="60"/>
              <w:spacing w:after="0" w:line="203" w:lineRule="exact"/>
              <w:rPr>
                <w:sz w:val="20"/>
                <w:szCs w:val="20"/>
                <w:color w:val="auto"/>
              </w:rPr>
            </w:pPr>
            <w:r>
              <w:rPr>
                <w:rFonts w:ascii="Arial" w:cs="Arial" w:eastAsia="Arial" w:hAnsi="Arial"/>
                <w:sz w:val="18"/>
                <w:szCs w:val="18"/>
                <w:color w:val="auto"/>
              </w:rPr>
              <w:t>Court decision on withholding taxes</w:t>
            </w:r>
          </w:p>
        </w:tc>
        <w:tc>
          <w:tcPr>
            <w:tcW w:w="280" w:type="dxa"/>
            <w:vAlign w:val="bottom"/>
            <w:shd w:val="clear" w:color="auto" w:fill="E5E5E5"/>
          </w:tcPr>
          <w:p>
            <w:pPr>
              <w:spacing w:after="0"/>
              <w:rPr>
                <w:sz w:val="17"/>
                <w:szCs w:val="17"/>
                <w:color w:val="auto"/>
              </w:rPr>
            </w:pPr>
          </w:p>
        </w:tc>
        <w:tc>
          <w:tcPr>
            <w:tcW w:w="940" w:type="dxa"/>
            <w:vAlign w:val="bottom"/>
            <w:gridSpan w:val="2"/>
            <w:vMerge w:val="continue"/>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40"/>
              <w:spacing w:after="0" w:line="203" w:lineRule="exact"/>
              <w:rPr>
                <w:sz w:val="20"/>
                <w:szCs w:val="20"/>
                <w:color w:val="auto"/>
              </w:rPr>
            </w:pPr>
            <w:r>
              <w:rPr>
                <w:rFonts w:ascii="Arial" w:cs="Arial" w:eastAsia="Arial" w:hAnsi="Arial"/>
                <w:sz w:val="18"/>
                <w:szCs w:val="18"/>
                <w:color w:val="auto"/>
              </w:rPr>
              <w:t>(0.08)</w:t>
            </w:r>
          </w:p>
        </w:tc>
        <w:tc>
          <w:tcPr>
            <w:tcW w:w="1060" w:type="dxa"/>
            <w:vAlign w:val="bottom"/>
            <w:shd w:val="clear" w:color="auto" w:fill="E5E5E5"/>
          </w:tcPr>
          <w:p>
            <w:pPr>
              <w:jc w:val="right"/>
              <w:ind w:right="35"/>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60" w:type="dxa"/>
            <w:vAlign w:val="bottom"/>
            <w:gridSpan w:val="2"/>
            <w:vMerge w:val="continue"/>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40"/>
              <w:spacing w:after="0" w:line="203" w:lineRule="exact"/>
              <w:rPr>
                <w:sz w:val="20"/>
                <w:szCs w:val="20"/>
                <w:color w:val="auto"/>
              </w:rPr>
            </w:pPr>
            <w:r>
              <w:rPr>
                <w:rFonts w:ascii="Arial" w:cs="Arial" w:eastAsia="Arial" w:hAnsi="Arial"/>
                <w:sz w:val="18"/>
                <w:szCs w:val="18"/>
                <w:color w:val="auto"/>
              </w:rPr>
              <w:t>(0.08)</w:t>
            </w:r>
          </w:p>
        </w:tc>
        <w:tc>
          <w:tcPr>
            <w:tcW w:w="1020" w:type="dxa"/>
            <w:vAlign w:val="bottom"/>
            <w:gridSpan w:val="2"/>
            <w:shd w:val="clear" w:color="auto" w:fill="E5E5E5"/>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980" w:type="dxa"/>
            <w:vAlign w:val="bottom"/>
            <w:tcBorders>
              <w:bottom w:val="single" w:sz="8" w:color="auto"/>
            </w:tcBorders>
            <w:gridSpan w:val="2"/>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980" w:type="dxa"/>
            <w:vAlign w:val="bottom"/>
            <w:gridSpan w:val="2"/>
          </w:tcPr>
          <w:p>
            <w:pPr>
              <w:spacing w:after="0"/>
              <w:rPr>
                <w:sz w:val="20"/>
                <w:szCs w:val="20"/>
                <w:color w:val="auto"/>
              </w:rPr>
            </w:pPr>
            <w:r>
              <w:rPr>
                <w:rFonts w:ascii="Arial" w:cs="Arial" w:eastAsia="Arial" w:hAnsi="Arial"/>
                <w:sz w:val="18"/>
                <w:szCs w:val="18"/>
                <w:color w:val="auto"/>
              </w:rPr>
              <w:t>Adjusted diluted earnings per share (non-GAAP)</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1.95</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6.98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5.80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61"/>
        </w:trPr>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3820" w:type="dxa"/>
            <w:vAlign w:val="bottom"/>
            <w:vMerge w:val="restart"/>
          </w:tcPr>
          <w:p>
            <w:pPr>
              <w:ind w:left="380"/>
              <w:spacing w:after="0"/>
              <w:rPr>
                <w:sz w:val="20"/>
                <w:szCs w:val="20"/>
                <w:color w:val="auto"/>
              </w:rPr>
            </w:pPr>
            <w:r>
              <w:rPr>
                <w:rFonts w:ascii="Arial" w:cs="Arial" w:eastAsia="Arial" w:hAnsi="Arial"/>
                <w:sz w:val="18"/>
                <w:szCs w:val="18"/>
                <w:i w:val="1"/>
                <w:iCs w:val="1"/>
                <w:color w:val="auto"/>
              </w:rPr>
              <w:t>Not meaningful.</w:t>
            </w: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60" w:type="dxa"/>
            <w:vAlign w:val="bottom"/>
            <w:vMerge w:val="continue"/>
          </w:tcPr>
          <w:p>
            <w:pPr>
              <w:spacing w:after="0"/>
              <w:rPr>
                <w:sz w:val="24"/>
                <w:szCs w:val="24"/>
                <w:color w:val="auto"/>
              </w:rPr>
            </w:pPr>
          </w:p>
        </w:tc>
        <w:tc>
          <w:tcPr>
            <w:tcW w:w="3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Investments</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Cash, cash equivalents, and short-term investments totaled $104.7 billion and $130.3 billion as of March 31, 2022 and June 30, 2021, respectively. Equity investments were $6.9 billion and $6.0 billion as of March 31, 2022 and June 30, 2021,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5" w:name="page46"/>
    <w:bookmarkEnd w:id="4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36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Cash from operations increased $ 10.4 billion to $64.4 billion for the nine months ended March 31, 2022, mainly due to an increase in cash received from customers, offset in part by an increase in cash paid to suppliers and employees. Cash used in financing increased $8.5 billion to $45.6 billion for the nine months ended March 31, 2022, mainly due to a $5.3 billion increase in repayments of debt and a $3.7 billion increase in common stock repurchases. Cash used in investing increased $3.9 billion to $20.6 billion for the nine months ended March 31, 2022, mainly due to a $12.4 billion increase in cash used for acquisitions of companies, net of cash acquired, and purchases of intangible and other assets, and a $2.8 billion increase in additions to property and equipment, offset in part by a $11.7 billion increase in cash from net investment purchases, sales, and maturities.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issue debt to take advantage of favorable pricing and liquidity in the debt markets, reflecting our credit rating and the low interest rate environment. The proceeds of these issuances were or will be used for general corporate purposes, which may include, among other things, funding for working capital, capital expenditures, repurchases of capital stock, acquisitions, and repayment of existing debt. In March 2021 and June 2020, we exchanged a portion of our existing debt at a premium for cash and new debt with longer maturities to take advantage of favorable financing rates in the debt markets, reflecting our credit rating and the low interest rate environment. Refer to Note 10 – Debt of the Notes to Financial Statements (Part I, Item 1 of this Form 10-Q) for further discussion.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Revenue</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Software Assurance (“SA”) and cloud services.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expected future recognition of unearned revenue as of March 31, 2022:</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548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460" w:type="dxa"/>
            <w:vAlign w:val="bottom"/>
          </w:tcPr>
          <w:p>
            <w:pPr>
              <w:spacing w:after="0"/>
              <w:rPr>
                <w:sz w:val="20"/>
                <w:szCs w:val="20"/>
                <w:color w:val="auto"/>
              </w:rPr>
            </w:pPr>
            <w:r>
              <w:rPr>
                <w:rFonts w:ascii="Arial" w:cs="Arial" w:eastAsia="Arial" w:hAnsi="Arial"/>
                <w:sz w:val="13"/>
                <w:szCs w:val="13"/>
                <w:b w:val="1"/>
                <w:bCs w:val="1"/>
                <w:color w:val="auto"/>
              </w:rPr>
              <w:t>Three Months Ending</w:t>
            </w: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55"/>
        </w:trPr>
        <w:tc>
          <w:tcPr>
            <w:tcW w:w="9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June 30, 2022</w:t>
            </w:r>
          </w:p>
        </w:tc>
        <w:tc>
          <w:tcPr>
            <w:tcW w:w="600" w:type="dxa"/>
            <w:vAlign w:val="bottom"/>
            <w:shd w:val="clear" w:color="auto" w:fill="E5E5E5"/>
          </w:tcPr>
          <w:p>
            <w:pPr>
              <w:jc w:val="right"/>
              <w:ind w:right="41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16,179</w:t>
            </w:r>
          </w:p>
        </w:tc>
        <w:tc>
          <w:tcPr>
            <w:tcW w:w="120" w:type="dxa"/>
            <w:vAlign w:val="bottom"/>
            <w:shd w:val="clear" w:color="auto" w:fill="E5E5E5"/>
          </w:tcPr>
          <w:p>
            <w:pPr>
              <w:spacing w:after="0"/>
              <w:rPr>
                <w:sz w:val="16"/>
                <w:szCs w:val="16"/>
                <w:color w:val="auto"/>
              </w:rPr>
            </w:pPr>
          </w:p>
        </w:tc>
      </w:tr>
      <w:tr>
        <w:trPr>
          <w:trHeight w:val="189"/>
        </w:trPr>
        <w:tc>
          <w:tcPr>
            <w:tcW w:w="9460" w:type="dxa"/>
            <w:vAlign w:val="bottom"/>
          </w:tcPr>
          <w:p>
            <w:pPr>
              <w:spacing w:after="0" w:line="189" w:lineRule="exact"/>
              <w:rPr>
                <w:sz w:val="20"/>
                <w:szCs w:val="20"/>
                <w:color w:val="auto"/>
              </w:rPr>
            </w:pPr>
            <w:r>
              <w:rPr>
                <w:rFonts w:ascii="Arial" w:cs="Arial" w:eastAsia="Arial" w:hAnsi="Arial"/>
                <w:sz w:val="18"/>
                <w:szCs w:val="18"/>
                <w:color w:val="auto"/>
              </w:rPr>
              <w:t>September 30, 2022</w:t>
            </w:r>
          </w:p>
        </w:tc>
        <w:tc>
          <w:tcPr>
            <w:tcW w:w="6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8,873</w:t>
            </w:r>
          </w:p>
        </w:tc>
        <w:tc>
          <w:tcPr>
            <w:tcW w:w="120" w:type="dxa"/>
            <w:vAlign w:val="bottom"/>
          </w:tcPr>
          <w:p>
            <w:pPr>
              <w:spacing w:after="0"/>
              <w:rPr>
                <w:sz w:val="16"/>
                <w:szCs w:val="16"/>
                <w:color w:val="auto"/>
              </w:rPr>
            </w:pPr>
          </w:p>
        </w:tc>
      </w:tr>
      <w:tr>
        <w:trPr>
          <w:trHeight w:val="189"/>
        </w:trPr>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December 31, 2022</w:t>
            </w:r>
          </w:p>
        </w:tc>
        <w:tc>
          <w:tcPr>
            <w:tcW w:w="600" w:type="dxa"/>
            <w:vAlign w:val="bottom"/>
            <w:shd w:val="clear" w:color="auto" w:fill="E5E5E5"/>
          </w:tcPr>
          <w:p>
            <w:pPr>
              <w:spacing w:after="0"/>
              <w:rPr>
                <w:sz w:val="16"/>
                <w:szCs w:val="16"/>
                <w:color w:val="auto"/>
              </w:rPr>
            </w:pPr>
          </w:p>
        </w:tc>
        <w:tc>
          <w:tcPr>
            <w:tcW w:w="10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6,481</w:t>
            </w:r>
          </w:p>
        </w:tc>
        <w:tc>
          <w:tcPr>
            <w:tcW w:w="120" w:type="dxa"/>
            <w:vAlign w:val="bottom"/>
            <w:shd w:val="clear" w:color="auto" w:fill="E5E5E5"/>
          </w:tcPr>
          <w:p>
            <w:pPr>
              <w:spacing w:after="0"/>
              <w:rPr>
                <w:sz w:val="16"/>
                <w:szCs w:val="16"/>
                <w:color w:val="auto"/>
              </w:rPr>
            </w:pPr>
          </w:p>
        </w:tc>
      </w:tr>
      <w:tr>
        <w:trPr>
          <w:trHeight w:val="189"/>
        </w:trPr>
        <w:tc>
          <w:tcPr>
            <w:tcW w:w="9460" w:type="dxa"/>
            <w:vAlign w:val="bottom"/>
          </w:tcPr>
          <w:p>
            <w:pPr>
              <w:spacing w:after="0" w:line="189" w:lineRule="exact"/>
              <w:rPr>
                <w:sz w:val="20"/>
                <w:szCs w:val="20"/>
                <w:color w:val="auto"/>
              </w:rPr>
            </w:pPr>
            <w:r>
              <w:rPr>
                <w:rFonts w:ascii="Arial" w:cs="Arial" w:eastAsia="Arial" w:hAnsi="Arial"/>
                <w:sz w:val="18"/>
                <w:szCs w:val="18"/>
                <w:color w:val="auto"/>
              </w:rPr>
              <w:t>March 31, 2023</w:t>
            </w:r>
          </w:p>
        </w:tc>
        <w:tc>
          <w:tcPr>
            <w:tcW w:w="6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2,494</w:t>
            </w:r>
          </w:p>
        </w:tc>
        <w:tc>
          <w:tcPr>
            <w:tcW w:w="120" w:type="dxa"/>
            <w:vAlign w:val="bottom"/>
          </w:tcPr>
          <w:p>
            <w:pPr>
              <w:spacing w:after="0"/>
              <w:rPr>
                <w:sz w:val="16"/>
                <w:szCs w:val="16"/>
                <w:color w:val="auto"/>
              </w:rPr>
            </w:pPr>
          </w:p>
        </w:tc>
      </w:tr>
      <w:tr>
        <w:trPr>
          <w:trHeight w:val="189"/>
        </w:trPr>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Thereafter</w:t>
            </w:r>
          </w:p>
        </w:tc>
        <w:tc>
          <w:tcPr>
            <w:tcW w:w="600" w:type="dxa"/>
            <w:vAlign w:val="bottom"/>
            <w:shd w:val="clear" w:color="auto" w:fill="E5E5E5"/>
          </w:tcPr>
          <w:p>
            <w:pPr>
              <w:spacing w:after="0"/>
              <w:rPr>
                <w:sz w:val="16"/>
                <w:szCs w:val="16"/>
                <w:color w:val="auto"/>
              </w:rPr>
            </w:pPr>
          </w:p>
        </w:tc>
        <w:tc>
          <w:tcPr>
            <w:tcW w:w="10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2,769</w:t>
            </w:r>
          </w:p>
        </w:tc>
        <w:tc>
          <w:tcPr>
            <w:tcW w:w="120" w:type="dxa"/>
            <w:vAlign w:val="bottom"/>
            <w:shd w:val="clear" w:color="auto" w:fill="E5E5E5"/>
          </w:tcPr>
          <w:p>
            <w:pPr>
              <w:spacing w:after="0"/>
              <w:rPr>
                <w:sz w:val="16"/>
                <w:szCs w:val="16"/>
                <w:color w:val="auto"/>
              </w:rPr>
            </w:pPr>
          </w:p>
        </w:tc>
      </w:tr>
      <w:tr>
        <w:trPr>
          <w:trHeight w:val="68"/>
        </w:trPr>
        <w:tc>
          <w:tcPr>
            <w:tcW w:w="94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64"/>
        </w:trPr>
        <w:tc>
          <w:tcPr>
            <w:tcW w:w="9460" w:type="dxa"/>
            <w:vAlign w:val="bottom"/>
          </w:tcPr>
          <w:p>
            <w:pPr>
              <w:ind w:left="220"/>
              <w:spacing w:after="0"/>
              <w:rPr>
                <w:sz w:val="20"/>
                <w:szCs w:val="20"/>
                <w:color w:val="auto"/>
              </w:rPr>
            </w:pPr>
            <w:r>
              <w:rPr>
                <w:rFonts w:ascii="Arial" w:cs="Arial" w:eastAsia="Arial" w:hAnsi="Arial"/>
                <w:sz w:val="18"/>
                <w:szCs w:val="18"/>
                <w:color w:val="auto"/>
              </w:rPr>
              <w:t>Total</w:t>
            </w:r>
          </w:p>
        </w:tc>
        <w:tc>
          <w:tcPr>
            <w:tcW w:w="600" w:type="dxa"/>
            <w:vAlign w:val="bottom"/>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36,796</w:t>
            </w:r>
          </w:p>
        </w:tc>
        <w:tc>
          <w:tcPr>
            <w:tcW w:w="120" w:type="dxa"/>
            <w:vAlign w:val="bottom"/>
          </w:tcPr>
          <w:p>
            <w:pPr>
              <w:spacing w:after="0"/>
              <w:rPr>
                <w:sz w:val="22"/>
                <w:szCs w:val="22"/>
                <w:color w:val="auto"/>
              </w:rPr>
            </w:pPr>
          </w:p>
        </w:tc>
      </w:tr>
      <w:tr>
        <w:trPr>
          <w:trHeight w:val="61"/>
        </w:trPr>
        <w:tc>
          <w:tcPr>
            <w:tcW w:w="946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bl>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6" w:name="page47"/>
    <w:bookmarkEnd w:id="4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8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For the nine months ended March 31, 2022 and 2021, we repurchased 67 million shares and 77 million shares of our common stock for $20.2 billion and $16.8 billion, respectively, through our share repurchase programs. All repurchases were made using cash resources. Refer to Note 15 – Stockholders’ Equity of the Notes to Financial Statements (Part I, Item 1 of this Form 10-Q) for further discussion.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15 – Stockholders’ Equity of the Notes to Financial Statements (Part I, Item 1 of this Form 10-Q) for further discussion.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provide indemnifications of varying scope and size to certain customers against claims of intellectual property infringement made by third parties arising from the use of our products and certain other matters. Additionally, we have agreed to cover damages resulting from breaches of certain security and privacy commitments in our cloud business. In evaluating estimated losses on these obligations, we consider factors such as the degree of probability of an unfavorable outcome and our ability to make a reasonable estimate of the amount of loss. These obligations did not have a material impact in our consolidated financial statements during the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Planned Uses of Capital</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January 18, 2022, we entered into a definitive agreement to acquire Activision Blizzard, Inc. (“Activision Blizzard”) for $95.00 per share in an all-cash transaction valued at $68.7 billion, inclusive of Activision Blizzard’s net cash. We expect this acquisition to close in fiscal year 2023, subject to approval by Activision Blizzard’s shareholders, the satisfaction of certain regulatory approvals, and other customary closing conditions.</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will continue to invest in sales, marketing, product support infrastructure, and existing and advanced areas of technology, as well as continue making acquisitions that align with our business strategy. Additions to property and equipment will continue, including new facilities, datacenters, and computer systems for research and development, sales and marketing, support, and administrative staff. We expect capital expenditures to increase in coming years to support growth in our cloud offerings. We have operating and finance leases for datacenters, corporate offices, research and development facilities, Microsoft Experience Centers, and certain equipment. We have not engaged in any related party transactions or arrangements with unconsolidated entities or other persons that are reasonably likely to materially affect liquidity or the availability of capital resources.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result of the TCJA, we are required to pay a one-time transition tax on deferred foreign income not previously subject to U.S. income tax. Under the TCJA, the transition tax is payable in interest-free installments over eight years, with 8% due in each of the first five years, 15% in year six, 20% in year seven, and 25% in year eight. We have paid transition tax of $ 6.2 billion, which included $1.5 billion during the nine months ended March 31, 2022. The remaining transition tax of $12.0 billion is payable over the next four years with a final payment in fiscal year 2026.</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material capital expenditures, and the transition tax related to the TCJA, for at least the next 12 months and thereafter for the foreseeable future.</w:t>
      </w:r>
    </w:p>
    <w:p>
      <w:pPr>
        <w:spacing w:after="0" w:line="218"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 Accounting Policies of the Notes to Financial Statements (Part I, Item 1 of this Form 10-Q) for further discussion.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7" w:name="page48"/>
    <w:bookmarkEnd w:id="47"/>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These estimates and assumptions are affected by management’s application of accounting policies, as well as uncertainty in the current economic environment due to COVID-19. Critical accounting policies for us include revenue recognition, impairment of investment securities, goodwill, research and development costs, legal and other contingencies, income taxes, and inventories.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Investment Securities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review debt investments quarterly for credit losses and impairment. If the cost of an investment exceeds its fair value, we evaluate, among other factors, general market conditions, credit quality of debt instrument issuers, and the extent to which the fair value is less than cost. This determination requires significant judgment. In making this judgment, we employ a systematic methodology that considers available quantitative and qualitative evidence in evaluating potential impairment of our investments.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Equity investments without readily determinable fair values are written down to fair value if a qualitative assessment indicates that the investment is impaired and the fair value of the investment is less than carrying value. We perform a qualitative assessment on a periodic basis. We are required to estimate the fair value of the investment to determine the amount of the impairment loss. Once an investment is determined to be impaired, an impairment charge is recorded in other income (expense), net.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8" w:name="page49"/>
    <w:bookmarkEnd w:id="48"/>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for us)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Costs incurred internally in researching and developing a computer software product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Contingencies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9" w:name="page50"/>
    <w:bookmarkEnd w:id="49"/>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Inventories are stated at average cost, subject to the lower of cost or net realizable value. Cost includes materials, labor, and manufacturing overhead related to the purchase and production of inventories. Net realizable value is the estimated selling price less estimated costs of completion, disposal, and transportation. We regularly review inventory quantities on hand, future purchase commitments with our suppliers, and the estimated utility of our inventory. These reviews include analysis of demand forecasts, product life cycle status, product development plans, current sales levels, pricing strategy, and component cost trends. If our review indicates a reduction in utility below carrying value, we reduce our inventory to a new cost basis through a charge to cost of revenue.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0" w:name="page51"/>
    <w:bookmarkEnd w:id="50"/>
    <w:p>
      <w:pPr>
        <w:jc w:val="center"/>
        <w:ind w:right="20"/>
        <w:spacing w:after="0"/>
        <w:rPr>
          <w:sz w:val="20"/>
          <w:szCs w:val="20"/>
          <w:color w:val="auto"/>
        </w:rPr>
      </w:pPr>
      <w:r>
        <w:rPr>
          <w:rFonts w:ascii="Arial" w:cs="Arial" w:eastAsia="Arial" w:hAnsi="Arial"/>
          <w:sz w:val="13"/>
          <w:szCs w:val="13"/>
          <w:u w:val="single" w:color="auto"/>
          <w:color w:val="auto"/>
        </w:rPr>
        <w:t>PART I</w:t>
      </w:r>
    </w:p>
    <w:p>
      <w:pPr>
        <w:jc w:val="center"/>
        <w:ind w:right="20"/>
        <w:spacing w:after="0"/>
        <w:rPr>
          <w:sz w:val="20"/>
          <w:szCs w:val="20"/>
          <w:color w:val="auto"/>
        </w:rPr>
      </w:pPr>
      <w:r>
        <w:rPr>
          <w:rFonts w:ascii="Arial" w:cs="Arial" w:eastAsia="Arial" w:hAnsi="Arial"/>
          <w:sz w:val="13"/>
          <w:szCs w:val="13"/>
          <w:color w:val="auto"/>
        </w:rPr>
        <w:t>Item 3, 4</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RISKS</w:t>
      </w:r>
    </w:p>
    <w:p>
      <w:pPr>
        <w:spacing w:after="0" w:line="15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are exposed to economic risk from foreign exchange rates, interest rates, credit risk, and equity prices. We use derivatives instruments to manage these risks, however, they may still impact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8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positions, including hedges. Principal currency exposures include the Euro, Japanese yen, British pound, Canadian dollar, and Australian dollar.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80"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80"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Our fixed-income portfolio is diversified and consists primarily of investment-grade securities. We manage credit exposures relative to broad-based indices and to facilitate portfolio diversification.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Securities held in our equity investments portfolio are subject to price risk.</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SENSITIVITY ANALYSIS</w:t>
      </w:r>
    </w:p>
    <w:p>
      <w:pPr>
        <w:spacing w:after="0" w:line="15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following table sets forth the potential loss in future earnings or fair values, including associated derivatives, resulting from hypothetical changes in relevant market rates or prices: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062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b w:val="1"/>
                <w:bCs w:val="1"/>
                <w:color w:val="auto"/>
              </w:rPr>
              <w:t>March 31,</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8"/>
        </w:trPr>
        <w:tc>
          <w:tcPr>
            <w:tcW w:w="3000" w:type="dxa"/>
            <w:vAlign w:val="bottom"/>
          </w:tcPr>
          <w:p>
            <w:pPr>
              <w:spacing w:after="0"/>
              <w:rPr>
                <w:sz w:val="20"/>
                <w:szCs w:val="20"/>
                <w:color w:val="auto"/>
              </w:rPr>
            </w:pPr>
            <w:r>
              <w:rPr>
                <w:rFonts w:ascii="Arial" w:cs="Arial" w:eastAsia="Arial" w:hAnsi="Arial"/>
                <w:sz w:val="13"/>
                <w:szCs w:val="13"/>
                <w:b w:val="1"/>
                <w:bCs w:val="1"/>
                <w:color w:val="auto"/>
              </w:rPr>
              <w:t>Risk Categories</w:t>
            </w:r>
          </w:p>
        </w:tc>
        <w:tc>
          <w:tcPr>
            <w:tcW w:w="5180" w:type="dxa"/>
            <w:vAlign w:val="bottom"/>
          </w:tcPr>
          <w:p>
            <w:pPr>
              <w:ind w:left="460"/>
              <w:spacing w:after="0"/>
              <w:rPr>
                <w:sz w:val="20"/>
                <w:szCs w:val="20"/>
                <w:color w:val="auto"/>
              </w:rPr>
            </w:pPr>
            <w:r>
              <w:rPr>
                <w:rFonts w:ascii="Arial" w:cs="Arial" w:eastAsia="Arial" w:hAnsi="Arial"/>
                <w:sz w:val="13"/>
                <w:szCs w:val="13"/>
                <w:b w:val="1"/>
                <w:bCs w:val="1"/>
                <w:color w:val="auto"/>
              </w:rPr>
              <w:t>Hypothetical Change</w:t>
            </w:r>
          </w:p>
        </w:tc>
        <w:tc>
          <w:tcPr>
            <w:tcW w:w="860" w:type="dxa"/>
            <w:vAlign w:val="bottom"/>
          </w:tcPr>
          <w:p>
            <w:pPr>
              <w:spacing w:after="0"/>
              <w:rPr>
                <w:sz w:val="15"/>
                <w:szCs w:val="15"/>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b w:val="1"/>
                <w:bCs w:val="1"/>
                <w:color w:val="auto"/>
              </w:rPr>
              <w:t>2022</w:t>
            </w: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Impact</w:t>
            </w:r>
          </w:p>
        </w:tc>
      </w:tr>
      <w:tr>
        <w:trPr>
          <w:trHeight w:val="55"/>
        </w:trPr>
        <w:tc>
          <w:tcPr>
            <w:tcW w:w="3000" w:type="dxa"/>
            <w:vAlign w:val="bottom"/>
          </w:tcPr>
          <w:p>
            <w:pPr>
              <w:spacing w:after="0"/>
              <w:rPr>
                <w:sz w:val="4"/>
                <w:szCs w:val="4"/>
                <w:color w:val="auto"/>
              </w:rPr>
            </w:pPr>
          </w:p>
        </w:tc>
        <w:tc>
          <w:tcPr>
            <w:tcW w:w="5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3000" w:type="dxa"/>
            <w:vAlign w:val="bottom"/>
            <w:shd w:val="clear" w:color="auto" w:fill="E5E5E5"/>
          </w:tcPr>
          <w:p>
            <w:pPr>
              <w:spacing w:after="0" w:line="203" w:lineRule="exact"/>
              <w:rPr>
                <w:sz w:val="20"/>
                <w:szCs w:val="20"/>
                <w:color w:val="auto"/>
              </w:rPr>
            </w:pPr>
            <w:r>
              <w:rPr>
                <w:rFonts w:ascii="Arial" w:cs="Arial" w:eastAsia="Arial" w:hAnsi="Arial"/>
                <w:sz w:val="18"/>
                <w:szCs w:val="18"/>
                <w:color w:val="auto"/>
              </w:rPr>
              <w:t xml:space="preserve">Foreign currency </w:t>
            </w:r>
            <w:r>
              <w:rPr>
                <w:rFonts w:ascii="Arial" w:cs="Arial" w:eastAsia="Arial" w:hAnsi="Arial"/>
                <w:sz w:val="21"/>
                <w:szCs w:val="21"/>
                <w:color w:val="auto"/>
              </w:rPr>
              <w:t>–</w:t>
            </w:r>
            <w:r>
              <w:rPr>
                <w:rFonts w:ascii="Arial" w:cs="Arial" w:eastAsia="Arial" w:hAnsi="Arial"/>
                <w:sz w:val="18"/>
                <w:szCs w:val="18"/>
                <w:color w:val="auto"/>
              </w:rPr>
              <w:t xml:space="preserve"> Revenue</w:t>
            </w:r>
          </w:p>
        </w:tc>
        <w:tc>
          <w:tcPr>
            <w:tcW w:w="5180" w:type="dxa"/>
            <w:vAlign w:val="bottom"/>
            <w:shd w:val="clear" w:color="auto" w:fill="E5E5E5"/>
          </w:tcPr>
          <w:p>
            <w:pPr>
              <w:ind w:left="460"/>
              <w:spacing w:after="0" w:line="202" w:lineRule="exact"/>
              <w:rPr>
                <w:sz w:val="20"/>
                <w:szCs w:val="20"/>
                <w:color w:val="auto"/>
              </w:rPr>
            </w:pPr>
            <w:r>
              <w:rPr>
                <w:rFonts w:ascii="Arial" w:cs="Arial" w:eastAsia="Arial" w:hAnsi="Arial"/>
                <w:sz w:val="18"/>
                <w:szCs w:val="18"/>
                <w:color w:val="auto"/>
              </w:rPr>
              <w:t>10% decrease in foreign exchange rates</w:t>
            </w:r>
          </w:p>
        </w:tc>
        <w:tc>
          <w:tcPr>
            <w:tcW w:w="86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(6,693)</w:t>
            </w:r>
          </w:p>
        </w:tc>
        <w:tc>
          <w:tcPr>
            <w:tcW w:w="1120" w:type="dxa"/>
            <w:vAlign w:val="bottom"/>
            <w:gridSpan w:val="2"/>
            <w:shd w:val="clear" w:color="auto" w:fill="E5E5E5"/>
          </w:tcPr>
          <w:p>
            <w:pPr>
              <w:ind w:left="60"/>
              <w:spacing w:after="0" w:line="202" w:lineRule="exact"/>
              <w:rPr>
                <w:sz w:val="20"/>
                <w:szCs w:val="20"/>
                <w:color w:val="auto"/>
              </w:rPr>
            </w:pPr>
            <w:r>
              <w:rPr>
                <w:rFonts w:ascii="Arial" w:cs="Arial" w:eastAsia="Arial" w:hAnsi="Arial"/>
                <w:sz w:val="18"/>
                <w:szCs w:val="18"/>
                <w:color w:val="auto"/>
              </w:rPr>
              <w:t>Earnings</w:t>
            </w:r>
          </w:p>
        </w:tc>
      </w:tr>
      <w:tr>
        <w:trPr>
          <w:trHeight w:val="203"/>
        </w:trPr>
        <w:tc>
          <w:tcPr>
            <w:tcW w:w="3000" w:type="dxa"/>
            <w:vAlign w:val="bottom"/>
          </w:tcPr>
          <w:p>
            <w:pPr>
              <w:spacing w:after="0" w:line="203" w:lineRule="exact"/>
              <w:rPr>
                <w:sz w:val="20"/>
                <w:szCs w:val="20"/>
                <w:color w:val="auto"/>
              </w:rPr>
            </w:pPr>
            <w:r>
              <w:rPr>
                <w:rFonts w:ascii="Arial" w:cs="Arial" w:eastAsia="Arial" w:hAnsi="Arial"/>
                <w:sz w:val="18"/>
                <w:szCs w:val="18"/>
                <w:color w:val="auto"/>
              </w:rPr>
              <w:t xml:space="preserve">Foreign currency </w:t>
            </w:r>
            <w:r>
              <w:rPr>
                <w:rFonts w:ascii="Arial" w:cs="Arial" w:eastAsia="Arial" w:hAnsi="Arial"/>
                <w:sz w:val="21"/>
                <w:szCs w:val="21"/>
                <w:color w:val="auto"/>
              </w:rPr>
              <w:t>–</w:t>
            </w:r>
            <w:r>
              <w:rPr>
                <w:rFonts w:ascii="Arial" w:cs="Arial" w:eastAsia="Arial" w:hAnsi="Arial"/>
                <w:sz w:val="18"/>
                <w:szCs w:val="18"/>
                <w:color w:val="auto"/>
              </w:rPr>
              <w:t xml:space="preserve"> Investments</w:t>
            </w:r>
          </w:p>
        </w:tc>
        <w:tc>
          <w:tcPr>
            <w:tcW w:w="5180" w:type="dxa"/>
            <w:vAlign w:val="bottom"/>
          </w:tcPr>
          <w:p>
            <w:pPr>
              <w:ind w:left="460"/>
              <w:spacing w:after="0" w:line="202" w:lineRule="exact"/>
              <w:rPr>
                <w:sz w:val="20"/>
                <w:szCs w:val="20"/>
                <w:color w:val="auto"/>
              </w:rPr>
            </w:pPr>
            <w:r>
              <w:rPr>
                <w:rFonts w:ascii="Arial" w:cs="Arial" w:eastAsia="Arial" w:hAnsi="Arial"/>
                <w:sz w:val="18"/>
                <w:szCs w:val="18"/>
                <w:color w:val="auto"/>
              </w:rPr>
              <w:t>10% decrease in foreign exchange rates</w:t>
            </w:r>
          </w:p>
        </w:tc>
        <w:tc>
          <w:tcPr>
            <w:tcW w:w="8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(94)</w:t>
            </w:r>
          </w:p>
        </w:tc>
        <w:tc>
          <w:tcPr>
            <w:tcW w:w="1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Fair Value</w:t>
            </w:r>
          </w:p>
        </w:tc>
      </w:tr>
      <w:tr>
        <w:trPr>
          <w:trHeight w:val="189"/>
        </w:trPr>
        <w:tc>
          <w:tcPr>
            <w:tcW w:w="3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w:t>
            </w:r>
          </w:p>
        </w:tc>
        <w:tc>
          <w:tcPr>
            <w:tcW w:w="5180" w:type="dxa"/>
            <w:vAlign w:val="bottom"/>
            <w:shd w:val="clear" w:color="auto" w:fill="E5E5E5"/>
          </w:tcPr>
          <w:p>
            <w:pPr>
              <w:ind w:left="460"/>
              <w:spacing w:after="0" w:line="189" w:lineRule="exact"/>
              <w:rPr>
                <w:sz w:val="20"/>
                <w:szCs w:val="20"/>
                <w:color w:val="auto"/>
              </w:rPr>
            </w:pPr>
            <w:r>
              <w:rPr>
                <w:rFonts w:ascii="Arial" w:cs="Arial" w:eastAsia="Arial" w:hAnsi="Arial"/>
                <w:sz w:val="18"/>
                <w:szCs w:val="18"/>
                <w:color w:val="auto"/>
              </w:rPr>
              <w:t>100 basis point increase in U.S. treasury interest rates</w:t>
            </w:r>
          </w:p>
        </w:tc>
        <w:tc>
          <w:tcPr>
            <w:tcW w:w="860" w:type="dxa"/>
            <w:vAlign w:val="bottom"/>
            <w:shd w:val="clear" w:color="auto" w:fill="E5E5E5"/>
          </w:tcPr>
          <w:p>
            <w:pPr>
              <w:spacing w:after="0"/>
              <w:rPr>
                <w:sz w:val="16"/>
                <w:szCs w:val="16"/>
                <w:color w:val="auto"/>
              </w:rPr>
            </w:pPr>
          </w:p>
        </w:tc>
        <w:tc>
          <w:tcPr>
            <w:tcW w:w="11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(2,718)</w:t>
            </w:r>
          </w:p>
        </w:tc>
        <w:tc>
          <w:tcPr>
            <w:tcW w:w="1120" w:type="dxa"/>
            <w:vAlign w:val="bottom"/>
            <w:gridSpan w:val="2"/>
            <w:shd w:val="clear" w:color="auto" w:fill="E5E5E5"/>
          </w:tcPr>
          <w:p>
            <w:pPr>
              <w:ind w:left="60"/>
              <w:spacing w:after="0" w:line="189" w:lineRule="exact"/>
              <w:rPr>
                <w:sz w:val="20"/>
                <w:szCs w:val="20"/>
                <w:color w:val="auto"/>
              </w:rPr>
            </w:pPr>
            <w:r>
              <w:rPr>
                <w:rFonts w:ascii="Arial" w:cs="Arial" w:eastAsia="Arial" w:hAnsi="Arial"/>
                <w:sz w:val="18"/>
                <w:szCs w:val="18"/>
                <w:color w:val="auto"/>
              </w:rPr>
              <w:t>Fair Value</w:t>
            </w:r>
          </w:p>
        </w:tc>
      </w:tr>
      <w:tr>
        <w:trPr>
          <w:trHeight w:val="189"/>
        </w:trPr>
        <w:tc>
          <w:tcPr>
            <w:tcW w:w="3000" w:type="dxa"/>
            <w:vAlign w:val="bottom"/>
          </w:tcPr>
          <w:p>
            <w:pPr>
              <w:spacing w:after="0" w:line="189" w:lineRule="exact"/>
              <w:rPr>
                <w:sz w:val="20"/>
                <w:szCs w:val="20"/>
                <w:color w:val="auto"/>
              </w:rPr>
            </w:pPr>
            <w:r>
              <w:rPr>
                <w:rFonts w:ascii="Arial" w:cs="Arial" w:eastAsia="Arial" w:hAnsi="Arial"/>
                <w:sz w:val="18"/>
                <w:szCs w:val="18"/>
                <w:color w:val="auto"/>
              </w:rPr>
              <w:t>Credit</w:t>
            </w:r>
          </w:p>
        </w:tc>
        <w:tc>
          <w:tcPr>
            <w:tcW w:w="5180" w:type="dxa"/>
            <w:vAlign w:val="bottom"/>
          </w:tcPr>
          <w:p>
            <w:pPr>
              <w:ind w:left="460"/>
              <w:spacing w:after="0" w:line="189" w:lineRule="exact"/>
              <w:rPr>
                <w:sz w:val="20"/>
                <w:szCs w:val="20"/>
                <w:color w:val="auto"/>
              </w:rPr>
            </w:pPr>
            <w:r>
              <w:rPr>
                <w:rFonts w:ascii="Arial" w:cs="Arial" w:eastAsia="Arial" w:hAnsi="Arial"/>
                <w:sz w:val="18"/>
                <w:szCs w:val="18"/>
                <w:color w:val="auto"/>
              </w:rPr>
              <w:t>100 basis point increase in credit spreads</w:t>
            </w:r>
          </w:p>
        </w:tc>
        <w:tc>
          <w:tcPr>
            <w:tcW w:w="8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(376)</w:t>
            </w:r>
          </w:p>
        </w:tc>
        <w:tc>
          <w:tcPr>
            <w:tcW w:w="112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Fair Value</w:t>
            </w:r>
          </w:p>
        </w:tc>
      </w:tr>
      <w:tr>
        <w:trPr>
          <w:trHeight w:val="189"/>
        </w:trPr>
        <w:tc>
          <w:tcPr>
            <w:tcW w:w="3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Equity</w:t>
            </w:r>
          </w:p>
        </w:tc>
        <w:tc>
          <w:tcPr>
            <w:tcW w:w="5180" w:type="dxa"/>
            <w:vAlign w:val="bottom"/>
            <w:shd w:val="clear" w:color="auto" w:fill="E5E5E5"/>
          </w:tcPr>
          <w:p>
            <w:pPr>
              <w:ind w:left="460"/>
              <w:spacing w:after="0" w:line="189" w:lineRule="exact"/>
              <w:rPr>
                <w:sz w:val="20"/>
                <w:szCs w:val="20"/>
                <w:color w:val="auto"/>
              </w:rPr>
            </w:pPr>
            <w:r>
              <w:rPr>
                <w:rFonts w:ascii="Arial" w:cs="Arial" w:eastAsia="Arial" w:hAnsi="Arial"/>
                <w:sz w:val="18"/>
                <w:szCs w:val="18"/>
                <w:color w:val="auto"/>
              </w:rPr>
              <w:t>10% decrease in equity market prices</w:t>
            </w:r>
          </w:p>
        </w:tc>
        <w:tc>
          <w:tcPr>
            <w:tcW w:w="860" w:type="dxa"/>
            <w:vAlign w:val="bottom"/>
            <w:shd w:val="clear" w:color="auto" w:fill="E5E5E5"/>
          </w:tcPr>
          <w:p>
            <w:pPr>
              <w:spacing w:after="0"/>
              <w:rPr>
                <w:sz w:val="16"/>
                <w:szCs w:val="16"/>
                <w:color w:val="auto"/>
              </w:rPr>
            </w:pPr>
          </w:p>
        </w:tc>
        <w:tc>
          <w:tcPr>
            <w:tcW w:w="11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(648)</w:t>
            </w:r>
          </w:p>
        </w:tc>
        <w:tc>
          <w:tcPr>
            <w:tcW w:w="1120" w:type="dxa"/>
            <w:vAlign w:val="bottom"/>
            <w:gridSpan w:val="2"/>
            <w:shd w:val="clear" w:color="auto" w:fill="E5E5E5"/>
          </w:tcPr>
          <w:p>
            <w:pPr>
              <w:ind w:left="60"/>
              <w:spacing w:after="0" w:line="189" w:lineRule="exact"/>
              <w:rPr>
                <w:sz w:val="20"/>
                <w:szCs w:val="20"/>
                <w:color w:val="auto"/>
              </w:rPr>
            </w:pPr>
            <w:r>
              <w:rPr>
                <w:rFonts w:ascii="Arial" w:cs="Arial" w:eastAsia="Arial" w:hAnsi="Arial"/>
                <w:sz w:val="18"/>
                <w:szCs w:val="18"/>
                <w:color w:val="auto"/>
              </w:rPr>
              <w:t>Earnings</w:t>
            </w:r>
          </w:p>
        </w:tc>
      </w:tr>
      <w:tr>
        <w:trPr>
          <w:trHeight w:val="68"/>
        </w:trPr>
        <w:tc>
          <w:tcPr>
            <w:tcW w:w="3000" w:type="dxa"/>
            <w:vAlign w:val="bottom"/>
            <w:tcBorders>
              <w:bottom w:val="single" w:sz="8" w:color="auto"/>
            </w:tcBorders>
          </w:tcPr>
          <w:p>
            <w:pPr>
              <w:spacing w:after="0"/>
              <w:rPr>
                <w:sz w:val="5"/>
                <w:szCs w:val="5"/>
                <w:color w:val="auto"/>
              </w:rPr>
            </w:pPr>
          </w:p>
        </w:tc>
        <w:tc>
          <w:tcPr>
            <w:tcW w:w="5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 4. CONTROLS AND PROCEDURES</w:t>
      </w:r>
    </w:p>
    <w:p>
      <w:pPr>
        <w:spacing w:after="0" w:line="18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 There were no changes in our internal control over financial reporting during the quarter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8" w:right="319" w:bottom="1440" w:gutter="0" w:footer="0" w:header="0"/>
        </w:sectPr>
      </w:pPr>
    </w:p>
    <w:bookmarkStart w:id="51" w:name="page52"/>
    <w:bookmarkEnd w:id="51"/>
    <w:p>
      <w:pPr>
        <w:jc w:val="center"/>
        <w:spacing w:after="0"/>
        <w:rPr>
          <w:sz w:val="20"/>
          <w:szCs w:val="20"/>
          <w:color w:val="auto"/>
        </w:rPr>
      </w:pPr>
      <w:r>
        <w:rPr>
          <w:rFonts w:ascii="Arial" w:cs="Arial" w:eastAsia="Arial" w:hAnsi="Arial"/>
          <w:sz w:val="13"/>
          <w:szCs w:val="13"/>
          <w:u w:val="single" w:color="auto"/>
          <w:color w:val="auto"/>
        </w:rPr>
        <w:t>PART II</w:t>
      </w:r>
    </w:p>
    <w:p>
      <w:pPr>
        <w:jc w:val="center"/>
        <w:spacing w:after="0"/>
        <w:rPr>
          <w:sz w:val="20"/>
          <w:szCs w:val="20"/>
          <w:color w:val="auto"/>
        </w:rPr>
      </w:pPr>
      <w:r>
        <w:rPr>
          <w:rFonts w:ascii="Arial" w:cs="Arial" w:eastAsia="Arial" w:hAnsi="Arial"/>
          <w:sz w:val="13"/>
          <w:szCs w:val="13"/>
          <w:color w:val="auto"/>
        </w:rPr>
        <w:t>Item 1, 1A</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LEGAL PROCEEDINGS</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 to Note 14 – Contingencies of the Notes to Financial Statements (Part I, Item 1 of this Form 10-Q) for information regarding legal proceedings in which we are involved.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1A. RISK FACTORS</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below, that could adversely affect our business, financial condition, results of operations, cash flows, and the trading price of our common stock.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STRATEGIC AND COMPETITIVE RISKS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We face intense competition across all markets for our products and services, which may lead to lower revenue or operating margins.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technology sector</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Our ability to remain competitive depends on our success in making innovative products, devices, and services that appeal to businesses and consumers.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platform-based ecosystems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achieve and maintain attractive margins. We face significant competition from firms that provide competing platforms.</w:t>
      </w:r>
    </w:p>
    <w:p>
      <w:pPr>
        <w:spacing w:after="0" w:line="56" w:lineRule="exact"/>
        <w:rPr>
          <w:sz w:val="20"/>
          <w:szCs w:val="20"/>
          <w:color w:val="auto"/>
        </w:rPr>
      </w:pPr>
    </w:p>
    <w:p>
      <w:pPr>
        <w:jc w:val="both"/>
        <w:ind w:left="1060" w:hanging="391"/>
        <w:spacing w:after="0" w:line="23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competing vertically-integrated model, in which a single firm controls the software and hardware elements of a product and related services, has succeeded with some consumer products such as personal computers, tablets, 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 integrated offer. We also offer some vertically-integrated hardware and software products and services. To the extent we shift a portion of our business to a vertically integrated model we increase our cost of revenue and reduce our operating margins.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2" w:name="page53"/>
    <w:bookmarkEnd w:id="52"/>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269" w:lineRule="exact"/>
        <w:rPr>
          <w:sz w:val="20"/>
          <w:szCs w:val="20"/>
          <w:color w:val="auto"/>
        </w:rPr>
      </w:pPr>
    </w:p>
    <w:p>
      <w:pPr>
        <w:jc w:val="both"/>
        <w:ind w:left="1060" w:hanging="391"/>
        <w:spacing w:after="0" w:line="236"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derive substantial revenue from licenses of Windows operating systems on PCs. We face significant competition from competing platforms developed for new devices and form factors such as smartphones and tablet computers. These devices compete on multiple bases including price and the perceived utility of the device and its platform. Users are increasingly turning to these devices to perform functions that in the past were performed by personal computers. Even if many users view these devices as complementary to a personal computer,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original equipment manufacturer (“OEM”) partners, which may affect their commitment to our platform.</w:t>
      </w:r>
    </w:p>
    <w:p>
      <w:pPr>
        <w:spacing w:after="0" w:line="58" w:lineRule="exact"/>
        <w:rPr>
          <w:rFonts w:ascii="Arial" w:cs="Arial" w:eastAsia="Arial" w:hAnsi="Arial"/>
          <w:sz w:val="18"/>
          <w:szCs w:val="18"/>
          <w:color w:val="auto"/>
        </w:rPr>
      </w:pPr>
    </w:p>
    <w:p>
      <w:pPr>
        <w:jc w:val="both"/>
        <w:ind w:left="1060" w:hanging="391"/>
        <w:spacing w:after="0" w:line="23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Competing platforms have content and application marketplaces with scale and significant installed bases. The variety and utility of content and applications available on a platform are important to device purchasing decisions. Users may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 Competitors’ rules governing their content and applications marketplaces may restrict our ability to distribute products and services through them in accordance with our technical and business model objectives.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 competition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Companies compete with us based on a growing variety of business models.</w:t>
      </w:r>
    </w:p>
    <w:p>
      <w:pPr>
        <w:spacing w:after="0" w:line="77" w:lineRule="exact"/>
        <w:rPr>
          <w:sz w:val="20"/>
          <w:szCs w:val="20"/>
          <w:color w:val="auto"/>
        </w:rPr>
      </w:pPr>
    </w:p>
    <w:p>
      <w:pPr>
        <w:jc w:val="both"/>
        <w:ind w:left="1060" w:hanging="391"/>
        <w:spacing w:after="0" w:line="238"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Even as we transition more of our business to infrastructure-, platform-, and software-as-a-service business model,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spacing w:after="0" w:line="53" w:lineRule="exact"/>
        <w:rPr>
          <w:rFonts w:ascii="Arial" w:cs="Arial" w:eastAsia="Arial" w:hAnsi="Arial"/>
          <w:sz w:val="18"/>
          <w:szCs w:val="18"/>
          <w:color w:val="auto"/>
        </w:rPr>
      </w:pPr>
    </w:p>
    <w:p>
      <w:pPr>
        <w:jc w:val="both"/>
        <w:ind w:left="1060" w:hanging="391"/>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competitors develop and offer free applications, online services and content, and make money by selling third-party advertising. Advertising revenue funds development of products and services these competitors provide to users at no or little cost, competing directly with our revenue-generating products.</w:t>
      </w:r>
    </w:p>
    <w:p>
      <w:pPr>
        <w:spacing w:after="0" w:line="54" w:lineRule="exact"/>
        <w:rPr>
          <w:rFonts w:ascii="Arial" w:cs="Arial" w:eastAsia="Arial" w:hAnsi="Arial"/>
          <w:sz w:val="18"/>
          <w:szCs w:val="18"/>
          <w:color w:val="auto"/>
        </w:rPr>
      </w:pPr>
    </w:p>
    <w:p>
      <w:pPr>
        <w:jc w:val="both"/>
        <w:ind w:left="1060" w:hanging="391"/>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Some companies compete with us by modifying and then distributing open source software at little or no cost to end users, and earning revenue on advertising or integrated products and services. These firms do not bear the full costs of research and development for the open source software. Some open source software mimics the features and functionality of our products.</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competitive pressures described above may cause decreased sales volumes, price reductions, and/or increased operating costs, such as for research and development, marketing, and sales incentives. This may lead to lower revenue, gross margins, and operating income.</w:t>
      </w:r>
    </w:p>
    <w:p>
      <w:pPr>
        <w:spacing w:after="0" w:line="12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Our increasing focus on cloud-based services presents execution and competitive risks. </w:t>
      </w:r>
      <w:r>
        <w:rPr>
          <w:rFonts w:ascii="Arial" w:cs="Arial" w:eastAsia="Arial" w:hAnsi="Arial"/>
          <w:sz w:val="18"/>
          <w:szCs w:val="18"/>
          <w:color w:val="auto"/>
        </w:rPr>
        <w:t>A growing part of our business involves</w:t>
      </w:r>
      <w:r>
        <w:rPr>
          <w:rFonts w:ascii="Arial" w:cs="Arial" w:eastAsia="Arial" w:hAnsi="Arial"/>
          <w:sz w:val="18"/>
          <w:szCs w:val="18"/>
          <w:b w:val="1"/>
          <w:bCs w:val="1"/>
          <w:color w:val="auto"/>
        </w:rPr>
        <w:t xml:space="preserve"> </w:t>
      </w:r>
      <w:r>
        <w:rPr>
          <w:rFonts w:ascii="Arial" w:cs="Arial" w:eastAsia="Arial" w:hAnsi="Arial"/>
          <w:sz w:val="18"/>
          <w:szCs w:val="18"/>
          <w:color w:val="auto"/>
        </w:rPr>
        <w:t>cloud-based services available across the spectrum of computing devices. Our strategic vision is to compete and grow by building best-in-class platforms and productivity services for an intelligent cloud and an intelligent edge infused with artificial intelligence (“AI”). At the same time, our competitors are rapidly developing and deploying cloud-based services for consumers and business customers. Pricing and delivery models are evolving. Devices and form factors influence how users access services in the cloud and sometimes the user’s choice of which cloud-based services to use. We are devoting significant resources to develop and deploy our cloud-based strategies. The Windows ecosystem must continue to evolve with this changing environment. We embrace cultural and organizational changes to drive accountability and eliminate obstacles to innovation. Our intelligent cloud and intelligent edge worldview is connected with the growth of the Internet of Things (“IoT”). Our success in the IoT will depend on the level of adoption of our offerings such as Azure, Azure Stack, Azure IoT Edge, and Azure Sphere. We may not establish market share sufficient to achieve scale necessary to achieve our business objectives.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3" w:name="page54"/>
    <w:bookmarkEnd w:id="53"/>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Besides software development costs, we are incurring costs to build and maintain infrastructure to support cloud computing services. These costs will reduce the operating margins we have previously achieved. Whether we succeed in cloud-based services depends on our execution in several areas, including:</w:t>
      </w:r>
    </w:p>
    <w:p>
      <w:pPr>
        <w:spacing w:after="0" w:line="54" w:lineRule="exact"/>
        <w:rPr>
          <w:sz w:val="20"/>
          <w:szCs w:val="20"/>
          <w:color w:val="auto"/>
        </w:rPr>
      </w:pPr>
    </w:p>
    <w:p>
      <w:pPr>
        <w:ind w:left="1060" w:hanging="391"/>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Continuing to bring to market compelling cloud-based experiences that generate increasing traffic and market share.</w:t>
      </w:r>
    </w:p>
    <w:p>
      <w:pPr>
        <w:spacing w:after="0" w:line="10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Maintaining the utility, compatibility, and performance of our cloud-based services on the growing array of computing devices, including PCs, smartphones, tablets, gaming consoles, and other devices, as well as sensors and other IoT endpoints.</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Continuing to enhance the attractiveness of our cloud platforms to third-party developers.</w:t>
      </w:r>
    </w:p>
    <w:p>
      <w:pPr>
        <w:spacing w:after="0" w:line="10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Ensuring our cloud-based services meet the reliability expectations of our customers and maintain the security of their data as well as help them meet their own compliance needs.</w:t>
      </w:r>
    </w:p>
    <w:p>
      <w:pPr>
        <w:spacing w:after="0" w:line="48"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Making our suite of cloud-based services platform-agnostic, available on a wide range of devices and ecosystems, including those of our competitors.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It is uncertain whether our strategies will attract the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may negatively impact gross margins and operating income.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 RELATING TO THE EVOLUTION OF OUR BUSINESS</w:t>
      </w:r>
    </w:p>
    <w:p>
      <w:pPr>
        <w:spacing w:after="0" w:line="13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We make significant investments in products and services that may not achieve expected returns. </w:t>
      </w:r>
      <w:r>
        <w:rPr>
          <w:rFonts w:ascii="Arial" w:cs="Arial" w:eastAsia="Arial" w:hAnsi="Arial"/>
          <w:sz w:val="18"/>
          <w:szCs w:val="18"/>
          <w:color w:val="auto"/>
        </w:rPr>
        <w:t>We will continue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investments in research, development, and marketing for existing products, services, and technologies, including the Windows operating system, Microsoft 365, Office, Bing, SQL Server, Windows Server, Azure, Office 365, Xbox, LinkedIn, and other products and services. We also invest in the development and acquisition of a variety of hardware for productivity, communication, and entertainment including PCs, tablets, gaming devices, and HoloLens. Investments in new technology are speculative. Commercial success depends on many factors, including innovativeness,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and even if they are profitable, operating margins for some new products and businesses will not be as high as the margins we have experienced historically. We may not get engagement in certain features, like Edge and Bing, that drive post-sale monetization opportunities. Our data handling practices across our products and services will continue to be under scrutiny and perceptions of mismanagement, driven by regulatory activity or negative public reaction to our practices or product experiences, which could negatively impact product and feature adoption, product design, and product quality.</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Developing new technologies is complex. It can require long development and testing periods. Significant delays in new releases or significant problems in creating new products or services could adversely affect our revenue.</w:t>
      </w:r>
    </w:p>
    <w:p>
      <w:pPr>
        <w:spacing w:after="0" w:line="12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Acquisitions, joint ventures, and strategic alliances may have an adverse effect on our business. </w:t>
      </w:r>
      <w:r>
        <w:rPr>
          <w:rFonts w:ascii="Arial" w:cs="Arial" w:eastAsia="Arial" w:hAnsi="Arial"/>
          <w:sz w:val="18"/>
          <w:szCs w:val="18"/>
          <w:color w:val="auto"/>
        </w:rPr>
        <w:t>We expect to continue making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acquisitions and entering into joint ventures and strategic alliances as part of our long-term business strategy. For example, in October 2018 we completed our acquisition of GitHub, Inc. (“GitHub”) for $7.5 billion, in March 2021 we completed our acquisition of ZeniMax Media Inc. </w:t>
      </w:r>
      <w:r>
        <w:rPr>
          <w:rFonts w:ascii="Arial" w:cs="Arial" w:eastAsia="Arial" w:hAnsi="Arial"/>
          <w:sz w:val="18"/>
          <w:szCs w:val="18"/>
          <w:color w:val="212529"/>
        </w:rPr>
        <w:t>for</w:t>
      </w:r>
      <w:r>
        <w:rPr>
          <w:rFonts w:ascii="Arial" w:cs="Arial" w:eastAsia="Arial" w:hAnsi="Arial"/>
          <w:sz w:val="18"/>
          <w:szCs w:val="18"/>
          <w:color w:val="auto"/>
        </w:rPr>
        <w:t xml:space="preserve"> </w:t>
      </w:r>
      <w:r>
        <w:rPr>
          <w:rFonts w:ascii="Arial" w:cs="Arial" w:eastAsia="Arial" w:hAnsi="Arial"/>
          <w:sz w:val="18"/>
          <w:szCs w:val="18"/>
          <w:color w:val="212529"/>
        </w:rPr>
        <w:t xml:space="preserve">$8.1 billion, and in March 2022 we completed our acquisition of Nuance Communications, Inc. for $18.8 billion. In January 2022 we announced a definitive agreement to acquire Activision Blizzard, Inc. for $68.7 </w:t>
      </w:r>
      <w:r>
        <w:rPr>
          <w:rFonts w:ascii="Arial" w:cs="Arial" w:eastAsia="Arial" w:hAnsi="Arial"/>
          <w:sz w:val="18"/>
          <w:szCs w:val="18"/>
          <w:color w:val="000000"/>
        </w:rPr>
        <w:t>billion. These acquisitions and other transactions and</w:t>
      </w:r>
      <w:r>
        <w:rPr>
          <w:rFonts w:ascii="Arial" w:cs="Arial" w:eastAsia="Arial" w:hAnsi="Arial"/>
          <w:sz w:val="18"/>
          <w:szCs w:val="18"/>
          <w:color w:val="212529"/>
        </w:rPr>
        <w:t xml:space="preserve"> </w:t>
      </w:r>
      <w:r>
        <w:rPr>
          <w:rFonts w:ascii="Arial" w:cs="Arial" w:eastAsia="Arial" w:hAnsi="Arial"/>
          <w:sz w:val="18"/>
          <w:szCs w:val="18"/>
          <w:color w:val="000000"/>
        </w:rPr>
        <w:t>arrangements involve significant challenges and risks, including that they do not advance our business strategy, that we get an unsatisfactory return on our investment, that we have difficulty integrating and retaining new employees, business systems, and technology, that they distract management from our other businesses, or that announced transactions may not be completed. If an arrangement fails to adequately anticipate changing circumstances and interests of a party, it may result in early termination or renegotiation of the arrangement. The success of these transactions and arrangements will depend in part on our ability to leverage them to enhance our existing products and services or develop compelling new ones. It may take longer than expected to realize the full benefits from these transactions and arrangements such as increased revenue or enhanced efficiencies, or the benefits may ultimately be smaller than we expected. These events could adversely affect our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4" w:name="page55"/>
    <w:bookmarkEnd w:id="54"/>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If our goodwill or amortizable intangible assets become impaired, we may be required to record a significant charge to earnings. </w:t>
      </w:r>
      <w:r>
        <w:rPr>
          <w:rFonts w:ascii="Arial" w:cs="Arial" w:eastAsia="Arial" w:hAnsi="Arial"/>
          <w:sz w:val="18"/>
          <w:szCs w:val="18"/>
          <w:color w:val="auto"/>
        </w:rPr>
        <w:t>We acquire other companies and intangible assets and may not realize all the economic benefit from those acquisitions,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could cause an impairment of goodwill or intangibles.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have in the past recorded, and may in the future be required to record, a significant charge in our consolidated financial statements during the period in which any impairment of our goodwill or amortizable intangible assets is determined, negatively affecting our results of operations.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CYBERSECURITY, DATA PRIVACY, AND PLATFORM ABUSE RISKS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Cyberattacks and security vulnerabilities could lead to reduced revenue, increased costs, liability claims, or harm to our reputation or competitive position.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information technology</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Threats to IT security can take a variety of forms. Individual and groups of hackers and sophisticated organizations, including state-sponsored organizations or nation-states, continuously undertake attacks that pose threats to our customers and our IT. These actors may use a wide variety of methods, which may include developing and deploying malicious software or exploiting vulnerabilities in hardware, software, or other infrastructure in order to attack our products and services or gain access to our networks and datacenters, using social engineering techniques to induce our employees, users, partners, or customers to disclose passwords or other sensitive information or take other actions to gain access to our data or our users’ or customers’ data, or acting in a coordinated manner to launch distributed denial of service or other coordinated attacks. Nation state and state sponsored actors can deploy significant resources to plan and carry out exploits. Nation state attacks against us or our customers may intensify during periods of intense diplomatic or armed conflict, such as the ongoing conflict in Ukraine. Inadequate account security practices may also result in unauthorized access to confidential data. For example, system administrators may fail to timely remove employee account access when no longer appropriate. Employees or third parties may intentionally compromise our or our users’ security or systems or reveal confidential information. Malicious actors may employ the IT supply chain to introduce malware through software updates or compromised supplier accounts or hardware.</w:t>
      </w: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Cyberthreats are constantly evolving and becoming increasingly sophisticated and complex, increasing the difficulty of detecting and successfully defending against them. We may have no current capability to detect certain vulnerabilities, which may allow them to persist in the environment over long periods of time. Cyberthreats can have cascading impacts that unfold with increasing speed across our internal networks and systems and those of our partners and customers. Breaches of our facilities, network, or data security could disrupt the security of our systems and business applications, impair our ability to provide services to our customers and protect the privacy of their data, result in product development delays, compromise confidential or technical business information harming our reputation or competitive position, result in theft or misuse of our intellectual property or other assets, require us to allocate more resources to improve technologies or remediate the impacts of attacks, or otherwise adversely affect our business.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cyberattacks uncovered in late 2020 known as “Solorigate” or “Nobelium” are an example of a supply chain attack where malware was introduced to a software provider’s customers, including us, through software updates. The attackers were later able to create false credentials that appeared legitimate to certain customers’ systems. We may be targets of further attacks similar to Solorigate/Nobelium as both a supplier and consumer of IT.</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internal IT environment continues to evolve. Often, we are early adopters of new devices and technologies. We embrace new ways of sharing data and communicating internally and with partners and customers using methods such as social networking and other consumer-oriented technologies. Our business policies and internal security controls may not keep pace with these changes as new threats emerge.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5" w:name="page56"/>
    <w:bookmarkEnd w:id="55"/>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products, services, devices, and customers’ data</w:t>
      </w:r>
    </w:p>
    <w:p>
      <w:pPr>
        <w:spacing w:after="0" w:line="18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security of our products and services is important in our customers’ decisions to purchase or use our products or services across cloud and on-premises environments. Security threats are a significant challenge to companies like us whose business is providing technology products and services to others. Threats to our own IT infrastructure can also affect our customers. Customers using our cloud-based services rely on the security of our infrastructure, including hardware and other elements provided by third parties, to ensure the reliability of our services and the protection of their data. Adversaries tend to focus their efforts on the most popular operating systems, programs, and services, including many of ours, and we expect that to continue. In addition, adversaries can attack our customers’ on-premises or cloud environments, sometimes exploiting previously unknown (“zero day”) vulnerabilities, such as occurred in early calendar year 2021 with several of our Exchange Server on-premises products. Vulnerabilities in these or any product can persist even after we have issued security patches if customers have not installed the most recent updates, or if the attackers exploited the vulnerabilities before patching to install additional malware to further compromise customers’ systems. Adversaries will continue to attack customers using our cloud services as customers embrace digital transformation. Adversaries that acquire user account information can use that information to compromise our users’ accounts, including where accounts share the same attributes as passwords. Inadequate account security practices may also result in unauthorized access, and user activity may result in ransomware or other malicious software impacting a customer’s use of our products or services. We are increasingly incorporating open source software into our products. There may be vulnerabilities in open source software that may make our products susceptible to cyberattacks.</w:t>
      </w:r>
    </w:p>
    <w:p>
      <w:pPr>
        <w:spacing w:after="0" w:line="15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customers operate complex IT systems with third-party hardware and software from multiple vendors that may include systems acquired over many years. They expect our products and services to support all these systems and products, including those that no longer incorporate the strongest current security advances or standards. As a result, we may not be able to discontinue support in our services for a product, service, standard, or feature solely because a more secure alternative is available. Failure to utilize the most current security advances and standards can increase our customers’ vulnerability to attack. Further, customers of widely varied size and technical sophistication use our technology, and consequently may have limited capabilities and resources to help them adopt and implement state of the art cybersecurity practices and technologies. In addition, we must account for this wide variation of technical sophistication when defining default settings for our products and services, including security default settings, as these settings may limit or otherwise impact other aspects of IT operations and some customers may have limited capability to review and reset these defaults.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Solorigate/Nobelium or similar cyberattacks may adversely impact our customers even if our production services are not directly compromised. We are committed to notifying our customers whose systems have been impacted as we become aware and have available information and actions for customers to help protect themselves. We are also committed to providing guidance and support on detection, tracking, and remediation. We may not be able to detect the existence or extent of these attacks for all of our customers or have information on how to detect or track an attack, especially where an attack involves on-premises software such as Exchange Server where we may have no or limited visibility into our customers’ computing environments.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deployment of defensive measures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defend against security threats to our internal IT systems, our cloud-based services, and our customers’ systems, we must continuously engineer more secure products and services, enhance security and reliability features, improve the deployment of software updates to address security vulnerabilities in our own products as well as those provided by others, develop mitigation technologies that help to secure customers from attacks even when software updates are not deployed, maintain the digital security infrastructure that protects the integrity of our network, products, and services, and provide security tools such as firewalls, anti-virus software, and advanced security and information about the need to deploy security measures and the impact of doing so. Customers in certain industries such as financial services, health care, and government may have enhanced or specialized requirements to which we must engineer our product and services.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6" w:name="page57"/>
    <w:bookmarkEnd w:id="56"/>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6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cost of measures to protect products and customer-facing services could reduce our operating margins. If we fail to do these things well, actual or perceived security vulnerabilities in our products and services, data corruption issues, or reduced performance could harm our reputation and lead customers to reduce or delay future purchases of products or subscriptions to services, or to use competing products or services. Customers may also spend more on protecting their existing computer systems from attack, which could delay adoption of additional products or services. Customers, and third parties granted access to their systems, may fail to update their systems, continue to run software or operating systems we no longer support, or may fail timely to install or enable security patches, or may otherwise fail to adopt adequate security practices. Any of these could adversely affect our reputation and revenue.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 exposure to customers.</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products operate in conjunction with and are dependent on products and components across a broad ecosystem of third parties. If there is a security vulnerability in one of these components, and if there is a security exploit targeting it, we could face increased costs, liability claims, reduced revenue, or harm to our reputation or competitive position.</w:t>
      </w:r>
    </w:p>
    <w:p>
      <w:pPr>
        <w:spacing w:after="0" w:line="1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Disclosure and misuse of personal data could result in liability and harm our reputation. </w:t>
      </w:r>
      <w:r>
        <w:rPr>
          <w:rFonts w:ascii="Arial" w:cs="Arial" w:eastAsia="Arial" w:hAnsi="Arial"/>
          <w:sz w:val="18"/>
          <w:szCs w:val="18"/>
          <w:color w:val="auto"/>
        </w:rPr>
        <w:t>As we continue to grow the number and scale</w:t>
      </w:r>
      <w:r>
        <w:rPr>
          <w:rFonts w:ascii="Arial" w:cs="Arial" w:eastAsia="Arial" w:hAnsi="Arial"/>
          <w:sz w:val="18"/>
          <w:szCs w:val="18"/>
          <w:b w:val="1"/>
          <w:bCs w:val="1"/>
          <w:color w:val="auto"/>
        </w:rPr>
        <w:t xml:space="preserve"> </w:t>
      </w:r>
      <w:r>
        <w:rPr>
          <w:rFonts w:ascii="Arial" w:cs="Arial" w:eastAsia="Arial" w:hAnsi="Arial"/>
          <w:sz w:val="18"/>
          <w:szCs w:val="18"/>
          <w:color w:val="auto"/>
        </w:rPr>
        <w:t>of our cloud-based offerings, we store and process increasingly large amounts of personal data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third parties on data security, and other practices we follow may not prevent the improper disclosure or misuse of customer or user data we or our vendors store and manage.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increasingly,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may take to address customer or user concerns, or constraints on our flexibility to determine where and how to operate datacenters in response to customer or user expectations or governmental rules or actions, may cause higher operating expenses or hinder growth of our products and services.</w:t>
      </w:r>
    </w:p>
    <w:p>
      <w:pPr>
        <w:spacing w:after="0" w:line="13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We may not be able to protect information in our products and services from use by others</w:t>
      </w:r>
      <w:r>
        <w:rPr>
          <w:rFonts w:ascii="Arial" w:cs="Arial" w:eastAsia="Arial" w:hAnsi="Arial"/>
          <w:sz w:val="18"/>
          <w:szCs w:val="18"/>
          <w:color w:val="auto"/>
        </w:rPr>
        <w:t>. LinkedIn and other Microsoft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thus diminishing the value of our products and services.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our platforms may harm our reputation or user engagement.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professional, marketplace, and gaming platform abuses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platform products and services that provide content or host ads that come from or can be influenced by third parties, including GitHub, LinkedIn, Microsoft Advertising, Microsoft News, Microsoft Store, Bing, and Xbox, our reputation or user engagement may be negatively affected by activity that is hostile or inappropriate. This activity may come from users impersonating other people or organizations, dissemination of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and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7" w:name="page58"/>
    <w:bookmarkEnd w:id="57"/>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digital safety abuses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hosted consumer services as well as our enterprise services may be used to disseminate harmful or illegal content in violation of our terms or applicable law. We may not proactively discover such content due to scale, the limitations of existing technologies, and conflicting legal frameworks. When discovered by users, such content may negatively affect our reputation, our brands, and user engagement. Regulations and other initiatives to make platforms responsible for preventing or eliminating harmful content online have been enacted, and we expect this to continue. We may be subject to enhanced regulatory oversight, civil or criminal liability, or reputational damage if we fail to comply with content moderation regulations, adversely affecting our business and consolidated financial statements.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The development of the IoT presents security, privacy, and execution risks. </w:t>
      </w:r>
      <w:r>
        <w:rPr>
          <w:rFonts w:ascii="Arial" w:cs="Arial" w:eastAsia="Arial" w:hAnsi="Arial"/>
          <w:sz w:val="18"/>
          <w:szCs w:val="18"/>
          <w:color w:val="auto"/>
        </w:rPr>
        <w:t>To support the growth of the intelligent cloud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intelligent edge, we are developing products, services, and technologies to power the IoT, a network of distributed and interconnected devices employing sensors, data, and computing capabilities including AI. The IoT’s great potential also carries substantial risks. IoT products and services may contain defects in design, manufacture, or operation that make them insecure or ineffective for their intended purposes. An IoT solution has multiple layers of hardware, sensors, processors, software, and firmware, several of which we may not develop or control. Each layer, including the weakest layer, can impact the security of the whole system. Many IoT devices have limited interfaces and ability to be updated or patched. IoT solutions may collect large amounts of data, and our handling of IoT data may not satisfy customers or regulatory requirements. IoT scenarios may increasingly affect personal health and safety. If IoT solutions that include our technologies do not work as intended, violate the law, or harm individuals or businesses, we may be subject to legal claims or enforcement actions. These risks, if realized, may increase our costs, damage our reputation or brands, or negatively impact our revenues or margins.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Issues in the development and use of AI may result in reputational harm or liability</w:t>
      </w:r>
      <w:r>
        <w:rPr>
          <w:rFonts w:ascii="Arial" w:cs="Arial" w:eastAsia="Arial" w:hAnsi="Arial"/>
          <w:sz w:val="18"/>
          <w:szCs w:val="18"/>
          <w:color w:val="auto"/>
        </w:rPr>
        <w:t>. We are building AI into many of our offerings,</w:t>
      </w:r>
      <w:r>
        <w:rPr>
          <w:rFonts w:ascii="Arial" w:cs="Arial" w:eastAsia="Arial" w:hAnsi="Arial"/>
          <w:sz w:val="18"/>
          <w:szCs w:val="18"/>
          <w:b w:val="1"/>
          <w:bCs w:val="1"/>
          <w:color w:val="auto"/>
        </w:rPr>
        <w:t xml:space="preserve"> </w:t>
      </w:r>
      <w:r>
        <w:rPr>
          <w:rFonts w:ascii="Arial" w:cs="Arial" w:eastAsia="Arial" w:hAnsi="Arial"/>
          <w:sz w:val="18"/>
          <w:szCs w:val="18"/>
          <w:color w:val="auto"/>
        </w:rPr>
        <w:t>making AI available for our customers to use in solutions that they build. We expect these elements of our business to grow. We envision a future in which AI operating in our devices, applications, and the cloud helps our customers be more productive in their work and personal lives. As with many disruptive innovations, AI presents risks and challenges that could affect its adoption, and therefore our business. AI algorithms may be flawed. Datasets may be insufficient or contain biased information. Ineffective or inadequate AI development practices by Microsoft or others could result in incidents that impair the acceptance of AI solutions. These deficiencies could undermine the decisions, predictions, or analysis AI applications produce, subjecting us to competitive harm, legal liability, and brand or reputational harm. Some AI scenarios present ethical issues. If we enable or offer AI solutions that are controversial because of their impact on human rights, privacy, employment, or other social, economic, or political issues, we may experience brand or reputational harm.</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OPERATIONAL RISKS</w:t>
      </w:r>
    </w:p>
    <w:p>
      <w:pPr>
        <w:spacing w:after="0" w:line="13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We may have excessive outages, data losses, and disruptions of our online services if we fail to maintain an adequate operations infrastructure. </w:t>
      </w:r>
      <w:r>
        <w:rPr>
          <w:rFonts w:ascii="Arial" w:cs="Arial" w:eastAsia="Arial" w:hAnsi="Arial"/>
          <w:sz w:val="18"/>
          <w:szCs w:val="18"/>
          <w:color w:val="auto"/>
        </w:rPr>
        <w:t>Our increasing user traffic, growth in services, and the complexity of our products and services demand more computing</w:t>
      </w:r>
      <w:r>
        <w:rPr>
          <w:rFonts w:ascii="Arial" w:cs="Arial" w:eastAsia="Arial" w:hAnsi="Arial"/>
          <w:sz w:val="18"/>
          <w:szCs w:val="18"/>
          <w:b w:val="1"/>
          <w:bCs w:val="1"/>
          <w:color w:val="auto"/>
        </w:rPr>
        <w:t xml:space="preserve"> </w:t>
      </w:r>
      <w:r>
        <w:rPr>
          <w:rFonts w:ascii="Arial" w:cs="Arial" w:eastAsia="Arial" w:hAnsi="Arial"/>
          <w:sz w:val="18"/>
          <w:szCs w:val="18"/>
          <w:color w:val="auto"/>
        </w:rPr>
        <w:t>power. We spend substantial amounts to build, purchase, or lease datacenters and equipment and to upgrade our technology and network infrastructure to handle more traffic on our websites and in our datacenters. These demands continue to increase as we introduce new products and services and support the growth of existing services such as Bing, Azure, Microsoft Account services, Microsoft 365, Microsoft Teams, Dynamics 365, OneDrive, SharePoint Online, Skype, Xbox, and Outlook.com. We are rapidly growing our business of providing a platform and back-end hosting for services provided by third parties to their end users. Maintaining, securing, and expanding this infrastructure is expensive and complex, and requires development of principles for datacenter builds in geographies with higher safety risks. It requires that we maintain an Internet connectivity infrastructure and storage and compute capacity that is robust and reliable within competitive and regulatory constraints that continue to evolve. Inefficiencies or operational failures, including temporary or permanent loss of customer data, insufficient Internet connectivity, or inadequate storage and compute capacity,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may adversely impact our consolidated financial statements.</w:t>
      </w:r>
    </w:p>
    <w:p>
      <w:pPr>
        <w:spacing w:after="0" w:line="13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We may experience quality or supply problems. </w:t>
      </w:r>
      <w:r>
        <w:rPr>
          <w:rFonts w:ascii="Arial" w:cs="Arial" w:eastAsia="Arial" w:hAnsi="Arial"/>
          <w:sz w:val="18"/>
          <w:szCs w:val="18"/>
          <w:color w:val="auto"/>
        </w:rPr>
        <w:t>Our hardware products such as Xbox consoles, Surface devices, and other devices we</w:t>
      </w:r>
      <w:r>
        <w:rPr>
          <w:rFonts w:ascii="Arial" w:cs="Arial" w:eastAsia="Arial" w:hAnsi="Arial"/>
          <w:sz w:val="18"/>
          <w:szCs w:val="18"/>
          <w:b w:val="1"/>
          <w:bCs w:val="1"/>
          <w:color w:val="auto"/>
        </w:rPr>
        <w:t xml:space="preserve"> </w:t>
      </w:r>
      <w:r>
        <w:rPr>
          <w:rFonts w:ascii="Arial" w:cs="Arial" w:eastAsia="Arial" w:hAnsi="Arial"/>
          <w:sz w:val="18"/>
          <w:szCs w:val="18"/>
          <w:color w:val="auto"/>
        </w:rPr>
        <w:t>design and market are highly complex and can have defects in design, manufacture, or associated software. We could incur significant expenses, lost revenue, and reputational harm as a result of recalls, safety alerts, or product liability claims if we fail to prevent, detect, or address such issues through design, testing, or warranty repairs.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8" w:name="page59"/>
    <w:bookmarkEnd w:id="58"/>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software products and services also may experience quality or reliability problems. The highly sophisticated software we develop may contain bugs and other defects that interfere with their intended operation. Our customers increasingly rely on us for critical business functions and multiple workloads. Many of our products and services are interdependent with one another. Each of these circumstances potentially magnifies the impact of quality or reliability issues. Any defects we do not detect and fix in pre-release testing could cause reduced sales and revenue, damage to our reputation, repair or remediation costs, delays in the release of new products or versions, or legal liability. Although our license agreements typically contain provisions that eliminate or limit our exposure to liability, there is no assurance these provisions will withstand legal challenge.</w:t>
      </w: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acquire some device and datacenter components from sole suppliers. Our competitors use some of the same suppliers and their demand for hardware components can affect the capacity available to us. If a component from a sole-source supplier is delayed or becomes unavailable, whether because of supplier capacity constraint, industry shortages, legal or regulatory changes that restrict supply sources, or other reasons, we may not obtain timely replacement supplies, resulting in reduced sales or inadequate datacenter capacity. Component shortages, excess or obsolete inventory, or price reductions resulting in inventory adjustments may increase our cost of revenue. Xbox consoles, Surface devices, datacenter servers, and other hardware are assembled in Asia and other geographies that may be subject to disruptions in the supply chain, resulting in shortages that would affect our revenue and operating margins. These same risks would apply to any other hardware and software products we may offer.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LEGAL, REGULATORY, AND LITIGATION RISKS</w:t>
      </w:r>
    </w:p>
    <w:p>
      <w:pPr>
        <w:spacing w:after="0" w:line="13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Government litigation and regulatory activity relating to competition rules may limit how we design and market our products. </w:t>
      </w:r>
      <w:r>
        <w:rPr>
          <w:rFonts w:ascii="Arial" w:cs="Arial" w:eastAsia="Arial" w:hAnsi="Arial"/>
          <w:sz w:val="18"/>
          <w:szCs w:val="18"/>
          <w:color w:val="auto"/>
        </w:rPr>
        <w:t>As a</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global software and device maker, government agencies closely scrutinize us under U.S. and foreign competition laws. Governments are actively enforcing competition laws and regulations, and this includes scrutiny in potentially large markets such as the European Union (“EU”), the U.S., and China. Some jurisdictions also allow competitors or consumers to assert claims of anti-competitive conduct. U.S. federal and state antitrust authorities have previously brought enforcement actions and continue to scrutinize our business.</w:t>
      </w:r>
    </w:p>
    <w:p>
      <w:pPr>
        <w:spacing w:after="0" w:line="14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European Commission (“the Commission”) closely scrutinizes the design of high-volume Microsoft products and the terms on which we make certain technologies used in these products, such as file formats, programming interfaces, and protocols, available to other companies. Flagship product releases such as Windows can receive significant scrutiny under competition laws. For example, in 2004, the Commission ordered us to create new versions of our Windows operating system that do not include certain multimedia technologies and to provide our competitors with specifications for how to implement certain proprietary Windows communications protocols in their own products. In 2009, the Commission accepted a set of commitments we offered to address the Commission’s concerns relating to competition in web browsing software, including an undertaking to address Commission concerns relating to interoperability. The web browsing commitments expired in 2014. The remaining obligations may limit our ability to innovate in Windows or other products in the future, diminish the developer appeal of the Windows platform, and increase our product development costs. The availability of licenses related to protocols and file formats may enable competitors to develop software products that better mimic the functionality of our products, which could hamper sales of our products.</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portfolio of first-party devices continues to grow; at the same time our OEM partners offer a large variety of devices for our platforms. As a result, increasingly we both cooperate and compete with our OEM partners, creating a risk that we fail to do so in compliance with competition rules. Regulatory scrutiny in this area may increase. Certain foreign governments, particularly in China and other countries in Asia, have advanced arguments under their competition laws that exert downward pressure on royalties for our intellectual property.</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Government regulatory actions and court decisions such as these may result in fines or hinder our ability to provide the benefits of our software to consumers and businesses, reducing the attractiveness of our products and the revenue that come from them. New competition law actions could be initiated, potentially using previous actions as precedent. The outcome of such actions, or steps taken to avoid them, could adversely affect us in a variety of ways, including:</w:t>
      </w:r>
    </w:p>
    <w:p>
      <w:pPr>
        <w:spacing w:after="0" w:line="70" w:lineRule="exact"/>
        <w:rPr>
          <w:sz w:val="20"/>
          <w:szCs w:val="20"/>
          <w:color w:val="auto"/>
        </w:rPr>
      </w:pPr>
    </w:p>
    <w:p>
      <w:pPr>
        <w:jc w:val="both"/>
        <w:ind w:left="1060" w:hanging="391"/>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have to choose between withdrawing products from certain geographies to avoid fines or designing and developing alternative versions of those products to comply with government rulings, which may entail a delay in a product release and removing functionality that customers want or on which developers rely.</w:t>
      </w:r>
    </w:p>
    <w:p>
      <w:pPr>
        <w:spacing w:after="0" w:line="54"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required to make available licenses to our proprietary technologies on terms that do not reflect their fair market value or do not protect our associated intellectual property.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9" w:name="page60"/>
    <w:bookmarkEnd w:id="59"/>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269" w:lineRule="exact"/>
        <w:rPr>
          <w:sz w:val="20"/>
          <w:szCs w:val="20"/>
          <w:color w:val="auto"/>
        </w:rPr>
      </w:pPr>
    </w:p>
    <w:p>
      <w:pPr>
        <w:jc w:val="both"/>
        <w:ind w:left="1060" w:hanging="391"/>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are subject to a variety of ongoing commitments because of court or administrative orders, consent decrees, or other voluntary actions we have taken. If we fail to comply with these commitments, we may incur litigation costs and be subject to substantial fines or other remedial actions.</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realize anticipated Windows post-sale monetization opportunities may be limited.</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Our global operations subject us to potential consequences under anti-corruption, trade, and other laws and regulations.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Corrupt Practices Act (“FCPA”) and other anti-corruption laws and regulations (“Anti-Corruption Laws”) prohibit corrupt 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outside the U.S. and our compliance with Anti-Corruption Laws. Periodically, we receive such reports directly and investigate them, and also cooperate with investigations by U.S. and foreign law enforcement authorities. On July 22, 2019, our Hungarian subsidiary entered into a non-prosecution agreement (“NPA”) with the U.S. Department of Justice (“DOJ”) and we agreed to the terms of a cease and desist order with the Securities and Exchange Commission. These agreements required us to pay $ 25.3 million in monetary penalties, disgorgement, and interest pertaining to activities at Microsoft’s subsidiary in Hungary. The NPA, which has a three-year term concluding in July 2022, also contains certain ongoing compliance requirements, including the obligation to disclose to the DOJ certain potential FCPA-related allegations or issues and to cooperate in any inquiries. Most countries in which we operate also have competition laws that prohibit competitors from colluding or otherwise attempting to reduce competition between themselves. While we devote substantial resources to our U.S. and international compliance programs and have implemented policies, training, and internal controls designed to reduce the risk of corrupt payments and collusive activity, our employees, vendors, or agents may violate our policies. Our failure to comply with Anti-Corruption Laws or competition laws could result in significant fines and penalties, criminal sanctions against us, our officers, or our employees, prohibitions on the conduct of our business, and damage to our reputation.</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Increasing trade laws, policies, sanctions, and other regulatory requirements also affect our operations in and outside the U.S. relating to trade and investment. Economic sanctions in the U.S., the EU, and other countries prohibit most business with restricted entities or countries such as Crimea, Cuba, Iran, North Korea, and Syria. U.S. export controls restrict Microsoft from offering many of its products and services to, or making investments in, certain entities in specified countries. U.S. import controls restrict us from integrating certain information and communication technologies into our supply chain and allow for government review of transactions involving information and communications technology from countries determined to be foreign adversaries. Periods of intense diplomatic or armed conflict, such as the ongoing conflict in Ukraine, may result in (1) new and rapidly evolving sanctions and trade restrictions, which may impair trade with sanctioned individuals and countries, and (2) negative impacts to regional trade ecosystems among our customers, partners, and us. Non-compliance with sanctions as well as general ecosystem disruptions could result in reputational harm, operational delays, monetary fines, loss of revenues, increased costs, loss of export privileges, or criminal sanctions.</w:t>
      </w:r>
    </w:p>
    <w:p>
      <w:pPr>
        <w:spacing w:after="0" w:line="15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Other regulatory areas that may apply to our products and online services offerings include requirements related to user privacy, telecommunications, data storage and protection, advertising, and online content. For example, some regulators are taking the position that our offerings such as Microsoft Teams and Skype are covered by existing laws regulating telecommunications services, and some new laws, including EU Member State laws under the European Electronic Communications Code, are defining more of our services as regulated telecommunications services. This trend may continue and will result in these offerings being subjected to additional data protection, security, and law enforcement surveillance obligations. Regulators may assert that our collection, use, and management of customer data and other information is inconsistent with their laws and regulations, including laws that apply to the tracking of users via technology such as cookies. Legislative or regulatory action relating to cybersecurity requirements may increase the costs to develop, implement, or secure our products and services. Legislative and regulatory action is emerging in the areas of AI and content moderation, which could increase costs or restrict opportunity. Applying these laws and regulations to our business is often unclear, subject to change over time, and sometimes may conflict from jurisdiction to jurisdiction. Additionally, these laws and governments’ approach to their enforcement, and our products and services, are continuing to evolve. Compliance with these types of regulation may involve significant costs or require changes in products or business practices that result in reduced revenue. Noncompliance could result in the imposition of penalties or orders we stop the alleged noncompliant activity.</w:t>
      </w:r>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strive to empower all people and organizations to achieve more, and accessibility of our products is an important aspect of this goal. There is increasing pressure from advocacy groups, regulators, competitors, customers, and other stakeholders to make technology more accessible. If our products do not meet customer expectations or global accessibility requirements, we could lose sales opportunities or face regulatory or legal actions.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0" w:name="page61"/>
    <w:bookmarkEnd w:id="60"/>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4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 xml:space="preserve">Laws and regulations relating to the handling of personal data may impede the adoption of our services or result in increased costs, legal claims, fines against us, or reputational damage. </w:t>
      </w:r>
      <w:r>
        <w:rPr>
          <w:rFonts w:ascii="Arial" w:cs="Arial" w:eastAsia="Arial" w:hAnsi="Arial"/>
          <w:sz w:val="18"/>
          <w:szCs w:val="18"/>
          <w:color w:val="auto"/>
        </w:rPr>
        <w:t>The growth of our Internet- and cloud-based services internationally relies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increasingly on the movement of data across national boundaries. Legal requirements relating to the collection, storage, handling, and transfer of personal data continue to evolve. For example, in July 2020 the Court of Justice of the EU invalidated a framework called Privacy Shield for companies to transfer data from EU member states to the United States. This ruling continues to generate uncertainty about the legal requirements for data transfers from the EU under other legal mechanisms. The U.S. and the EU recently agreed in principle on a replacement framework for the Privacy Shield, called the Trans-Atlantic Data Privacy Framework. A failure of the U.S. and EU to finalize the Trans-Atlantic Data Privacy Framework could compound that uncertainty. Potential new rules and restrictions on the flow of data across borders could increase the cost and complexity of delivering our products and services in some markets. For example, the EU General Data Protection Regulation (“GDPR”) applies to all of our activities conducted from an establishment in the EU or related to products and services offered in the EU, imposes a range of compliance obligations regarding the handling of personal data. Engineering efforts to build and maintain capabilities to facilitate compliance with the law have entailed substantial expense and the diversion of engineering resources from other projects and may continue to do so. We might experience reduced demand for our offerings if we are unable to engineer products that meet our legal duties or help our customers meet their obligations under the GDPR or other data regulations, or if our implementation to comply with the GDPR makes our offerings less attractive. The GDPR imposes significant new obligations and compliance with these obligations depends in part on how particular regulators interpret and apply them. If we fail to comply with the GDPR, or if regulators assert we have failed to comply with the GDPR (including in response to complaints made to regulators), it may lead to regulatory enforcement actions, which can result in monetary penalties of up to 4% of worldwide revenue, private lawsuits, reputational damage, and loss of customers. The highest fines assessed under GDPR have recently been increasing, especially against large technology companies. Jurisdictions around the world, such as China, India, and states in the U.S. have adopted, or are considering adopting or expanding, laws and regulations imposing obligations regarding the handling or transfer of personal data.</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investment in gaining insights from data is becoming central to the value of the services we deliver to customers, to our operational efficiency and key opportunities in monetization, customer perceptions of quality, and operational efficiency. Our ability to use data in this way may be constrained by regulatory developments that impede realizing the expected return from this investment. Ongoing legal analyses, reviews, and inquiries by regulators of Microsoft practices, or relevant practices of other organizations, may result in burdensome or inconsistent requirements, including data sovereignty and localization requirements, affecting the location, movement, collection, and use of our customer and internal employee data as well as the management of that data. Compliance with applicable laws and regulations regarding personal data may require changes in services, business practices, or internal systems that result in increased costs, lower revenue, reduced efficiency, or greater difficulty in competing with foreign-based firms.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as well as negative publicity and diversion of management time and effort.</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have claims and lawsuits against us that may result in adverse outcomes. </w:t>
      </w:r>
      <w:r>
        <w:rPr>
          <w:rFonts w:ascii="Arial" w:cs="Arial" w:eastAsia="Arial" w:hAnsi="Arial"/>
          <w:sz w:val="18"/>
          <w:szCs w:val="18"/>
          <w:color w:val="auto"/>
        </w:rPr>
        <w:t>We are subject to a variety of claims and lawsuits.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claims may arise from a wide variety of business practices and initiatives, including major new product releases such as Windows, significant business transactions, warranty or product claims, and employment practices. Adverse outcomes in some or all of these claims may result in significant monetary damages or injunctive relief that could adversely affect our ability to conduct our business. The litigation and other claims are subject to inherent uncertainties and management’s view of these matters may change in the future. A material adverse impact in our consolidated financial statements could occur for the period in which the effect of an unfavorable outcome becomes probable and reasonably estimable.</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Our business with government customers may present additional uncertainties. </w:t>
      </w:r>
      <w:r>
        <w:rPr>
          <w:rFonts w:ascii="Arial" w:cs="Arial" w:eastAsia="Arial" w:hAnsi="Arial"/>
          <w:sz w:val="18"/>
          <w:szCs w:val="18"/>
          <w:color w:val="auto"/>
        </w:rPr>
        <w:t>We derive substantial revenue from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Government contracts generally can present risks and challenges not present in private commercial agreements. For instance, we may be subject to government audits and investigations relating to these contracts, we could be suspended or debarred as a governmental contractor, we could incur civil and criminal fines and penalties, and under certain circumstances contracts may be rescinded. Some agreements may allow a government to terminate without cause and provide for higher liability limits for certain losses. Some contracts may be subject to periodic funding approval, reductions, or delays which could adversely impact public-sector demand for our products and services. These events could negatively impact our results of operations, financial condition, and reputation.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1" w:name="page62"/>
    <w:bookmarkEnd w:id="61"/>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4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may have additional tax liabilities. </w:t>
      </w:r>
      <w:r>
        <w:rPr>
          <w:rFonts w:ascii="Arial" w:cs="Arial" w:eastAsia="Arial" w:hAnsi="Arial"/>
          <w:sz w:val="18"/>
          <w:szCs w:val="18"/>
          <w:color w:val="auto"/>
        </w:rPr>
        <w:t>We are subject to income taxes in the U.S. and many foreign jurisdictions. Significant judgment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 determining our worldwide provision for income taxes. In the course of our business, there are many transactions and calculations where the ultimate tax determination is uncertain. For example, compliance with the 2017 United States Tax Cuts and Jobs Act (“TCJA”) and possible future legislative changes may require the collection of information not regularly produced within the Company, the use of estimates in our consolidated financial statements, and the exercise of significant judgment in accounting for its provisions. As regulations and guidance evolve with respect to the TCJA or possible future legislative changes, and as we gather more information and perform more analysis, our results may differ from previous estimates and may materially affect our consolidated financial statements.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regularly are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Internal Revenue Service audit for prior tax years, with the primary unresolved issues relating to transfer pricing. The final resolution of those audits, and other audits or litigation, may differ from the amounts recorded in our consolidated financial statements and may materially affect our consolidated financial statements in the period or periods in which that determination is made.</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fundamental law changes currently being considered by many countries, including in the U.S., and changes in taxing jurisdictions’ administrative interpretations, decisions, policies, and positions may materially adversely impact our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INTELLECTUAL PROPERTY RISKS</w:t>
      </w:r>
    </w:p>
    <w:p>
      <w:pPr>
        <w:spacing w:after="0" w:line="13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We may not be able to protect our source code from copying if there is an unauthorized disclosure. </w:t>
      </w:r>
      <w:r>
        <w:rPr>
          <w:rFonts w:ascii="Arial" w:cs="Arial" w:eastAsia="Arial" w:hAnsi="Arial"/>
          <w:sz w:val="18"/>
          <w:szCs w:val="18"/>
          <w:color w:val="auto"/>
        </w:rPr>
        <w:t>Source code, the detailed</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commands for our operating systems and other software programs, is critical to our business. Although we license portions of our application and operating system source code to several licensees, we take significant measures to protect the secrecy of large portions of our source code. If our source code leaks, we might lose future trade secret protection for that code. It may then become easier for third parties to compete with our products by copying functionality, which could adversely affect our revenue and operating margins. Unauthorized disclosure of source code also could increase the security risks described elsewhere in these risk factors.</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Legal changes, our evolving business model, piracy, and other factors may decrease the value of our intellectual property. </w:t>
      </w:r>
      <w:r>
        <w:rPr>
          <w:rFonts w:ascii="Arial" w:cs="Arial" w:eastAsia="Arial" w:hAnsi="Arial"/>
          <w:sz w:val="18"/>
          <w:szCs w:val="18"/>
          <w:color w:val="auto"/>
        </w:rPr>
        <w:t>Protecting our intellectual property rights and combating unlicensed copying and use of our software and other intellectual property on a global basis is difficult. While piracy adversely affects U.S. revenue, the impact on revenue from outside the U.S. is more significant, particularly countries in which the legal system provides less protection for intellectual property rights. Our revenue in these markets may grow more slowly than the underlying device market. Similarly, the absence of harmonized patent laws makes it more difficult to ensure consistent respect for patent rights. Throughout the world, we educate users about the benefits of licensing genuine products and obtaining indemnification benefits for intellectual property risks, and we educate lawmakers about the advantages of a business climate where intellectual property rights are protected. Reductions in the legal protection for software intellectual property rights could adversely affect revenue.</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expend significant resources to patent the intellectual property we create with the expectation that we will generate revenues by incorporating that intellectual property in our products or services or, in some instances, by licensing or cross-licensing our patents to others in return for a royalty and/or increased freedom to operate. Changes in the law may continue to weaken our ability to prevent the use of patented technology or collect revenue for licensing our patents. These include legislative changes and regulatory actions that make it more difficult to obtain injunctions, and the increasing use of legal process to challenge issued patents. Similarly, licensees of our patents may fail to satisfy their obligations to pay us royalties or may contest the scope and extent of their obligations. The royalties we can obtain to monetize our intellectual property may decline because of the evolution of technology, price changes in products using licensed patents, greater value from cross-licensing, or the difficulty of discovering infringements. Finally, our increasing engagement with open source software will also cause us to license our intellectual property rights broadly in certain situations and may negatively impact revenue.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2" w:name="page63"/>
    <w:bookmarkEnd w:id="62"/>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Third parties may claim we infringe their intellectual property rights. </w:t>
      </w:r>
      <w:r>
        <w:rPr>
          <w:rFonts w:ascii="Arial" w:cs="Arial" w:eastAsia="Arial" w:hAnsi="Arial"/>
          <w:sz w:val="18"/>
          <w:szCs w:val="18"/>
          <w:color w:val="auto"/>
        </w:rPr>
        <w:t>From time to time, others claim we infringe their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rights. The number of these claims may grow because of constant technological change in the markets in which we compete, the extensive patent coverage of existing technologies, the rapid rate of issuance of new patents, and our offering of first-party devices, such as Surface. To resolve these claims, we may enter into royalty and licensing agreements on terms that are less favorable than currently available, stop selling or redesign affected products or services, or pay damages to satisfy indemnification commitments with our customers. These outcomes may cause operating margins to decline. Besides money damages, in some jurisdictions plaintiffs can seek injunctive relief that may limit or prevent importing, marketing, and selling our products or services that have infringing technologies. In some countries, such as Germany, an injunction can be issued before the parties have fully litigated the validity of the underlying patents. We have paid significant amounts to settle claims related to the use of technology and intellectual property rights and to procure intellectual property rights as part of our strategy to manage this risk, and may continue to do so.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RISKS</w:t>
      </w:r>
    </w:p>
    <w:p>
      <w:pPr>
        <w:spacing w:after="0" w:line="13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If our reputation or our brands are damaged, our business and operating results may be harmed</w:t>
      </w:r>
      <w:r>
        <w:rPr>
          <w:rFonts w:ascii="Arial" w:cs="Arial" w:eastAsia="Arial" w:hAnsi="Arial"/>
          <w:sz w:val="18"/>
          <w:szCs w:val="18"/>
          <w:color w:val="auto"/>
        </w:rPr>
        <w:t>. Our reputation and brands are</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recognized and are important to our business. Our reputation and brands affect our ability to attract and retain consumer, business, and public-sector customers. There are numerous ways our reputation or brands could be damaged. These include product safety or quality issues, or our environmental impact and sustainability, supply chain practices, or human rights record. We may experience backlash from customers, government entities, advocacy groups, employees, and other stakeholders that disagree with our product offering decisions or public policy positions. Damage to our reputation or our brands may occur from, among other things:</w:t>
      </w:r>
    </w:p>
    <w:p>
      <w:pPr>
        <w:spacing w:after="0" w:line="66" w:lineRule="exact"/>
        <w:rPr>
          <w:sz w:val="20"/>
          <w:szCs w:val="20"/>
          <w:color w:val="auto"/>
        </w:rPr>
      </w:pPr>
    </w:p>
    <w:p>
      <w:pPr>
        <w:ind w:left="1060" w:hanging="39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introduction of new features, products, services, or terms of service that customers, users, or partners do not like.</w:t>
      </w:r>
    </w:p>
    <w:p>
      <w:pPr>
        <w:spacing w:after="0" w:line="103" w:lineRule="exact"/>
        <w:rPr>
          <w:rFonts w:ascii="Arial" w:cs="Arial" w:eastAsia="Arial" w:hAnsi="Arial"/>
          <w:sz w:val="18"/>
          <w:szCs w:val="18"/>
          <w:color w:val="auto"/>
        </w:rPr>
      </w:pPr>
    </w:p>
    <w:p>
      <w:pPr>
        <w:ind w:left="1060" w:hanging="39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Public scrutiny of our decisions regarding user privacy, data practices, or content.</w:t>
      </w:r>
    </w:p>
    <w:p>
      <w:pPr>
        <w:spacing w:after="0" w:line="103" w:lineRule="exact"/>
        <w:rPr>
          <w:rFonts w:ascii="Arial" w:cs="Arial" w:eastAsia="Arial" w:hAnsi="Arial"/>
          <w:sz w:val="18"/>
          <w:szCs w:val="18"/>
          <w:color w:val="auto"/>
        </w:rPr>
      </w:pPr>
    </w:p>
    <w:p>
      <w:pPr>
        <w:ind w:left="1060" w:hanging="39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Data security breaches, compliance failures, or actions of partners or individual employees.</w:t>
      </w:r>
    </w:p>
    <w:p>
      <w:pPr>
        <w:spacing w:after="0" w:line="18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proliferation of social media may increase the likelihood, speed, and magnitude of negative brand events. If our brands or reputation are damaged, it could negatively impact our revenues or margins, or ability to attract the most highly qualified employees.</w:t>
      </w:r>
    </w:p>
    <w:p>
      <w:pPr>
        <w:spacing w:after="0" w:line="1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Adverse economic or market conditions may harm our business. </w:t>
      </w:r>
      <w:r>
        <w:rPr>
          <w:rFonts w:ascii="Arial" w:cs="Arial" w:eastAsia="Arial" w:hAnsi="Arial"/>
          <w:sz w:val="18"/>
          <w:szCs w:val="18"/>
          <w:color w:val="auto"/>
        </w:rPr>
        <w:t>Worsening economic conditions, including inflation, recession,</w:t>
      </w:r>
      <w:r>
        <w:rPr>
          <w:rFonts w:ascii="Arial" w:cs="Arial" w:eastAsia="Arial" w:hAnsi="Arial"/>
          <w:sz w:val="18"/>
          <w:szCs w:val="18"/>
          <w:b w:val="1"/>
          <w:bCs w:val="1"/>
          <w:color w:val="auto"/>
        </w:rPr>
        <w:t xml:space="preserve"> </w:t>
      </w:r>
      <w:r>
        <w:rPr>
          <w:rFonts w:ascii="Arial" w:cs="Arial" w:eastAsia="Arial" w:hAnsi="Arial"/>
          <w:sz w:val="18"/>
          <w:szCs w:val="18"/>
          <w:color w:val="auto"/>
        </w:rPr>
        <w:t>pandemic, or other changes in economic conditions, may cause lower IT spending and adversely affect our revenue. If demand for PCs, servers, and other computing devices declines, or consumer or business spending for those products declines, our revenue will be adversely affected.</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Challenging economic conditions also may impair the ability of our customers to pay for products and services they have purchased. As a result, allowances for doubtful accounts and write-offs of accounts receivable may increase.</w:t>
      </w:r>
    </w:p>
    <w:p>
      <w:pPr>
        <w:spacing w:after="0" w:line="1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may be adversely affected and we could determine that more of our investments have experienced a decline in fair value, requiring impairment charges that could adversely affect our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3" w:name="page64"/>
    <w:bookmarkEnd w:id="63"/>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Catastrophic events or geopolitical conditions may disrupt our business. </w:t>
      </w:r>
      <w:r>
        <w:rPr>
          <w:rFonts w:ascii="Arial" w:cs="Arial" w:eastAsia="Arial" w:hAnsi="Arial"/>
          <w:sz w:val="18"/>
          <w:szCs w:val="18"/>
          <w:color w:val="auto"/>
        </w:rPr>
        <w:t>A disruption or failure of our systems or operations because</w:t>
      </w:r>
      <w:r>
        <w:rPr>
          <w:rFonts w:ascii="Arial" w:cs="Arial" w:eastAsia="Arial" w:hAnsi="Arial"/>
          <w:sz w:val="18"/>
          <w:szCs w:val="18"/>
          <w:b w:val="1"/>
          <w:bCs w:val="1"/>
          <w:color w:val="auto"/>
        </w:rPr>
        <w:t xml:space="preserve"> </w:t>
      </w:r>
      <w:r>
        <w:rPr>
          <w:rFonts w:ascii="Arial" w:cs="Arial" w:eastAsia="Arial" w:hAnsi="Arial"/>
          <w:sz w:val="18"/>
          <w:szCs w:val="18"/>
          <w:color w:val="auto"/>
        </w:rPr>
        <w:t>of a major earthquake, weather event, cyberattack, terrorist attack, pandemic,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IT systems, or the infrastructure or systems they rely on, such as power grids, could harm our ability to conduct normal business operations. Providing our customers with more services and solutions in the cloud puts a premium on the resilience of our systems and strength of our business continuity management plans and magnifies the potential impact of prolonged service outages in our consolidated financial statements.</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Abrupt political change, terrorist activity, and armed conflict, such as the ongoing conflict in Ukraine, pose a risk of general economic disruption in affected countries, which may increase our operating costs and negatively impact our ability to sell to and collect from customers in affected markets. These conditions also may add uncertainty to the timing and budget for technology investment decisions by our customers and may cause supply chain disruptions for hardware manufacturers. Geopolitical change may result in changing regulatory systems and requirements and market interventions that could impact our operating strategies, access to national, regional, and global markets, hiring, and profitability. Geopolitical instability may lead to sanctions and impact our ability to do business in some markets or with some public-sector customers. Any of these changes may negatively impact our revenues.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occurrence of regional epidemics or a global pandemic may adversely affect our operations, financial condition, and results of operations. The COVID-19 pandemic continues to have widespread, rapidly evolving, and unpredictable impacts on global society, economies, financial markets, and business practices. Federal and state governments have implemented measures to contain the virus, including social distancing, travel restrictions, and vaccination programs. Even as efforts to contain the pandemic have made progress and some restrictions have relaxed, new variants of the virus are causing additional outbreaks. The COVID-19 pandemic has impacted and may continue to impact our business operations, including our employees, customers, partners, and communities, and there is substantial uncertainty in the nature and degree of its continued effects over time.</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extent to which the COVID-19 pandemic impacts our business going forward will depend on numerous evolving factors we cannot reliably predict, including the duration and scope of the pandemic; governmental, business, and individuals' actions in response to the pandemic; and the impact on economic activity including the possibility of recession or financial market instability. These factors may adversely impact consumer, business, and government spending on technology as well as customers' ability to pay for our products and services on an ongoing basis. This uncertainty also affects management’s accounting estimates and assumptions, which could result in greater variability in a variety of areas that depend on these estimates and assumptions, including investments, receivables, and forward-looking guidance.</w:t>
      </w:r>
    </w:p>
    <w:p>
      <w:pPr>
        <w:spacing w:after="0" w:line="14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Measures to contain the virus that impact us, our partners, distributors, and suppliers may further intensify these impacts and other risks described in these Risk Factors. Any of these may adversely impact our ability to:</w:t>
      </w:r>
    </w:p>
    <w:p>
      <w:pPr>
        <w:spacing w:after="0" w:line="48" w:lineRule="exact"/>
        <w:rPr>
          <w:sz w:val="20"/>
          <w:szCs w:val="20"/>
          <w:color w:val="auto"/>
        </w:rPr>
      </w:pPr>
    </w:p>
    <w:p>
      <w:pPr>
        <w:ind w:left="1060" w:hanging="391"/>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Maintain our operations infrastructure, including the reliability and adequate capacity of cloud services.</w:t>
      </w:r>
    </w:p>
    <w:p>
      <w:pPr>
        <w:spacing w:after="0" w:line="76"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Satisfy our contractual and regulatory compliance obligations as we adapt to changing usage patterns, such as through datacenter load balancing.</w:t>
      </w:r>
    </w:p>
    <w:p>
      <w:pPr>
        <w:spacing w:after="0" w:line="48"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Ensure a high-quality and consistent supply chain and manufacturing operations for our hardware devices and datacenter operations.</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Effectively manage our international operations through changes in trade practices and policies.</w:t>
      </w:r>
    </w:p>
    <w:p>
      <w:pPr>
        <w:spacing w:after="0" w:line="103" w:lineRule="exact"/>
        <w:rPr>
          <w:rFonts w:ascii="Arial" w:cs="Arial" w:eastAsia="Arial" w:hAnsi="Arial"/>
          <w:sz w:val="18"/>
          <w:szCs w:val="18"/>
          <w:color w:val="auto"/>
        </w:rPr>
      </w:pPr>
    </w:p>
    <w:p>
      <w:pPr>
        <w:ind w:left="1060" w:hanging="391"/>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Hire and deploy people where we most need them.</w:t>
      </w:r>
    </w:p>
    <w:p>
      <w:pPr>
        <w:spacing w:after="0" w:line="10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Sustain the effectiveness and productivity of our operations including our sales, marketing, engineering, and distribution functions.</w:t>
      </w:r>
    </w:p>
    <w:p>
      <w:pPr>
        <w:spacing w:after="0" w:line="14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may incur increased costs to effectively manage these aspects of our business. If we are unsuccessful it may adversely impact our revenues, cash flows, market share growth, and reputation.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4" w:name="page65"/>
    <w:bookmarkEnd w:id="64"/>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long-term effects of climate change on the global economy and the IT industry in particular are unclear. Environmental regulations or changes in the supply, demand or available sources of energy or other resources may affect the availability or cost of goods and services, including natural resources, necessary to run our business. Changes in climate where we operate may increase the costs of powering and cooling computer hardware we use to develop software and provide cloud-based services.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Our global business exposes us to operational and economic risks. </w:t>
      </w:r>
      <w:r>
        <w:rPr>
          <w:rFonts w:ascii="Arial" w:cs="Arial" w:eastAsia="Arial" w:hAnsi="Arial"/>
          <w:sz w:val="18"/>
          <w:szCs w:val="18"/>
          <w:color w:val="auto"/>
        </w:rPr>
        <w:t>Our customers are located throughout the world and a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our revenue comes from international sales. The global nature of our business creates operational, economic, and geopolitical risks. Our results of operations may be affected by global, regional, and local economic developments, monetary policy, inflation, and recession, as well as political and military disputes. 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and protectionist trends and concerns about human rights and political expression in specific countries may significantly alter the trade and commercial environments. Changes to trade policy or agreements as a result of populism, protectionism, or economic nationalism may result in higher tariffs, local sourcing initiatives, and non-local sourcing restrictions, export controls, investment restrictions, or other developments that make it more difficult to sell our products in foreign countries. Disruptions of these kinds in developed or emerging markets could negatively impact demand for our products and services or increase operating costs. Although we hedge a portion of our international currency exposure, significant fluctuations in foreign exchange rates between the U.S. dollar and foreign currencies may adversely affect our results of operations.</w:t>
      </w:r>
    </w:p>
    <w:p>
      <w:pPr>
        <w:spacing w:after="0" w:line="1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business depends on our ability to attract and retain talented employees. </w:t>
      </w:r>
      <w:r>
        <w:rPr>
          <w:rFonts w:ascii="Arial" w:cs="Arial" w:eastAsia="Arial" w:hAnsi="Arial"/>
          <w:sz w:val="18"/>
          <w:szCs w:val="18"/>
          <w:color w:val="auto"/>
        </w:rPr>
        <w:t>Our business is based on successfully attracting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retaining talented employees representing diverse backgrounds, experiences, and skill sets. The market for highly skilled workers and leaders in our industry is extremely competitive. Maintaining our brand and reputation, as well as a diverse and inclusive work environment that enables all our employees to thrive, are important to our ability to recruit and retain employees. We are also limited in our ability to recruit internationally by restrictive domestic immigration laws. Changes to U.S. immigration policies that restrain the flow of technical and professional talent may inhibit our ability to adequately staff our research and development efforts. If we are less successful in our recruiting efforts, or if we cannot retain highly skilled workers and key leaders, our ability to develop and deliver successful products and services may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5" w:name="page66"/>
    <w:bookmarkEnd w:id="65"/>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84" w:lineRule="exact"/>
        <w:rPr>
          <w:sz w:val="20"/>
          <w:szCs w:val="20"/>
          <w:color w:val="auto"/>
        </w:rPr>
      </w:pPr>
    </w:p>
    <w:p>
      <w:pPr>
        <w:ind w:left="3880"/>
        <w:spacing w:after="0"/>
        <w:rPr>
          <w:sz w:val="20"/>
          <w:szCs w:val="20"/>
          <w:color w:val="auto"/>
        </w:rPr>
      </w:pPr>
      <w:r>
        <w:rPr>
          <w:rFonts w:ascii="Arial" w:cs="Arial" w:eastAsia="Arial" w:hAnsi="Arial"/>
          <w:sz w:val="18"/>
          <w:szCs w:val="18"/>
          <w:u w:val="single" w:color="auto"/>
          <w:color w:val="auto"/>
        </w:rPr>
        <w:t>SHARE REPURCHASES AND 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Following are our monthly share repurchases for the third quarter of fiscal year 2022: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 Number</w:t>
            </w:r>
          </w:p>
        </w:tc>
        <w:tc>
          <w:tcPr>
            <w:tcW w:w="320" w:type="dxa"/>
            <w:vAlign w:val="bottom"/>
          </w:tcPr>
          <w:p>
            <w:pPr>
              <w:spacing w:after="0"/>
              <w:rPr>
                <w:sz w:val="13"/>
                <w:szCs w:val="1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Approximate</w:t>
            </w:r>
          </w:p>
        </w:tc>
      </w:tr>
      <w:tr>
        <w:trPr>
          <w:trHeight w:val="148"/>
        </w:trPr>
        <w:tc>
          <w:tcPr>
            <w:tcW w:w="4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of Shares</w:t>
            </w:r>
          </w:p>
        </w:tc>
        <w:tc>
          <w:tcPr>
            <w:tcW w:w="32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Dollar Value of</w:t>
            </w:r>
          </w:p>
        </w:tc>
      </w:tr>
      <w:tr>
        <w:trPr>
          <w:trHeight w:val="148"/>
        </w:trPr>
        <w:tc>
          <w:tcPr>
            <w:tcW w:w="4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Purchased as</w:t>
            </w:r>
          </w:p>
        </w:tc>
        <w:tc>
          <w:tcPr>
            <w:tcW w:w="32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Shares That May</w:t>
            </w:r>
          </w:p>
        </w:tc>
      </w:tr>
      <w:tr>
        <w:trPr>
          <w:trHeight w:val="148"/>
        </w:trPr>
        <w:tc>
          <w:tcPr>
            <w:tcW w:w="4740" w:type="dxa"/>
            <w:vAlign w:val="bottom"/>
          </w:tcPr>
          <w:p>
            <w:pPr>
              <w:spacing w:after="0"/>
              <w:rPr>
                <w:sz w:val="12"/>
                <w:szCs w:val="12"/>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Total Number</w:t>
            </w:r>
          </w:p>
        </w:tc>
        <w:tc>
          <w:tcPr>
            <w:tcW w:w="580" w:type="dxa"/>
            <w:vAlign w:val="bottom"/>
          </w:tcPr>
          <w:p>
            <w:pPr>
              <w:spacing w:after="0"/>
              <w:rPr>
                <w:sz w:val="12"/>
                <w:szCs w:val="12"/>
                <w:color w:val="auto"/>
              </w:rPr>
            </w:pPr>
          </w:p>
        </w:tc>
        <w:tc>
          <w:tcPr>
            <w:tcW w:w="1360" w:type="dxa"/>
            <w:vAlign w:val="bottom"/>
          </w:tcPr>
          <w:p>
            <w:pPr>
              <w:jc w:val="right"/>
              <w:ind w:right="261"/>
              <w:spacing w:after="0"/>
              <w:rPr>
                <w:sz w:val="20"/>
                <w:szCs w:val="20"/>
                <w:color w:val="auto"/>
              </w:rPr>
            </w:pPr>
            <w:r>
              <w:rPr>
                <w:rFonts w:ascii="Arial" w:cs="Arial" w:eastAsia="Arial" w:hAnsi="Arial"/>
                <w:sz w:val="13"/>
                <w:szCs w:val="13"/>
                <w:b w:val="1"/>
                <w:bCs w:val="1"/>
                <w:color w:val="auto"/>
              </w:rPr>
              <w:t>Average</w:t>
            </w:r>
          </w:p>
        </w:tc>
        <w:tc>
          <w:tcPr>
            <w:tcW w:w="1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Part of Publicly</w:t>
            </w:r>
          </w:p>
        </w:tc>
        <w:tc>
          <w:tcPr>
            <w:tcW w:w="32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Yet Be Purchased</w:t>
            </w:r>
          </w:p>
        </w:tc>
      </w:tr>
      <w:tr>
        <w:trPr>
          <w:trHeight w:val="149"/>
        </w:trPr>
        <w:tc>
          <w:tcPr>
            <w:tcW w:w="4740" w:type="dxa"/>
            <w:vAlign w:val="bottom"/>
          </w:tcPr>
          <w:p>
            <w:pPr>
              <w:spacing w:after="0"/>
              <w:rPr>
                <w:sz w:val="12"/>
                <w:szCs w:val="12"/>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of Shares</w:t>
            </w:r>
          </w:p>
        </w:tc>
        <w:tc>
          <w:tcPr>
            <w:tcW w:w="580" w:type="dxa"/>
            <w:vAlign w:val="bottom"/>
          </w:tcPr>
          <w:p>
            <w:pPr>
              <w:spacing w:after="0"/>
              <w:rPr>
                <w:sz w:val="12"/>
                <w:szCs w:val="12"/>
                <w:color w:val="auto"/>
              </w:rPr>
            </w:pPr>
          </w:p>
        </w:tc>
        <w:tc>
          <w:tcPr>
            <w:tcW w:w="1360" w:type="dxa"/>
            <w:vAlign w:val="bottom"/>
          </w:tcPr>
          <w:p>
            <w:pPr>
              <w:jc w:val="right"/>
              <w:ind w:right="261"/>
              <w:spacing w:after="0"/>
              <w:rPr>
                <w:sz w:val="20"/>
                <w:szCs w:val="20"/>
                <w:color w:val="auto"/>
              </w:rPr>
            </w:pPr>
            <w:r>
              <w:rPr>
                <w:rFonts w:ascii="Arial" w:cs="Arial" w:eastAsia="Arial" w:hAnsi="Arial"/>
                <w:sz w:val="13"/>
                <w:szCs w:val="13"/>
                <w:b w:val="1"/>
                <w:bCs w:val="1"/>
                <w:color w:val="auto"/>
              </w:rPr>
              <w:t>Price Paid</w:t>
            </w:r>
          </w:p>
        </w:tc>
        <w:tc>
          <w:tcPr>
            <w:tcW w:w="1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Announced Plans</w:t>
            </w:r>
          </w:p>
        </w:tc>
        <w:tc>
          <w:tcPr>
            <w:tcW w:w="32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Under the Plans</w:t>
            </w:r>
          </w:p>
        </w:tc>
      </w:tr>
      <w:tr>
        <w:trPr>
          <w:trHeight w:val="178"/>
        </w:trPr>
        <w:tc>
          <w:tcPr>
            <w:tcW w:w="4740" w:type="dxa"/>
            <w:vAlign w:val="bottom"/>
          </w:tcPr>
          <w:p>
            <w:pPr>
              <w:spacing w:after="0"/>
              <w:rPr>
                <w:sz w:val="20"/>
                <w:szCs w:val="20"/>
                <w:color w:val="auto"/>
              </w:rPr>
            </w:pPr>
            <w:r>
              <w:rPr>
                <w:rFonts w:ascii="Arial" w:cs="Arial" w:eastAsia="Arial" w:hAnsi="Arial"/>
                <w:sz w:val="13"/>
                <w:szCs w:val="13"/>
                <w:b w:val="1"/>
                <w:bCs w:val="1"/>
                <w:color w:val="auto"/>
              </w:rPr>
              <w:t>Period</w:t>
            </w:r>
          </w:p>
        </w:tc>
        <w:tc>
          <w:tcPr>
            <w:tcW w:w="14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Purchased</w:t>
            </w:r>
          </w:p>
        </w:tc>
        <w:tc>
          <w:tcPr>
            <w:tcW w:w="580" w:type="dxa"/>
            <w:vAlign w:val="bottom"/>
          </w:tcPr>
          <w:p>
            <w:pPr>
              <w:spacing w:after="0"/>
              <w:rPr>
                <w:sz w:val="15"/>
                <w:szCs w:val="15"/>
                <w:color w:val="auto"/>
              </w:rPr>
            </w:pPr>
          </w:p>
        </w:tc>
        <w:tc>
          <w:tcPr>
            <w:tcW w:w="1360" w:type="dxa"/>
            <w:vAlign w:val="bottom"/>
          </w:tcPr>
          <w:p>
            <w:pPr>
              <w:jc w:val="right"/>
              <w:ind w:right="261"/>
              <w:spacing w:after="0"/>
              <w:rPr>
                <w:sz w:val="20"/>
                <w:szCs w:val="20"/>
                <w:color w:val="auto"/>
              </w:rPr>
            </w:pPr>
            <w:r>
              <w:rPr>
                <w:rFonts w:ascii="Arial" w:cs="Arial" w:eastAsia="Arial" w:hAnsi="Arial"/>
                <w:sz w:val="13"/>
                <w:szCs w:val="13"/>
                <w:b w:val="1"/>
                <w:bCs w:val="1"/>
                <w:color w:val="auto"/>
              </w:rPr>
              <w:t>Per Share</w:t>
            </w:r>
          </w:p>
        </w:tc>
        <w:tc>
          <w:tcPr>
            <w:tcW w:w="1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or Programs</w:t>
            </w:r>
          </w:p>
        </w:tc>
        <w:tc>
          <w:tcPr>
            <w:tcW w:w="320" w:type="dxa"/>
            <w:vAlign w:val="bottom"/>
          </w:tcPr>
          <w:p>
            <w:pPr>
              <w:spacing w:after="0"/>
              <w:rPr>
                <w:sz w:val="15"/>
                <w:szCs w:val="15"/>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or Programs</w:t>
            </w:r>
          </w:p>
        </w:tc>
      </w:tr>
      <w:tr>
        <w:trPr>
          <w:trHeight w:val="55"/>
        </w:trPr>
        <w:tc>
          <w:tcPr>
            <w:tcW w:w="47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23"/>
        </w:trPr>
        <w:tc>
          <w:tcPr>
            <w:tcW w:w="4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(In millions)</w:t>
            </w:r>
          </w:p>
        </w:tc>
      </w:tr>
      <w:tr>
        <w:trPr>
          <w:trHeight w:val="54"/>
        </w:trPr>
        <w:tc>
          <w:tcPr>
            <w:tcW w:w="47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89"/>
        </w:trPr>
        <w:tc>
          <w:tcPr>
            <w:tcW w:w="4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January 1, 2022 – January 31, 2022</w:t>
            </w:r>
          </w:p>
        </w:tc>
        <w:tc>
          <w:tcPr>
            <w:tcW w:w="14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7,055,630</w:t>
            </w:r>
          </w:p>
        </w:tc>
        <w:tc>
          <w:tcPr>
            <w:tcW w:w="58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E5E5E5"/>
          </w:tcPr>
          <w:p>
            <w:pPr>
              <w:jc w:val="right"/>
              <w:ind w:right="261"/>
              <w:spacing w:after="0" w:line="189" w:lineRule="exact"/>
              <w:rPr>
                <w:sz w:val="20"/>
                <w:szCs w:val="20"/>
                <w:color w:val="auto"/>
              </w:rPr>
            </w:pPr>
            <w:r>
              <w:rPr>
                <w:rFonts w:ascii="Arial" w:cs="Arial" w:eastAsia="Arial" w:hAnsi="Arial"/>
                <w:sz w:val="18"/>
                <w:szCs w:val="18"/>
                <w:b w:val="1"/>
                <w:bCs w:val="1"/>
                <w:color w:val="auto"/>
              </w:rPr>
              <w:t>309.09</w:t>
            </w:r>
          </w:p>
        </w:tc>
        <w:tc>
          <w:tcPr>
            <w:tcW w:w="13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7,055,630</w:t>
            </w:r>
          </w:p>
        </w:tc>
        <w:tc>
          <w:tcPr>
            <w:tcW w:w="100" w:type="dxa"/>
            <w:vAlign w:val="bottom"/>
            <w:shd w:val="clear" w:color="auto" w:fill="E5E5E5"/>
          </w:tcPr>
          <w:p>
            <w:pPr>
              <w:spacing w:after="0"/>
              <w:rPr>
                <w:sz w:val="16"/>
                <w:szCs w:val="16"/>
                <w:color w:val="auto"/>
              </w:rPr>
            </w:pPr>
          </w:p>
        </w:tc>
        <w:tc>
          <w:tcPr>
            <w:tcW w:w="32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54,128</w:t>
            </w:r>
          </w:p>
        </w:tc>
      </w:tr>
      <w:tr>
        <w:trPr>
          <w:trHeight w:val="189"/>
        </w:trPr>
        <w:tc>
          <w:tcPr>
            <w:tcW w:w="4740" w:type="dxa"/>
            <w:vAlign w:val="bottom"/>
          </w:tcPr>
          <w:p>
            <w:pPr>
              <w:spacing w:after="0" w:line="189" w:lineRule="exact"/>
              <w:rPr>
                <w:sz w:val="20"/>
                <w:szCs w:val="20"/>
                <w:color w:val="auto"/>
              </w:rPr>
            </w:pPr>
            <w:r>
              <w:rPr>
                <w:rFonts w:ascii="Arial" w:cs="Arial" w:eastAsia="Arial" w:hAnsi="Arial"/>
                <w:sz w:val="18"/>
                <w:szCs w:val="18"/>
                <w:color w:val="auto"/>
              </w:rPr>
              <w:t>February 1, 2022 – February 28, 2022</w:t>
            </w:r>
          </w:p>
        </w:tc>
        <w:tc>
          <w:tcPr>
            <w:tcW w:w="14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6,505,504</w:t>
            </w:r>
          </w:p>
        </w:tc>
        <w:tc>
          <w:tcPr>
            <w:tcW w:w="580" w:type="dxa"/>
            <w:vAlign w:val="bottom"/>
          </w:tcPr>
          <w:p>
            <w:pPr>
              <w:spacing w:after="0"/>
              <w:rPr>
                <w:sz w:val="16"/>
                <w:szCs w:val="16"/>
                <w:color w:val="auto"/>
              </w:rPr>
            </w:pPr>
          </w:p>
        </w:tc>
        <w:tc>
          <w:tcPr>
            <w:tcW w:w="1360" w:type="dxa"/>
            <w:vAlign w:val="bottom"/>
          </w:tcPr>
          <w:p>
            <w:pPr>
              <w:jc w:val="right"/>
              <w:ind w:right="261"/>
              <w:spacing w:after="0" w:line="189" w:lineRule="exact"/>
              <w:rPr>
                <w:sz w:val="20"/>
                <w:szCs w:val="20"/>
                <w:color w:val="auto"/>
              </w:rPr>
            </w:pPr>
            <w:r>
              <w:rPr>
                <w:rFonts w:ascii="Arial" w:cs="Arial" w:eastAsia="Arial" w:hAnsi="Arial"/>
                <w:sz w:val="18"/>
                <w:szCs w:val="18"/>
                <w:b w:val="1"/>
                <w:bCs w:val="1"/>
                <w:color w:val="auto"/>
              </w:rPr>
              <w:t>298.47</w:t>
            </w:r>
          </w:p>
        </w:tc>
        <w:tc>
          <w:tcPr>
            <w:tcW w:w="13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6,505,504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52,187</w:t>
            </w:r>
          </w:p>
        </w:tc>
      </w:tr>
      <w:tr>
        <w:trPr>
          <w:trHeight w:val="189"/>
        </w:trPr>
        <w:tc>
          <w:tcPr>
            <w:tcW w:w="4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March 1, 2022 – March 31, 2022</w:t>
            </w:r>
          </w:p>
        </w:tc>
        <w:tc>
          <w:tcPr>
            <w:tcW w:w="14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12,497,404</w:t>
            </w:r>
          </w:p>
        </w:tc>
        <w:tc>
          <w:tcPr>
            <w:tcW w:w="580" w:type="dxa"/>
            <w:vAlign w:val="bottom"/>
            <w:shd w:val="clear" w:color="auto" w:fill="E5E5E5"/>
          </w:tcPr>
          <w:p>
            <w:pPr>
              <w:spacing w:after="0"/>
              <w:rPr>
                <w:sz w:val="16"/>
                <w:szCs w:val="16"/>
                <w:color w:val="auto"/>
              </w:rPr>
            </w:pPr>
          </w:p>
        </w:tc>
        <w:tc>
          <w:tcPr>
            <w:tcW w:w="1360" w:type="dxa"/>
            <w:vAlign w:val="bottom"/>
            <w:shd w:val="clear" w:color="auto" w:fill="E5E5E5"/>
          </w:tcPr>
          <w:p>
            <w:pPr>
              <w:jc w:val="right"/>
              <w:ind w:right="261"/>
              <w:spacing w:after="0" w:line="189" w:lineRule="exact"/>
              <w:rPr>
                <w:sz w:val="20"/>
                <w:szCs w:val="20"/>
                <w:color w:val="auto"/>
              </w:rPr>
            </w:pPr>
            <w:r>
              <w:rPr>
                <w:rFonts w:ascii="Arial" w:cs="Arial" w:eastAsia="Arial" w:hAnsi="Arial"/>
                <w:sz w:val="18"/>
                <w:szCs w:val="18"/>
                <w:b w:val="1"/>
                <w:bCs w:val="1"/>
                <w:color w:val="auto"/>
              </w:rPr>
              <w:t>294.26</w:t>
            </w:r>
          </w:p>
        </w:tc>
        <w:tc>
          <w:tcPr>
            <w:tcW w:w="13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12,497,404</w:t>
            </w:r>
          </w:p>
        </w:tc>
        <w:tc>
          <w:tcPr>
            <w:tcW w:w="1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3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48,509</w:t>
            </w:r>
          </w:p>
        </w:tc>
      </w:tr>
      <w:tr>
        <w:trPr>
          <w:trHeight w:val="68"/>
        </w:trPr>
        <w:tc>
          <w:tcPr>
            <w:tcW w:w="47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277"/>
        </w:trPr>
        <w:tc>
          <w:tcPr>
            <w:tcW w:w="4740" w:type="dxa"/>
            <w:vAlign w:val="bottom"/>
          </w:tcPr>
          <w:p>
            <w:pPr>
              <w:spacing w:after="0"/>
              <w:rPr>
                <w:sz w:val="24"/>
                <w:szCs w:val="2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26,058,538</w:t>
            </w: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26,058,538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1"/>
        </w:trPr>
        <w:tc>
          <w:tcPr>
            <w:tcW w:w="4740" w:type="dxa"/>
            <w:vAlign w:val="bottom"/>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 during the third quarter of fiscal year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jc w:val="right"/>
              <w:ind w:right="25"/>
              <w:spacing w:after="0"/>
              <w:rPr>
                <w:sz w:val="20"/>
                <w:szCs w:val="20"/>
                <w:color w:val="auto"/>
              </w:rPr>
            </w:pPr>
            <w:r>
              <w:rPr>
                <w:rFonts w:ascii="Arial" w:cs="Arial" w:eastAsia="Arial" w:hAnsi="Arial"/>
                <w:sz w:val="13"/>
                <w:szCs w:val="13"/>
                <w:b w:val="1"/>
                <w:bCs w:val="1"/>
                <w:color w:val="auto"/>
              </w:rPr>
              <w:t>Dividend</w:t>
            </w: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8"/>
        </w:trPr>
        <w:tc>
          <w:tcPr>
            <w:tcW w:w="3020" w:type="dxa"/>
            <w:vAlign w:val="bottom"/>
          </w:tcPr>
          <w:p>
            <w:pPr>
              <w:spacing w:after="0"/>
              <w:rPr>
                <w:sz w:val="20"/>
                <w:szCs w:val="20"/>
                <w:color w:val="auto"/>
              </w:rPr>
            </w:pPr>
            <w:r>
              <w:rPr>
                <w:rFonts w:ascii="Arial" w:cs="Arial" w:eastAsia="Arial" w:hAnsi="Arial"/>
                <w:sz w:val="13"/>
                <w:szCs w:val="13"/>
                <w:b w:val="1"/>
                <w:bCs w:val="1"/>
                <w:color w:val="auto"/>
              </w:rPr>
              <w:t>Declaration Date</w:t>
            </w:r>
          </w:p>
        </w:tc>
        <w:tc>
          <w:tcPr>
            <w:tcW w:w="3140" w:type="dxa"/>
            <w:vAlign w:val="bottom"/>
          </w:tcPr>
          <w:p>
            <w:pPr>
              <w:ind w:left="1720"/>
              <w:spacing w:after="0"/>
              <w:rPr>
                <w:sz w:val="20"/>
                <w:szCs w:val="20"/>
                <w:color w:val="auto"/>
              </w:rPr>
            </w:pPr>
            <w:r>
              <w:rPr>
                <w:rFonts w:ascii="Arial" w:cs="Arial" w:eastAsia="Arial" w:hAnsi="Arial"/>
                <w:sz w:val="13"/>
                <w:szCs w:val="13"/>
                <w:b w:val="1"/>
                <w:bCs w:val="1"/>
                <w:color w:val="auto"/>
              </w:rPr>
              <w:t>Record Date</w:t>
            </w:r>
          </w:p>
        </w:tc>
        <w:tc>
          <w:tcPr>
            <w:tcW w:w="1620" w:type="dxa"/>
            <w:vAlign w:val="bottom"/>
          </w:tcPr>
          <w:p>
            <w:pPr>
              <w:ind w:left="300"/>
              <w:spacing w:after="0"/>
              <w:rPr>
                <w:sz w:val="20"/>
                <w:szCs w:val="20"/>
                <w:color w:val="auto"/>
              </w:rPr>
            </w:pPr>
            <w:r>
              <w:rPr>
                <w:rFonts w:ascii="Arial" w:cs="Arial" w:eastAsia="Arial" w:hAnsi="Arial"/>
                <w:sz w:val="13"/>
                <w:szCs w:val="13"/>
                <w:b w:val="1"/>
                <w:bCs w:val="1"/>
                <w:color w:val="auto"/>
              </w:rPr>
              <w:t>Payment Date</w:t>
            </w:r>
          </w:p>
        </w:tc>
        <w:tc>
          <w:tcPr>
            <w:tcW w:w="70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Arial" w:cs="Arial" w:eastAsia="Arial" w:hAnsi="Arial"/>
                <w:sz w:val="13"/>
                <w:szCs w:val="13"/>
                <w:b w:val="1"/>
                <w:bCs w:val="1"/>
                <w:color w:val="auto"/>
              </w:rPr>
              <w:t>Per Share</w:t>
            </w:r>
          </w:p>
        </w:tc>
        <w:tc>
          <w:tcPr>
            <w:tcW w:w="50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Amount</w:t>
            </w:r>
          </w:p>
        </w:tc>
      </w:tr>
      <w:tr>
        <w:trPr>
          <w:trHeight w:val="55"/>
        </w:trPr>
        <w:tc>
          <w:tcPr>
            <w:tcW w:w="302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30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 millions)</w:t>
            </w:r>
          </w:p>
        </w:tc>
      </w:tr>
      <w:tr>
        <w:trPr>
          <w:trHeight w:val="54"/>
        </w:trPr>
        <w:tc>
          <w:tcPr>
            <w:tcW w:w="30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302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March 14, 2022</w:t>
            </w:r>
          </w:p>
        </w:tc>
        <w:tc>
          <w:tcPr>
            <w:tcW w:w="3140" w:type="dxa"/>
            <w:vAlign w:val="bottom"/>
            <w:shd w:val="clear" w:color="auto" w:fill="E5E5E5"/>
          </w:tcPr>
          <w:p>
            <w:pPr>
              <w:ind w:left="1720"/>
              <w:spacing w:after="0" w:line="189" w:lineRule="exact"/>
              <w:rPr>
                <w:sz w:val="20"/>
                <w:szCs w:val="20"/>
                <w:color w:val="auto"/>
              </w:rPr>
            </w:pPr>
            <w:r>
              <w:rPr>
                <w:rFonts w:ascii="Arial" w:cs="Arial" w:eastAsia="Arial" w:hAnsi="Arial"/>
                <w:sz w:val="18"/>
                <w:szCs w:val="18"/>
                <w:b w:val="1"/>
                <w:bCs w:val="1"/>
                <w:color w:val="auto"/>
              </w:rPr>
              <w:t>May 19, 2022</w:t>
            </w:r>
          </w:p>
        </w:tc>
        <w:tc>
          <w:tcPr>
            <w:tcW w:w="1620" w:type="dxa"/>
            <w:vAlign w:val="bottom"/>
            <w:shd w:val="clear" w:color="auto" w:fill="E5E5E5"/>
          </w:tcPr>
          <w:p>
            <w:pPr>
              <w:ind w:left="300"/>
              <w:spacing w:after="0" w:line="189" w:lineRule="exact"/>
              <w:rPr>
                <w:sz w:val="20"/>
                <w:szCs w:val="20"/>
                <w:color w:val="auto"/>
              </w:rPr>
            </w:pPr>
            <w:r>
              <w:rPr>
                <w:rFonts w:ascii="Arial" w:cs="Arial" w:eastAsia="Arial" w:hAnsi="Arial"/>
                <w:sz w:val="18"/>
                <w:szCs w:val="18"/>
                <w:b w:val="1"/>
                <w:bCs w:val="1"/>
                <w:color w:val="auto"/>
              </w:rPr>
              <w:t>June 9, 2022</w:t>
            </w:r>
          </w:p>
        </w:tc>
        <w:tc>
          <w:tcPr>
            <w:tcW w:w="70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5E5E5"/>
          </w:tcPr>
          <w:p>
            <w:pPr>
              <w:jc w:val="right"/>
              <w:ind w:right="25"/>
              <w:spacing w:after="0" w:line="189" w:lineRule="exact"/>
              <w:rPr>
                <w:sz w:val="20"/>
                <w:szCs w:val="20"/>
                <w:color w:val="auto"/>
              </w:rPr>
            </w:pPr>
            <w:r>
              <w:rPr>
                <w:rFonts w:ascii="Arial" w:cs="Arial" w:eastAsia="Arial" w:hAnsi="Arial"/>
                <w:sz w:val="18"/>
                <w:szCs w:val="18"/>
                <w:b w:val="1"/>
                <w:bCs w:val="1"/>
                <w:color w:val="auto"/>
              </w:rPr>
              <w:t>0.62</w:t>
            </w:r>
          </w:p>
        </w:tc>
        <w:tc>
          <w:tcPr>
            <w:tcW w:w="5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4,639</w:t>
            </w:r>
          </w:p>
        </w:tc>
      </w:tr>
      <w:tr>
        <w:trPr>
          <w:trHeight w:val="68"/>
        </w:trPr>
        <w:tc>
          <w:tcPr>
            <w:tcW w:w="3020" w:type="dxa"/>
            <w:vAlign w:val="bottom"/>
            <w:tcBorders>
              <w:bottom w:val="single" w:sz="8" w:color="auto"/>
            </w:tcBorders>
          </w:tcPr>
          <w:p>
            <w:pPr>
              <w:spacing w:after="0"/>
              <w:rPr>
                <w:sz w:val="5"/>
                <w:szCs w:val="5"/>
                <w:color w:val="auto"/>
              </w:rPr>
            </w:pPr>
          </w:p>
        </w:tc>
        <w:tc>
          <w:tcPr>
            <w:tcW w:w="31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returned $12.4 billion to shareholders in the form of share repurchases and dividends in the third quarter of fiscal year 2022. Refer to Note 15 – Stockholders’ Equity of the Notes to Financial Statements (Part I, Item 1 of this Form 10-Q) for further discussion regarding share repurchases and dividends.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10080" w:type="dxa"/>
            <w:vAlign w:val="bottom"/>
            <w:gridSpan w:val="6"/>
          </w:tcPr>
          <w:p>
            <w:pPr>
              <w:jc w:val="center"/>
              <w:ind w:right="1100"/>
              <w:spacing w:after="0"/>
              <w:rPr>
                <w:sz w:val="20"/>
                <w:szCs w:val="20"/>
                <w:color w:val="auto"/>
              </w:rPr>
            </w:pPr>
            <w:r>
              <w:rPr>
                <w:rFonts w:ascii="Arial" w:cs="Arial" w:eastAsia="Arial" w:hAnsi="Arial"/>
                <w:sz w:val="13"/>
                <w:szCs w:val="13"/>
                <w:color w:val="auto"/>
              </w:rPr>
              <w:t>PART II</w:t>
            </w:r>
          </w:p>
        </w:tc>
      </w:tr>
      <w:tr>
        <w:trPr>
          <w:trHeight w:val="156"/>
        </w:trPr>
        <w:tc>
          <w:tcPr>
            <w:tcW w:w="114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46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rPr>
              <w:t>Item 6</w:t>
            </w:r>
          </w:p>
        </w:tc>
        <w:tc>
          <w:tcPr>
            <w:tcW w:w="3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658"/>
        </w:trPr>
        <w:tc>
          <w:tcPr>
            <w:tcW w:w="1140" w:type="dxa"/>
            <w:vAlign w:val="bottom"/>
          </w:tcPr>
          <w:p>
            <w:pPr>
              <w:spacing w:after="0"/>
              <w:rPr>
                <w:sz w:val="24"/>
                <w:szCs w:val="24"/>
                <w:color w:val="auto"/>
              </w:rPr>
            </w:pPr>
          </w:p>
        </w:tc>
        <w:tc>
          <w:tcPr>
            <w:tcW w:w="10080" w:type="dxa"/>
            <w:vAlign w:val="bottom"/>
            <w:gridSpan w:val="6"/>
          </w:tcPr>
          <w:p>
            <w:pPr>
              <w:ind w:left="3520"/>
              <w:spacing w:after="0"/>
              <w:rPr>
                <w:sz w:val="20"/>
                <w:szCs w:val="20"/>
                <w:color w:val="auto"/>
              </w:rPr>
            </w:pPr>
            <w:r>
              <w:rPr>
                <w:rFonts w:ascii="Arial" w:cs="Arial" w:eastAsia="Arial" w:hAnsi="Arial"/>
                <w:sz w:val="22"/>
                <w:szCs w:val="22"/>
                <w:b w:val="1"/>
                <w:bCs w:val="1"/>
                <w:color w:val="auto"/>
              </w:rPr>
              <w:t>ITEM 6. EXHIBITS</w:t>
            </w:r>
          </w:p>
        </w:tc>
      </w:tr>
      <w:tr>
        <w:trPr>
          <w:trHeight w:val="355"/>
        </w:trPr>
        <w:tc>
          <w:tcPr>
            <w:tcW w:w="1140" w:type="dxa"/>
            <w:vAlign w:val="bottom"/>
          </w:tcPr>
          <w:p>
            <w:pPr>
              <w:spacing w:after="0"/>
              <w:rPr>
                <w:sz w:val="20"/>
                <w:szCs w:val="20"/>
                <w:color w:val="auto"/>
              </w:rPr>
            </w:pPr>
            <w:r>
              <w:rPr>
                <w:rFonts w:ascii="Arial" w:cs="Arial" w:eastAsia="Arial" w:hAnsi="Arial"/>
                <w:sz w:val="18"/>
                <w:szCs w:val="18"/>
                <w:color w:val="auto"/>
              </w:rPr>
              <w:t>15.1</w:t>
            </w:r>
          </w:p>
        </w:tc>
        <w:tc>
          <w:tcPr>
            <w:tcW w:w="436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69">
              <w:r>
                <w:rPr>
                  <w:rFonts w:ascii="Arial" w:cs="Arial" w:eastAsia="Arial" w:hAnsi="Arial"/>
                  <w:sz w:val="18"/>
                  <w:szCs w:val="18"/>
                  <w:color w:val="0000EE"/>
                  <w:w w:val="99"/>
                </w:rPr>
                <w:t>Letter regarding unaudited interim financial information</w:t>
              </w:r>
            </w:hyperlink>
          </w:p>
        </w:tc>
        <w:tc>
          <w:tcPr>
            <w:tcW w:w="5720" w:type="dxa"/>
            <w:vAlign w:val="bottom"/>
            <w:gridSpan w:val="4"/>
          </w:tcPr>
          <w:p>
            <w:pPr>
              <w:spacing w:after="0"/>
              <w:rPr>
                <w:sz w:val="24"/>
                <w:szCs w:val="24"/>
                <w:color w:val="auto"/>
              </w:rPr>
            </w:pPr>
          </w:p>
        </w:tc>
      </w:tr>
      <w:tr>
        <w:trPr>
          <w:trHeight w:val="290"/>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780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70">
              <w:r>
                <w:rPr>
                  <w:rFonts w:ascii="Arial" w:cs="Arial" w:eastAsia="Arial" w:hAnsi="Arial"/>
                  <w:sz w:val="18"/>
                  <w:szCs w:val="18"/>
                  <w:color w:val="0000EE"/>
                  <w:w w:val="99"/>
                </w:rPr>
                <w:t>Certification of Chief Executive Officer Pursuant to Section 302 of the Sarbanes-Oxley Act of 2002</w:t>
              </w:r>
            </w:hyperlink>
          </w:p>
        </w:tc>
        <w:tc>
          <w:tcPr>
            <w:tcW w:w="2280" w:type="dxa"/>
            <w:vAlign w:val="bottom"/>
          </w:tcPr>
          <w:p>
            <w:pPr>
              <w:spacing w:after="0"/>
              <w:rPr>
                <w:sz w:val="24"/>
                <w:szCs w:val="24"/>
                <w:color w:val="auto"/>
              </w:rPr>
            </w:pPr>
          </w:p>
        </w:tc>
      </w:tr>
      <w:tr>
        <w:trPr>
          <w:trHeight w:val="291"/>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774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71">
              <w:r>
                <w:rPr>
                  <w:rFonts w:ascii="Arial" w:cs="Arial" w:eastAsia="Arial" w:hAnsi="Arial"/>
                  <w:sz w:val="18"/>
                  <w:szCs w:val="18"/>
                  <w:color w:val="0000EE"/>
                  <w:w w:val="99"/>
                </w:rPr>
                <w:t>Certification of Chief Financial Officer Pursuant to Section 302 of the Sarbanes-Oxley Act of 2002</w:t>
              </w:r>
            </w:hyperlink>
          </w:p>
        </w:tc>
        <w:tc>
          <w:tcPr>
            <w:tcW w:w="2340" w:type="dxa"/>
            <w:vAlign w:val="bottom"/>
            <w:gridSpan w:val="2"/>
          </w:tcPr>
          <w:p>
            <w:pPr>
              <w:spacing w:after="0"/>
              <w:rPr>
                <w:sz w:val="24"/>
                <w:szCs w:val="24"/>
                <w:color w:val="auto"/>
              </w:rPr>
            </w:pPr>
          </w:p>
        </w:tc>
      </w:tr>
      <w:tr>
        <w:trPr>
          <w:trHeight w:val="290"/>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780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72">
              <w:r>
                <w:rPr>
                  <w:rFonts w:ascii="Arial" w:cs="Arial" w:eastAsia="Arial" w:hAnsi="Arial"/>
                  <w:sz w:val="18"/>
                  <w:szCs w:val="18"/>
                  <w:color w:val="0000EE"/>
                  <w:w w:val="99"/>
                </w:rPr>
                <w:t>Certification of Chief Executive Officer Pursuant to Section 906 of the Sarbanes-Oxley Act of 2002</w:t>
              </w:r>
            </w:hyperlink>
          </w:p>
        </w:tc>
        <w:tc>
          <w:tcPr>
            <w:tcW w:w="2280" w:type="dxa"/>
            <w:vAlign w:val="bottom"/>
          </w:tcPr>
          <w:p>
            <w:pPr>
              <w:spacing w:after="0"/>
              <w:rPr>
                <w:sz w:val="24"/>
                <w:szCs w:val="24"/>
                <w:color w:val="auto"/>
              </w:rPr>
            </w:pPr>
          </w:p>
        </w:tc>
      </w:tr>
      <w:tr>
        <w:trPr>
          <w:trHeight w:val="291"/>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774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73">
              <w:r>
                <w:rPr>
                  <w:rFonts w:ascii="Arial" w:cs="Arial" w:eastAsia="Arial" w:hAnsi="Arial"/>
                  <w:sz w:val="18"/>
                  <w:szCs w:val="18"/>
                  <w:color w:val="0000EE"/>
                  <w:w w:val="99"/>
                </w:rPr>
                <w:t>Certification of Chief Financial Officer Pursuant to Section 906 of the Sarbanes-Oxley Act of 2002</w:t>
              </w:r>
            </w:hyperlink>
          </w:p>
        </w:tc>
        <w:tc>
          <w:tcPr>
            <w:tcW w:w="2340" w:type="dxa"/>
            <w:vAlign w:val="bottom"/>
            <w:gridSpan w:val="2"/>
          </w:tcPr>
          <w:p>
            <w:pPr>
              <w:spacing w:after="0"/>
              <w:rPr>
                <w:sz w:val="24"/>
                <w:szCs w:val="24"/>
                <w:color w:val="auto"/>
              </w:rPr>
            </w:pPr>
          </w:p>
        </w:tc>
      </w:tr>
      <w:tr>
        <w:trPr>
          <w:trHeight w:val="303"/>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Instance Document–the instance document does not appear in the Interactive Data File as its XBRL tags are</w:t>
            </w:r>
          </w:p>
        </w:tc>
      </w:tr>
      <w:tr>
        <w:trPr>
          <w:trHeight w:val="217"/>
        </w:trPr>
        <w:tc>
          <w:tcPr>
            <w:tcW w:w="1140" w:type="dxa"/>
            <w:vAlign w:val="bottom"/>
          </w:tcPr>
          <w:p>
            <w:pPr>
              <w:spacing w:after="0"/>
              <w:rPr>
                <w:sz w:val="18"/>
                <w:szCs w:val="18"/>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11"/>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w:t>
            </w: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311"/>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311"/>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94" w:lineRule="exact"/>
        <w:rPr>
          <w:sz w:val="20"/>
          <w:szCs w:val="20"/>
          <w:color w:val="auto"/>
        </w:rPr>
      </w:pPr>
    </w:p>
    <w:p>
      <w:pPr>
        <w:ind w:left="1140" w:hanging="1132"/>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Cover page formatted as Inline XBRL and contained in Exhibit 101</w:t>
      </w:r>
    </w:p>
    <w:p>
      <w:pPr>
        <w:spacing w:after="0" w:line="5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i w:val="1"/>
          <w:iCs w:val="1"/>
          <w:color w:val="auto"/>
        </w:rPr>
        <w:t>Furnished, not filed.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4, and 5 are not applicable and have been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ICROSOFT</w:t>
      </w:r>
      <w:r>
        <w:rPr>
          <w:rFonts w:ascii="Arial" w:cs="Arial" w:eastAsia="Arial" w:hAnsi="Arial"/>
          <w:sz w:val="18"/>
          <w:szCs w:val="18"/>
          <w:color w:val="auto"/>
        </w:rPr>
        <w:t xml:space="preserve"> C</w:t>
      </w:r>
      <w:r>
        <w:rPr>
          <w:rFonts w:ascii="Arial" w:cs="Arial" w:eastAsia="Arial" w:hAnsi="Arial"/>
          <w:sz w:val="13"/>
          <w:szCs w:val="13"/>
          <w:color w:val="auto"/>
        </w:rPr>
        <w:t>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LICE</w:t>
      </w:r>
      <w:r>
        <w:rPr>
          <w:rFonts w:ascii="Arial" w:cs="Arial" w:eastAsia="Arial" w:hAnsi="Arial"/>
          <w:sz w:val="18"/>
          <w:szCs w:val="18"/>
          <w:color w:val="auto"/>
        </w:rPr>
        <w:t xml:space="preserve"> L. J</w:t>
      </w:r>
      <w:r>
        <w:rPr>
          <w:rFonts w:ascii="Arial" w:cs="Arial" w:eastAsia="Arial" w:hAnsi="Arial"/>
          <w:sz w:val="13"/>
          <w:szCs w:val="13"/>
          <w:color w:val="auto"/>
        </w:rPr>
        <w:t>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0462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Alice L. Jolla</w:t>
      </w:r>
    </w:p>
    <w:p>
      <w:pPr>
        <w:spacing w:after="0"/>
        <w:rPr>
          <w:sz w:val="20"/>
          <w:szCs w:val="20"/>
          <w:color w:val="auto"/>
        </w:rPr>
      </w:pPr>
      <w:r>
        <w:rPr>
          <w:rFonts w:ascii="Arial" w:cs="Arial" w:eastAsia="Arial" w:hAnsi="Arial"/>
          <w:sz w:val="18"/>
          <w:szCs w:val="18"/>
          <w:color w:val="auto"/>
        </w:rPr>
        <w:t>Corporate Vice President and Chief Accounting Officer (Duly Authorized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April 26, 2022</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220"/>
          </w:cols>
          <w:pgMar w:left="320" w:top="576" w:right="35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15.1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April 26,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Microsoft Corporation</w:t>
      </w:r>
    </w:p>
    <w:p>
      <w:pPr>
        <w:spacing w:after="0" w:line="234" w:lineRule="auto"/>
        <w:rPr>
          <w:sz w:val="20"/>
          <w:szCs w:val="20"/>
          <w:color w:val="auto"/>
        </w:rPr>
      </w:pPr>
      <w:r>
        <w:rPr>
          <w:rFonts w:ascii="Arial" w:cs="Arial" w:eastAsia="Arial" w:hAnsi="Arial"/>
          <w:sz w:val="18"/>
          <w:szCs w:val="18"/>
          <w:color w:val="auto"/>
        </w:rPr>
        <w:t>One Microsoft Way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Redmond, WA 98052-6399</w:t>
      </w:r>
    </w:p>
    <w:p>
      <w:pPr>
        <w:spacing w:after="0" w:line="158"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We are aware that our report dated April 26, 2022, on our review of the interim financial information of Microsoft Corporation and subsidiaries (“Microsoft”) appearing in Microsoft’s Quarterly Report on Form 10-Q for the quarter ended March 31, 2022, is incorporated by reference in Registration Statement Nos. 333-109185, 333-118764, 333-52852, 333-132100, 333-161516, 333-75243, 333-185757, and 333-221833 on Form S-8 and Registration Statement Nos. 333-240227 and 333-261590 on Form S-3.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ectPr>
          <w:pgSz w:w="11900" w:h="16838" w:orient="portrait"/>
          <w:cols w:equalWidth="0" w:num="1">
            <w:col w:w="11020"/>
          </w:cols>
          <w:pgMar w:left="540" w:top="368"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Satya Nadella, certify that:</w:t>
      </w:r>
    </w:p>
    <w:p>
      <w:pPr>
        <w:spacing w:after="0" w:line="158" w:lineRule="exact"/>
        <w:rPr>
          <w:sz w:val="20"/>
          <w:szCs w:val="20"/>
          <w:color w:val="auto"/>
        </w:rPr>
      </w:pPr>
    </w:p>
    <w:p>
      <w:pPr>
        <w:ind w:left="200" w:hanging="192"/>
        <w:spacing w:after="0"/>
        <w:tabs>
          <w:tab w:leader="none" w:pos="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tabs>
          <w:tab w:leader="none" w:pos="20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firstLine="8"/>
        <w:spacing w:after="0" w:line="246" w:lineRule="auto"/>
        <w:tabs>
          <w:tab w:leader="none" w:pos="2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jc w:val="both"/>
        <w:ind w:firstLine="8"/>
        <w:spacing w:after="0"/>
        <w:tabs>
          <w:tab w:leader="none" w:pos="23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right="20" w:firstLine="8"/>
        <w:spacing w:after="0"/>
        <w:tabs>
          <w:tab w:leader="none" w:pos="2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firstLine="8"/>
        <w:spacing w:after="0"/>
        <w:tabs>
          <w:tab w:leader="none" w:pos="223"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ind w:right="20" w:firstLine="8"/>
        <w:spacing w:after="0" w:line="246" w:lineRule="auto"/>
        <w:tabs>
          <w:tab w:leader="none" w:pos="2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8"/>
          <w:szCs w:val="18"/>
          <w:color w:val="auto"/>
        </w:rPr>
      </w:pPr>
    </w:p>
    <w:p>
      <w:pPr>
        <w:jc w:val="both"/>
        <w:ind w:firstLine="8"/>
        <w:spacing w:after="0"/>
        <w:tabs>
          <w:tab w:leader="none" w:pos="229"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jc w:val="both"/>
        <w:ind w:firstLine="8"/>
        <w:spacing w:after="0"/>
        <w:tabs>
          <w:tab w:leader="none" w:pos="2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9" w:lineRule="exact"/>
        <w:rPr>
          <w:sz w:val="20"/>
          <w:szCs w:val="20"/>
          <w:color w:val="auto"/>
        </w:rPr>
      </w:pPr>
    </w:p>
    <w:p>
      <w:pPr>
        <w:ind w:right="20" w:firstLine="8"/>
        <w:spacing w:after="0" w:line="246" w:lineRule="auto"/>
        <w:tabs>
          <w:tab w:leader="none" w:pos="2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right="20" w:firstLine="8"/>
        <w:spacing w:after="0" w:line="246" w:lineRule="auto"/>
        <w:tabs>
          <w:tab w:leader="none" w:pos="22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60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April 26, 2022</w:t>
      </w:r>
    </w:p>
    <w:p>
      <w:pPr>
        <w:sectPr>
          <w:pgSz w:w="11900" w:h="16838" w:orient="portrait"/>
          <w:cols w:equalWidth="0" w:num="1">
            <w:col w:w="11240"/>
          </w:cols>
          <w:pgMar w:left="320" w:top="140"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31.2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Amy E. Hood, certify that:</w:t>
      </w:r>
    </w:p>
    <w:p>
      <w:pPr>
        <w:spacing w:after="0" w:line="158" w:lineRule="exact"/>
        <w:rPr>
          <w:sz w:val="20"/>
          <w:szCs w:val="20"/>
          <w:color w:val="auto"/>
        </w:rPr>
      </w:pPr>
    </w:p>
    <w:p>
      <w:pPr>
        <w:ind w:left="200" w:hanging="192"/>
        <w:spacing w:after="0"/>
        <w:tabs>
          <w:tab w:leader="none" w:pos="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tabs>
          <w:tab w:leader="none" w:pos="208"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firstLine="8"/>
        <w:spacing w:after="0" w:line="246" w:lineRule="auto"/>
        <w:tabs>
          <w:tab w:leader="none" w:pos="2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jc w:val="both"/>
        <w:ind w:firstLine="8"/>
        <w:spacing w:after="0"/>
        <w:tabs>
          <w:tab w:leader="none" w:pos="2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right="20" w:firstLine="8"/>
        <w:spacing w:after="0"/>
        <w:tabs>
          <w:tab w:leader="none" w:pos="2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firstLine="8"/>
        <w:spacing w:after="0"/>
        <w:tabs>
          <w:tab w:leader="none" w:pos="223"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ind w:right="20" w:firstLine="8"/>
        <w:spacing w:after="0" w:line="246" w:lineRule="auto"/>
        <w:tabs>
          <w:tab w:leader="none" w:pos="2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8"/>
          <w:szCs w:val="18"/>
          <w:color w:val="auto"/>
        </w:rPr>
      </w:pPr>
    </w:p>
    <w:p>
      <w:pPr>
        <w:jc w:val="both"/>
        <w:ind w:firstLine="8"/>
        <w:spacing w:after="0"/>
        <w:tabs>
          <w:tab w:leader="none" w:pos="229"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jc w:val="both"/>
        <w:ind w:firstLine="8"/>
        <w:spacing w:after="0"/>
        <w:tabs>
          <w:tab w:leader="none" w:pos="2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9" w:lineRule="exact"/>
        <w:rPr>
          <w:sz w:val="20"/>
          <w:szCs w:val="20"/>
          <w:color w:val="auto"/>
        </w:rPr>
      </w:pPr>
    </w:p>
    <w:p>
      <w:pPr>
        <w:ind w:right="20" w:firstLine="8"/>
        <w:spacing w:after="0" w:line="246" w:lineRule="auto"/>
        <w:tabs>
          <w:tab w:leader="none" w:pos="246"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right="20" w:firstLine="8"/>
        <w:spacing w:after="0" w:line="246" w:lineRule="auto"/>
        <w:tabs>
          <w:tab w:leader="none" w:pos="2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60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April 26, 2022</w:t>
      </w:r>
    </w:p>
    <w:p>
      <w:pPr>
        <w:sectPr>
          <w:pgSz w:w="11900" w:h="16838" w:orient="portrait"/>
          <w:cols w:equalWidth="0" w:num="1">
            <w:col w:w="11240"/>
          </w:cols>
          <w:pgMar w:left="320" w:top="140"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32.1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March 31, 2022, as filed with the Securities and Exchange Commission (the “Report”), Satya Nadella, Chief Executive Officer of the Company, does hereby certify, pursuant to § 906 of the Sarbanes-Oxley Act of 2002 (18 U.S.C. § 1350), that to his knowledge:</w:t>
      </w:r>
    </w:p>
    <w:p>
      <w:pPr>
        <w:spacing w:after="0" w:line="149" w:lineRule="exact"/>
        <w:rPr>
          <w:sz w:val="20"/>
          <w:szCs w:val="20"/>
          <w:color w:val="auto"/>
        </w:rPr>
      </w:pPr>
    </w:p>
    <w:p>
      <w:pPr>
        <w:ind w:left="400" w:hanging="392"/>
        <w:spacing w:after="0"/>
        <w:tabs>
          <w:tab w:leader="none" w:pos="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400" w:right="20" w:hanging="392"/>
        <w:spacing w:after="0" w:line="246" w:lineRule="auto"/>
        <w:tabs>
          <w:tab w:leader="none" w:pos="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60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April 26, 2022</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ectPr>
          <w:pgSz w:w="11900" w:h="16838" w:orient="portrait"/>
          <w:cols w:equalWidth="0" w:num="1">
            <w:col w:w="11240"/>
          </w:cols>
          <w:pgMar w:left="320" w:top="382"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32.2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March 31, 2022, as filed with the Securities and Exchange Commission (the “Report”), Amy E. Hood, Chief Financial Officer of the Company, does hereby certify, pursuant to § 906 of the Sarbanes-Oxley Act of 2002 (18 U.S.C. § 1350), that to her knowledge:</w:t>
      </w:r>
    </w:p>
    <w:p>
      <w:pPr>
        <w:spacing w:after="0" w:line="149" w:lineRule="exact"/>
        <w:rPr>
          <w:sz w:val="20"/>
          <w:szCs w:val="20"/>
          <w:color w:val="auto"/>
        </w:rPr>
      </w:pPr>
    </w:p>
    <w:p>
      <w:pPr>
        <w:ind w:left="400" w:hanging="392"/>
        <w:spacing w:after="0"/>
        <w:tabs>
          <w:tab w:leader="none" w:pos="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400" w:right="20" w:hanging="392"/>
        <w:spacing w:after="0" w:line="246" w:lineRule="auto"/>
        <w:tabs>
          <w:tab w:leader="none" w:pos="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60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April 26, 2022</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sectPr>
      <w:pgSz w:w="11900" w:h="16838" w:orient="portrait"/>
      <w:cols w:equalWidth="0" w:num="1">
        <w:col w:w="11240"/>
      </w:cols>
      <w:pgMar w:left="320" w:top="3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425"/>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lowerLetter"/>
      <w:start w:val="1"/>
    </w:lvl>
  </w:abstractNum>
  <w:abstractNum w:abstractNumId="5">
    <w:nsid w:val="836C40E"/>
    <w:multiLevelType w:val="hybridMultilevel"/>
    <w:lvl w:ilvl="0">
      <w:lvlJc w:val="left"/>
      <w:lvlText w:val="(%1)"/>
      <w:numFmt w:val="lowerLetter"/>
      <w:start w:val="1"/>
    </w:lvl>
  </w:abstractNum>
  <w:abstractNum w:abstractNumId="6">
    <w:nsid w:val="2901D82"/>
    <w:multiLevelType w:val="hybridMultilevel"/>
    <w:lvl w:ilvl="0">
      <w:lvlJc w:val="left"/>
      <w:lvlText w:val="(%1)"/>
      <w:numFmt w:val="lowerLetter"/>
      <w:start w:val="1"/>
    </w:lvl>
  </w:abstractNum>
  <w:abstractNum w:abstractNumId="7">
    <w:nsid w:val="3A95F874"/>
    <w:multiLevelType w:val="hybridMultilevel"/>
    <w:lvl w:ilvl="0">
      <w:lvlJc w:val="left"/>
      <w:lvlText w:val="(%1)"/>
      <w:numFmt w:val="lowerLetter"/>
      <w:start w:val="1"/>
    </w:lvl>
  </w:abstractNum>
  <w:abstractNum w:abstractNumId="8">
    <w:nsid w:val="8138641"/>
    <w:multiLevelType w:val="hybridMultilevel"/>
    <w:lvl w:ilvl="0">
      <w:lvlJc w:val="left"/>
      <w:lvlText w:val="(%1)"/>
      <w:numFmt w:val="lowerLetter"/>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1)"/>
      <w:numFmt w:val="lowerLetter"/>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decimal"/>
      <w:start w:val="104"/>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decimal"/>
      <w:start w:val="5"/>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5"/>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2022-04-26T15:39:37Z</dcterms:created>
  <dcterms:modified xsi:type="dcterms:W3CDTF">2022-04-26T15:39:37Z</dcterms:modified>
</cp:coreProperties>
</file>