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2767330</wp:posOffset>
            </wp:positionH>
            <wp:positionV relativeFrom="paragraph">
              <wp:posOffset>52705</wp:posOffset>
            </wp:positionV>
            <wp:extent cx="1616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2767330</wp:posOffset>
            </wp:positionH>
            <wp:positionV relativeFrom="paragraph">
              <wp:posOffset>84455</wp:posOffset>
            </wp:positionV>
            <wp:extent cx="1616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171"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5"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For the Fiscal Year Ended June 30, 2022</w:t>
      </w:r>
    </w:p>
    <w:p>
      <w:pPr>
        <w:spacing w:after="0" w:line="58" w:lineRule="exact"/>
        <w:rPr>
          <w:sz w:val="24"/>
          <w:szCs w:val="24"/>
          <w:color w:val="auto"/>
        </w:rPr>
      </w:pPr>
    </w:p>
    <w:p>
      <w:pPr>
        <w:jc w:val="center"/>
        <w:ind w:left="520"/>
        <w:spacing w:after="0"/>
        <w:rPr>
          <w:sz w:val="20"/>
          <w:szCs w:val="20"/>
          <w:color w:val="auto"/>
        </w:rPr>
      </w:pPr>
      <w:r>
        <w:rPr>
          <w:rFonts w:ascii="Arial" w:cs="Arial" w:eastAsia="Arial" w:hAnsi="Arial"/>
          <w:sz w:val="18"/>
          <w:szCs w:val="18"/>
          <w:b w:val="1"/>
          <w:bCs w:val="1"/>
          <w:color w:val="auto"/>
        </w:rPr>
        <w:t>OR</w:t>
      </w:r>
    </w:p>
    <w:p>
      <w:pPr>
        <w:spacing w:after="0" w:line="89"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2" w:lineRule="exact"/>
        <w:rPr>
          <w:sz w:val="24"/>
          <w:szCs w:val="24"/>
          <w:color w:val="auto"/>
        </w:rPr>
      </w:pPr>
    </w:p>
    <w:p>
      <w:pPr>
        <w:ind w:left="540"/>
        <w:spacing w:after="0"/>
        <w:tabs>
          <w:tab w:leader="none" w:pos="33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2767330</wp:posOffset>
            </wp:positionH>
            <wp:positionV relativeFrom="paragraph">
              <wp:posOffset>65405</wp:posOffset>
            </wp:positionV>
            <wp:extent cx="1616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2767330</wp:posOffset>
            </wp:positionH>
            <wp:positionV relativeFrom="paragraph">
              <wp:posOffset>90805</wp:posOffset>
            </wp:positionV>
            <wp:extent cx="1616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182" w:lineRule="exact"/>
        <w:rPr>
          <w:sz w:val="24"/>
          <w:szCs w:val="24"/>
          <w:color w:val="auto"/>
        </w:rPr>
      </w:pPr>
    </w:p>
    <w:p>
      <w:pPr>
        <w:ind w:left="2260"/>
        <w:spacing w:after="0"/>
        <w:tabs>
          <w:tab w:leader="none" w:pos="8060" w:val="left"/>
        </w:tabs>
        <w:rPr>
          <w:sz w:val="20"/>
          <w:szCs w:val="20"/>
          <w:color w:val="auto"/>
        </w:rPr>
      </w:pPr>
      <w:r>
        <w:rPr>
          <w:rFonts w:ascii="Arial" w:cs="Arial" w:eastAsia="Arial" w:hAnsi="Arial"/>
          <w:sz w:val="14"/>
          <w:szCs w:val="14"/>
          <w:b w:val="1"/>
          <w:bCs w:val="1"/>
          <w:color w:val="auto"/>
        </w:rPr>
        <w:t>WASHINGTON</w:t>
      </w:r>
      <w:r>
        <w:rPr>
          <w:sz w:val="20"/>
          <w:szCs w:val="20"/>
          <w:color w:val="auto"/>
        </w:rPr>
        <w:tab/>
      </w:r>
      <w:r>
        <w:rPr>
          <w:rFonts w:ascii="Arial" w:cs="Arial" w:eastAsia="Arial" w:hAnsi="Arial"/>
          <w:sz w:val="15"/>
          <w:szCs w:val="15"/>
          <w:b w:val="1"/>
          <w:bCs w:val="1"/>
          <w:color w:val="auto"/>
        </w:rPr>
        <w:t>91-1144442</w:t>
      </w:r>
    </w:p>
    <w:p>
      <w:pPr>
        <w:spacing w:after="0" w:line="10" w:lineRule="exact"/>
        <w:rPr>
          <w:sz w:val="24"/>
          <w:szCs w:val="24"/>
          <w:color w:val="auto"/>
        </w:rPr>
      </w:pPr>
    </w:p>
    <w:p>
      <w:pPr>
        <w:ind w:left="1800"/>
        <w:spacing w:after="0"/>
        <w:tabs>
          <w:tab w:leader="none" w:pos="8180" w:val="left"/>
        </w:tabs>
        <w:rPr>
          <w:sz w:val="20"/>
          <w:szCs w:val="20"/>
          <w:color w:val="auto"/>
        </w:rPr>
      </w:pPr>
      <w:r>
        <w:rPr>
          <w:rFonts w:ascii="Arial" w:cs="Arial" w:eastAsia="Arial" w:hAnsi="Arial"/>
          <w:sz w:val="13"/>
          <w:szCs w:val="13"/>
          <w:b w:val="1"/>
          <w:bCs w:val="1"/>
          <w:color w:val="auto"/>
        </w:rPr>
        <w:t>(STATE OF INCORPORATION)</w:t>
      </w:r>
      <w:r>
        <w:rPr>
          <w:sz w:val="20"/>
          <w:szCs w:val="20"/>
          <w:color w:val="auto"/>
        </w:rPr>
        <w:tab/>
      </w:r>
      <w:r>
        <w:rPr>
          <w:rFonts w:ascii="Arial" w:cs="Arial" w:eastAsia="Arial" w:hAnsi="Arial"/>
          <w:sz w:val="13"/>
          <w:szCs w:val="13"/>
          <w:b w:val="1"/>
          <w:bCs w:val="1"/>
          <w:color w:val="auto"/>
        </w:rPr>
        <w:t>(I.R.S. ID)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MICROSOFT WAY</w:t>
      </w:r>
      <w:r>
        <w:rPr>
          <w:rFonts w:ascii="Arial" w:cs="Arial" w:eastAsia="Arial" w:hAnsi="Arial"/>
          <w:sz w:val="14"/>
          <w:szCs w:val="14"/>
          <w:b w:val="1"/>
          <w:bCs w:val="1"/>
          <w:color w:val="auto"/>
        </w:rPr>
        <w:t>,</w:t>
      </w:r>
      <w:r>
        <w:rPr>
          <w:rFonts w:ascii="Arial" w:cs="Arial" w:eastAsia="Arial" w:hAnsi="Arial"/>
          <w:sz w:val="15"/>
          <w:szCs w:val="15"/>
          <w:b w:val="1"/>
          <w:bCs w:val="1"/>
          <w:color w:val="auto"/>
        </w:rPr>
        <w:t xml:space="preserve"> REDMOND</w:t>
      </w:r>
      <w:r>
        <w:rPr>
          <w:rFonts w:ascii="Arial" w:cs="Arial" w:eastAsia="Arial" w:hAnsi="Arial"/>
          <w:sz w:val="14"/>
          <w:szCs w:val="14"/>
          <w:b w:val="1"/>
          <w:bCs w:val="1"/>
          <w:color w:val="auto"/>
        </w:rPr>
        <w:t>, WASHINGTON</w:t>
      </w:r>
      <w:r>
        <w:rPr>
          <w:rFonts w:ascii="Arial" w:cs="Arial" w:eastAsia="Arial" w:hAnsi="Arial"/>
          <w:sz w:val="15"/>
          <w:szCs w:val="15"/>
          <w:b w:val="1"/>
          <w:bCs w:val="1"/>
          <w:color w:val="auto"/>
        </w:rPr>
        <w:t xml:space="preserve"> 98052-6399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(425) 882-8080</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www.microsoft.com/investor</w:t>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2" w:lineRule="exact"/>
        <w:rPr>
          <w:sz w:val="24"/>
          <w:szCs w:val="24"/>
          <w:color w:val="auto"/>
        </w:rPr>
      </w:pPr>
    </w:p>
    <w:p>
      <w:pPr>
        <w:spacing w:after="0"/>
        <w:tabs>
          <w:tab w:leader="none" w:pos="5400" w:val="left"/>
          <w:tab w:leader="none" w:pos="76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w:t>
      </w:r>
      <w:r>
        <w:rPr>
          <w:sz w:val="20"/>
          <w:szCs w:val="20"/>
          <w:color w:val="auto"/>
        </w:rPr>
        <w:tab/>
      </w:r>
      <w:r>
        <w:rPr>
          <w:rFonts w:ascii="Arial" w:cs="Arial" w:eastAsia="Arial" w:hAnsi="Arial"/>
          <w:sz w:val="16"/>
          <w:szCs w:val="16"/>
          <w:color w:val="auto"/>
        </w:rPr>
        <w:t>Name of exchange on which registered</w:t>
      </w:r>
    </w:p>
    <w:p>
      <w:pPr>
        <w:sectPr>
          <w:pgSz w:w="11900" w:h="16838" w:orient="portrait"/>
          <w:cols w:equalWidth="0" w:num="1">
            <w:col w:w="11240"/>
          </w:cols>
          <w:pgMar w:left="320" w:top="472" w:right="339" w:bottom="1440" w:gutter="0" w:footer="0" w:header="0"/>
        </w:sectPr>
      </w:pP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4760" w:type="dxa"/>
            <w:vAlign w:val="bottom"/>
          </w:tcPr>
          <w:p>
            <w:pPr>
              <w:spacing w:after="0"/>
              <w:rPr>
                <w:sz w:val="20"/>
                <w:szCs w:val="20"/>
                <w:color w:val="auto"/>
              </w:rPr>
            </w:pPr>
            <w:r>
              <w:rPr>
                <w:rFonts w:ascii="Arial" w:cs="Arial" w:eastAsia="Arial" w:hAnsi="Arial"/>
                <w:sz w:val="16"/>
                <w:szCs w:val="16"/>
                <w:b w:val="1"/>
                <w:bCs w:val="1"/>
                <w:color w:val="auto"/>
              </w:rPr>
              <w:t>Common stock, $0.00000625 par value per share</w:t>
            </w:r>
          </w:p>
        </w:tc>
        <w:tc>
          <w:tcPr>
            <w:tcW w:w="1420" w:type="dxa"/>
            <w:vAlign w:val="bottom"/>
          </w:tcPr>
          <w:p>
            <w:pPr>
              <w:ind w:left="1020"/>
              <w:spacing w:after="0"/>
              <w:rPr>
                <w:sz w:val="20"/>
                <w:szCs w:val="20"/>
                <w:color w:val="auto"/>
              </w:rPr>
            </w:pPr>
            <w:r>
              <w:rPr>
                <w:rFonts w:ascii="Arial" w:cs="Arial" w:eastAsia="Arial" w:hAnsi="Arial"/>
                <w:sz w:val="15"/>
                <w:szCs w:val="15"/>
                <w:b w:val="1"/>
                <w:bCs w:val="1"/>
                <w:color w:val="auto"/>
                <w:w w:val="92"/>
              </w:rPr>
              <w:t>MSFT</w:t>
            </w:r>
          </w:p>
        </w:tc>
      </w:tr>
      <w:tr>
        <w:trPr>
          <w:trHeight w:val="202"/>
        </w:trPr>
        <w:tc>
          <w:tcPr>
            <w:tcW w:w="4760" w:type="dxa"/>
            <w:vAlign w:val="bottom"/>
          </w:tcPr>
          <w:p>
            <w:pPr>
              <w:spacing w:after="0"/>
              <w:rPr>
                <w:sz w:val="20"/>
                <w:szCs w:val="20"/>
                <w:color w:val="auto"/>
              </w:rPr>
            </w:pPr>
            <w:r>
              <w:rPr>
                <w:rFonts w:ascii="Arial" w:cs="Arial" w:eastAsia="Arial" w:hAnsi="Arial"/>
                <w:sz w:val="16"/>
                <w:szCs w:val="16"/>
                <w:b w:val="1"/>
                <w:bCs w:val="1"/>
                <w:color w:val="auto"/>
              </w:rPr>
              <w:t>3.125% Notes due 2028</w:t>
            </w:r>
          </w:p>
        </w:tc>
        <w:tc>
          <w:tcPr>
            <w:tcW w:w="1420" w:type="dxa"/>
            <w:vAlign w:val="bottom"/>
          </w:tcPr>
          <w:p>
            <w:pPr>
              <w:ind w:left="1020"/>
              <w:spacing w:after="0"/>
              <w:rPr>
                <w:sz w:val="20"/>
                <w:szCs w:val="20"/>
                <w:color w:val="auto"/>
              </w:rPr>
            </w:pPr>
            <w:r>
              <w:rPr>
                <w:rFonts w:ascii="Arial" w:cs="Arial" w:eastAsia="Arial" w:hAnsi="Arial"/>
                <w:sz w:val="15"/>
                <w:szCs w:val="15"/>
                <w:b w:val="1"/>
                <w:bCs w:val="1"/>
                <w:color w:val="auto"/>
                <w:w w:val="92"/>
              </w:rPr>
              <w:t>MSFT</w:t>
            </w:r>
          </w:p>
        </w:tc>
      </w:tr>
      <w:tr>
        <w:trPr>
          <w:trHeight w:val="226"/>
        </w:trPr>
        <w:tc>
          <w:tcPr>
            <w:tcW w:w="4760" w:type="dxa"/>
            <w:vAlign w:val="bottom"/>
          </w:tcPr>
          <w:p>
            <w:pPr>
              <w:spacing w:after="0"/>
              <w:rPr>
                <w:sz w:val="20"/>
                <w:szCs w:val="20"/>
                <w:color w:val="auto"/>
              </w:rPr>
            </w:pPr>
            <w:r>
              <w:rPr>
                <w:rFonts w:ascii="Arial" w:cs="Arial" w:eastAsia="Arial" w:hAnsi="Arial"/>
                <w:sz w:val="16"/>
                <w:szCs w:val="16"/>
                <w:b w:val="1"/>
                <w:bCs w:val="1"/>
                <w:color w:val="auto"/>
              </w:rPr>
              <w:t>2.625% Notes due 2033</w:t>
            </w:r>
          </w:p>
        </w:tc>
        <w:tc>
          <w:tcPr>
            <w:tcW w:w="1420" w:type="dxa"/>
            <w:vAlign w:val="bottom"/>
          </w:tcPr>
          <w:p>
            <w:pPr>
              <w:ind w:left="1020"/>
              <w:spacing w:after="0"/>
              <w:rPr>
                <w:sz w:val="20"/>
                <w:szCs w:val="20"/>
                <w:color w:val="auto"/>
              </w:rPr>
            </w:pPr>
            <w:r>
              <w:rPr>
                <w:rFonts w:ascii="Arial" w:cs="Arial" w:eastAsia="Arial" w:hAnsi="Arial"/>
                <w:sz w:val="15"/>
                <w:szCs w:val="15"/>
                <w:b w:val="1"/>
                <w:bCs w:val="1"/>
                <w:color w:val="auto"/>
                <w:w w:val="92"/>
              </w:rPr>
              <w:t>MSFT</w:t>
            </w:r>
          </w:p>
        </w:tc>
      </w:tr>
    </w:tbl>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7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NONE</w:t>
      </w:r>
    </w:p>
    <w:p>
      <w:pPr>
        <w:spacing w:after="0" w:line="7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right"/>
        <w:ind w:right="1840"/>
        <w:spacing w:after="0"/>
        <w:rPr>
          <w:sz w:val="20"/>
          <w:szCs w:val="20"/>
          <w:color w:val="auto"/>
        </w:rPr>
      </w:pPr>
      <w:r>
        <w:rPr>
          <w:rFonts w:ascii="Arial" w:cs="Arial" w:eastAsia="Arial" w:hAnsi="Arial"/>
          <w:sz w:val="16"/>
          <w:szCs w:val="16"/>
          <w:b w:val="1"/>
          <w:bCs w:val="1"/>
          <w:color w:val="auto"/>
        </w:rPr>
        <w:t>NASDAQ</w:t>
      </w:r>
    </w:p>
    <w:p>
      <w:pPr>
        <w:spacing w:after="0" w:line="30" w:lineRule="exact"/>
        <w:rPr>
          <w:sz w:val="24"/>
          <w:szCs w:val="24"/>
          <w:color w:val="auto"/>
        </w:rPr>
      </w:pPr>
    </w:p>
    <w:p>
      <w:pPr>
        <w:jc w:val="right"/>
        <w:ind w:right="1840"/>
        <w:spacing w:after="0"/>
        <w:rPr>
          <w:sz w:val="20"/>
          <w:szCs w:val="20"/>
          <w:color w:val="auto"/>
        </w:rPr>
      </w:pPr>
      <w:r>
        <w:rPr>
          <w:rFonts w:ascii="Arial" w:cs="Arial" w:eastAsia="Arial" w:hAnsi="Arial"/>
          <w:sz w:val="16"/>
          <w:szCs w:val="16"/>
          <w:b w:val="1"/>
          <w:bCs w:val="1"/>
          <w:color w:val="auto"/>
        </w:rPr>
        <w:t>NASDAQ</w:t>
      </w:r>
    </w:p>
    <w:p>
      <w:pPr>
        <w:spacing w:after="0" w:line="18" w:lineRule="exact"/>
        <w:rPr>
          <w:sz w:val="24"/>
          <w:szCs w:val="24"/>
          <w:color w:val="auto"/>
        </w:rPr>
      </w:pPr>
    </w:p>
    <w:p>
      <w:pPr>
        <w:jc w:val="right"/>
        <w:ind w:right="1840"/>
        <w:spacing w:after="0"/>
        <w:rPr>
          <w:sz w:val="20"/>
          <w:szCs w:val="20"/>
          <w:color w:val="auto"/>
        </w:rPr>
      </w:pPr>
      <w:r>
        <w:rPr>
          <w:rFonts w:ascii="Arial" w:cs="Arial" w:eastAsia="Arial" w:hAnsi="Arial"/>
          <w:sz w:val="16"/>
          <w:szCs w:val="16"/>
          <w:b w:val="1"/>
          <w:bCs w:val="1"/>
          <w:color w:val="auto"/>
        </w:rPr>
        <w:t>NASDAQ</w:t>
      </w:r>
    </w:p>
    <w:p>
      <w:pPr>
        <w:spacing w:after="0" w:line="200" w:lineRule="exact"/>
        <w:rPr>
          <w:sz w:val="24"/>
          <w:szCs w:val="24"/>
          <w:color w:val="auto"/>
        </w:rPr>
      </w:pPr>
    </w:p>
    <w:p>
      <w:pPr>
        <w:spacing w:after="0" w:line="347" w:lineRule="exact"/>
        <w:rPr>
          <w:sz w:val="24"/>
          <w:szCs w:val="24"/>
          <w:color w:val="auto"/>
        </w:rPr>
      </w:pPr>
    </w:p>
    <w:p>
      <w:pPr>
        <w:spacing w:after="0" w:line="173" w:lineRule="exact"/>
        <w:tabs>
          <w:tab w:leader="none" w:pos="62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3" w:lineRule="exact"/>
        <w:rPr>
          <w:sz w:val="24"/>
          <w:szCs w:val="24"/>
          <w:color w:val="auto"/>
        </w:rPr>
      </w:pPr>
    </w:p>
    <w:p>
      <w:pPr>
        <w:ind w:left="80"/>
        <w:spacing w:after="0" w:line="173" w:lineRule="exact"/>
        <w:tabs>
          <w:tab w:leader="none" w:pos="70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91" w:lineRule="exact"/>
        <w:rPr>
          <w:sz w:val="24"/>
          <w:szCs w:val="24"/>
          <w:color w:val="auto"/>
        </w:rPr>
      </w:pPr>
    </w:p>
    <w:p>
      <w:pPr>
        <w:sectPr>
          <w:pgSz w:w="11900" w:h="16838" w:orient="portrait"/>
          <w:cols w:equalWidth="0" w:num="2">
            <w:col w:w="7980" w:space="80"/>
            <w:col w:w="3180"/>
          </w:cols>
          <w:pgMar w:left="320" w:top="472" w:right="339" w:bottom="1440" w:gutter="0" w:footer="0" w:header="0"/>
          <w:type w:val="continuous"/>
        </w:sectPr>
      </w:pPr>
    </w:p>
    <w:p>
      <w:pPr>
        <w:jc w:val="both"/>
        <w:spacing w:after="0" w:line="23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 w:leader="none" w:pos="136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jc w:val="both"/>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spacing w:after="0" w:line="173" w:lineRule="exact"/>
        <w:tabs>
          <w:tab w:leader="none" w:pos="730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52" w:lineRule="exact"/>
        <w:rPr>
          <w:sz w:val="24"/>
          <w:szCs w:val="24"/>
          <w:color w:val="auto"/>
        </w:rPr>
      </w:pPr>
    </w:p>
    <w:p>
      <w:pPr>
        <w:spacing w:after="0" w:line="173" w:lineRule="exact"/>
        <w:tabs>
          <w:tab w:leader="none" w:pos="7300" w:val="left"/>
        </w:tabs>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16" w:lineRule="exact"/>
        <w:rPr>
          <w:sz w:val="24"/>
          <w:szCs w:val="24"/>
          <w:color w:val="auto"/>
        </w:rPr>
      </w:pPr>
    </w:p>
    <w:p>
      <w:pPr>
        <w:ind w:left="732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9"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3" w:lineRule="exact"/>
        <w:rPr>
          <w:sz w:val="24"/>
          <w:szCs w:val="24"/>
          <w:color w:val="auto"/>
        </w:rPr>
      </w:pPr>
    </w:p>
    <w:p>
      <w:pPr>
        <w:spacing w:after="0" w:line="173" w:lineRule="exact"/>
        <w:tabs>
          <w:tab w:leader="none" w:pos="6860" w:val="left"/>
          <w:tab w:leader="none" w:pos="7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96" w:lineRule="exact"/>
        <w:rPr>
          <w:sz w:val="24"/>
          <w:szCs w:val="24"/>
          <w:color w:val="auto"/>
        </w:rPr>
      </w:pPr>
    </w:p>
    <w:p>
      <w:pPr>
        <w:jc w:val="both"/>
        <w:spacing w:after="0" w:line="241" w:lineRule="auto"/>
        <w:rPr>
          <w:sz w:val="20"/>
          <w:szCs w:val="20"/>
          <w:color w:val="auto"/>
        </w:rPr>
      </w:pPr>
      <w:r>
        <w:rPr>
          <w:rFonts w:ascii="Arial" w:cs="Arial" w:eastAsia="Arial" w:hAnsi="Arial"/>
          <w:sz w:val="15"/>
          <w:szCs w:val="15"/>
          <w:color w:val="auto"/>
        </w:rPr>
        <w:t>As of December 31, 2021, the aggregate market value of the registrant’s common stock held by non-affiliates of the registrant was $2.5 trillion based on the closing sale price as reported on the NASDAQ National Market System. As of July 25, 2022, there were 7,457,891,872 shares of common stock outstanding.</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61" w:lineRule="exact"/>
        <w:rPr>
          <w:sz w:val="24"/>
          <w:szCs w:val="24"/>
          <w:color w:val="auto"/>
        </w:rPr>
      </w:pPr>
    </w:p>
    <w:p>
      <w:pPr>
        <w:jc w:val="both"/>
        <w:spacing w:after="0" w:line="241" w:lineRule="auto"/>
        <w:rPr>
          <w:sz w:val="20"/>
          <w:szCs w:val="20"/>
          <w:color w:val="auto"/>
        </w:rPr>
      </w:pPr>
      <w:r>
        <w:rPr>
          <w:rFonts w:ascii="Arial" w:cs="Arial" w:eastAsia="Arial" w:hAnsi="Arial"/>
          <w:sz w:val="15"/>
          <w:szCs w:val="15"/>
          <w:color w:val="auto"/>
        </w:rPr>
        <w:t>Portions of the definitive Proxy Statement to be delivered to shareholders in connection with the Annual Meeting of Shareholders to be held on December 13</w:t>
      </w:r>
      <w:r>
        <w:rPr>
          <w:rFonts w:ascii="Arial" w:cs="Arial" w:eastAsia="Arial" w:hAnsi="Arial"/>
          <w:sz w:val="14"/>
          <w:szCs w:val="14"/>
          <w:color w:val="auto"/>
        </w:rPr>
        <w:t>, 2022</w:t>
      </w:r>
      <w:r>
        <w:rPr>
          <w:rFonts w:ascii="Arial" w:cs="Arial" w:eastAsia="Arial" w:hAnsi="Arial"/>
          <w:sz w:val="15"/>
          <w:szCs w:val="15"/>
          <w:color w:val="auto"/>
        </w:rPr>
        <w:t xml:space="preserve">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308610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MICROSOFT CORPORATION</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For the Fiscal Year Ended June 30, 2022</w:t>
      </w:r>
    </w:p>
    <w:p>
      <w:pPr>
        <w:spacing w:after="0" w:line="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180"/>
          </w:cols>
          <w:pgMar w:left="320" w:top="575" w:right="39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48"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320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4"/>
        </w:trPr>
        <w:tc>
          <w:tcPr>
            <w:tcW w:w="1240" w:type="dxa"/>
            <w:vAlign w:val="bottom"/>
          </w:tcPr>
          <w:p>
            <w:pPr>
              <w:spacing w:after="0"/>
              <w:rPr>
                <w:sz w:val="24"/>
                <w:szCs w:val="24"/>
                <w:color w:val="auto"/>
              </w:rPr>
            </w:pPr>
          </w:p>
        </w:tc>
        <w:tc>
          <w:tcPr>
            <w:tcW w:w="32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Information about our Executive Officers</w:t>
              </w:r>
            </w:hyperlink>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Risk Factors</w:t>
              </w:r>
            </w:hyperlink>
          </w:p>
        </w:tc>
        <w:tc>
          <w:tcPr>
            <w:tcW w:w="2200" w:type="dxa"/>
            <w:vAlign w:val="bottom"/>
            <w:gridSpan w:val="4"/>
          </w:tcPr>
          <w:p>
            <w:pPr>
              <w:spacing w:after="0"/>
              <w:rPr>
                <w:sz w:val="24"/>
                <w:szCs w:val="24"/>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22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Unresolved Staff Comments</w:t>
              </w:r>
            </w:hyperlink>
          </w:p>
        </w:tc>
        <w:tc>
          <w:tcPr>
            <w:tcW w:w="960" w:type="dxa"/>
            <w:vAlign w:val="bottom"/>
          </w:tcPr>
          <w:p>
            <w:pPr>
              <w:spacing w:after="0"/>
              <w:rPr>
                <w:sz w:val="24"/>
                <w:szCs w:val="24"/>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Properties</w:t>
              </w:r>
            </w:hyperlink>
          </w:p>
        </w:tc>
        <w:tc>
          <w:tcPr>
            <w:tcW w:w="2380" w:type="dxa"/>
            <w:vAlign w:val="bottom"/>
            <w:gridSpan w:val="5"/>
          </w:tcPr>
          <w:p>
            <w:pPr>
              <w:spacing w:after="0"/>
              <w:rPr>
                <w:sz w:val="24"/>
                <w:szCs w:val="24"/>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320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r>
      <w:tr>
        <w:trPr>
          <w:trHeight w:val="20"/>
        </w:trPr>
        <w:tc>
          <w:tcPr>
            <w:tcW w:w="124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320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Page</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449" w:lineRule="exact"/>
        <w:rPr>
          <w:sz w:val="20"/>
          <w:szCs w:val="20"/>
          <w:color w:val="auto"/>
        </w:rPr>
      </w:pPr>
    </w:p>
    <w:p>
      <w:pPr>
        <w:sectPr>
          <w:pgSz w:w="11900" w:h="16838" w:orient="portrait"/>
          <w:cols w:equalWidth="0" w:num="2">
            <w:col w:w="10040" w:space="720"/>
            <w:col w:w="420"/>
          </w:cols>
          <w:pgMar w:left="320" w:top="575" w:right="3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140" w:type="dxa"/>
            <w:vAlign w:val="bottom"/>
          </w:tcPr>
          <w:p>
            <w:pPr>
              <w:ind w:left="900"/>
              <w:spacing w:after="0"/>
              <w:rPr>
                <w:sz w:val="20"/>
                <w:szCs w:val="20"/>
                <w:color w:val="auto"/>
              </w:rPr>
            </w:pPr>
            <w:r>
              <w:rPr>
                <w:rFonts w:ascii="Arial" w:cs="Arial" w:eastAsia="Arial" w:hAnsi="Arial"/>
                <w:sz w:val="18"/>
                <w:szCs w:val="18"/>
                <w:color w:val="auto"/>
              </w:rPr>
              <w:t>Item 5.</w:t>
            </w:r>
          </w:p>
        </w:tc>
        <w:tc>
          <w:tcPr>
            <w:tcW w:w="8540" w:type="dxa"/>
            <w:vAlign w:val="bottom"/>
            <w:tcBorders>
              <w:bottom w:val="single" w:sz="8" w:color="0000EE"/>
            </w:tcBorders>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w:t>
              </w:r>
            </w:hyperlink>
          </w:p>
        </w:tc>
      </w:tr>
      <w:tr>
        <w:trPr>
          <w:trHeight w:val="182"/>
        </w:trPr>
        <w:tc>
          <w:tcPr>
            <w:tcW w:w="2140" w:type="dxa"/>
            <w:vAlign w:val="bottom"/>
          </w:tcPr>
          <w:p>
            <w:pPr>
              <w:spacing w:after="0"/>
              <w:rPr>
                <w:sz w:val="15"/>
                <w:szCs w:val="15"/>
                <w:color w:val="auto"/>
              </w:rPr>
            </w:pPr>
          </w:p>
        </w:tc>
        <w:tc>
          <w:tcPr>
            <w:tcW w:w="8540" w:type="dxa"/>
            <w:vAlign w:val="bottom"/>
            <w:gridSpan w:val="19"/>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Securities</w:t>
              </w:r>
            </w:hyperlink>
          </w:p>
        </w:tc>
      </w:tr>
      <w:tr>
        <w:trPr>
          <w:trHeight w:val="20"/>
        </w:trPr>
        <w:tc>
          <w:tcPr>
            <w:tcW w:w="2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3"/>
        </w:trPr>
        <w:tc>
          <w:tcPr>
            <w:tcW w:w="2140" w:type="dxa"/>
            <w:vAlign w:val="bottom"/>
          </w:tcPr>
          <w:p>
            <w:pPr>
              <w:ind w:left="900"/>
              <w:spacing w:after="0"/>
              <w:rPr>
                <w:sz w:val="20"/>
                <w:szCs w:val="20"/>
                <w:color w:val="auto"/>
              </w:rPr>
            </w:pPr>
            <w:r>
              <w:rPr>
                <w:rFonts w:ascii="Arial" w:cs="Arial" w:eastAsia="Arial" w:hAnsi="Arial"/>
                <w:sz w:val="18"/>
                <w:szCs w:val="18"/>
                <w:color w:val="auto"/>
              </w:rPr>
              <w:t>Item 6.</w:t>
            </w:r>
          </w:p>
        </w:tc>
        <w:tc>
          <w:tcPr>
            <w:tcW w:w="8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[Reserved]</w:t>
              </w:r>
            </w:hyperlink>
          </w:p>
        </w:tc>
        <w:tc>
          <w:tcPr>
            <w:tcW w:w="7660" w:type="dxa"/>
            <w:vAlign w:val="bottom"/>
            <w:gridSpan w:val="16"/>
          </w:tcPr>
          <w:p>
            <w:pPr>
              <w:spacing w:after="0"/>
              <w:rPr>
                <w:sz w:val="24"/>
                <w:szCs w:val="24"/>
                <w:color w:val="auto"/>
              </w:rPr>
            </w:pPr>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7.</w:t>
            </w:r>
          </w:p>
        </w:tc>
        <w:tc>
          <w:tcPr>
            <w:tcW w:w="706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Management’s Discussion and Analysis of Financial Condition and Results of Operations</w:t>
              </w:r>
            </w:hyperlink>
          </w:p>
        </w:tc>
        <w:tc>
          <w:tcPr>
            <w:tcW w:w="1480" w:type="dxa"/>
            <w:vAlign w:val="bottom"/>
            <w:gridSpan w:val="3"/>
          </w:tcPr>
          <w:p>
            <w:pPr>
              <w:spacing w:after="0"/>
              <w:rPr>
                <w:sz w:val="24"/>
                <w:szCs w:val="24"/>
                <w:color w:val="auto"/>
              </w:rPr>
            </w:pPr>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7A.</w:t>
            </w:r>
          </w:p>
        </w:tc>
        <w:tc>
          <w:tcPr>
            <w:tcW w:w="468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Quantitative and Qualitative Disclosures about Market Risk</w:t>
              </w:r>
            </w:hyperlink>
          </w:p>
        </w:tc>
        <w:tc>
          <w:tcPr>
            <w:tcW w:w="3860" w:type="dxa"/>
            <w:vAlign w:val="bottom"/>
            <w:gridSpan w:val="7"/>
          </w:tcPr>
          <w:p>
            <w:pPr>
              <w:spacing w:after="0"/>
              <w:rPr>
                <w:sz w:val="24"/>
                <w:szCs w:val="24"/>
                <w:color w:val="auto"/>
              </w:rPr>
            </w:pPr>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8.</w:t>
            </w:r>
          </w:p>
        </w:tc>
        <w:tc>
          <w:tcPr>
            <w:tcW w:w="854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r>
      <w:tr>
        <w:trPr>
          <w:trHeight w:val="20"/>
        </w:trPr>
        <w:tc>
          <w:tcPr>
            <w:tcW w:w="2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9.</w:t>
            </w:r>
          </w:p>
        </w:tc>
        <w:tc>
          <w:tcPr>
            <w:tcW w:w="712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Changes in and Disagreements with Accountants on Accounting and Financial Disclosure</w:t>
              </w:r>
            </w:hyperlink>
          </w:p>
        </w:tc>
        <w:tc>
          <w:tcPr>
            <w:tcW w:w="1420" w:type="dxa"/>
            <w:vAlign w:val="bottom"/>
            <w:gridSpan w:val="2"/>
          </w:tcPr>
          <w:p>
            <w:pPr>
              <w:spacing w:after="0"/>
              <w:rPr>
                <w:sz w:val="24"/>
                <w:szCs w:val="24"/>
                <w:color w:val="auto"/>
              </w:rPr>
            </w:pPr>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9A.</w:t>
            </w:r>
          </w:p>
        </w:tc>
        <w:tc>
          <w:tcPr>
            <w:tcW w:w="8540" w:type="dxa"/>
            <w:vAlign w:val="bottom"/>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r>
      <w:tr>
        <w:trPr>
          <w:trHeight w:val="20"/>
        </w:trPr>
        <w:tc>
          <w:tcPr>
            <w:tcW w:w="2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2140" w:type="dxa"/>
            <w:vAlign w:val="bottom"/>
          </w:tcPr>
          <w:p>
            <w:pPr>
              <w:spacing w:after="0"/>
              <w:rPr>
                <w:sz w:val="24"/>
                <w:szCs w:val="24"/>
                <w:color w:val="auto"/>
              </w:rPr>
            </w:pPr>
          </w:p>
        </w:tc>
        <w:tc>
          <w:tcPr>
            <w:tcW w:w="53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Report of Management on Internal Control over Financial Reporting</w:t>
              </w:r>
            </w:hyperlink>
          </w:p>
        </w:tc>
        <w:tc>
          <w:tcPr>
            <w:tcW w:w="3180" w:type="dxa"/>
            <w:vAlign w:val="bottom"/>
            <w:gridSpan w:val="6"/>
          </w:tcPr>
          <w:p>
            <w:pPr>
              <w:spacing w:after="0"/>
              <w:rPr>
                <w:sz w:val="24"/>
                <w:szCs w:val="24"/>
                <w:color w:val="auto"/>
              </w:rPr>
            </w:pPr>
          </w:p>
        </w:tc>
      </w:tr>
      <w:tr>
        <w:trPr>
          <w:trHeight w:val="344"/>
        </w:trPr>
        <w:tc>
          <w:tcPr>
            <w:tcW w:w="2140" w:type="dxa"/>
            <w:vAlign w:val="bottom"/>
          </w:tcPr>
          <w:p>
            <w:pPr>
              <w:spacing w:after="0"/>
              <w:rPr>
                <w:sz w:val="24"/>
                <w:szCs w:val="24"/>
                <w:color w:val="auto"/>
              </w:rPr>
            </w:pPr>
          </w:p>
        </w:tc>
        <w:tc>
          <w:tcPr>
            <w:tcW w:w="8540" w:type="dxa"/>
            <w:vAlign w:val="bottom"/>
            <w:gridSpan w:val="1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Report of Independent Registered Public Accounting Firm</w:t>
              </w:r>
            </w:hyperlink>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101">
              <w:r>
                <w:rPr>
                  <w:rFonts w:ascii="Arial" w:cs="Arial" w:eastAsia="Arial" w:hAnsi="Arial"/>
                  <w:sz w:val="18"/>
                  <w:szCs w:val="18"/>
                  <w:color w:val="0000EE"/>
                  <w:w w:val="98"/>
                </w:rPr>
                <w:t>Other Information</w:t>
              </w:r>
            </w:hyperlink>
          </w:p>
        </w:tc>
        <w:tc>
          <w:tcPr>
            <w:tcW w:w="3180" w:type="dxa"/>
            <w:vAlign w:val="bottom"/>
            <w:tcBorders>
              <w:top w:val="single" w:sz="8" w:color="0000EE"/>
            </w:tcBorders>
            <w:gridSpan w:val="7"/>
          </w:tcPr>
          <w:p>
            <w:pPr>
              <w:spacing w:after="0"/>
              <w:rPr>
                <w:sz w:val="24"/>
                <w:szCs w:val="24"/>
                <w:color w:val="auto"/>
              </w:rPr>
            </w:pPr>
          </w:p>
        </w:tc>
        <w:tc>
          <w:tcPr>
            <w:tcW w:w="3960" w:type="dxa"/>
            <w:vAlign w:val="bottom"/>
            <w:gridSpan w:val="8"/>
          </w:tcPr>
          <w:p>
            <w:pPr>
              <w:spacing w:after="0"/>
              <w:rPr>
                <w:sz w:val="24"/>
                <w:szCs w:val="24"/>
                <w:color w:val="auto"/>
              </w:rPr>
            </w:pPr>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9C.</w:t>
            </w:r>
          </w:p>
        </w:tc>
        <w:tc>
          <w:tcPr>
            <w:tcW w:w="854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Disclosure Regarding Foreign Jurisdictions that Prevent Inspections</w:t>
              </w:r>
            </w:hyperlink>
          </w:p>
        </w:tc>
      </w:tr>
      <w:tr>
        <w:trPr>
          <w:trHeight w:val="384"/>
        </w:trPr>
        <w:tc>
          <w:tcPr>
            <w:tcW w:w="2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3"/>
        </w:trPr>
        <w:tc>
          <w:tcPr>
            <w:tcW w:w="2140" w:type="dxa"/>
            <w:vAlign w:val="bottom"/>
          </w:tcPr>
          <w:p>
            <w:pPr>
              <w:ind w:left="900"/>
              <w:spacing w:after="0"/>
              <w:rPr>
                <w:sz w:val="20"/>
                <w:szCs w:val="20"/>
                <w:color w:val="auto"/>
              </w:rPr>
            </w:pPr>
            <w:r>
              <w:rPr>
                <w:rFonts w:ascii="Arial" w:cs="Arial" w:eastAsia="Arial" w:hAnsi="Arial"/>
                <w:sz w:val="18"/>
                <w:szCs w:val="18"/>
                <w:color w:val="auto"/>
              </w:rPr>
              <w:t>Item 10.</w:t>
            </w:r>
          </w:p>
        </w:tc>
        <w:tc>
          <w:tcPr>
            <w:tcW w:w="854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11.</w:t>
            </w:r>
          </w:p>
        </w:tc>
        <w:tc>
          <w:tcPr>
            <w:tcW w:w="4480" w:type="dxa"/>
            <w:vAlign w:val="bottom"/>
            <w:tcBorders>
              <w:top w:val="single" w:sz="8" w:color="0000EE"/>
            </w:tcBorders>
            <w:gridSpan w:val="1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Executive Compensation</w:t>
              </w:r>
            </w:hyperlink>
          </w:p>
        </w:tc>
        <w:tc>
          <w:tcPr>
            <w:tcW w:w="4060" w:type="dxa"/>
            <w:vAlign w:val="bottom"/>
            <w:gridSpan w:val="9"/>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12.</w:t>
            </w:r>
          </w:p>
        </w:tc>
        <w:tc>
          <w:tcPr>
            <w:tcW w:w="854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13.</w:t>
            </w:r>
          </w:p>
        </w:tc>
        <w:tc>
          <w:tcPr>
            <w:tcW w:w="60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Certain Relationships and Related Transactions, and Director Independence</w:t>
              </w:r>
            </w:hyperlink>
          </w:p>
        </w:tc>
        <w:tc>
          <w:tcPr>
            <w:tcW w:w="1920" w:type="dxa"/>
            <w:vAlign w:val="bottom"/>
            <w:tcBorders>
              <w:top w:val="single" w:sz="8" w:color="0000EE"/>
            </w:tcBorders>
            <w:gridSpan w:val="3"/>
          </w:tcPr>
          <w:p>
            <w:pPr>
              <w:spacing w:after="0"/>
              <w:rPr>
                <w:sz w:val="24"/>
                <w:szCs w:val="24"/>
                <w:color w:val="auto"/>
              </w:rPr>
            </w:pPr>
          </w:p>
        </w:tc>
        <w:tc>
          <w:tcPr>
            <w:tcW w:w="560" w:type="dxa"/>
            <w:vAlign w:val="bottom"/>
          </w:tcPr>
          <w:p>
            <w:pPr>
              <w:spacing w:after="0"/>
              <w:rPr>
                <w:sz w:val="24"/>
                <w:szCs w:val="24"/>
                <w:color w:val="auto"/>
              </w:rPr>
            </w:pPr>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14.</w:t>
            </w:r>
          </w:p>
        </w:tc>
        <w:tc>
          <w:tcPr>
            <w:tcW w:w="854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r>
      <w:tr>
        <w:trPr>
          <w:trHeight w:val="384"/>
        </w:trPr>
        <w:tc>
          <w:tcPr>
            <w:tcW w:w="2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3"/>
        </w:trPr>
        <w:tc>
          <w:tcPr>
            <w:tcW w:w="2140" w:type="dxa"/>
            <w:vAlign w:val="bottom"/>
          </w:tcPr>
          <w:p>
            <w:pPr>
              <w:ind w:left="900"/>
              <w:spacing w:after="0"/>
              <w:rPr>
                <w:sz w:val="20"/>
                <w:szCs w:val="20"/>
                <w:color w:val="auto"/>
              </w:rPr>
            </w:pPr>
            <w:r>
              <w:rPr>
                <w:rFonts w:ascii="Arial" w:cs="Arial" w:eastAsia="Arial" w:hAnsi="Arial"/>
                <w:sz w:val="18"/>
                <w:szCs w:val="18"/>
                <w:color w:val="auto"/>
              </w:rPr>
              <w:t>Item 15.</w:t>
            </w:r>
          </w:p>
        </w:tc>
        <w:tc>
          <w:tcPr>
            <w:tcW w:w="8540" w:type="dxa"/>
            <w:vAlign w:val="bottom"/>
            <w:gridSpan w:val="19"/>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Exhibit and Financial Statement Schedules</w:t>
              </w:r>
            </w:hyperlink>
          </w:p>
        </w:tc>
      </w:tr>
      <w:tr>
        <w:trPr>
          <w:trHeight w:val="344"/>
        </w:trPr>
        <w:tc>
          <w:tcPr>
            <w:tcW w:w="2140" w:type="dxa"/>
            <w:vAlign w:val="bottom"/>
          </w:tcPr>
          <w:p>
            <w:pPr>
              <w:ind w:left="900"/>
              <w:spacing w:after="0"/>
              <w:rPr>
                <w:sz w:val="20"/>
                <w:szCs w:val="20"/>
                <w:color w:val="auto"/>
              </w:rPr>
            </w:pPr>
            <w:r>
              <w:rPr>
                <w:rFonts w:ascii="Arial" w:cs="Arial" w:eastAsia="Arial" w:hAnsi="Arial"/>
                <w:sz w:val="18"/>
                <w:szCs w:val="18"/>
                <w:color w:val="auto"/>
              </w:rPr>
              <w:t>Item 16.</w:t>
            </w:r>
          </w:p>
        </w:tc>
        <w:tc>
          <w:tcPr>
            <w:tcW w:w="3400" w:type="dxa"/>
            <w:vAlign w:val="bottom"/>
            <w:tcBorders>
              <w:top w:val="single" w:sz="8" w:color="0000EE"/>
            </w:tcBorders>
            <w:gridSpan w:val="8"/>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Form 10-K Summary</w:t>
              </w:r>
            </w:hyperlink>
          </w:p>
        </w:tc>
        <w:tc>
          <w:tcPr>
            <w:tcW w:w="5140" w:type="dxa"/>
            <w:vAlign w:val="bottom"/>
            <w:gridSpan w:val="11"/>
          </w:tcPr>
          <w:p>
            <w:pPr>
              <w:spacing w:after="0"/>
              <w:rPr>
                <w:sz w:val="24"/>
                <w:szCs w:val="24"/>
                <w:color w:val="auto"/>
              </w:rPr>
            </w:pPr>
          </w:p>
        </w:tc>
      </w:tr>
      <w:tr>
        <w:trPr>
          <w:trHeight w:val="344"/>
        </w:trPr>
        <w:tc>
          <w:tcPr>
            <w:tcW w:w="2140" w:type="dxa"/>
            <w:vAlign w:val="bottom"/>
          </w:tcPr>
          <w:p>
            <w:pPr>
              <w:spacing w:after="0"/>
              <w:rPr>
                <w:sz w:val="24"/>
                <w:szCs w:val="24"/>
                <w:color w:val="auto"/>
              </w:rPr>
            </w:pP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109">
              <w:r>
                <w:rPr>
                  <w:rFonts w:ascii="Arial" w:cs="Arial" w:eastAsia="Arial" w:hAnsi="Arial"/>
                  <w:sz w:val="18"/>
                  <w:szCs w:val="18"/>
                  <w:color w:val="0000EE"/>
                  <w:w w:val="97"/>
                </w:rPr>
                <w:t>Signatures</w:t>
              </w:r>
            </w:hyperlink>
          </w:p>
        </w:tc>
        <w:tc>
          <w:tcPr>
            <w:tcW w:w="800" w:type="dxa"/>
            <w:vAlign w:val="bottom"/>
            <w:tcBorders>
              <w:top w:val="single" w:sz="8" w:color="0000EE"/>
            </w:tcBorders>
            <w:gridSpan w:val="3"/>
          </w:tcPr>
          <w:p>
            <w:pPr>
              <w:spacing w:after="0"/>
              <w:rPr>
                <w:sz w:val="24"/>
                <w:szCs w:val="24"/>
                <w:color w:val="auto"/>
              </w:rPr>
            </w:pPr>
          </w:p>
        </w:tc>
        <w:tc>
          <w:tcPr>
            <w:tcW w:w="6880" w:type="dxa"/>
            <w:vAlign w:val="bottom"/>
            <w:gridSpan w:val="14"/>
          </w:tcPr>
          <w:p>
            <w:pPr>
              <w:spacing w:after="0"/>
              <w:rPr>
                <w:sz w:val="24"/>
                <w:szCs w:val="24"/>
                <w:color w:val="auto"/>
              </w:rPr>
            </w:pPr>
          </w:p>
        </w:tc>
      </w:tr>
      <w:tr>
        <w:trPr>
          <w:trHeight w:val="897"/>
        </w:trPr>
        <w:tc>
          <w:tcPr>
            <w:tcW w:w="2140" w:type="dxa"/>
            <w:vAlign w:val="bottom"/>
          </w:tcPr>
          <w:p>
            <w:pPr>
              <w:spacing w:after="0"/>
              <w:rPr>
                <w:sz w:val="24"/>
                <w:szCs w:val="24"/>
                <w:color w:val="auto"/>
              </w:rPr>
            </w:pPr>
          </w:p>
        </w:tc>
        <w:tc>
          <w:tcPr>
            <w:tcW w:w="3700" w:type="dxa"/>
            <w:vAlign w:val="bottom"/>
            <w:gridSpan w:val="9"/>
          </w:tcPr>
          <w:p>
            <w:pPr>
              <w:ind w:left="3440"/>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100</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102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108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109</w:t>
      </w:r>
    </w:p>
    <w:p>
      <w:pPr>
        <w:sectPr>
          <w:pgSz w:w="11900" w:h="16838" w:orient="portrait"/>
          <w:cols w:equalWidth="0" w:num="2">
            <w:col w:w="10680" w:space="200"/>
            <w:col w:w="300"/>
          </w:cols>
          <w:pgMar w:left="320" w:top="575" w:right="399" w:bottom="1440" w:gutter="0" w:footer="0" w:header="0"/>
          <w:type w:val="continuous"/>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(Part I, Item 1 of this Form 10-K), “Risk Factors” (Part I, Item 1A of this Form 10-K), and “Management’s Discussion and Analysis of Financial Condition and Results of Operations” (Part II, Item 7 of this Form 10-K).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II, Item 7A of this Form 10-K).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Embracing Our Future</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We are creating the tools and platforms that deliver better, faster, and more effective solutions to support new startups, improve educational and health outcomes, and empower human ingenuity.</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Microsoft is innovating and expanding our entire portfolio to help people and organizations overcome today’s challenges and emerge stronger. We bring technology and products together into experiences and solutions that unlock value for our customers.</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 dynamic environment, digital technology is the key input that powers the world’s economic output. Our ecosystem of customers and partners have learned that while hybrid work is complex, embracing flexibility, different work styles, and a culture of trust can help navigate the challenges the world faces today. Organizations of all sizes have digitized business-critical functions, redefining what they can expect from their business applications. Customers are looking to unlock value while simplifying security and management. From infrastructure and data, to business applications and collaboration, we provide unique, differentiated value to customers.</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building a distributed computing fabric – across cloud and the edge – to help every organization build, run, and manage mission-critical workloads anywhere. In the next phase of innovation, artificial intelligence (“AI”) capabilities are rapidly advancing, fueled by data and knowledge of the world. We are enabling metaverse experiences at all layers of our stack, so customers can more effectively model, automate, simulate, and predict changes within their industrial environments, feel a greater sense of presence in the new world of hybrid work, and create custom immersive worlds to enable new opportunities for connection and experimentation.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Offer</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Founded in 1975, we develop and support software, services, devices, and solutions that deliver new value for customers and help people and businesses realize their full potential.</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offer an array of services, including cloud-based solutions that provide customers with software, services, platforms, and content, and we provide solution support and consulting services. We also deliver relevant online advertising to a global audience.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products include operating systems, cross-device productivity and collaboration applications, server applications, business solution applications, desktop and server management tools, software development tools, and video games. We also design and sell devices, including PCs, tablets, gaming and entertainment consoles, other intelligent devices, and related accessories.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Ambitions That Drive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vision, our research and development efforts focus on three interconnected ambitions:</w:t>
      </w:r>
    </w:p>
    <w:p>
      <w:pPr>
        <w:spacing w:after="0" w:line="76" w:lineRule="exact"/>
        <w:rPr>
          <w:sz w:val="20"/>
          <w:szCs w:val="20"/>
          <w:color w:val="auto"/>
        </w:rPr>
      </w:pPr>
    </w:p>
    <w:p>
      <w:pPr>
        <w:ind w:left="1060" w:hanging="39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Reinvent productivity and business processes.</w:t>
      </w:r>
    </w:p>
    <w:p>
      <w:pPr>
        <w:spacing w:after="0" w:line="102" w:lineRule="exact"/>
        <w:rPr>
          <w:rFonts w:ascii="Arial" w:cs="Arial" w:eastAsia="Arial" w:hAnsi="Arial"/>
          <w:sz w:val="18"/>
          <w:szCs w:val="18"/>
          <w:color w:val="auto"/>
        </w:rPr>
      </w:pPr>
    </w:p>
    <w:p>
      <w:pPr>
        <w:ind w:left="1060" w:hanging="39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 the intelligent cloud and intelligent edge platform.</w:t>
      </w:r>
    </w:p>
    <w:p>
      <w:pPr>
        <w:spacing w:after="0" w:line="102" w:lineRule="exact"/>
        <w:rPr>
          <w:rFonts w:ascii="Arial" w:cs="Arial" w:eastAsia="Arial" w:hAnsi="Arial"/>
          <w:sz w:val="18"/>
          <w:szCs w:val="18"/>
          <w:color w:val="auto"/>
        </w:rPr>
      </w:pPr>
    </w:p>
    <w:p>
      <w:pPr>
        <w:ind w:left="1060" w:hanging="39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more personal computing.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Reinvent Productivity and Business Processes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At Microsoft, we provide technology and resources to help our customers create a secure hybrid work environment. Our family of products plays a key role in the ways the world works, learns, and connects.</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growth depends on securely delivering continuous innovation and advancing our leading productivity and collaboration tools and services, including Office 365, Dynamics 365, and LinkedIn. Microsoft 365 brings together Office 365, Windows, and Enterprise Mobility + Security to help organizations empower their employees with AI-backed tools that unlock creativity, increase collaboration, and fuel innovation, all the while enabling compliance coverage and data protection. Microsoft Teams is a comprehensive platform for work, with meetings, calls, chat, collaboration, and business process automation. Microsoft Viva is an employee experience platform that brings together communications, knowledge, learning, resources, and insights powered by Microsoft 365. Together with the Microsoft Cloud, Dynamics 365, Microsoft Teams, and Azure Synapse bring a new era of collaborative applications that transform every business function and process. Microsoft Power Platform is helping domain experts drive productivity gains with low-code/no-code tools, robotic process automation, virtual agents, and business intelligence. In a dynamic labor market, LinkedIn is helping professionals use the platform to connect, learn, grow, and get hired.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the Intelligent Cloud and Intelligent Edge Platform</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digital transformation accelerates, organizations in every sector across the globe can address challenges that will have a fundamental impact on their success. For enterprises, digital technology empowers employees, optimizes operations, engages customers, and in some cases, changes the very core of products and services. Microsoft has a proven track record of delivering high value to our customers across many diverse and durable growth markets.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continue to invest in high performance and sustainable computing to meet the growing demand for fast access to Microsoft services provided by our network of cloud computing infrastructure and datacenters. Azure is a trusted cloud with comprehensive compliance coverage and AI-based security built in.</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cloud business benefits from three economies of scale: datacenters that deploy computational resources at significantly lower cost per unit than smaller ones; datacenters that coordinate and aggregate diverse customer, geographic, and application demand patterns, improving the utilization of computing, storage, and network resources; and multi-tenancy locations that lower application maintenance labor costs.</w:t>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Microsoft Cloud is the most comprehensive and trusted cloud, providing the best integration across the technology stack while offering openness, improving time to value, reducing costs, and increasing agility. Being a global-scale cloud, Azure uniquely offers hybrid consistency, developer productivity, AI capabilities, and trusted security and compliance. We see more emerging use cases and needs for compute and security at the edge and are accelerating our innovation across the spectrum of intelligent edge devices, from Internet of Things (“IoT”) sensors to gateway devices and edge hardware to build, manage, and secure edge workloads. With Azure Stack, organizations can extend Azure into their own datacenters to create a consistent stack across the public cloud and the intelligent edge.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hybrid infrastructure consistency spans security, compliance, identity, and management, helping to support the real-world needs and evolving regulatory requirements of commercial customers and enterprises. Our industry clouds bring together capabilities across the entire Microsoft Cloud, along with industry-specific customizations, to improve time to value, increase agility, and lower costs. Azure Arc simplifies governance and management by delivering a consistent multi-cloud and on-premises management platform. Security, compliance, identity, and management underlie our entire tech stack. We offer integrated, end-to-end capabilities to protect people and organizations.</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March 2022, we completed our acquisition of Nuance Communications, Inc. (“Nuance”). Together, Microsoft and Nuance will enable organizations across industries to accelerate their business goals with security-focused, cloud-based solutions infused with powerful, vertically optimized AI.</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are accelerating our development of mixed reality solutions with new Azure services and devices. Microsoft Mesh enables presence and shared experiences from anywhere through mixed reality applications. The opportunity to merge the physical and digital worlds, when combined with the power of Azure cloud services, unlocks new workloads and experiences to create common understanding and drive more informed decisions.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ability to convert data into AI drives our competitive advantage. Azure SQL Database makes it possible for customers to take SQL Server from their on-premises datacenter to a fully managed instance in the cloud to utilize built-in AI. Azure Synapse brings together data integration, enterprise data warehousing, and big data analytics in a comprehensive solution. We are accelerating adoption of AI innovations from research to products. Our innovation helps every developer be an AI developer, with approachable new tools from Azure Machine Learning Studio for creating simple machine learning models, to the powerful Azure Machine Learning Workbench for the most advanced AI modeling and data science. From GitHub to Visual Studio, we provide a developer tool chain for everyone, no matter the technical experience, across all platforms, whether Azure, Windows, or any other cloud or client platform.</w:t>
      </w:r>
    </w:p>
    <w:p>
      <w:pPr>
        <w:spacing w:after="0" w:line="15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Additionally, we are extending our infrastructure beyond the planet, bringing cloud computing to space. Azure Orbital is a fully managed ground station as a service for fast downlinking of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Create More Personal Computing</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strive to make computing more personal by putting people at the core of the experience, enabling them to interact with technology in more intuitive, engaging, and dynamic ways. Microsoft 365 is empowering people and organizations to be productive and secure as they adapt to more fluid ways of working, learning, and playing. Windows also plays a critical role in fueling our cloud business with Windows 365, a desktop operating system that’s also a cloud service. From another internet-connected device, including Android or macOS devices, you can run Windows 365, just like a virtual machine.</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With Windows 11, we have simplified the design and experience to empower productivity and inspire creativity. Windows 11 offers innovations focused on enhancing productivity and is designed to support hybrid work. It adds new experiences that include powerful task switching tools like new snap layouts, snap groups, and desktops; new ways to stay connected through Microsoft Teams chat; the information you want at your fingertips; and more. Windows 11 security and privacy features include operating system security, application security, and user and identity security.</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Tools like search, news, and maps have given us immediate access to the world’s information. Today, through our Search, News, Mapping, and Browse services, Microsoft delivers unique trust, privacy, and safety features. Microsoft Edge is our fast and secure browser that helps protect your data, with built-in shopping tools designed to save you time and money. Organizational tools such as Collections, Vertical Tabs, and Immersive Reader help make the most of your time while browsing, streaming, searching, and sharing.</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committed to designing and marketing first-party devices to help drive innovation, create new device categories, and stimulate demand in the Windows ecosystem. The Surface family includes Surface Laptop Studio, Surface Laptop 4, Surface Laptop Go 2, Surface Laptop Pro 8, Surface Pro X, Surface Go 3, Surface Studio 2, and Surface Duo 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 three billion people actively playing games today, and a new generation steeped in interactive entertainment, Microsoft continues to invest in content, community, and cloud services. We have broadened our approach to how we think about gaming end-to-end, from the way games are created and distributed to how they are played, including cloud gaming so players can stream across PC, console, and mobile. We have a strong position with our large and growing highly engaged community of gamers, including the acquisition of ZeniMax Media Inc., the parent company of Bethesda Softworks LLC. In January 2022, we announced plans to acquire Activision Blizzard, Inc., a leader in game development and an interactive entertainment content publisher. Xbox Game Pass is a community with access to a curated library of over 100 first- and third -party console and PC titles. Xbox Cloud Gaming is Microsoft’s game streaming technology that is complementary to our console hardware and gives fans the ultimate choice to play the games they want, with the people they want, on the devices they want.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Opportunity</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case for digital transformation has never been more urgent. Customers are looking to us to help improve productivity and the affordability of their products and services. We continue to develop complete, intelligent solutions for our customers that empower people to stay productive and collaborate, while safeguarding businesses and simplifying IT management. Our goal is to lead the industry in several distinct areas of technology over the long term, which we expect will translate to sustained growth. We are investing significant resources in:</w:t>
      </w:r>
    </w:p>
    <w:p>
      <w:pPr>
        <w:spacing w:after="0" w:line="68" w:lineRule="exact"/>
        <w:rPr>
          <w:sz w:val="20"/>
          <w:szCs w:val="20"/>
          <w:color w:val="auto"/>
        </w:rPr>
      </w:pPr>
    </w:p>
    <w:p>
      <w:pPr>
        <w:ind w:left="1060" w:right="20" w:hanging="392"/>
        <w:spacing w:after="0" w:line="24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Transforming the workplace to deliver new modern, modular business applications, drive deeper insights, and improve how people communicate, collaborate, learn, work, play, and interact with one another.</w:t>
      </w:r>
    </w:p>
    <w:p>
      <w:pPr>
        <w:spacing w:after="0" w:line="48" w:lineRule="exact"/>
        <w:rPr>
          <w:rFonts w:ascii="Arial" w:cs="Arial" w:eastAsia="Arial" w:hAnsi="Arial"/>
          <w:sz w:val="18"/>
          <w:szCs w:val="18"/>
          <w:color w:val="auto"/>
        </w:rPr>
      </w:pPr>
    </w:p>
    <w:p>
      <w:pPr>
        <w:ind w:left="1060" w:right="20" w:hanging="392"/>
        <w:spacing w:after="0" w:line="24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and running cloud-based services in ways that unleash new experiences and opportunities for businesses and individuals.</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Applying AI to drive insights and act on our customer’s behalf by understanding and interpreting their needs using natural methods of communication.</w:t>
      </w:r>
    </w:p>
    <w:p>
      <w:pPr>
        <w:spacing w:after="0" w:line="48" w:lineRule="exact"/>
        <w:rPr>
          <w:rFonts w:ascii="Arial" w:cs="Arial" w:eastAsia="Arial" w:hAnsi="Arial"/>
          <w:sz w:val="18"/>
          <w:szCs w:val="18"/>
          <w:color w:val="auto"/>
        </w:rPr>
      </w:pPr>
    </w:p>
    <w:p>
      <w:pPr>
        <w:ind w:left="1060" w:right="20" w:hanging="392"/>
        <w:spacing w:after="0" w:line="24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Tackling security from all angles with our integrated, end-to-end solutions spanning security, compliance, identity, and management, across all clouds and platforms.</w:t>
      </w:r>
    </w:p>
    <w:p>
      <w:pPr>
        <w:spacing w:after="0" w:line="48" w:lineRule="exact"/>
        <w:rPr>
          <w:rFonts w:ascii="Arial" w:cs="Arial" w:eastAsia="Arial" w:hAnsi="Arial"/>
          <w:sz w:val="18"/>
          <w:szCs w:val="18"/>
          <w:color w:val="auto"/>
        </w:rPr>
      </w:pPr>
    </w:p>
    <w:p>
      <w:pPr>
        <w:ind w:left="1060" w:right="20" w:hanging="392"/>
        <w:spacing w:after="0" w:line="24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Inventing new gaming experiences that bring people together around their shared love for games on any devices and pushing the boundaries of innovation with console and PC gaming by creating the next wave of entertainment.</w:t>
      </w:r>
    </w:p>
    <w:p>
      <w:pPr>
        <w:spacing w:after="0" w:line="48" w:lineRule="exact"/>
        <w:rPr>
          <w:rFonts w:ascii="Arial" w:cs="Arial" w:eastAsia="Arial" w:hAnsi="Arial"/>
          <w:sz w:val="18"/>
          <w:szCs w:val="18"/>
          <w:color w:val="auto"/>
        </w:rPr>
      </w:pPr>
    </w:p>
    <w:p>
      <w:pPr>
        <w:ind w:left="1060" w:right="20" w:hanging="392"/>
        <w:spacing w:after="0" w:line="24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Using Windows to fuel our cloud business, grow our share of the PC market, and drive increased engagement with our services like Microsoft 365 Consumer, Teams, Edge, Bing, Xbox Game Pass, and more.</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future growth depends on our ability to transcend current product category definitions, business models, and sales motions. We have the opportunity to redefine what customers and partners can expect and are working to deliver new solutions that reflect the best of Microsoft.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Sustainability</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work to ensure that technology is inclusive, trusted, and increases sustainability. We are accelerating progress toward a more sustainable future by reducing our environmental footprint, advancing research, helping our customers build sustainable solutions, and advocating for policies that benefit the environment. In January 2020, we announced a bold commitment and detailed plan to be carbon negative by 2030, and to remove from the environment by 2050 all the carbon we have emitted since our founding in 1975. This included a commitment to invest $1 billion over four years in new technologies and innovative climate solutions. We built on this pledge by adding commitments to be water positive by 2030, zero waste by 2030, and to protect ecosystems by developing a Planetary Computer. We also help our suppliers and customers around the world use Microsoft technology to reduce their own carbon footprint.</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Fiscal year 2021 was a year of both successes and challenges. While we continued to make progress on several of our goals, with an overall reduction in our combined Scope 1 and Scope 2 emissions, our Scope 3 emissions increased, due in substantial part to significant global datacenter expansions and growth in Xbox sales and usage as a result of the COVID-19 pandemic. Despite these Scope 3 increases, we will continue to build the foundations and do the work to deliver on our commitments, and help our customers and partners achieve theirs. We have learned the impact of our work will not all be felt immediately, and our experience highlights how progress won’t always be linear.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While fiscal year 2021 presented us with some new learnings, we also made some great progress. A few examples that illuminate the diversity of our work include:</w:t>
      </w:r>
    </w:p>
    <w:p>
      <w:pPr>
        <w:spacing w:after="0" w:line="49" w:lineRule="exact"/>
        <w:rPr>
          <w:sz w:val="20"/>
          <w:szCs w:val="20"/>
          <w:color w:val="auto"/>
        </w:rPr>
      </w:pPr>
    </w:p>
    <w:p>
      <w:pPr>
        <w:ind w:left="1060" w:hanging="39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purchased the removal of 1.4 million metrics tons of carbon.</w:t>
      </w:r>
    </w:p>
    <w:p>
      <w:pPr>
        <w:spacing w:after="0" w:line="102" w:lineRule="exact"/>
        <w:rPr>
          <w:rFonts w:ascii="Arial" w:cs="Arial" w:eastAsia="Arial" w:hAnsi="Arial"/>
          <w:sz w:val="18"/>
          <w:szCs w:val="18"/>
          <w:color w:val="auto"/>
        </w:rPr>
      </w:pPr>
    </w:p>
    <w:p>
      <w:pPr>
        <w:ind w:left="1060" w:hanging="39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 of our datacenters received new or renewed Zero Waste certifications.</w:t>
      </w:r>
    </w:p>
    <w:p>
      <w:pPr>
        <w:spacing w:after="0" w:line="102" w:lineRule="exact"/>
        <w:rPr>
          <w:rFonts w:ascii="Arial" w:cs="Arial" w:eastAsia="Arial" w:hAnsi="Arial"/>
          <w:sz w:val="18"/>
          <w:szCs w:val="18"/>
          <w:color w:val="auto"/>
        </w:rPr>
      </w:pPr>
    </w:p>
    <w:p>
      <w:pPr>
        <w:jc w:val="both"/>
        <w:ind w:left="1060" w:hanging="392"/>
        <w:spacing w:after="0" w:line="23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granted $100 million to Breakthrough Energy Catalyst to accelerate the development of climate solutions the world needs to reach net-zero across four key areas: direct air capture, green hydrogen, long duration energy storage, and sustainable aviation fuel.</w:t>
      </w:r>
    </w:p>
    <w:p>
      <w:pPr>
        <w:spacing w:after="0" w:line="55"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joined the First Movers Coalition as an early leader and expert partner in the carbon dioxide removal sector, with a commitment of $200 million toward carbon removal by 2030.</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Sustainability is an existential priority for our society and businesses today. This led us to create our Microsoft Cloud for Sustainability, an entirely new business process category to help organizations monitor their carbon footprint across their operations. We also joined with leading organizations to launch the Carbon Call – an initiative to mobilize collective action to solve carbon emissions and removal accounting challenges for a net zero future.</w:t>
      </w:r>
    </w:p>
    <w:p>
      <w:pPr>
        <w:spacing w:after="0" w:line="14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investments we make in sustainability carry through to our products, services, and devices. We design our devices, from Surface to Xbox, to minimize their impact on the environment. Our cloud and AI services and datacenters help businesses cut energy consumption, reduce physical footprints, and design sustainable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Addressing Racial Injustice and Inequity</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committed to addressing racial injustice and inequity in the United States for Black and African American communities and helping improve lived experiences at Microsoft, in employees’ communities, and beyond. Our Racial Equity Initiative focuses on three multi-year pillars, each containing actions and progress we expect to make or exceed by 2025.</w:t>
      </w:r>
    </w:p>
    <w:p>
      <w:pPr>
        <w:spacing w:after="0" w:line="69" w:lineRule="exact"/>
        <w:rPr>
          <w:sz w:val="20"/>
          <w:szCs w:val="20"/>
          <w:color w:val="auto"/>
        </w:rPr>
      </w:pPr>
    </w:p>
    <w:p>
      <w:pPr>
        <w:ind w:left="1060" w:hanging="392"/>
        <w:spacing w:after="0" w:line="24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Strengthening our communities: using data, technology, and partnerships to help improve the lives of Black and African American people in the United States, including our employees and their communities.</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Evolving our ecosystem: using our balance sheet and relationships with suppliers and partners to foster societal change and create new opportunities.</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representation and strengthening inclusion: build on our momentum, adding a $150 million investment to strengthen inclusion and double the number of Black, African American, Hispanic, and Latinx leaders in the United States by 2025.</w:t>
      </w:r>
    </w:p>
    <w:p>
      <w:pPr>
        <w:spacing w:after="0" w:line="1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Over the last year, we collaborated with partners and worked within neighborhoods and communities to launch and scale a number of projects and programs, including: working with 70 organizations in 145 communities on the Justice Reform Initiative, expanding access to affordable broadband and devices for Black and African American communities and key institutions that support them in major urban centers, expanding access to skills and education to support Black and African American students and adults to succeed in the digital economy, and increasing technology support for nonprofits that provide critical services to Black and African American communities.</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made meaningful progress on representation and inclusion at Microsoft. We are 90 percent of the way to our 2025 commitment to double the number of Black and African American people managers, senior individual contributors, and senior leaders in the U.S., and 50 percent of the way for Hispanic and Latinx people managers, senior individual contributors, and senior leaders in the U.S.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exceeded our goal on increasing the percentage of transaction volumes with Black- and African American-owned financial institutions and increased our deposits with Black- and African American-owned minority depository institutions, enabling increased funds into local communities. Additionally, we enriched our supplier pipeline, reaching more than 90 percent of our goal to spend $ 500 million with double the number of Black and African American -owned suppliers. We also increased the number of identified partners in the Black Partner Growth Initiative and continue to invest in the partner community through the Black Channel Partner Alliance by supporting events focused on business growth, accelerators, and mentorship.</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Progress does not undo the egregious injustices of the past or diminish those who continue to live with inequity. We are committed to leveraging our resources to help accelerate diversity and inclusion across our ecosystem and to hold ourselves accountable to accelerate change – for Microsoft, and beyond.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Digital Skills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COVID-19 pandemic led to record unemployment, disrupting livelihoods of people around the world. After helping over 30 million people in 249 countries and territories with our global skills initiative, we introduced a new initiative to support a more skills-based labor market, with greater flexibility and accessible learning paths to develop the right skills needed for the most in-demand jobs. Our skills initiative brings together learning resources, certification opportunities, and job-seeker tools from LinkedIn, GitHub, and Microsoft Learn, and is built on data insights drawn from LinkedIn’s Economic Graph. We previously invested $20 million in key non-profit partnerships through Microsoft Philanthropies to help people from underserved communities that are often excluded by the digital economy.</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launched a national campaign with U.S. community colleges to help skill and recruit into the cybersecurity workforce 250,000 people by 2025, representing half of the country’s workforce shortage. To that end, we are making curriculum available free of charge to all of the nation’s public community colleges, providing training for new and existing faculty at 150 community colleges, and providing scholarships and supplemental resources to 25,000 students.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HUMAN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Microsoft aims to recruit, develop, and retain world-changing talent from a diversity of backgrounds. To foster their and our success, we seek to create an environment where people can thrive, where they can do their best work, where they can proudly be their authentic selves, guided by our values, and where they know their needs can be met. We strive to maximize the potential of our human capital resources by creating a respectful, rewarding, and inclusive work environment that enables our global employees to create products and services that further our mission to empower every person and every organization on the planet to achieve more.</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2022, we employed approximately 221,000 people on a full-time basis, 122,000 in the U.S. and 99,000 internationally. Of the total employed people, 85,000 were in operations, including manufacturing, distribution, product support, and consulting services; 73,000 were in product research and development; 47,000 were in sales and marketing; and 16,000 were in general and administration. Certain employees are subject to collective bargaining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Microsoft’s culture is grounded in the growth mindset. This means everyone is on a continuous journey to learn and grow. We believe potential can be nurtured and is not pre-determined, and we should always be learning and curious – trying new things without fear of failure. We identified four attributes that allow growth mindset to flourish:</w:t>
      </w:r>
    </w:p>
    <w:p>
      <w:pPr>
        <w:spacing w:after="0" w:line="55" w:lineRule="exact"/>
        <w:rPr>
          <w:sz w:val="20"/>
          <w:szCs w:val="20"/>
          <w:color w:val="auto"/>
        </w:rPr>
      </w:pPr>
    </w:p>
    <w:p>
      <w:pPr>
        <w:ind w:left="1060" w:hanging="39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Obsessing over what matters to our customers.</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Becoming more diverse and inclusive in everything we do.</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as one company, One Microsoft, instead of multiple siloed businesses.</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a difference in the lives of each other, our customers, and the world around us.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employee listening systems enable us to gather feedback directly from our workforce to inform our programs and employee needs globally. Seventy percent of employees globally participated in our fiscal year 2022 Employee Signals survey, which covers a variety of topics such as thriving, inclusion, team culture, wellbeing, and learning and development. Throughout the fiscal year, we collect over 75,000 Daily Pulse employee survey responses. During fiscal year 2022, our Daily Pulse surveys gave us invaluable insights into ways we could support employees through the COVID-19 pandemic, addressing racial injustice, the war in Ukraine, and their general wellbeing. In addition to Employee Signals and Daily Pulse surveys, we gain insights through onboarding, internal mobility, leadership, performance and development, exit surveys, internal Yammer channels, employee Q&amp;A sessions, and AskHR Service support.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Microsoft we have an inherently inclusive mission: to empower every person and every organization on the planet to achieve more. We think of diversity and inclusion as core to our business model, informing our actions to impact economies and people around the world. There are billions of people who want to achieve more, but have a different set of circumstances, abilities, and backgrounds that often limit access to opportunity and achievement. The better we represent that diversity inside Microsoft, the more effectively we can innovate for those we seek to empower.</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strive to include others by holding ourselves accountable for diversity, driving global systemic change in our workplace and workforce, and creating an inclusive work environment. Through this commitment we can allow everyone the chance to be their authentic selves and do their best work every day. We support multiple highly active Employee Resource Groups for women, families, racial and ethnic minorities, military, people with disabilities, and employees who identify as LGBTQIA+, where employees can go for support, networking, and community-building. As described in our 2021 Proxy Statement, annual performance and compensation reviews of our senior leadership team include an evaluation of their contributions to employee culture and diversity. To ensure accountability over time, we publicly disclose our progress on a multitude of workforce metrics including:</w:t>
      </w:r>
    </w:p>
    <w:p>
      <w:pPr>
        <w:spacing w:after="0" w:line="70" w:lineRule="exact"/>
        <w:rPr>
          <w:sz w:val="20"/>
          <w:szCs w:val="20"/>
          <w:color w:val="auto"/>
        </w:rPr>
      </w:pPr>
    </w:p>
    <w:p>
      <w:pPr>
        <w:ind w:left="1060" w:right="20" w:hanging="392"/>
        <w:spacing w:after="0" w:line="245"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Detailed breakdowns of gender, racial, and ethnic minority representation in our employee population, with data by job types, levels, and segments of our business.</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EEO-1 report (equal employment opportunity).</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Disability representation.</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equity (see details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develop dynamic, sustainable, market-driven, and strategic programs with the goal of providing a highly differentiated portfolio to attract, reward, and retain top talent and enable our employees to thrive. These programs reinforce our culture and values such as collaboration and growth mindset. Managers evaluate and recommend rewards based on, for example, how well we leverage the work of others and contribute to the success of our colleagues. We monitor pay equity and career progress across multiple dimensions.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part of our effort to promote a One Microsoft and inclusive culture, in fiscal year 2021 we expanded stock eligibility to all Microsoft employees as part of our annual rewards process. This includes all non-exempt and exempt employees and equivalents across the globe including business support professionals and datacenter and retail employees. In response to the Great Reshuffle, in fiscal year 2022 we announced a sizable investment in annual merit and annual stock award opportunity for all employees below senior executive levels. We also invested in base salary adjustments for our datacenter and retail hourly employees and hourly equivalents outside the U.S. These investments have supported retention and help to ensure that Microsoft remains an employer of choice.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Equity</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our 2021 Diversity and Inclusion Report, we reported that all racial and ethnic minority employees in the U.S. combined earn $1.006 for every $1.000 earned by their white counterparts, that women in the U.S. earn $1.002 for every $1.000 earned by their counterparts in the U.S. who are men, and women in the U.S. plus our twelve other largest employee geographies representing 86.6% of our global population (Australia, Canada, China, France, Germany, India, Ireland, Israel, Japan, Romania, Singapore, and the United Kingdom) combined earn $1.001 for every $1.000 by men in these countries. Our intended result is a global performance and development approach that fosters our culture, and competitive compensation that ensures equitable pay by role while supporting pay for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Wellness and Safety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Microsoft is committed to supporting our employees’ well-being and safety while they are at work and in their personal lives.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took a wide variety of measures to protect the health and well-being of our employees, suppliers, and customers during the COVID-19 pandemic and are now supporting employees in shifting to return to office and/or hybrid arrangements. We developed hybrid guidelines for managers and employees to support the transition and continue to identify ways we can support hybrid work scenarios through our employee listening systems.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invested significantly in holistic wellbeing, and offer a differentiated benefits package which includes many physical, emotional, and financial wellness programs including counseling through the Microsoft CARES Employee Assistance Program, mental wellbeing support, flexible fitness benefits, savings and investment tools, adoption assistance, and back-up care for children and elders. Finally, our Occupational Health and Safety program helps ensure employees can stay safe while they are working.</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continue to strive to support our Ukrainian employees and their dependents during the Ukraine crisis with emergency relocation assistance, emergency leave, and other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Learning and Development</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growth mindset culture begins with valuing learning over knowing – seeking out new ideas, driving innovation, embracing challenges, learning from failure, and improving over time. To support this culture, we offer a wide range of learning and development opportunities. We believe learning can be more than formal instruction, and our learning philosophy focuses on providing the right learning, at the right time, in the right way. Opportunities include:</w:t>
      </w:r>
    </w:p>
    <w:p>
      <w:pPr>
        <w:spacing w:after="0" w:line="68" w:lineRule="exact"/>
        <w:rPr>
          <w:sz w:val="20"/>
          <w:szCs w:val="20"/>
          <w:color w:val="auto"/>
        </w:rPr>
      </w:pPr>
    </w:p>
    <w:p>
      <w:pPr>
        <w:ind w:left="1060" w:hanging="392"/>
        <w:spacing w:after="0" w:line="24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Personalized, integrated, and relevant views of all learning opportunities on both our internal learning portal Learning (Viva Learning + LinkedIn Learning) and our external learning portal MS Learn are available to all employees worldwide.</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In-the-classroom learning, learning cohorts, our early-in-career Aspire program, and manager excellence communities.</w:t>
      </w:r>
    </w:p>
    <w:p>
      <w:pPr>
        <w:spacing w:after="0" w:line="62" w:lineRule="exact"/>
        <w:rPr>
          <w:rFonts w:ascii="Arial" w:cs="Arial" w:eastAsia="Arial" w:hAnsi="Arial"/>
          <w:sz w:val="18"/>
          <w:szCs w:val="18"/>
          <w:color w:val="auto"/>
        </w:rPr>
      </w:pPr>
    </w:p>
    <w:p>
      <w:pPr>
        <w:ind w:left="1060" w:right="20" w:hanging="392"/>
        <w:spacing w:after="0" w:line="24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learning for all employees and managers on topics such as compliance, regulation, company culture, leadership, and management. This includes the annual Standards of Business Conduct training.</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On-the-job “stretch” and advancement opportunities.</w:t>
      </w:r>
    </w:p>
    <w:p>
      <w:pPr>
        <w:spacing w:after="0" w:line="62"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Managers holding conversations about employees’ career and development plans, coaching on career opportunities, and programs like mentoring and sponsorship.</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Customized manager learning to build people manager capabilities and similar learning solutions to build leadership skills for all employees including differentiated leadership development programs.</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employee orientation covering a range of topics including company values, and culture, as well as ongoing onboarding programs.</w:t>
      </w:r>
    </w:p>
    <w:p>
      <w:pPr>
        <w:spacing w:after="0" w:line="48" w:lineRule="exact"/>
        <w:rPr>
          <w:rFonts w:ascii="Arial" w:cs="Arial" w:eastAsia="Arial" w:hAnsi="Arial"/>
          <w:sz w:val="18"/>
          <w:szCs w:val="18"/>
          <w:color w:val="auto"/>
        </w:rPr>
      </w:pPr>
    </w:p>
    <w:p>
      <w:pPr>
        <w:jc w:val="both"/>
        <w:ind w:left="1060" w:hanging="392"/>
        <w:spacing w:after="0" w:line="23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tools to assist managers and employees in learning how to operate, be productive, and connect in the new flexible hybrid world of work. These include quick guides for teams to use, such as Creating Team Agreements, Reconnecting as a Team, and Running Effective Hybrid Meetings.</w:t>
      </w:r>
    </w:p>
    <w:p>
      <w:pPr>
        <w:spacing w:after="0" w:line="1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employees embrace the growth mindset and take advantage of the formal learning opportunities as well as thousands of informal and on-the-job learning opportunities. In terms of formal on-line learning solutions, in fiscal year 2022 our employees completed over 4.7 million courses, averaging over 14 hours per employee. Given our focus on understanding core company beliefs and compliance topics, all employees complete required learning programs like Standards of Business Conduct, Privacy, Unconscious Bias, and preventing harassment courses. Our corporate learning portal has over 100,000 average monthly active users. We have over 27,000 people managers, all of whom must complete between 20-33 hours of required manager capability and excellence training and are assigned ongoing required training each year. In addition, all employees complete skills training based on the profession they are in each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Ways of Working</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COVID-19 pandemic accelerated our capabilities and culture with respect to flexible work. We introduced a Hybrid Workplace Flexibility Guide to better support managers and employees as they adapt to new ways of working that shift paradigms, embrace flexibility, promote inclusion, and drive innovation. Our ongoing survey data shows employees value the flexibility related to work location, work site, and work hours, and while many have begun returning to worksites as conditions have permitted, they also continue to adjust hours and/or spend some of workweeks working at home, another site, or remotely. We are focused on building capabilities to support a variety of workstyles where individuals, teams, and our business can deliver success.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SEGMENTS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operate our business and report our financial performance using three segments: Productivity and Business Processes, Intelligent Cloud, and More Personal Computing. Our segments provide management with a comprehensive financial view of our key businesses. The segments enable the alignment of strategies and objectives across the development, sales, marketing, and services organizations, and they provide a framework for timely and rational allocation of resources within businesses.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Additional information on our operating segments and geographic and product information is contained in Note 19 – Segment Information and Geographic Data of the Notes to Financial Statements (Part II, Item 8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7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9" w:lineRule="exact"/>
        <w:rPr>
          <w:sz w:val="20"/>
          <w:szCs w:val="20"/>
          <w:color w:val="auto"/>
        </w:rPr>
      </w:pPr>
    </w:p>
    <w:p>
      <w:pPr>
        <w:jc w:val="both"/>
        <w:ind w:left="1060" w:hanging="392"/>
        <w:spacing w:after="0" w:line="23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and Microsoft Viva.</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Office licensed on-premises, and other Office services.</w:t>
      </w:r>
    </w:p>
    <w:p>
      <w:pPr>
        <w:spacing w:after="0" w:line="89" w:lineRule="exact"/>
        <w:rPr>
          <w:rFonts w:ascii="Arial" w:cs="Arial" w:eastAsia="Arial" w:hAnsi="Arial"/>
          <w:sz w:val="18"/>
          <w:szCs w:val="18"/>
          <w:color w:val="auto"/>
        </w:rPr>
      </w:pPr>
    </w:p>
    <w:p>
      <w:pPr>
        <w:ind w:left="1060" w:hanging="392"/>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75"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Customer Insights, Power Apps, and Power Automate; and on-premises ERP and CRM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Commercial</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Office Commercial is designed to increase personal, team, and organizational productivity through a range of products and services. Growth depends on our ability to reach new users in new markets such as frontline workers, small and medium businesses, and growth markets, as well as add value to our core product and service offerings to span productivity categories such as communication, collaboration, analytics, security, and compliance. Office Commercial revenue is mainly affected by a combination of continued installed base growth and average revenue per user expansion, as well as the continued shift from Office licensed on-premises to Office 365.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Consumer</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Office Consumer is designed to increase personal productivity through a range of products and services. Growth depends on our ability to reach new users, add value to our core product set, and continue to expand our product and service offerings into new markets. Office Consumer revenue is mainly affected by the percentage of customers that buy Office with their new devices and the continued shift from Office licensed on-premises to Microsoft 365 Consumer subscriptions. Office Consumer Services revenue is mainly affected by the demand for communication and storage through Skype, Outlook.com, and OneDrive, which is largely driven by subscriptions, advertising, and the sale of minutes.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LinkedIn</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LinkedIn connects the world’s professionals to make them more productive and successful and transforms the way companies hire, market, sell, and learn. Our vision is to create economic opportunity for every member of the global workforce through the ongoing development of the world’s first Economic Graph, a digital representation of the global economy. In addition to LinkedIn’s free services, LinkedIn offers monetized solutions: Talent Solutions, Marketing Solutions, Premium Subscriptions, and Sales Solutions. Talent Solutions provide insights for workforce planning and tools to hire, nurture, and develop talent. Talent Solutions also includes Learning Solutions, which help businesses close critical skills gaps in times where companies are having to do more with existing talent. Marketing Solutions help companies reach, engage, and convert their audiences at scale. Premium Subscriptions enables professionals to manage their professional identity, grow their network, and connect with talent through additional services like premium search. Sales Solutions help companies strengthen customer relationships, empower teams with digital selling tools, and acquire new opportunities. LinkedIn has over 850 million members and has offices around the globe. Growth will depend on our ability to increase the number of LinkedIn members and our ability to continue offering services that provide value for our members and increase their engagement. LinkedIn revenue is mainly affected by demand from enterprises and professional organizations for subscriptions to Talent Solutions, Sales Solutions, and Premium Subscriptions offerings, as well as member engagement and the quality of the sponsored content delivered to those members to drive Marketing 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Dynamics provides cloud-based and on-premises business solutions for financial management, enterprise resource planning (“ERP”), customer relationship management (“CRM”), supply chain management, and other application development platforms for small and medium businesses, large organizations, and divisions of global enterprises. Dynamics revenue is driven by the number of users licensed and applications consumed, expansion of average revenue per user, and the continued shift to Dynamics 365, a unified set of cloud-based intelligent business applications, including Power Apps and Power Automate.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Competitors to Office include software and global application vendors, such as Apple, Cisco Systems, Meta, Google, IBM, Okta, Proofpoint, Slack, Symantec, Zoom, and numerous web-based and mobile application competitors as well as local application developers. Apple distributes versions of its pre -installed application software, such as email and calendar products, through its PCs, tablets, and phones. Cisco Systems is using its position in enterprise communications equipment to grow its unified communications business. Google provides a hosted messaging and productivity suite. Slack provides teamwork and collaboration software. Zoom offers videoconferencing and cloud phone solutions. Okta, Proofpoint, and Symantec provide security solutions across email security, information protection, identity, and governance. Web-based offerings competing with individual applications have also positioned themselves as alternatives to our products and services. We compete by providing powerful, flexible, secure, integrated industry-specific, and easy-to-use productivity and collaboration tools and services that create comprehensive solutions and work well with technologies our customers already have both on-premises or in the cloud.</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LinkedIn faces competition from online professional networks, recruiting companies, talent management companies, and larger companies that are focusing on talent management and human resource services; job boards; traditional recruiting firms; and companies that provide learning and development products and services. Marketing Solutions competes with online and offline outlets that generate revenue from advertisers and marketers, and Sales Solutions competes with online and offline outlets for companies with lead generation and customer intelligence and insights.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Dynamics competes with cloud-based and on-premises business solution providers such as Oracle, Salesforce, and SAP.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62" w:lineRule="exact"/>
        <w:rPr>
          <w:sz w:val="20"/>
          <w:szCs w:val="20"/>
          <w:color w:val="auto"/>
        </w:rPr>
      </w:pPr>
    </w:p>
    <w:p>
      <w:pPr>
        <w:ind w:left="1060" w:hanging="392"/>
        <w:spacing w:after="0" w:line="245"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and other cloud services; SQL Server, Windows Server, Visual Studio, System Center, and related Client Access Licenses (“CALs”); and Nuance and GitHub.</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Enterprise Services, including Enterprise Support Services, Microsoft Consulting Services, and Nuance professional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Server Products and Cloud Services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Azure is a comprehensive set of cloud services that offer developers, IT professionals, and enterprises freedom to build, deploy, and manage applications on any platform or device. Customers can use Azure through our global network of datacenters for computing, networking, storage, mobile and web application services, AI, IoT, cognitive services, and machine learning. Azure enables customers to devote more resources to development and use of applications that benefit their organizations, rather than managing on-premises hardware and software. Azure revenue is mainly affected by infrastructure-as-a-service and platform-as-a-service consumption-based services, and per user-based services such as Enterprise Mobility + Security.</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server products are designed to make IT professionals, developers, and their systems more productive and efficient. Server software is integrated server infrastructure and middleware designed to support software applications built on the Windows Server operating system. This includes the server platform, database, business intelligence, storage, management and operations, virtualization, service-oriented architecture platform, security, and identity software. We also license standalone and software development lifecycle tools for software architects, developers, testers, and project managers. GitHub provides a collaboration platform and code hosting service for developers. Server products revenue is mainly affected by purchases through volume licensing programs, licenses sold to original equipment manufacturers (“OEM”), and retail packaged products. CALs provide access rights to certain server products, including SQL Server and Windows Server, and revenue is reported along with the associated server product.</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Nuance and GitHub include both cloud and on-premises offerings. Nuance provides healthcare and enterprise AI solutions. GitHub provides a collaboration platform and code hosting service for developers.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Services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Enterprise Services, including Enterprise Support Services, Microsoft Consulting Services, and Nuance Professional Services, assist customers in developing, deploying, and managing Microsoft server solutions, Microsoft desktop solutions, and Nuance conversational AI and ambient intelligent solutions, along with providing training and certification to developers and IT professionals on various Microsoft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Azure faces diverse competition from companies such as Amazon, Google, IBM, Oracle, VMware, and open source offerings. Our Enterprise Mobility + Security offerings also compete with products from a range of competitors including identity vendors, security solution vendors, and numerous other security point solution vendors. Azure’s competitive advantage includes enabling a hybrid cloud, allowing deployment of existing datacenters with our public cloud into a single, cohesive infrastructure, and the ability to run at a scale that meets the needs of businesses of all sizes and complexities. We believe our cloud’s global scale, coupled with our broad portfolio of identity and security solutions, allows us to effectively solve complex cybersecurity challenges for our customers and differentiates us from the competition.</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server products face competition from a wide variety of server operating systems and applications offered by companies with a range of market approaches. Vertically integrated computer manufacturers such as Hewlett-Packard, IBM, and Oracle offer their own versions of the Unix operating system preinstalled on server hardware. Nearly all computer manufacturers offer server hardware for the Linux operating system and many contribute to Linux operating system development. The competitive position of Linux has also benefited from the large number of compatible applications now produced by many commercial and non-commercial software developers. A number of companies, such as Red Hat, supply versions of Linux.</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compete to provide enterprise-wide computing solutions and point solutions with numerous commercial software vendors that offer solutions and middleware technology platforms, software applications for connectivity (both Internet and intranet), security, hosting, database, and e-business servers. IBM and Oracle lead a group of companies focused on the Java Platform Enterprise Edition that competes with our enterprise-wide computing solutions. Commercial competitors for our server applications for PC-based distributed client-server environments include CA Technologies, IBM, and Oracle. Our web application platform software competes with open source software such as Apache, Linux, MySQL, and PHP. In middleware, we compete against Java vendors.</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database, business intelligence, and data warehousing solutions offerings compete with products from IBM, Oracle, SAP, Snowflake, and other companies. Our system management solutions compete with server management and server virtualization platform providers, such as BMC, CA Technologies, Hewlett-Packard, IBM, and VMware. Our products for software developers compete against offerings from Adobe, IBM, Oracle, and other companies, and also against open-source projects, including Eclipse (sponsored by CA Technologies, IBM, Oracle, and SAP), PHP, and Ruby on Rails.</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believe our server products provide customers with advantages in performance, total costs of ownership, and productivity by delivering superior applications, development tools, compatibility with a broad base of hardware and software applications, security, and manageability.</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Enterprise Services business competes with a wide range of companies that provide strategy and business planning, application development, and infrastructure services, including multinational consulting firms and small niche businesses focused on specific technologies.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7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62" w:lineRule="exact"/>
        <w:rPr>
          <w:sz w:val="20"/>
          <w:szCs w:val="20"/>
          <w:color w:val="auto"/>
        </w:rPr>
      </w:pPr>
    </w:p>
    <w:p>
      <w:pPr>
        <w:jc w:val="both"/>
        <w:ind w:left="1060" w:hanging="392"/>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Windows, including Windows OEM licensing (“Windows OEM”)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62" w:lineRule="exact"/>
        <w:rPr>
          <w:rFonts w:ascii="Arial" w:cs="Arial" w:eastAsia="Arial" w:hAnsi="Arial"/>
          <w:sz w:val="18"/>
          <w:szCs w:val="18"/>
          <w:color w:val="auto"/>
        </w:rPr>
      </w:pPr>
    </w:p>
    <w:p>
      <w:pPr>
        <w:jc w:val="both"/>
        <w:ind w:left="1060" w:hanging="392"/>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first- and third-party content (including games and in-game content), Xbox Game Pass and other subscriptions, Xbox Cloud Gaming, third-party disc royalties, advertising, and other cloud services.</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Search and news advertising.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Windows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Windows operating system is designed to deliver a more personal computing experience for users by enabling consistency of experience, applications, and information across their devices. Windows OEM revenue is impacted significantly by the number of Windows operating system licenses purchased by OEMs, which they pre-install on the devices they sell. In addition to computing device market volume, Windows OEM revenue is impacted by:</w:t>
      </w:r>
    </w:p>
    <w:p>
      <w:pPr>
        <w:spacing w:after="0" w:line="54" w:lineRule="exact"/>
        <w:rPr>
          <w:sz w:val="20"/>
          <w:szCs w:val="20"/>
          <w:color w:val="auto"/>
        </w:rPr>
      </w:pPr>
    </w:p>
    <w:p>
      <w:pPr>
        <w:ind w:left="1060" w:hanging="39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mix of computing devices based on form factor and screen size.</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Differences in device market demand between developed markets and growth markets.</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Attachment of Windows to devices shipped.</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mix between consumer, small and medium businesses, and large enterprises.</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inventory levels in the OEM channel.</w:t>
      </w:r>
    </w:p>
    <w:p>
      <w:pPr>
        <w:spacing w:after="0" w:line="62"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changes and promotions, pricing variation that occurs when the mix of devices manufactured shifts from local and regional system builders to large multinational OEMs, and different pricing of Windows versions licensed.</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Constraints in the supply chain of device components.</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Piracy.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Windows Commercial revenue, which includes volume licensing of the Windows operating system and Windows cloud services such as Microsoft Defender for Endpoint, is affected mainly by the demand from commercial customers for volume licensing and Software Assurance (“SA”), as well as advanced security offerings. Windows Commercial revenue often reflects the number of information workers in a licensed enterprise and is relatively independent of the number of PCs sold in a given year.</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Patent licensing includes our programs to license patents we own for use across a broad array of technology areas, including mobile devices and cloud offerings.</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Windows IoT extends the power of Windows and the cloud to intelligent systems by delivering specialized operating systems, tools, and services for use in embedded devices.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design and sell devices, including Surface and PC accessories. Our devices are designed to enable people and organizations to connect to the people and content that matter most using Windows and integrated Microsoft products and services. Surface is designed to help organizations, students, and consumers be more productive. Growth in Devices is dependent on total PC shipments, the ability to attract new customers, our product roadmap, and expanding into new categories.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gaming platform is designed to provide a variety of entertainment through a unique combination of content, community, and cloud. Our exclusive game content is created through Xbox Game Studios, a collection of first-party studios creating iconic and differentiated gaming experiences. We continue to invest in new gaming studios and content to expand our IP roadmap and leverage new content creators. These unique gaming experiences are the cornerstone of Xbox Game Pass, a subscription service and gaming community with access to a curated library of over 100 first- and third-party console and PC titles.</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gamer remains at the heart of the Xbox ecosystem. We continue to open new opportunities for gamers to engage both on- and off-console with both the launch of Xbox Cloud Gaming, our game streaming service, and continued investment in gaming hardware. Xbox Cloud Gaming utilizes Microsoft’s Azure cloud technology to allow direct and on-demand streaming of games to PCs, consoles, and mobile devices, enabling gamers to take their favorite games with them and play on the device most convenient to them.</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Xbox enables people to connect and share online gaming experiences that are accessible on Xbox consoles, Windows-enabled devices, and other devices. Xbox is designed to benefit users by providing access to a network of certified applications and services and to benefit our developer and partner ecosystems by providing access to a large customer base. Xbox revenue is mainly affected by subscriptions and sales of first- and third-party content, as well as advertising. Growth of our Gaming business is determined by the overall active user base through Xbox enabled content, availability of games, providing exclusive game content that gamers seek, the computational power and reliability of the devices used to access our content and services, and the ability to create new experiences through first-party content creators.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and News Advertising</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Search and news advertising business is designed to deliver relevant search, native, and display advertising to a global audience. We have several partnerships with other companies, including Yahoo, through which we provide and monetize search queries. Growth depends on our ability to attract new users, understand intent, and match intent with relevant content and advertiser offerings.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On June 6, 2022, we acquired Xandr, Inc., a technology platform with tools to accelerate the delivery of our digital advertising solutions.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Windows faces competition from various software products and from alternative platforms and devices, mainly from Apple and Google. We believe Windows competes effectively by giving customers choice, value, flexibility, security, an easy-to-use interface, and compatibility with a broad range of hardware and software applications, including those that enable productivity.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Devices face competition from various computer, tablet, and hardware manufacturers who offer a unique combination of high-quality industrial design and innovative technologies across various price points. These manufacturers, many of which are also current or potential partners and customers, include Apple and our Windows OEMs.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Xbox and our cloud gaming services face competition from various online gaming ecosystems and game streaming services, including those operated by Amazon, Apple, Meta, Google, and Tencent. We also compete with other providers of entertainment services such as video streaming platforms. Our gaming platform competes with console platforms from Nintendo and Sony, both of which have a large, established base of customers. We believe our gaming platform is effectively positioned against, and uniquely differentiated from, competitive products and services based on significant innovation in hardware architecture, user interface, developer tools, online gaming and entertainment services, and continued strong exclusive content from our own first-party game franchises as well as other digital content offerings.</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Search and news advertising business competes with Google and a wide array of websites, social platforms like Meta, and portals that provide content and online offerings to end users.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operations centers that support operations in their regions, including customer contract and order processing, credit and collections, information processing, and vendor management and logistics. The regional center in Ireland supports the European, Middle Eastern, and African region; the center in Singapore supports the Japan, India, Greater China, and Asia-Pacific region; and the centers in Fargo, North Dakota, Fort Lauderdale, Florida, Puerto Rico, Redmond, Washington, and Reno, Nevada support Latin America and North America. In addition to the operations centers, we also operate datacenters throughout the Americas, Europe, Australia, and Asia, as well as in the Middle East and Africa.</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serve the needs of customers around the world and to improve the quality and usability of products in international markets, we localize many of our products to reflect local languages and conventions. Localizing a product may require modifying the user interface, altering dialog boxes, and translating text.</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and/or manufacturers could lead to a similar disruption in our ability to manufacture devices on time to meet consumer demand.</w:t>
      </w:r>
    </w:p>
    <w:p>
      <w:pPr>
        <w:spacing w:after="0" w:line="231"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RESEARCH AND DEVELOPMENT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Development, and Intellectual Property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develop most of our products and services internally through the following engineering groups.</w:t>
      </w:r>
    </w:p>
    <w:p>
      <w:pPr>
        <w:spacing w:after="0" w:line="44" w:lineRule="exact"/>
        <w:rPr>
          <w:sz w:val="20"/>
          <w:szCs w:val="20"/>
          <w:color w:val="auto"/>
        </w:rPr>
      </w:pPr>
    </w:p>
    <w:p>
      <w:pPr>
        <w:jc w:val="both"/>
        <w:ind w:left="1060" w:hanging="392"/>
        <w:spacing w:after="0" w:line="250"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Cloud and AI</w:t>
      </w:r>
      <w:r>
        <w:rPr>
          <w:rFonts w:ascii="Arial" w:cs="Arial" w:eastAsia="Arial" w:hAnsi="Arial"/>
          <w:sz w:val="18"/>
          <w:szCs w:val="18"/>
          <w:color w:val="auto"/>
        </w:rPr>
        <w:t>, focuses on making IT professionals, developers, and their systems more productive and efficient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cloud infrastructure, server, database, CRM, ERP, software development tools and services (including GitHub), AI cognitive services, and other business process applications and services for enterprises.</w:t>
      </w:r>
    </w:p>
    <w:p>
      <w:pPr>
        <w:spacing w:after="0" w:line="26" w:lineRule="exact"/>
        <w:rPr>
          <w:rFonts w:ascii="Arial" w:cs="Arial" w:eastAsia="Arial" w:hAnsi="Arial"/>
          <w:sz w:val="18"/>
          <w:szCs w:val="18"/>
          <w:color w:val="auto"/>
        </w:rPr>
      </w:pPr>
    </w:p>
    <w:p>
      <w:pPr>
        <w:ind w:left="1060" w:right="20" w:hanging="392"/>
        <w:spacing w:after="0" w:line="26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Experiences and Devices</w:t>
      </w:r>
      <w:r>
        <w:rPr>
          <w:rFonts w:ascii="Arial" w:cs="Arial" w:eastAsia="Arial" w:hAnsi="Arial"/>
          <w:sz w:val="18"/>
          <w:szCs w:val="18"/>
          <w:color w:val="auto"/>
        </w:rPr>
        <w:t>, focuses on instilling a unifying product ethos across our end-user experiences and devices,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 Windows, Teams, consumer web experiences (including search and news advertising), and the Surface line of devices.</w:t>
      </w:r>
    </w:p>
    <w:p>
      <w:pPr>
        <w:spacing w:after="0" w:line="26" w:lineRule="exact"/>
        <w:rPr>
          <w:rFonts w:ascii="Arial" w:cs="Arial" w:eastAsia="Arial" w:hAnsi="Arial"/>
          <w:sz w:val="18"/>
          <w:szCs w:val="18"/>
          <w:color w:val="auto"/>
        </w:rPr>
      </w:pPr>
    </w:p>
    <w:p>
      <w:pPr>
        <w:ind w:left="1060" w:hanging="392"/>
        <w:spacing w:after="0" w:line="26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Security, Compliance, Identity, and Management</w:t>
      </w:r>
      <w:r>
        <w:rPr>
          <w:rFonts w:ascii="Arial" w:cs="Arial" w:eastAsia="Arial" w:hAnsi="Arial"/>
          <w:sz w:val="18"/>
          <w:szCs w:val="18"/>
          <w:color w:val="auto"/>
        </w:rPr>
        <w:t>, focuses on cloud platform and application security, identity and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access, enterprise mobility, information protection, and managed services.</w:t>
      </w:r>
    </w:p>
    <w:p>
      <w:pPr>
        <w:spacing w:after="0" w:line="12" w:lineRule="exact"/>
        <w:rPr>
          <w:rFonts w:ascii="Arial" w:cs="Arial" w:eastAsia="Arial" w:hAnsi="Arial"/>
          <w:sz w:val="18"/>
          <w:szCs w:val="18"/>
          <w:color w:val="auto"/>
        </w:rPr>
      </w:pPr>
    </w:p>
    <w:p>
      <w:pPr>
        <w:ind w:left="1060" w:hanging="392"/>
        <w:spacing w:after="0" w:line="26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Technology and Research</w:t>
      </w:r>
      <w:r>
        <w:rPr>
          <w:rFonts w:ascii="Arial" w:cs="Arial" w:eastAsia="Arial" w:hAnsi="Arial"/>
          <w:sz w:val="18"/>
          <w:szCs w:val="18"/>
          <w:color w:val="auto"/>
        </w:rPr>
        <w:t>, focuses on our AI innovations and other forward-looking research and development efforts spanning</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services, and applications.</w:t>
      </w:r>
    </w:p>
    <w:p>
      <w:pPr>
        <w:spacing w:after="0" w:line="12" w:lineRule="exact"/>
        <w:rPr>
          <w:rFonts w:ascii="Arial" w:cs="Arial" w:eastAsia="Arial" w:hAnsi="Arial"/>
          <w:sz w:val="18"/>
          <w:szCs w:val="18"/>
          <w:color w:val="auto"/>
        </w:rPr>
      </w:pPr>
    </w:p>
    <w:p>
      <w:pPr>
        <w:ind w:left="1060" w:hanging="39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LinkedIn</w:t>
      </w:r>
      <w:r>
        <w:rPr>
          <w:rFonts w:ascii="Arial" w:cs="Arial" w:eastAsia="Arial" w:hAnsi="Arial"/>
          <w:sz w:val="18"/>
          <w:szCs w:val="18"/>
          <w:color w:val="auto"/>
        </w:rPr>
        <w:t>, focuses on our services that transform the way customers hire, market, sell, and learn.</w:t>
      </w:r>
    </w:p>
    <w:p>
      <w:pPr>
        <w:spacing w:after="0" w:line="102" w:lineRule="exact"/>
        <w:rPr>
          <w:rFonts w:ascii="Arial" w:cs="Arial" w:eastAsia="Arial" w:hAnsi="Arial"/>
          <w:sz w:val="18"/>
          <w:szCs w:val="18"/>
          <w:color w:val="auto"/>
        </w:rPr>
      </w:pPr>
    </w:p>
    <w:p>
      <w:pPr>
        <w:ind w:left="1060" w:hanging="392"/>
        <w:spacing w:after="0" w:line="26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Gaming</w:t>
      </w:r>
      <w:r>
        <w:rPr>
          <w:rFonts w:ascii="Arial" w:cs="Arial" w:eastAsia="Arial" w:hAnsi="Arial"/>
          <w:sz w:val="18"/>
          <w:szCs w:val="18"/>
          <w:color w:val="auto"/>
        </w:rPr>
        <w:t>, focuses on developing hardware, content, and services across a large range of platforms to help grow our user base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game experiences and social interaction.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Internal development allows us to maintain competitive advantages that come from product differentiation and closer technical control over our products and services. It also gives us the freedom to decide which modifications and enhancements are most important and when they should be implemented. We strive to obtain information as early as possible about changing usage patterns and hardware advances that may affect software and hardware design. Before releasing new software platforms, and as we make significant modifications to existing platforms, we provide application vendors with a range of resources and guidelines for development, training, and testing. Generally, we also create product documentation internally.</w:t>
      </w:r>
    </w:p>
    <w:p>
      <w:pPr>
        <w:spacing w:after="0" w:line="1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protect our intellectual property investments in a variety of ways. We work actively in the U.S. and internationally to ensure the enforcement of copyright, trademark, trade secret, and other protections that apply to our software and hardware products, services, business plans, and branding. We are a leader among technology companies in pursuing patents and currently have a portfolio of over 69,000 U.S. and international patents issued and over 19,000 pending worldwide. While we employ much of our internally-developed intellectual property exclusively in our products and services, we also engage in outbound licensing of specific patented technologies that are incorporated into licensees’ products. From time to time, we enter into broader cross-license agreements with other technology companies covering entire groups of patents. We may also purchase or license technology that we incorporate into our products and services. At times, we make select intellectual property broadly available at no or low cost to achieve a strategic objective, such as promoting industry standards, advancing interoperability, supporting societal and/or environmental efforts, or attracting and enabling our external development community. Our increasing engagement with open source software will also cause us to license our intellectual property rights broadly in certain situations.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it may be necessary in the future to seek or renew licenses relating to various aspects of our products, services, and business methods, we believe, based upon past experience and industry practice, such licenses generally can be obtained on commercially reasonable terms. We believe our continuing research and product development are not materially dependent on any single license or other agreement with a third party relating to the development of our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the Future</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success is based on our ability to create new and compelling products, services, and experiences for our users, to initiate and embrace disruptive technology trends, to enter new geographic and product markets, and to drive broad adoption of our products and services. We invest in a range of emerging technology trends and breakthroughs that we believe offer significant opportunities to deliver value to our customers and growth for the Company. Based on our assessment of key technology trends, we maintain our long-term commitment to research and development across a wide spectrum of technologies, tools, and platforms spanning digital work and life experiences, cloud computing, AI, devices, and operating systems.</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our main product research and development facilities are located in Redmond, Washington, we also operate research and development facilities in other parts of the U.S. and around the world. This global approach helps us remain competitive in local markets and enables us to continue to attract top talent from across the world.</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plan to continue to make significant investments in a broad range of product research and development activities, and as appropriate we will coordinate our research and development across operating segments and leverage the results across the Company.</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our main research and development operations, we also operate Microsoft Research. Microsoft Research is one of the world’s largest corporate research organizations and works in close collaboration with top universities around the world to advance the state-of-the-art in computer science and a broad range of other disciplines, providing us a unique perspective on future trends and contributing to our innovation.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DISTRIBUTION, SALES, AND MARKETING</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market and distribute our products and services through the following channels: OEMs, direct, and distributors and resellers. Our sales force performs a variety of functions, including working directly with commercial enterprises and public-sector organizations worldwide to identify and meet their technology and digital transformation requirements; managing OEM relationships; and supporting system integrators, independent software vendors, and other partners who engage directly with our customers to perform sales, consulting, and fulfillment functions for our products and services.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distribute our products and services through OEMs that pre-install our software on new devices and servers they sell. The largest component of the OEM business is the Windows operating system pre-installed on devices. OEMs also sell devices pre-installed with other Microsoft products and services, including applications such as Office and the capability to subscribe to Office 365.</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are two broad categories of OEMs. The largest category of OEMs are direct OEMs as our relationship with them is managed through a direct agreement between Microsoft and the OEM. We have distribution agreements covering one or more of our products with virtually all the multinational OEMs, including Dell, Hewlett-Packard, Lenovo, and with many regional and local OEMs. The second broad category of OEMs are system builders consisting of lower-volume PC manufacturers, which source Microsoft software for pre-installation and local redistribution primarily through the Microsoft distributor channel rather than through a direct agreement or relationship with Microsoft.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Many organizations that license our products and services transact directly with us through Enterprise Agreements and Enterprise Services contracts, with sales support from system integrators, independent software vendors, web agencies, and partners that advise organizations on licensing our products and services (“Enterprise Agreement Software Advisors” or “ESA”). Microsoft offers direct sales programs targeted to reach small, medium, and corporate customers, in addition to those offered through the reseller channel. A large network of partner advisors support many of these sales.</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sell commercial and consumer products and services directly to customers, such as cloud services, search, and gaming, through our digital marketplaces and online stores. In fiscal year 2021, we closed our Microsoft Store physical locations and opened our Microsoft Experience Centers. Microsoft Experience Centers are designed to facilitate deeper engagement with our partners and customers across industries.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Distributors and Resellers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Organizations also license our products and services indirectly, primarily through licensing solution partners (“LSP”), distributors, value-added resellers (“VAR”), and retailers. Although each type of reselling partner may reach organizations of all sizes, LSPs are primarily engaged with large organizations, distributors resell primarily to VARs, and VARs typically reach small and medium organizations. ESAs are also typically authorized as LSPs and operate as resellers for our other volume licensing programs. Microsoft Cloud Solution Provider is our main partner program for reselling cloud services.</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distribute our retail packaged products primarily through independent non-exclusive distributors, authorized replicators, resellers, and retail outlets. Individual consumers obtain these products primarily through retail outlets. We distribute our devices through third-party retailers. We have a network of field sales representatives and field support personnel that solicit orders from distributors and resellers and provide product training and sales support.</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Dynamics business solutions are also licensed to enterprises through a global network of channel partners providing vertical solutions and specialized services.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LICENSING OPTIONS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offer options for organizations that want to purchase our cloud services, on-premises software, and SA. We license software to organizations under volume licensing agreements to allow the customer to acquire multiple licenses of products and services instead of having to acquire separate licenses through retail channels. We use different programs designed to provide flexibility for organizations of various sizes. While these programs may differ in various parts of the world, generally they include those discussed below.</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 conveys rights to new software and upgrades for perpetual licenses released over the contract period. It also provides support, tools, training, and other licensing benefits to help customers deploy and use software efficiently. SA is included with certain volume licensing agreements and is an optional purchase with others.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 Licensing Programs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Agreement</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Enterprise Agreements offer large organizations a manageable volume licensing program that gives them the flexibility to buy cloud services and software licenses under one agreement. Enterprise Agreements are designed for medium or large organizations that want to license cloud services and on-premises software organization-wide over a three-year period. Organizations can elect to purchase perpetual licenses or subscribe to licenses. SA is included.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Customer Agreement</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Microsoft Customer Agreement is a simplified purchase agreement presented, accepted, and stored through a digital experience. A Microsoft Customer Agreement is a non-expiring agreement that is designed to support all customers over time, whether purchasing through a partner or directly from Microsoft.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Online Subscription Agreement</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Microsoft Online Subscription Agreement is designed for small and medium organizations that want to subscribe to, activate, provision, and maintain cloud services seamlessly and directly via the web. The agreement allows customers to acquire monthly or annual subscriptions for cloud-based services.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Products and Services Agreement</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Products and Services Agreements are designed for medium and large organizations that want to license cloud services and on-premises software as needed, with no organization-wide commitment, under a single, non-expiring agreement. Organizations purchase perpetual licenses or subscribe to licenses. SA is optional for customers that purchase perpetual licenses.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Value</w:t>
      </w:r>
    </w:p>
    <w:p>
      <w:pPr>
        <w:spacing w:after="0" w:line="17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Open Value agreements are a simple, cost-effective way to acquire the latest Microsoft technology. These agreements are designed for small and medium organizations that want to license cloud services and on-premises software over a three-year period. Under Open Value agreements, organizations can elect to purchase perpetual licenses or subscribe to licenses and SA is included.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 Plus</w:t>
      </w:r>
    </w:p>
    <w:p>
      <w:pPr>
        <w:spacing w:after="0" w:line="17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A Select Plus agreement is designed for government and academic organizations to acquire on-premises licenses at any affiliate or department level, while realizing advantages as one organization. Organizations purchase perpetual licenses and SA is optional.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Microsoft Cloud Solution Provider program offers customers an easy way to license the cloud services they need in combination with the value-added services offered by their systems integrator, managed services provider, or cloud reseller partner. Partners in this program can easily package their own products and services to directly provision, manage, and support their customer subscriptions.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Microsoft Services Provider License Agreement allows hosting service providers and independent software vendors who want to license eligible Microsoft software products to provide software services and hosted applications to their end customers. Partners license software over a three-year period and are billed monthly based on consumption.</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Independent Software Vendor Royalty program enables partners to integrate Microsoft products into other applications and then license the unified business solution to their end users.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CUSTOMERS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customers include individual consumers, small and medium organizations, large global enterprises, public-sector institutions, Internet service providers, application developers, and OEMs. Our practice is to ship our products promptly upon receipt of purchase orders from customers; consequently, backlog is not significant.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ind w:right="3420" w:firstLine="3424"/>
        <w:spacing w:after="0" w:line="432" w:lineRule="auto"/>
        <w:rPr>
          <w:sz w:val="20"/>
          <w:szCs w:val="20"/>
          <w:color w:val="auto"/>
        </w:rPr>
      </w:pPr>
      <w:r>
        <w:rPr>
          <w:rFonts w:ascii="Arial" w:cs="Arial" w:eastAsia="Arial" w:hAnsi="Arial"/>
          <w:sz w:val="18"/>
          <w:szCs w:val="18"/>
          <w:u w:val="single" w:color="auto"/>
          <w:color w:val="auto"/>
        </w:rPr>
        <w:t xml:space="preserve">INFORMATION ABOUT OUR EXECUTIVE OFFICERS </w:t>
      </w:r>
      <w:r>
        <w:rPr>
          <w:rFonts w:ascii="Arial" w:cs="Arial" w:eastAsia="Arial" w:hAnsi="Arial"/>
          <w:sz w:val="18"/>
          <w:szCs w:val="18"/>
          <w:color w:val="auto"/>
        </w:rPr>
        <w:t>Our executive officers as of July 28, 2022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Age</w:t>
            </w:r>
          </w:p>
        </w:tc>
        <w:tc>
          <w:tcPr>
            <w:tcW w:w="7740" w:type="dxa"/>
            <w:vAlign w:val="bottom"/>
          </w:tcPr>
          <w:p>
            <w:pPr>
              <w:ind w:left="120"/>
              <w:spacing w:after="0"/>
              <w:rPr>
                <w:sz w:val="20"/>
                <w:szCs w:val="20"/>
                <w:color w:val="auto"/>
              </w:rPr>
            </w:pPr>
            <w:r>
              <w:rPr>
                <w:rFonts w:ascii="Arial" w:cs="Arial" w:eastAsia="Arial" w:hAnsi="Arial"/>
                <w:sz w:val="13"/>
                <w:szCs w:val="13"/>
                <w:b w:val="1"/>
                <w:bCs w:val="1"/>
                <w:color w:val="auto"/>
              </w:rPr>
              <w:t>Position with the Company</w:t>
            </w:r>
          </w:p>
        </w:tc>
      </w:tr>
      <w:tr>
        <w:trPr>
          <w:trHeight w:val="54"/>
        </w:trPr>
        <w:tc>
          <w:tcPr>
            <w:tcW w:w="26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r>
      <w:tr>
        <w:trPr>
          <w:trHeight w:val="262"/>
        </w:trPr>
        <w:tc>
          <w:tcPr>
            <w:tcW w:w="2600" w:type="dxa"/>
            <w:vAlign w:val="bottom"/>
          </w:tcPr>
          <w:p>
            <w:pPr>
              <w:spacing w:after="0"/>
              <w:rPr>
                <w:sz w:val="20"/>
                <w:szCs w:val="20"/>
                <w:color w:val="auto"/>
              </w:rPr>
            </w:pPr>
            <w:r>
              <w:rPr>
                <w:rFonts w:ascii="Arial" w:cs="Arial" w:eastAsia="Arial" w:hAnsi="Arial"/>
                <w:sz w:val="18"/>
                <w:szCs w:val="18"/>
                <w:color w:val="auto"/>
              </w:rPr>
              <w:t>Satya Nadella</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774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229"/>
        </w:trPr>
        <w:tc>
          <w:tcPr>
            <w:tcW w:w="2600" w:type="dxa"/>
            <w:vAlign w:val="bottom"/>
          </w:tcPr>
          <w:p>
            <w:pPr>
              <w:spacing w:after="0"/>
              <w:rPr>
                <w:sz w:val="20"/>
                <w:szCs w:val="20"/>
                <w:color w:val="auto"/>
              </w:rPr>
            </w:pPr>
            <w:r>
              <w:rPr>
                <w:rFonts w:ascii="Arial" w:cs="Arial" w:eastAsia="Arial" w:hAnsi="Arial"/>
                <w:sz w:val="18"/>
                <w:szCs w:val="18"/>
                <w:color w:val="auto"/>
              </w:rPr>
              <w:t>Judson Althoff</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7740" w:type="dxa"/>
            <w:vAlign w:val="bottom"/>
          </w:tcPr>
          <w:p>
            <w:pPr>
              <w:ind w:left="10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02"/>
        </w:trPr>
        <w:tc>
          <w:tcPr>
            <w:tcW w:w="2600" w:type="dxa"/>
            <w:vAlign w:val="bottom"/>
          </w:tcPr>
          <w:p>
            <w:pPr>
              <w:spacing w:after="0" w:line="202" w:lineRule="exact"/>
              <w:rPr>
                <w:sz w:val="20"/>
                <w:szCs w:val="20"/>
                <w:color w:val="auto"/>
              </w:rPr>
            </w:pPr>
            <w:r>
              <w:rPr>
                <w:rFonts w:ascii="Arial" w:cs="Arial" w:eastAsia="Arial" w:hAnsi="Arial"/>
                <w:sz w:val="18"/>
                <w:szCs w:val="18"/>
                <w:color w:val="auto"/>
              </w:rPr>
              <w:t>Christopher C. Capossela</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52</w:t>
            </w:r>
          </w:p>
        </w:tc>
        <w:tc>
          <w:tcPr>
            <w:tcW w:w="7740" w:type="dxa"/>
            <w:vAlign w:val="bottom"/>
          </w:tcPr>
          <w:p>
            <w:pPr>
              <w:ind w:left="100"/>
              <w:spacing w:after="0" w:line="202" w:lineRule="exact"/>
              <w:rPr>
                <w:sz w:val="20"/>
                <w:szCs w:val="20"/>
                <w:color w:val="auto"/>
              </w:rPr>
            </w:pPr>
            <w:r>
              <w:rPr>
                <w:rFonts w:ascii="Arial" w:cs="Arial" w:eastAsia="Arial" w:hAnsi="Arial"/>
                <w:sz w:val="18"/>
                <w:szCs w:val="18"/>
                <w:color w:val="auto"/>
              </w:rPr>
              <w:t>Executive Vice President, Marketing and Consumer Business, and Chief Marketing Officer</w:t>
            </w:r>
          </w:p>
        </w:tc>
      </w:tr>
      <w:tr>
        <w:trPr>
          <w:trHeight w:val="202"/>
        </w:trPr>
        <w:tc>
          <w:tcPr>
            <w:tcW w:w="2600" w:type="dxa"/>
            <w:vAlign w:val="bottom"/>
          </w:tcPr>
          <w:p>
            <w:pPr>
              <w:spacing w:after="0" w:line="202" w:lineRule="exact"/>
              <w:rPr>
                <w:sz w:val="20"/>
                <w:szCs w:val="20"/>
                <w:color w:val="auto"/>
              </w:rPr>
            </w:pPr>
            <w:r>
              <w:rPr>
                <w:rFonts w:ascii="Arial" w:cs="Arial" w:eastAsia="Arial" w:hAnsi="Arial"/>
                <w:sz w:val="18"/>
                <w:szCs w:val="18"/>
                <w:color w:val="auto"/>
              </w:rPr>
              <w:t>Kathleen T. Hogan</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w:t>
            </w:r>
          </w:p>
        </w:tc>
        <w:tc>
          <w:tcPr>
            <w:tcW w:w="7740" w:type="dxa"/>
            <w:vAlign w:val="bottom"/>
          </w:tcPr>
          <w:p>
            <w:pPr>
              <w:ind w:left="100"/>
              <w:spacing w:after="0" w:line="202" w:lineRule="exact"/>
              <w:rPr>
                <w:sz w:val="20"/>
                <w:szCs w:val="20"/>
                <w:color w:val="auto"/>
              </w:rPr>
            </w:pPr>
            <w:r>
              <w:rPr>
                <w:rFonts w:ascii="Arial" w:cs="Arial" w:eastAsia="Arial" w:hAnsi="Arial"/>
                <w:sz w:val="18"/>
                <w:szCs w:val="18"/>
                <w:color w:val="auto"/>
              </w:rPr>
              <w:t>Executive Vice President, Human Resources</w:t>
            </w:r>
          </w:p>
        </w:tc>
      </w:tr>
      <w:tr>
        <w:trPr>
          <w:trHeight w:val="202"/>
        </w:trPr>
        <w:tc>
          <w:tcPr>
            <w:tcW w:w="2600" w:type="dxa"/>
            <w:vAlign w:val="bottom"/>
          </w:tcPr>
          <w:p>
            <w:pPr>
              <w:spacing w:after="0" w:line="202" w:lineRule="exact"/>
              <w:rPr>
                <w:sz w:val="20"/>
                <w:szCs w:val="20"/>
                <w:color w:val="auto"/>
              </w:rPr>
            </w:pPr>
            <w:r>
              <w:rPr>
                <w:rFonts w:ascii="Arial" w:cs="Arial" w:eastAsia="Arial" w:hAnsi="Arial"/>
                <w:sz w:val="18"/>
                <w:szCs w:val="18"/>
                <w:color w:val="auto"/>
              </w:rPr>
              <w:t>Amy E. Hood</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50</w:t>
            </w:r>
          </w:p>
        </w:tc>
        <w:tc>
          <w:tcPr>
            <w:tcW w:w="7740" w:type="dxa"/>
            <w:vAlign w:val="bottom"/>
          </w:tcPr>
          <w:p>
            <w:pPr>
              <w:ind w:left="100"/>
              <w:spacing w:after="0" w:line="202" w:lineRule="exact"/>
              <w:rPr>
                <w:sz w:val="20"/>
                <w:szCs w:val="20"/>
                <w:color w:val="auto"/>
              </w:rPr>
            </w:pPr>
            <w:r>
              <w:rPr>
                <w:rFonts w:ascii="Arial" w:cs="Arial" w:eastAsia="Arial" w:hAnsi="Arial"/>
                <w:sz w:val="18"/>
                <w:szCs w:val="18"/>
                <w:color w:val="auto"/>
              </w:rPr>
              <w:t>Executive Vice President, Chief Financial Officer</w:t>
            </w:r>
          </w:p>
        </w:tc>
      </w:tr>
      <w:tr>
        <w:trPr>
          <w:trHeight w:val="202"/>
        </w:trPr>
        <w:tc>
          <w:tcPr>
            <w:tcW w:w="2600" w:type="dxa"/>
            <w:vAlign w:val="bottom"/>
          </w:tcPr>
          <w:p>
            <w:pPr>
              <w:spacing w:after="0" w:line="202" w:lineRule="exact"/>
              <w:rPr>
                <w:sz w:val="20"/>
                <w:szCs w:val="20"/>
                <w:color w:val="auto"/>
              </w:rPr>
            </w:pPr>
            <w:r>
              <w:rPr>
                <w:rFonts w:ascii="Arial" w:cs="Arial" w:eastAsia="Arial" w:hAnsi="Arial"/>
                <w:sz w:val="18"/>
                <w:szCs w:val="18"/>
                <w:color w:val="auto"/>
              </w:rPr>
              <w:t>Bradford L. Smith</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63</w:t>
            </w:r>
          </w:p>
        </w:tc>
        <w:tc>
          <w:tcPr>
            <w:tcW w:w="7740" w:type="dxa"/>
            <w:vAlign w:val="bottom"/>
          </w:tcPr>
          <w:p>
            <w:pPr>
              <w:ind w:left="100"/>
              <w:spacing w:after="0" w:line="202" w:lineRule="exact"/>
              <w:rPr>
                <w:sz w:val="20"/>
                <w:szCs w:val="20"/>
                <w:color w:val="auto"/>
              </w:rPr>
            </w:pPr>
            <w:r>
              <w:rPr>
                <w:rFonts w:ascii="Arial" w:cs="Arial" w:eastAsia="Arial" w:hAnsi="Arial"/>
                <w:sz w:val="18"/>
                <w:szCs w:val="18"/>
                <w:color w:val="auto"/>
              </w:rPr>
              <w:t>President and Vice Chair</w:t>
            </w: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Christopher D. Young</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7740" w:type="dxa"/>
            <w:vAlign w:val="bottom"/>
          </w:tcPr>
          <w:p>
            <w:pPr>
              <w:ind w:left="100"/>
              <w:spacing w:after="0"/>
              <w:rPr>
                <w:sz w:val="20"/>
                <w:szCs w:val="20"/>
                <w:color w:val="auto"/>
              </w:rPr>
            </w:pPr>
            <w:r>
              <w:rPr>
                <w:rFonts w:ascii="Arial" w:cs="Arial" w:eastAsia="Arial" w:hAnsi="Arial"/>
                <w:sz w:val="18"/>
                <w:szCs w:val="18"/>
                <w:color w:val="auto"/>
              </w:rPr>
              <w:t>Executive Vice President, Business Development, Strategy, and Ventures</w:t>
            </w:r>
          </w:p>
        </w:tc>
      </w:tr>
      <w:tr>
        <w:trPr>
          <w:trHeight w:val="67"/>
        </w:trPr>
        <w:tc>
          <w:tcPr>
            <w:tcW w:w="2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740" w:type="dxa"/>
            <w:vAlign w:val="bottom"/>
            <w:tcBorders>
              <w:bottom w:val="single" w:sz="8" w:color="auto"/>
            </w:tcBorders>
          </w:tcPr>
          <w:p>
            <w:pPr>
              <w:spacing w:after="0"/>
              <w:rPr>
                <w:sz w:val="5"/>
                <w:szCs w:val="5"/>
                <w:color w:val="auto"/>
              </w:rPr>
            </w:pPr>
          </w:p>
        </w:tc>
      </w:tr>
    </w:tbl>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Nadella was appointed Chairman of the Board in June 2021 and Chief Executive Officer in February 2014. He served as Executive Vice President, Cloud and Enterprise from July 2013 until that time. From 2011 to 2013, Mr. Nadella served as President, Server and Tools. From 2009 to 2011, he was Senior Vice President, Online Services Division. From 2008 to 2009, he was Senior Vice President, Search, Portal, and Advertising. Since joining Microsoft in 1992, Mr. Nadella’s roles also included Vice President of the Business Division. Mr. Nadella also serves on the Board of Directors of Starbucks Corporation.</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Mr. Althoff was appointed Executive Vice President and Chief Commercial Officer in July 2021. He served as Executive Vice President, Worldwide Commercial Business from July 2017 until that time. Prior to that, Mr. Althoff served as the President of Microsoft North America. Mr. Althoff joined Microsoft in March 2013 as President of Microsoft North America.</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Capossela was appointed Executive Vice President, Marketing and Consumer Business, and Chief Marketing Officer in July 2016. He had served as Executive Vice President, Chief Marketing Officer since March 2014. Previously, he served as the worldwide leader of the Consumer Channels Group, responsible for sales and marketing activities with OEMs, operators, and retail partners. In his more than 25 years at Microsoft, Mr. Capossela has held a variety of marketing leadership roles in the Microsoft Office Division. He was responsible for marketing productivity solutions including Microsoft Office, Office 365, SharePoint, Exchange, Skype for Business, Project, and Visio.</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Hogan was appointed Executive Vice President, Human Resources in November 2014. Prior to that Ms. Hogan was Corporate Vice President of Microsoft Services. She also served as Corporate Vice President of Customer Service and Support. Ms. Hogan joined Microsoft in 2003. Ms. Hogan also serves on the Board of Directors of Alaska Air Group, Inc.</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Ms. Hood was appointed Executive Vice President and Chief Financial Officer in July 2013, subsequent to her appointment as Chief Financial Officer in May 2013. From 2010 to 2013, Ms. Hood was Chief Financial Officer of the Microsoft Business Division. From 2006 through 2009, Ms. Hood was General Manager, Microsoft Business Division Strategy. Since joining Microsoft in 2002, Ms. Hood has also held finance-related positions in the Server and Tools Business and the corporate finance organization. Ms. Hood also serves on the Board of Directors of 3M Corporation.</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Smith was appointed President and Vice Chair in September 2021. Prior to that, he served as President and Chief Legal Officer since September 2015. He served as Executive Vice President, General Counsel, and Secretary from 2011 to 2015, and served as Senior Vice President, General Counsel, and Secretary from 2001 to 2011. Mr. Smith was also named Chief Compliance Officer in 2002. Since joining Microsoft in 1993, he was Deputy General Counsel for Worldwide Sales and previously was responsible for managing the European Law and Corporate Affairs Group, based in Paris. Mr. Smith also serves on the Board of Directors of Netflix, Inc.</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Young has served as Executive Vice President, Business Development, Strategy, and Ventures since joining Microsoft in November 2020. Prior to Microsoft, he served as the Chief Executive Officer of McAfee, LLC from 2017 to 2020, and served as a Senior Vice President and General Manager of Intel Security Group from 2014 until 2017, when he led the initiative to spin out McAfee into a standalone company. Mr. Young also serves on the Board of Directors of American Express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AVAILABLE INFORMATION</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Internet address is www.microsoft.com. At our Investor Relations website, www.microsoft.com/investor, we make available free of charge a variety of information for investors. Our goal is to maintain the Investor Relations website as a portal through which investors can easily find or navigate to pertinent information about us, including:</w:t>
      </w:r>
    </w:p>
    <w:p>
      <w:pPr>
        <w:spacing w:after="0" w:line="69" w:lineRule="exact"/>
        <w:rPr>
          <w:sz w:val="20"/>
          <w:szCs w:val="20"/>
          <w:color w:val="auto"/>
        </w:rPr>
      </w:pPr>
    </w:p>
    <w:p>
      <w:pPr>
        <w:jc w:val="both"/>
        <w:ind w:left="1060" w:hanging="392"/>
        <w:spacing w:after="0" w:line="23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as soon as reasonably practicable after we electronically file that material with or furnish it to the Securities and Exchange Commission (“SEC”) at www.sec.gov.</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on our business strategies, financial results, and metrics for investors.</w:t>
      </w:r>
    </w:p>
    <w:p>
      <w:pPr>
        <w:spacing w:after="0" w:line="102" w:lineRule="exact"/>
        <w:rPr>
          <w:rFonts w:ascii="Arial" w:cs="Arial" w:eastAsia="Arial" w:hAnsi="Arial"/>
          <w:sz w:val="18"/>
          <w:szCs w:val="18"/>
          <w:color w:val="auto"/>
        </w:rPr>
      </w:pPr>
    </w:p>
    <w:p>
      <w:pPr>
        <w:ind w:left="1060" w:right="20" w:hanging="392"/>
        <w:spacing w:after="0" w:line="24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investor conferences, speeches, and events at which our executives talk about our product, service, and competitive strategies. Archives of these events are also available.</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Press releases on quarterly earnings, product and service announcements, legal developments, and international news.</w:t>
      </w:r>
    </w:p>
    <w:p>
      <w:pPr>
        <w:spacing w:after="0" w:line="102"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governance information including our articles of incorporation, bylaws, governance guidelines, committee charters, codes of conduct and ethics, global corporate social responsibility initiatives, and other governance-related policies.</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w:t>
      </w:r>
    </w:p>
    <w:p>
      <w:pPr>
        <w:spacing w:after="0" w:line="102" w:lineRule="exact"/>
        <w:rPr>
          <w:rFonts w:ascii="Arial" w:cs="Arial" w:eastAsia="Arial" w:hAnsi="Arial"/>
          <w:sz w:val="18"/>
          <w:szCs w:val="18"/>
          <w:color w:val="auto"/>
        </w:rPr>
      </w:pPr>
    </w:p>
    <w:p>
      <w:pPr>
        <w:ind w:left="1060" w:hanging="392"/>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Opportunities to sign up for email alerts to have information pushed in real time.</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publish a variety of reports and resources related to our Corporate Social Responsibility programs and progress on our Reports Hub website, www.microsoft.com/corporate-responsibility/reports-hub, including reports on sustainability, responsible sourcing, accessibility, digital trust, and public policy engagement.</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information found on these websites is not part of, or incorporated by reference into, this or any other report we file with, or furnish to, the SEC. In addition to these channels, we use social media to communicate to the public. It is possible that the information we post on social media could be deemed to be material to investors. We encourage investors, the media, and others interested in Microsoft to review the information we post on the social media channels listed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54" w:lineRule="exact"/>
        <w:rPr>
          <w:sz w:val="20"/>
          <w:szCs w:val="20"/>
          <w:color w:val="auto"/>
        </w:rPr>
      </w:pPr>
    </w:p>
    <w:p>
      <w:pPr>
        <w:jc w:val="both"/>
        <w:ind w:left="1060" w:hanging="392"/>
        <w:spacing w:after="0" w:line="236"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56" w:lineRule="exact"/>
        <w:rPr>
          <w:rFonts w:ascii="Arial" w:cs="Arial" w:eastAsia="Arial" w:hAnsi="Arial"/>
          <w:sz w:val="18"/>
          <w:szCs w:val="18"/>
          <w:color w:val="auto"/>
        </w:rPr>
      </w:pPr>
    </w:p>
    <w:p>
      <w:pPr>
        <w:jc w:val="both"/>
        <w:ind w:left="1060" w:hanging="392"/>
        <w:spacing w:after="0" w:line="236"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53" w:lineRule="exact"/>
        <w:rPr>
          <w:rFonts w:ascii="Arial" w:cs="Arial" w:eastAsia="Arial" w:hAnsi="Arial"/>
          <w:sz w:val="18"/>
          <w:szCs w:val="18"/>
          <w:color w:val="auto"/>
        </w:rPr>
      </w:pPr>
    </w:p>
    <w:p>
      <w:pPr>
        <w:jc w:val="both"/>
        <w:ind w:left="1060" w:hanging="392"/>
        <w:spacing w:after="0" w:line="236"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6" w:lineRule="exact"/>
        <w:rPr>
          <w:sz w:val="20"/>
          <w:szCs w:val="20"/>
          <w:color w:val="auto"/>
        </w:rPr>
      </w:pPr>
    </w:p>
    <w:p>
      <w:pPr>
        <w:jc w:val="both"/>
        <w:ind w:left="1060" w:hanging="392"/>
        <w:spacing w:after="0" w:line="23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5" w:lineRule="exact"/>
        <w:rPr>
          <w:rFonts w:ascii="Arial" w:cs="Arial" w:eastAsia="Arial" w:hAnsi="Arial"/>
          <w:sz w:val="18"/>
          <w:szCs w:val="18"/>
          <w:color w:val="auto"/>
        </w:rPr>
      </w:pPr>
    </w:p>
    <w:p>
      <w:pPr>
        <w:jc w:val="both"/>
        <w:ind w:left="1060" w:hanging="392"/>
        <w:spacing w:after="0" w:line="23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5" w:lineRule="exact"/>
        <w:rPr>
          <w:rFonts w:ascii="Arial" w:cs="Arial" w:eastAsia="Arial" w:hAnsi="Arial"/>
          <w:sz w:val="18"/>
          <w:szCs w:val="18"/>
          <w:color w:val="auto"/>
        </w:rPr>
      </w:pPr>
    </w:p>
    <w:p>
      <w:pPr>
        <w:jc w:val="both"/>
        <w:ind w:left="1060" w:hanging="392"/>
        <w:spacing w:after="0" w:line="23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Azure, Azure Stack, Azure IoT Edge, and Azure Sphere. We may not establish market share sufficient to achieve scale necessary to meet our business objectives.</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69" w:lineRule="exact"/>
        <w:rPr>
          <w:sz w:val="20"/>
          <w:szCs w:val="20"/>
          <w:color w:val="auto"/>
        </w:rPr>
      </w:pPr>
    </w:p>
    <w:p>
      <w:pPr>
        <w:ind w:left="1060" w:hanging="392"/>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102"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102"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Office, Bing, SQL Server, Windows Server, Azure, Office 365, Xbox,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and perceptions of mismanagement, driven by regulatory activity or negative public reaction to our practices or product experiences, could negatively impact product and feature adoption, product design, and product quality.</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acquisitions and entering into joint ventures and strategic alliances as part of our long-term business strategy. For example, in March 2021 we completed our acquisition of ZeniMax Media Inc. for $ 8.1 billion, and in </w:t>
      </w:r>
      <w:r>
        <w:rPr>
          <w:rFonts w:ascii="Arial" w:cs="Arial" w:eastAsia="Arial" w:hAnsi="Arial"/>
          <w:sz w:val="18"/>
          <w:szCs w:val="18"/>
          <w:color w:val="212529"/>
        </w:rPr>
        <w:t>March 2022 we completed our acquisition of Nuance</w:t>
      </w:r>
      <w:r>
        <w:rPr>
          <w:rFonts w:ascii="Arial" w:cs="Arial" w:eastAsia="Arial" w:hAnsi="Arial"/>
          <w:sz w:val="18"/>
          <w:szCs w:val="18"/>
          <w:color w:val="auto"/>
        </w:rPr>
        <w:t xml:space="preserve"> </w:t>
      </w:r>
      <w:r>
        <w:rPr>
          <w:rFonts w:ascii="Arial" w:cs="Arial" w:eastAsia="Arial" w:hAnsi="Arial"/>
          <w:sz w:val="18"/>
          <w:szCs w:val="18"/>
          <w:color w:val="212529"/>
        </w:rPr>
        <w:t xml:space="preserve">Communications, Inc. for $18.8 billion. In January 2022 </w:t>
      </w:r>
      <w:r>
        <w:rPr>
          <w:rFonts w:ascii="Arial" w:cs="Arial" w:eastAsia="Arial" w:hAnsi="Arial"/>
          <w:sz w:val="18"/>
          <w:szCs w:val="18"/>
          <w:color w:val="000000"/>
        </w:rPr>
        <w:t>we announced a definitive agreement to acquire</w:t>
      </w:r>
      <w:r>
        <w:rPr>
          <w:rFonts w:ascii="Arial" w:cs="Arial" w:eastAsia="Arial" w:hAnsi="Arial"/>
          <w:sz w:val="18"/>
          <w:szCs w:val="18"/>
          <w:color w:val="212529"/>
        </w:rPr>
        <w:t xml:space="preserve"> Activision Blizzard</w:t>
      </w:r>
      <w:r>
        <w:rPr>
          <w:rFonts w:ascii="Arial" w:cs="Arial" w:eastAsia="Arial" w:hAnsi="Arial"/>
          <w:sz w:val="18"/>
          <w:szCs w:val="18"/>
          <w:color w:val="000000"/>
        </w:rPr>
        <w:t>, Inc. for $68.7</w:t>
      </w:r>
      <w:r>
        <w:rPr>
          <w:rFonts w:ascii="Arial" w:cs="Arial" w:eastAsia="Arial" w:hAnsi="Arial"/>
          <w:sz w:val="18"/>
          <w:szCs w:val="18"/>
          <w:color w:val="212529"/>
        </w:rPr>
        <w:t xml:space="preserve"> </w:t>
      </w:r>
      <w:r>
        <w:rPr>
          <w:rFonts w:ascii="Arial" w:cs="Arial" w:eastAsia="Arial" w:hAnsi="Arial"/>
          <w:sz w:val="18"/>
          <w:szCs w:val="18"/>
          <w:color w:val="000000"/>
        </w:rPr>
        <w:t>billion. These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as well as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Nation-state and state-sponsored actors can deploy significant resources to plan and carry out exploits. Nation-state attacks against us or our customers may intensify during periods of intense diplomatic or armed conflict, such as the ongoing conflict in Ukraine.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subject us to ransomware attacks, require us to allocate more resources to improve technologies or remediate the impacts of attacks, or otherwise adversely affect our business.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cyberattacks uncovered in late 2020 known as “Solorigate” or “Nobelium” are an example of a supply chain attack where malware was introduced to a software provider’s customers, including us, through software updates. The attackers were later able to create false credentials that appeared legitimate to certain customers’ systems. We may be targets of further attacks similar to Solorigate/Nobelium as both a supplier and consumer of IT.</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 or emerging cybersecurity regulations in jurisdictions worldwide.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Cyberattacks such as Solorigate/Nobelium may adversely impact our customers even if our production services are not directly compromised. We are committed to notifying our customers whose systems have been impacted as we become aware and have available information and actions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products and services.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 xml:space="preserve">Disclosure and misuse of personal data could result in liability and harm our reputation. </w:t>
      </w:r>
      <w:r>
        <w:rPr>
          <w:rFonts w:ascii="Arial" w:cs="Arial" w:eastAsia="Arial" w:hAnsi="Arial"/>
          <w:sz w:val="17"/>
          <w:szCs w:val="17"/>
          <w:color w:val="auto"/>
        </w:rPr>
        <w:t>As we continue to grow the number, breadth,</w:t>
      </w:r>
      <w:r>
        <w:rPr>
          <w:rFonts w:ascii="Arial" w:cs="Arial" w:eastAsia="Arial" w:hAnsi="Arial"/>
          <w:sz w:val="17"/>
          <w:szCs w:val="17"/>
          <w:b w:val="1"/>
          <w:bCs w:val="1"/>
          <w:color w:val="auto"/>
        </w:rPr>
        <w:t xml:space="preserve"> </w:t>
      </w:r>
      <w:r>
        <w:rPr>
          <w:rFonts w:ascii="Arial" w:cs="Arial" w:eastAsia="Arial" w:hAnsi="Arial"/>
          <w:sz w:val="17"/>
          <w:szCs w:val="17"/>
          <w:color w:val="auto"/>
        </w:rPr>
        <w:t>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32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Microsoft News, Microsoft Store, Bing, and Xbox, our reputation or user engagement may be negatively affected by activity that is hostile or inappropriate. This activity may come from users impersonating other people or organizations,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hosted consumer services as well as our enterprise services may be used to disseminate harmful or illegal content in violation of our terms or applicable law. We may not proactively discover such content due to scale, the limitations of existing technologies, and conflicting legal frameworks. When discovered by users,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Issues in the development and use of AI may result in reputational harm or liability</w:t>
      </w:r>
      <w:r>
        <w:rPr>
          <w:rFonts w:ascii="Arial" w:cs="Arial" w:eastAsia="Arial" w:hAnsi="Arial"/>
          <w:sz w:val="18"/>
          <w:szCs w:val="18"/>
          <w:color w:val="auto"/>
        </w:rPr>
        <w:t>. We are building AI into many of our offerings,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productivity services, and we are also making first- and third-party AI available for our customers to use in solutions that they build. We expect these elements of our business to grow. We envision a future in which AI operating in our devices, applications, and the cloud helps our customers be more productive in their work and personal lives. As with many innovations, AI presents risks and challenges that could affect its adoption, and therefore our business. AI algorithms may be flawed. Datasets may be insufficient or contain biased information. Ineffective or inadequate AI development or deployment practices by Microsoft or others could result in incidents that impair the acceptance of AI solutions or cause harm to individuals or society. These deficiencies and other failures of AI systems could subject us to competitive harm, regulatory action, legal liability, including under new proposed legislation regulating AI in jurisdictions such as the European Union (“EU”), and brand or reputational harm. Some AI scenarios present ethical issues. If we enable or offer AI solutions that are controversial because of their impact on human rights, privacy, employment, or other social, economic, or political issues, we may experience brand or reputational harm.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Our datacenters depend on predictable energy and networking supplies, the cost or availability of which could be adversely affected by a variety of factors, including the transition to a clean energy economy and geopolitical disruptions. These demands continue to increase as we introduce new products and services and support the growth of existing services such as Bing, Azure, Microsoft Account services, Microsoft 365, Microsoft Teams, Dynamics 365, OneDrive, SharePoint Online, Skype, Xbox,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9" w:name="page30"/>
    <w:bookmarkEnd w:id="29"/>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limited suppliers for certain device and datacenter components. Our competitors use some of the same suppliers and their demand for hardware components can affect the capacity available to us.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4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comes from them. New competition law actions could be initiated, potentially using previous actions as precedent. The outcome of such actions, or steps taken to avoid them, could adversely affect us in a variety of ways, including:</w:t>
      </w:r>
    </w:p>
    <w:p>
      <w:pPr>
        <w:spacing w:after="0" w:line="54" w:lineRule="exact"/>
        <w:rPr>
          <w:sz w:val="20"/>
          <w:szCs w:val="20"/>
          <w:color w:val="auto"/>
        </w:rPr>
      </w:pPr>
    </w:p>
    <w:p>
      <w:pPr>
        <w:jc w:val="both"/>
        <w:ind w:left="1060" w:hanging="392"/>
        <w:spacing w:after="0" w:line="23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55"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48" w:lineRule="exact"/>
        <w:rPr>
          <w:rFonts w:ascii="Arial" w:cs="Arial" w:eastAsia="Arial" w:hAnsi="Arial"/>
          <w:sz w:val="18"/>
          <w:szCs w:val="18"/>
          <w:color w:val="auto"/>
        </w:rPr>
      </w:pPr>
    </w:p>
    <w:p>
      <w:pPr>
        <w:jc w:val="both"/>
        <w:ind w:left="1060" w:hanging="392"/>
        <w:spacing w:after="0" w:line="23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realize anticipated Windows post-sale monetization opportunities may be limited.</w:t>
      </w:r>
    </w:p>
    <w:p>
      <w:pPr>
        <w:spacing w:after="0" w:line="102"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scrutiny may inhibit our ability to consummate acquisitions or impose conditions that reduce the ultimate value of such transactions.</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global operations subject us to potential consequences under anti-corruption, trade,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An example of increasing international regulatory complexity is the EU Whistleblower Directive, initiated in 2021, which may present compliance challenges to the extent it is implemented in different forms by EU member states.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such as Crimea, Cuba, Iran, North Korea, and Syria.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revenues, increased costs, loss of export privileges, or criminal sanctions.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data and other information is inconsistent with their laws and regulations, including laws that apply to the tracking of users via technology such as cookies.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or legal actions.</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continues to generate uncertainty about the legal requirements for data transfers from the EU under other legal mechanisms and has resulted in some EU data protection authorities blocking the use of U.S.-based services that involve the transfer of data to the U.S. The U.S. and the EU in March 2022 agreed in principle on a replacement framework for the Privacy Shield, called the Trans-Atlantic Data Privacy Framework. A failure of the U.S. and EU to finalize the Trans-Atlantic Data Privacy Framework could compound that uncertainty and result in additional blockages of data transfers. Potential new rules and restrictions on the flow of data across borders could increase the cost and complexity of delivering our products and services in some markets. For example, the EU General Data Protection Regulation (“GDPR”)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will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 GDPR and other data regulations, or if our implementation to comply with the GDPR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monetary penalties (of up to 4% of worldwide revenue in the case of GDPR), private lawsuits, reputational damage, blockage of international data transfers, and loss of customers. The highest fines assessed under GDPR have recently been increasing, especially against large technology companies. Jurisdictions around the world, such as China, India, and states in the U.S. have adopted, or are considering adopting or expanding, laws and regulations imposing obligations regarding the handling or transfer of personal data.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or delays which could adversely impact public-sector demand for our products and services. These events could negatively impact our results of operations, financial condition, and reputation.</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54" w:lineRule="exact"/>
        <w:rPr>
          <w:sz w:val="20"/>
          <w:szCs w:val="20"/>
          <w:color w:val="auto"/>
        </w:rPr>
      </w:pPr>
    </w:p>
    <w:p>
      <w:pPr>
        <w:ind w:left="1060" w:hanging="392"/>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68" w:lineRule="exact"/>
        <w:rPr>
          <w:sz w:val="20"/>
          <w:szCs w:val="20"/>
          <w:color w:val="auto"/>
        </w:rPr>
      </w:pPr>
    </w:p>
    <w:p>
      <w:pPr>
        <w:ind w:left="1060" w:hanging="392"/>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102" w:lineRule="exact"/>
        <w:rPr>
          <w:rFonts w:ascii="Arial" w:cs="Arial" w:eastAsia="Arial" w:hAnsi="Arial"/>
          <w:sz w:val="18"/>
          <w:szCs w:val="18"/>
          <w:color w:val="auto"/>
        </w:rPr>
      </w:pPr>
    </w:p>
    <w:p>
      <w:pPr>
        <w:ind w:left="1060" w:hanging="392"/>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9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Abrupt political change, terrorist activity, and armed conflict, such as the ongoing conflict in Ukraine, pose a risk of general economic disruption in affected countries, which may increase our operating costs and negatively impact our ability to sell to and collect from customers in affected markets.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occurrence of regional epidemics or a global pandemic such as COVID-19 may adversely affect our operations, financial condition, and results of operations. The COVID-19 pandemic has had widespread, rapidly evolving, and unpredictable impacts on global society, economies, financial markets, and business practices.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5" w:name="page36"/>
    <w:bookmarkEnd w:id="35"/>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Measures to contain a global pandemic may intensify other risks described in these Risk Factors. Any of these measures may adversely impact our ability to:</w:t>
      </w:r>
    </w:p>
    <w:p>
      <w:pPr>
        <w:spacing w:after="0" w:line="49" w:lineRule="exact"/>
        <w:rPr>
          <w:sz w:val="20"/>
          <w:szCs w:val="20"/>
          <w:color w:val="auto"/>
        </w:rPr>
      </w:pPr>
    </w:p>
    <w:p>
      <w:pPr>
        <w:ind w:left="1060" w:hanging="392"/>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102"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102" w:lineRule="exact"/>
        <w:rPr>
          <w:rFonts w:ascii="Arial" w:cs="Arial" w:eastAsia="Arial" w:hAnsi="Arial"/>
          <w:sz w:val="18"/>
          <w:szCs w:val="18"/>
          <w:color w:val="auto"/>
        </w:rPr>
      </w:pPr>
    </w:p>
    <w:p>
      <w:pPr>
        <w:ind w:left="1060" w:hanging="392"/>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and deploy people where we most need them.</w:t>
      </w:r>
    </w:p>
    <w:p>
      <w:pPr>
        <w:spacing w:after="0" w:line="102"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143"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results of operations.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primarily non-unionized, but we have several unions and works councils outside of the United States. In the U.S., there has been a general increase in workers exercising their right to form or join a union. While Microsoft has not received such petitions in the U.S., the unionization of significant employee populations could result in higher costs and other operational changes necessary to respond to changing conditions and to establish new relationships with worker representatives.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3"/>
          <w:szCs w:val="13"/>
          <w:u w:val="single" w:color="auto"/>
          <w:color w:val="auto"/>
        </w:rPr>
        <w:t>PART I</w:t>
      </w:r>
    </w:p>
    <w:p>
      <w:pPr>
        <w:jc w:val="center"/>
        <w:spacing w:after="0"/>
        <w:rPr>
          <w:sz w:val="20"/>
          <w:szCs w:val="20"/>
          <w:color w:val="auto"/>
        </w:rPr>
      </w:pPr>
      <w:r>
        <w:rPr>
          <w:rFonts w:ascii="Arial" w:cs="Arial" w:eastAsia="Arial" w:hAnsi="Arial"/>
          <w:sz w:val="13"/>
          <w:szCs w:val="13"/>
          <w:color w:val="auto"/>
        </w:rPr>
        <w:t>Item 1B, 2, 3, 4</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1B. UNRESOLVED STAFF COMMENTS</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Securities and Exchange Commission that were issued 180 days or more preceding the end of our fiscal year 2022 that remain unresolved.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PROPERTIES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corporate headquarters are located in Redmond, Washington. We have approximately 15 million square feet of space located in King County, Washington that is used for engineering, sales, marketing, and operations, among other general and administrative purposes. These facilities include approximately 10 million square feet of owned space situated on approximately 520 acres of land we own at our corporate headquarters, and approximately 5 million square feet of space we lease. In addition, we own and lease space domestically that includes office and datacenter space.</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own and lease facilities internationally for datacenters, research and development, and other operations. The largest owned properties include space in the following locations: China, India, Ireland, the Netherlands, and Singapore. The largest leased properties include space in the following locations: Australia, Canada, China, France, Germany, India, Ireland, Israel, Japan, the Netherlands, and the United Kingdom.</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addition to the above locations, we have various product development facilities, both domestically and internationally, as described under Research and Development (Part I, Item 1 of this Form 10-K).</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table below shows a summary of the square footage of our office, datacenter, and other facilities owned and leased domestically and internationally as of June 30, 2022:</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(Square feet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20" w:type="dxa"/>
            <w:vAlign w:val="bottom"/>
          </w:tcPr>
          <w:p>
            <w:pPr>
              <w:spacing w:after="0"/>
              <w:rPr>
                <w:sz w:val="20"/>
                <w:szCs w:val="20"/>
                <w:color w:val="auto"/>
              </w:rPr>
            </w:pPr>
            <w:r>
              <w:rPr>
                <w:rFonts w:ascii="Arial" w:cs="Arial" w:eastAsia="Arial" w:hAnsi="Arial"/>
                <w:sz w:val="13"/>
                <w:szCs w:val="13"/>
                <w:b w:val="1"/>
                <w:bCs w:val="1"/>
                <w:color w:val="auto"/>
              </w:rPr>
              <w:t>Location</w:t>
            </w:r>
          </w:p>
        </w:tc>
        <w:tc>
          <w:tcPr>
            <w:tcW w:w="1680" w:type="dxa"/>
            <w:vAlign w:val="bottom"/>
            <w:gridSpan w:val="2"/>
          </w:tcPr>
          <w:p>
            <w:pPr>
              <w:ind w:left="1020"/>
              <w:spacing w:after="0"/>
              <w:rPr>
                <w:sz w:val="20"/>
                <w:szCs w:val="20"/>
                <w:color w:val="auto"/>
              </w:rPr>
            </w:pPr>
            <w:r>
              <w:rPr>
                <w:rFonts w:ascii="Arial" w:cs="Arial" w:eastAsia="Arial" w:hAnsi="Arial"/>
                <w:sz w:val="13"/>
                <w:szCs w:val="13"/>
                <w:b w:val="1"/>
                <w:bCs w:val="1"/>
                <w:color w:val="auto"/>
              </w:rPr>
              <w:t>Owned</w:t>
            </w:r>
          </w:p>
        </w:tc>
        <w:tc>
          <w:tcPr>
            <w:tcW w:w="1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Leased</w:t>
            </w:r>
          </w:p>
        </w:tc>
        <w:tc>
          <w:tcPr>
            <w:tcW w:w="1560" w:type="dxa"/>
            <w:vAlign w:val="bottom"/>
            <w:gridSpan w:val="2"/>
          </w:tcPr>
          <w:p>
            <w:pPr>
              <w:ind w:left="1120"/>
              <w:spacing w:after="0"/>
              <w:rPr>
                <w:sz w:val="20"/>
                <w:szCs w:val="20"/>
                <w:color w:val="auto"/>
              </w:rPr>
            </w:pPr>
            <w:r>
              <w:rPr>
                <w:rFonts w:ascii="Arial" w:cs="Arial" w:eastAsia="Arial" w:hAnsi="Arial"/>
                <w:sz w:val="13"/>
                <w:szCs w:val="13"/>
                <w:b w:val="1"/>
                <w:bCs w:val="1"/>
                <w:color w:val="auto"/>
              </w:rPr>
              <w:t>Total</w:t>
            </w:r>
          </w:p>
        </w:tc>
      </w:tr>
      <w:tr>
        <w:trPr>
          <w:trHeight w:val="54"/>
        </w:trPr>
        <w:tc>
          <w:tcPr>
            <w:tcW w:w="6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6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16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25</w:t>
            </w:r>
          </w:p>
        </w:tc>
        <w:tc>
          <w:tcPr>
            <w:tcW w:w="16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19</w:t>
            </w:r>
          </w:p>
        </w:tc>
        <w:tc>
          <w:tcPr>
            <w:tcW w:w="15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44</w:t>
            </w:r>
          </w:p>
        </w:tc>
      </w:tr>
      <w:tr>
        <w:trPr>
          <w:trHeight w:val="249"/>
        </w:trPr>
        <w:tc>
          <w:tcPr>
            <w:tcW w:w="6320" w:type="dxa"/>
            <w:vAlign w:val="bottom"/>
          </w:tcPr>
          <w:p>
            <w:pPr>
              <w:spacing w:after="0"/>
              <w:rPr>
                <w:sz w:val="20"/>
                <w:szCs w:val="20"/>
                <w:color w:val="auto"/>
              </w:rPr>
            </w:pPr>
            <w:r>
              <w:rPr>
                <w:rFonts w:ascii="Arial" w:cs="Arial" w:eastAsia="Arial" w:hAnsi="Arial"/>
                <w:sz w:val="18"/>
                <w:szCs w:val="18"/>
                <w:color w:val="auto"/>
              </w:rPr>
              <w:t>International</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w:t>
            </w:r>
          </w:p>
        </w:tc>
      </w:tr>
      <w:tr>
        <w:trPr>
          <w:trHeight w:val="67"/>
        </w:trPr>
        <w:tc>
          <w:tcPr>
            <w:tcW w:w="6320" w:type="dxa"/>
            <w:vAlign w:val="bottom"/>
            <w:tcBorders>
              <w:top w:val="single" w:sz="8" w:color="auto"/>
            </w:tcBorders>
          </w:tcPr>
          <w:p>
            <w:pPr>
              <w:spacing w:after="0"/>
              <w:rPr>
                <w:sz w:val="5"/>
                <w:szCs w:val="5"/>
                <w:color w:val="auto"/>
              </w:rPr>
            </w:pPr>
          </w:p>
        </w:tc>
        <w:tc>
          <w:tcPr>
            <w:tcW w:w="14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63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33</w:t>
            </w:r>
          </w:p>
        </w:tc>
        <w:tc>
          <w:tcPr>
            <w:tcW w:w="16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40</w:t>
            </w:r>
          </w:p>
        </w:tc>
        <w:tc>
          <w:tcPr>
            <w:tcW w:w="15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73</w:t>
            </w:r>
          </w:p>
        </w:tc>
      </w:tr>
      <w:tr>
        <w:trPr>
          <w:trHeight w:val="74"/>
        </w:trPr>
        <w:tc>
          <w:tcPr>
            <w:tcW w:w="632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LEGAL PROCEEDINGS</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Refer to Note 15 – Contingencies of the Notes to Financial Statements (Part II, Item 8 of this Form 10-K) for information regarding legal proceedings in which we are involved.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MINE SAFETY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7" w:name="page38"/>
    <w:bookmarkEnd w:id="3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5</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7" w:lineRule="exact"/>
        <w:rPr>
          <w:sz w:val="20"/>
          <w:szCs w:val="20"/>
          <w:color w:val="auto"/>
        </w:rPr>
      </w:pPr>
    </w:p>
    <w:p>
      <w:pPr>
        <w:jc w:val="center"/>
        <w:spacing w:after="0" w:line="260"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MARKET AND STOCKHOLDERS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common stock is traded on the NASDAQ Stock Market under the symbol MSFT. On July 25, 2022, there were 86,465 registered holders of record of our common stock.</w:t>
      </w:r>
    </w:p>
    <w:p>
      <w:pPr>
        <w:spacing w:after="0" w:line="210"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fourth quarter of fiscal year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 Number of</w:t>
            </w:r>
          </w:p>
        </w:tc>
        <w:tc>
          <w:tcPr>
            <w:tcW w:w="4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8"/>
        </w:trPr>
        <w:tc>
          <w:tcPr>
            <w:tcW w:w="3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8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Shares Purchased as</w:t>
            </w:r>
          </w:p>
        </w:tc>
        <w:tc>
          <w:tcPr>
            <w:tcW w:w="440" w:type="dxa"/>
            <w:vAlign w:val="bottom"/>
          </w:tcPr>
          <w:p>
            <w:pPr>
              <w:spacing w:after="0"/>
              <w:rPr>
                <w:sz w:val="12"/>
                <w:szCs w:val="12"/>
                <w:color w:val="auto"/>
              </w:rPr>
            </w:pPr>
          </w:p>
        </w:tc>
        <w:tc>
          <w:tcPr>
            <w:tcW w:w="214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Approximate Dollar Value of</w:t>
            </w:r>
          </w:p>
        </w:tc>
      </w:tr>
      <w:tr>
        <w:trPr>
          <w:trHeight w:val="148"/>
        </w:trPr>
        <w:tc>
          <w:tcPr>
            <w:tcW w:w="3340" w:type="dxa"/>
            <w:vAlign w:val="bottom"/>
          </w:tcPr>
          <w:p>
            <w:pPr>
              <w:spacing w:after="0"/>
              <w:rPr>
                <w:sz w:val="12"/>
                <w:szCs w:val="12"/>
                <w:color w:val="auto"/>
              </w:rPr>
            </w:pPr>
          </w:p>
        </w:tc>
        <w:tc>
          <w:tcPr>
            <w:tcW w:w="164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Total Number</w:t>
            </w:r>
          </w:p>
        </w:tc>
        <w:tc>
          <w:tcPr>
            <w:tcW w:w="520" w:type="dxa"/>
            <w:vAlign w:val="bottom"/>
          </w:tcPr>
          <w:p>
            <w:pPr>
              <w:spacing w:after="0"/>
              <w:rPr>
                <w:sz w:val="12"/>
                <w:szCs w:val="12"/>
                <w:color w:val="auto"/>
              </w:rPr>
            </w:pPr>
          </w:p>
        </w:tc>
        <w:tc>
          <w:tcPr>
            <w:tcW w:w="1280" w:type="dxa"/>
            <w:vAlign w:val="bottom"/>
          </w:tcPr>
          <w:p>
            <w:pPr>
              <w:jc w:val="right"/>
              <w:ind w:right="341"/>
              <w:spacing w:after="0" w:line="148" w:lineRule="exact"/>
              <w:rPr>
                <w:sz w:val="20"/>
                <w:szCs w:val="20"/>
                <w:color w:val="auto"/>
              </w:rPr>
            </w:pPr>
            <w:r>
              <w:rPr>
                <w:rFonts w:ascii="Arial" w:cs="Arial" w:eastAsia="Arial" w:hAnsi="Arial"/>
                <w:sz w:val="13"/>
                <w:szCs w:val="13"/>
                <w:b w:val="1"/>
                <w:bCs w:val="1"/>
                <w:color w:val="auto"/>
              </w:rPr>
              <w:t>Average</w:t>
            </w:r>
          </w:p>
        </w:tc>
        <w:tc>
          <w:tcPr>
            <w:tcW w:w="188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Part of Publicly</w:t>
            </w:r>
          </w:p>
        </w:tc>
        <w:tc>
          <w:tcPr>
            <w:tcW w:w="440" w:type="dxa"/>
            <w:vAlign w:val="bottom"/>
          </w:tcPr>
          <w:p>
            <w:pPr>
              <w:spacing w:after="0"/>
              <w:rPr>
                <w:sz w:val="12"/>
                <w:szCs w:val="12"/>
                <w:color w:val="auto"/>
              </w:rPr>
            </w:pPr>
          </w:p>
        </w:tc>
        <w:tc>
          <w:tcPr>
            <w:tcW w:w="214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Shares That May Yet Be</w:t>
            </w:r>
          </w:p>
        </w:tc>
      </w:tr>
      <w:tr>
        <w:trPr>
          <w:trHeight w:val="148"/>
        </w:trPr>
        <w:tc>
          <w:tcPr>
            <w:tcW w:w="3340" w:type="dxa"/>
            <w:vAlign w:val="bottom"/>
          </w:tcPr>
          <w:p>
            <w:pPr>
              <w:spacing w:after="0"/>
              <w:rPr>
                <w:sz w:val="12"/>
                <w:szCs w:val="12"/>
                <w:color w:val="auto"/>
              </w:rPr>
            </w:pPr>
          </w:p>
        </w:tc>
        <w:tc>
          <w:tcPr>
            <w:tcW w:w="164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of Shares</w:t>
            </w:r>
          </w:p>
        </w:tc>
        <w:tc>
          <w:tcPr>
            <w:tcW w:w="520" w:type="dxa"/>
            <w:vAlign w:val="bottom"/>
          </w:tcPr>
          <w:p>
            <w:pPr>
              <w:spacing w:after="0"/>
              <w:rPr>
                <w:sz w:val="12"/>
                <w:szCs w:val="12"/>
                <w:color w:val="auto"/>
              </w:rPr>
            </w:pPr>
          </w:p>
        </w:tc>
        <w:tc>
          <w:tcPr>
            <w:tcW w:w="1280" w:type="dxa"/>
            <w:vAlign w:val="bottom"/>
          </w:tcPr>
          <w:p>
            <w:pPr>
              <w:jc w:val="right"/>
              <w:ind w:right="341"/>
              <w:spacing w:after="0" w:line="148" w:lineRule="exact"/>
              <w:rPr>
                <w:sz w:val="20"/>
                <w:szCs w:val="20"/>
                <w:color w:val="auto"/>
              </w:rPr>
            </w:pPr>
            <w:r>
              <w:rPr>
                <w:rFonts w:ascii="Arial" w:cs="Arial" w:eastAsia="Arial" w:hAnsi="Arial"/>
                <w:sz w:val="13"/>
                <w:szCs w:val="13"/>
                <w:b w:val="1"/>
                <w:bCs w:val="1"/>
                <w:color w:val="auto"/>
              </w:rPr>
              <w:t>Price Paid</w:t>
            </w:r>
          </w:p>
        </w:tc>
        <w:tc>
          <w:tcPr>
            <w:tcW w:w="188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Announced Plans</w:t>
            </w:r>
          </w:p>
        </w:tc>
        <w:tc>
          <w:tcPr>
            <w:tcW w:w="440" w:type="dxa"/>
            <w:vAlign w:val="bottom"/>
          </w:tcPr>
          <w:p>
            <w:pPr>
              <w:spacing w:after="0"/>
              <w:rPr>
                <w:sz w:val="12"/>
                <w:szCs w:val="12"/>
                <w:color w:val="auto"/>
              </w:rPr>
            </w:pPr>
          </w:p>
        </w:tc>
        <w:tc>
          <w:tcPr>
            <w:tcW w:w="214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Purchased Under the Plans</w:t>
            </w:r>
          </w:p>
        </w:tc>
      </w:tr>
      <w:tr>
        <w:trPr>
          <w:trHeight w:val="178"/>
        </w:trPr>
        <w:tc>
          <w:tcPr>
            <w:tcW w:w="3340" w:type="dxa"/>
            <w:vAlign w:val="bottom"/>
          </w:tcPr>
          <w:p>
            <w:pPr>
              <w:spacing w:after="0"/>
              <w:rPr>
                <w:sz w:val="20"/>
                <w:szCs w:val="20"/>
                <w:color w:val="auto"/>
              </w:rPr>
            </w:pPr>
            <w:r>
              <w:rPr>
                <w:rFonts w:ascii="Arial" w:cs="Arial" w:eastAsia="Arial" w:hAnsi="Arial"/>
                <w:sz w:val="13"/>
                <w:szCs w:val="13"/>
                <w:b w:val="1"/>
                <w:bCs w:val="1"/>
                <w:color w:val="auto"/>
              </w:rPr>
              <w:t>Period</w:t>
            </w:r>
          </w:p>
        </w:tc>
        <w:tc>
          <w:tcPr>
            <w:tcW w:w="1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Purchased</w:t>
            </w:r>
          </w:p>
        </w:tc>
        <w:tc>
          <w:tcPr>
            <w:tcW w:w="520" w:type="dxa"/>
            <w:vAlign w:val="bottom"/>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Arial" w:cs="Arial" w:eastAsia="Arial" w:hAnsi="Arial"/>
                <w:sz w:val="13"/>
                <w:szCs w:val="13"/>
                <w:b w:val="1"/>
                <w:bCs w:val="1"/>
                <w:color w:val="auto"/>
              </w:rPr>
              <w:t>Per Share</w:t>
            </w:r>
          </w:p>
        </w:tc>
        <w:tc>
          <w:tcPr>
            <w:tcW w:w="1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or Programs</w:t>
            </w:r>
          </w:p>
        </w:tc>
        <w:tc>
          <w:tcPr>
            <w:tcW w:w="440" w:type="dxa"/>
            <w:vAlign w:val="bottom"/>
          </w:tcPr>
          <w:p>
            <w:pPr>
              <w:spacing w:after="0"/>
              <w:rPr>
                <w:sz w:val="15"/>
                <w:szCs w:val="15"/>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or Programs</w:t>
            </w:r>
          </w:p>
        </w:tc>
      </w:tr>
      <w:tr>
        <w:trPr>
          <w:trHeight w:val="54"/>
        </w:trPr>
        <w:tc>
          <w:tcPr>
            <w:tcW w:w="33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22"/>
        </w:trPr>
        <w:tc>
          <w:tcPr>
            <w:tcW w:w="3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(In millions)</w:t>
            </w:r>
          </w:p>
        </w:tc>
      </w:tr>
      <w:tr>
        <w:trPr>
          <w:trHeight w:val="54"/>
        </w:trPr>
        <w:tc>
          <w:tcPr>
            <w:tcW w:w="33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3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April 1, 2022 – April 30, 2022</w:t>
            </w:r>
          </w:p>
        </w:tc>
        <w:tc>
          <w:tcPr>
            <w:tcW w:w="16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9,124,963</w:t>
            </w:r>
          </w:p>
        </w:tc>
        <w:tc>
          <w:tcPr>
            <w:tcW w:w="5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5E5E5"/>
          </w:tcPr>
          <w:p>
            <w:pPr>
              <w:jc w:val="right"/>
              <w:ind w:right="341"/>
              <w:spacing w:after="0" w:line="189" w:lineRule="exact"/>
              <w:rPr>
                <w:sz w:val="20"/>
                <w:szCs w:val="20"/>
                <w:color w:val="auto"/>
              </w:rPr>
            </w:pPr>
            <w:r>
              <w:rPr>
                <w:rFonts w:ascii="Arial" w:cs="Arial" w:eastAsia="Arial" w:hAnsi="Arial"/>
                <w:sz w:val="18"/>
                <w:szCs w:val="18"/>
                <w:b w:val="1"/>
                <w:bCs w:val="1"/>
                <w:color w:val="auto"/>
              </w:rPr>
              <w:t>289.34</w:t>
            </w:r>
          </w:p>
        </w:tc>
        <w:tc>
          <w:tcPr>
            <w:tcW w:w="18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9,124,963</w:t>
            </w:r>
          </w:p>
        </w:tc>
        <w:tc>
          <w:tcPr>
            <w:tcW w:w="4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2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45,869</w:t>
            </w:r>
          </w:p>
        </w:tc>
      </w:tr>
      <w:tr>
        <w:trPr>
          <w:trHeight w:val="189"/>
        </w:trPr>
        <w:tc>
          <w:tcPr>
            <w:tcW w:w="3340" w:type="dxa"/>
            <w:vAlign w:val="bottom"/>
          </w:tcPr>
          <w:p>
            <w:pPr>
              <w:spacing w:after="0" w:line="189" w:lineRule="exact"/>
              <w:rPr>
                <w:sz w:val="20"/>
                <w:szCs w:val="20"/>
                <w:color w:val="auto"/>
              </w:rPr>
            </w:pPr>
            <w:r>
              <w:rPr>
                <w:rFonts w:ascii="Arial" w:cs="Arial" w:eastAsia="Arial" w:hAnsi="Arial"/>
                <w:sz w:val="18"/>
                <w:szCs w:val="18"/>
                <w:color w:val="auto"/>
              </w:rPr>
              <w:t>May 1, 2022 – May 31, 2022</w:t>
            </w:r>
          </w:p>
        </w:tc>
        <w:tc>
          <w:tcPr>
            <w:tcW w:w="16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9,809,727</w:t>
            </w:r>
          </w:p>
        </w:tc>
        <w:tc>
          <w:tcPr>
            <w:tcW w:w="520" w:type="dxa"/>
            <w:vAlign w:val="bottom"/>
          </w:tcPr>
          <w:p>
            <w:pPr>
              <w:spacing w:after="0"/>
              <w:rPr>
                <w:sz w:val="16"/>
                <w:szCs w:val="16"/>
                <w:color w:val="auto"/>
              </w:rPr>
            </w:pPr>
          </w:p>
        </w:tc>
        <w:tc>
          <w:tcPr>
            <w:tcW w:w="1280" w:type="dxa"/>
            <w:vAlign w:val="bottom"/>
          </w:tcPr>
          <w:p>
            <w:pPr>
              <w:jc w:val="right"/>
              <w:ind w:right="341"/>
              <w:spacing w:after="0" w:line="189" w:lineRule="exact"/>
              <w:rPr>
                <w:sz w:val="20"/>
                <w:szCs w:val="20"/>
                <w:color w:val="auto"/>
              </w:rPr>
            </w:pPr>
            <w:r>
              <w:rPr>
                <w:rFonts w:ascii="Arial" w:cs="Arial" w:eastAsia="Arial" w:hAnsi="Arial"/>
                <w:sz w:val="18"/>
                <w:szCs w:val="18"/>
                <w:b w:val="1"/>
                <w:bCs w:val="1"/>
                <w:color w:val="auto"/>
              </w:rPr>
              <w:t>265.95</w:t>
            </w:r>
          </w:p>
        </w:tc>
        <w:tc>
          <w:tcPr>
            <w:tcW w:w="18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9,809,727</w:t>
            </w:r>
          </w:p>
        </w:tc>
        <w:tc>
          <w:tcPr>
            <w:tcW w:w="440" w:type="dxa"/>
            <w:vAlign w:val="bottom"/>
          </w:tcPr>
          <w:p>
            <w:pPr>
              <w:spacing w:after="0"/>
              <w:rPr>
                <w:sz w:val="16"/>
                <w:szCs w:val="16"/>
                <w:color w:val="auto"/>
              </w:rPr>
            </w:pPr>
          </w:p>
        </w:tc>
        <w:tc>
          <w:tcPr>
            <w:tcW w:w="21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43,260</w:t>
            </w:r>
          </w:p>
        </w:tc>
      </w:tr>
      <w:tr>
        <w:trPr>
          <w:trHeight w:val="189"/>
        </w:trPr>
        <w:tc>
          <w:tcPr>
            <w:tcW w:w="3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2022 – June 30, 2022</w:t>
            </w:r>
          </w:p>
        </w:tc>
        <w:tc>
          <w:tcPr>
            <w:tcW w:w="16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9,832,841</w:t>
            </w:r>
          </w:p>
        </w:tc>
        <w:tc>
          <w:tcPr>
            <w:tcW w:w="520" w:type="dxa"/>
            <w:vAlign w:val="bottom"/>
            <w:shd w:val="clear" w:color="auto" w:fill="E5E5E5"/>
          </w:tcPr>
          <w:p>
            <w:pPr>
              <w:spacing w:after="0"/>
              <w:rPr>
                <w:sz w:val="16"/>
                <w:szCs w:val="16"/>
                <w:color w:val="auto"/>
              </w:rPr>
            </w:pPr>
          </w:p>
        </w:tc>
        <w:tc>
          <w:tcPr>
            <w:tcW w:w="1280" w:type="dxa"/>
            <w:vAlign w:val="bottom"/>
            <w:shd w:val="clear" w:color="auto" w:fill="E5E5E5"/>
          </w:tcPr>
          <w:p>
            <w:pPr>
              <w:jc w:val="right"/>
              <w:ind w:right="341"/>
              <w:spacing w:after="0" w:line="189" w:lineRule="exact"/>
              <w:rPr>
                <w:sz w:val="20"/>
                <w:szCs w:val="20"/>
                <w:color w:val="auto"/>
              </w:rPr>
            </w:pPr>
            <w:r>
              <w:rPr>
                <w:rFonts w:ascii="Arial" w:cs="Arial" w:eastAsia="Arial" w:hAnsi="Arial"/>
                <w:sz w:val="18"/>
                <w:szCs w:val="18"/>
                <w:b w:val="1"/>
                <w:bCs w:val="1"/>
                <w:color w:val="auto"/>
              </w:rPr>
              <w:t>259.42</w:t>
            </w:r>
          </w:p>
        </w:tc>
        <w:tc>
          <w:tcPr>
            <w:tcW w:w="18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9,832,841</w:t>
            </w:r>
          </w:p>
        </w:tc>
        <w:tc>
          <w:tcPr>
            <w:tcW w:w="440" w:type="dxa"/>
            <w:vAlign w:val="bottom"/>
            <w:shd w:val="clear" w:color="auto" w:fill="E5E5E5"/>
          </w:tcPr>
          <w:p>
            <w:pPr>
              <w:spacing w:after="0"/>
              <w:rPr>
                <w:sz w:val="16"/>
                <w:szCs w:val="16"/>
                <w:color w:val="auto"/>
              </w:rPr>
            </w:pPr>
          </w:p>
        </w:tc>
        <w:tc>
          <w:tcPr>
            <w:tcW w:w="2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40,709</w:t>
            </w:r>
          </w:p>
        </w:tc>
      </w:tr>
      <w:tr>
        <w:trPr>
          <w:trHeight w:val="67"/>
        </w:trPr>
        <w:tc>
          <w:tcPr>
            <w:tcW w:w="33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63"/>
        </w:trPr>
        <w:tc>
          <w:tcPr>
            <w:tcW w:w="3340" w:type="dxa"/>
            <w:vAlign w:val="bottom"/>
          </w:tcPr>
          <w:p>
            <w:pPr>
              <w:spacing w:after="0"/>
              <w:rPr>
                <w:sz w:val="22"/>
                <w:szCs w:val="22"/>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28,767,531</w:t>
            </w: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28,767,531</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61"/>
        </w:trPr>
        <w:tc>
          <w:tcPr>
            <w:tcW w:w="334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20" w:type="dxa"/>
            <w:vAlign w:val="bottom"/>
          </w:tcPr>
          <w:p>
            <w:pPr>
              <w:spacing w:after="0"/>
              <w:rPr>
                <w:sz w:val="5"/>
                <w:szCs w:val="5"/>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fourth quarter of fiscal year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color w:val="auto"/>
              </w:rPr>
              <w:t>Dividend</w:t>
            </w: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214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3040" w:type="dxa"/>
            <w:vAlign w:val="bottom"/>
          </w:tcPr>
          <w:p>
            <w:pPr>
              <w:ind w:left="960"/>
              <w:spacing w:after="0"/>
              <w:rPr>
                <w:sz w:val="20"/>
                <w:szCs w:val="20"/>
                <w:color w:val="auto"/>
              </w:rPr>
            </w:pPr>
            <w:r>
              <w:rPr>
                <w:rFonts w:ascii="Arial" w:cs="Arial" w:eastAsia="Arial" w:hAnsi="Arial"/>
                <w:sz w:val="13"/>
                <w:szCs w:val="13"/>
                <w:b w:val="1"/>
                <w:bCs w:val="1"/>
                <w:color w:val="auto"/>
              </w:rPr>
              <w:t>Record Date</w:t>
            </w:r>
          </w:p>
        </w:tc>
        <w:tc>
          <w:tcPr>
            <w:tcW w:w="2880" w:type="dxa"/>
            <w:vAlign w:val="bottom"/>
          </w:tcPr>
          <w:p>
            <w:pPr>
              <w:ind w:left="720"/>
              <w:spacing w:after="0"/>
              <w:rPr>
                <w:sz w:val="20"/>
                <w:szCs w:val="20"/>
                <w:color w:val="auto"/>
              </w:rPr>
            </w:pPr>
            <w:r>
              <w:rPr>
                <w:rFonts w:ascii="Arial" w:cs="Arial" w:eastAsia="Arial" w:hAnsi="Arial"/>
                <w:sz w:val="13"/>
                <w:szCs w:val="13"/>
                <w:b w:val="1"/>
                <w:bCs w:val="1"/>
                <w:color w:val="auto"/>
              </w:rPr>
              <w:t>Payment Date</w:t>
            </w:r>
          </w:p>
        </w:tc>
        <w:tc>
          <w:tcPr>
            <w:tcW w:w="88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3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r>
      <w:tr>
        <w:trPr>
          <w:trHeight w:val="54"/>
        </w:trPr>
        <w:tc>
          <w:tcPr>
            <w:tcW w:w="21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22"/>
        </w:trPr>
        <w:tc>
          <w:tcPr>
            <w:tcW w:w="2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 millions)</w:t>
            </w:r>
          </w:p>
        </w:tc>
      </w:tr>
      <w:tr>
        <w:trPr>
          <w:trHeight w:val="54"/>
        </w:trPr>
        <w:tc>
          <w:tcPr>
            <w:tcW w:w="2140" w:type="dxa"/>
            <w:vAlign w:val="bottom"/>
          </w:tcPr>
          <w:p>
            <w:pPr>
              <w:spacing w:after="0"/>
              <w:rPr>
                <w:sz w:val="4"/>
                <w:szCs w:val="4"/>
                <w:color w:val="auto"/>
              </w:rPr>
            </w:pPr>
          </w:p>
        </w:tc>
        <w:tc>
          <w:tcPr>
            <w:tcW w:w="30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21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June 14, 2022</w:t>
            </w:r>
          </w:p>
        </w:tc>
        <w:tc>
          <w:tcPr>
            <w:tcW w:w="3040" w:type="dxa"/>
            <w:vAlign w:val="bottom"/>
            <w:shd w:val="clear" w:color="auto" w:fill="E5E5E5"/>
          </w:tcPr>
          <w:p>
            <w:pPr>
              <w:ind w:left="960"/>
              <w:spacing w:after="0" w:line="189" w:lineRule="exact"/>
              <w:rPr>
                <w:sz w:val="20"/>
                <w:szCs w:val="20"/>
                <w:color w:val="auto"/>
              </w:rPr>
            </w:pPr>
            <w:r>
              <w:rPr>
                <w:rFonts w:ascii="Arial" w:cs="Arial" w:eastAsia="Arial" w:hAnsi="Arial"/>
                <w:sz w:val="18"/>
                <w:szCs w:val="18"/>
                <w:b w:val="1"/>
                <w:bCs w:val="1"/>
                <w:color w:val="auto"/>
              </w:rPr>
              <w:t>August 18, 2022</w:t>
            </w:r>
          </w:p>
        </w:tc>
        <w:tc>
          <w:tcPr>
            <w:tcW w:w="2880" w:type="dxa"/>
            <w:vAlign w:val="bottom"/>
            <w:shd w:val="clear" w:color="auto" w:fill="E5E5E5"/>
          </w:tcPr>
          <w:p>
            <w:pPr>
              <w:ind w:left="720"/>
              <w:spacing w:after="0" w:line="189" w:lineRule="exact"/>
              <w:rPr>
                <w:sz w:val="20"/>
                <w:szCs w:val="20"/>
                <w:color w:val="auto"/>
              </w:rPr>
            </w:pPr>
            <w:r>
              <w:rPr>
                <w:rFonts w:ascii="Arial" w:cs="Arial" w:eastAsia="Arial" w:hAnsi="Arial"/>
                <w:sz w:val="18"/>
                <w:szCs w:val="18"/>
                <w:b w:val="1"/>
                <w:bCs w:val="1"/>
                <w:color w:val="auto"/>
              </w:rPr>
              <w:t>September 8, 2022</w:t>
            </w:r>
          </w:p>
        </w:tc>
        <w:tc>
          <w:tcPr>
            <w:tcW w:w="88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25"/>
              <w:spacing w:after="0" w:line="189" w:lineRule="exact"/>
              <w:rPr>
                <w:sz w:val="20"/>
                <w:szCs w:val="20"/>
                <w:color w:val="auto"/>
              </w:rPr>
            </w:pPr>
            <w:r>
              <w:rPr>
                <w:rFonts w:ascii="Arial" w:cs="Arial" w:eastAsia="Arial" w:hAnsi="Arial"/>
                <w:sz w:val="18"/>
                <w:szCs w:val="18"/>
                <w:b w:val="1"/>
                <w:bCs w:val="1"/>
                <w:color w:val="auto"/>
              </w:rPr>
              <w:t>0.62</w:t>
            </w:r>
          </w:p>
        </w:tc>
        <w:tc>
          <w:tcPr>
            <w:tcW w:w="3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4,627</w:t>
            </w:r>
          </w:p>
        </w:tc>
        <w:tc>
          <w:tcPr>
            <w:tcW w:w="80" w:type="dxa"/>
            <w:vAlign w:val="bottom"/>
            <w:shd w:val="clear" w:color="auto" w:fill="E5E5E5"/>
          </w:tcPr>
          <w:p>
            <w:pPr>
              <w:spacing w:after="0"/>
              <w:rPr>
                <w:sz w:val="16"/>
                <w:szCs w:val="16"/>
                <w:color w:val="auto"/>
              </w:rPr>
            </w:pPr>
          </w:p>
        </w:tc>
      </w:tr>
      <w:tr>
        <w:trPr>
          <w:trHeight w:val="67"/>
        </w:trPr>
        <w:tc>
          <w:tcPr>
            <w:tcW w:w="214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returned $12.4 billion to shareholders in the form of share repurchases and dividends in the fourth quarter of fiscal year 2022. Refer to Note 16 – Stockholders’ Equity of the Notes to Financial Statements (Part II, Item 8 of this Form 10-K) for further discussion regarding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8" w:name="page39"/>
    <w:bookmarkEnd w:id="38"/>
    <w:p>
      <w:pPr>
        <w:ind w:left="4280"/>
        <w:spacing w:after="0"/>
        <w:rPr>
          <w:sz w:val="20"/>
          <w:szCs w:val="20"/>
          <w:color w:val="auto"/>
        </w:rPr>
      </w:pPr>
      <w:r>
        <w:rPr>
          <w:rFonts w:ascii="Arial" w:cs="Arial" w:eastAsia="Arial" w:hAnsi="Arial"/>
          <w:sz w:val="13"/>
          <w:szCs w:val="13"/>
          <w:u w:val="single" w:color="auto"/>
          <w:color w:val="auto"/>
        </w:rPr>
        <w:t>PART II</w:t>
      </w:r>
    </w:p>
    <w:p>
      <w:pPr>
        <w:ind w:left="4320"/>
        <w:spacing w:after="0"/>
        <w:rPr>
          <w:sz w:val="20"/>
          <w:szCs w:val="20"/>
          <w:color w:val="auto"/>
        </w:rPr>
      </w:pPr>
      <w:r>
        <w:rPr>
          <w:rFonts w:ascii="Arial" w:cs="Arial" w:eastAsia="Arial" w:hAnsi="Arial"/>
          <w:sz w:val="13"/>
          <w:szCs w:val="13"/>
          <w:color w:val="auto"/>
        </w:rPr>
        <w:t>Item 6</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38" w:right="1440" w:bottom="1440" w:gutter="0" w:footer="0" w:header="0"/>
        </w:sectPr>
      </w:pPr>
    </w:p>
    <w:bookmarkStart w:id="39" w:name="page40"/>
    <w:bookmarkEnd w:id="3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98" w:lineRule="exact"/>
        <w:rPr>
          <w:sz w:val="20"/>
          <w:szCs w:val="20"/>
          <w:color w:val="auto"/>
        </w:rPr>
      </w:pPr>
    </w:p>
    <w:p>
      <w:pPr>
        <w:jc w:val="center"/>
        <w:ind w:left="340" w:right="400"/>
        <w:spacing w:after="0" w:line="260"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consolidated financial statements and the accompanying Notes to Financial Statements (Part II, Item 8 of this Form 10-K). This section generally discusses the results of our operations for the year ended June 30, 2022 compared to the year ended June 30, 2021. For a discussion of the year ended June 30, 2021 compared to the year ended June 30, 2020, please refer to Part II, Item 7, “Management’s Discussion and Analysis of Financial Condition and Results of Operations” in our Annual Report on Form 10-K for the year ended June 30, 2021.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fiscal year 2022 compared with fiscal year 2021 included:</w:t>
      </w:r>
    </w:p>
    <w:p>
      <w:pPr>
        <w:spacing w:after="0" w:line="76" w:lineRule="exact"/>
        <w:rPr>
          <w:sz w:val="20"/>
          <w:szCs w:val="20"/>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Microsoft Cloud (formerly commercial cloud) revenue increased 32% to $91.2 billion.</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13% driven by Office 365 Commercial growth of 18%.</w:t>
      </w:r>
    </w:p>
    <w:p>
      <w:pPr>
        <w:spacing w:after="0" w:line="62" w:lineRule="exact"/>
        <w:rPr>
          <w:rFonts w:ascii="Arial" w:cs="Arial" w:eastAsia="Arial" w:hAnsi="Arial"/>
          <w:sz w:val="18"/>
          <w:szCs w:val="18"/>
          <w:color w:val="auto"/>
        </w:rPr>
      </w:pPr>
    </w:p>
    <w:p>
      <w:pPr>
        <w:ind w:left="1060" w:right="20" w:hanging="392"/>
        <w:spacing w:after="0" w:line="24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11% and Microsoft 365 Consumer subscribers grew to 59.7 million.</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LinkedIn revenue increased 34%.</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25% driven by Dynamics 365 growth of 39%.</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28% driven by Azure and other cloud services growth of 45%.</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11%.</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Windows Commercial products and cloud services revenue increased 11%.</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Xbox content and services revenue increased 3%.</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Search and news advertising revenue excluding traffic acquisition costs increased 27%.</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Surface revenue increased 3%.</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4, 2022, we completed our acquisition of Nuance Communications, Inc. (“Nuance”) for a total purchase price of $ 18.8 billion, consisting primarily of cash. Nuance is a cloud and artificial intelligence (“AI”) software provider with healthcare and enterprise AI experience, and the acquisition will build on our industry-specific cloud offerings. The financial results of Nuance have been included in our consolidated financial statements since the date of the acquisition. Nuance is reported as part of our Intelligent Cloud segment. Refer to Note 8 – Business Combinations of the Notes to Financial Statements (Part II, Item 8 of this Form 10-K) for further discussion.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0" w:name="page41"/>
    <w:bookmarkEnd w:id="4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devices are primarily manufactured by third-party contract manufacturers, some of which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and/or manufacturers could lead to a similar disruption in our ability to manufacture devices on time to meet consumer demand.</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did not have a material impact on reported revenue or expenses from our international operations in fiscal year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 Item 1A of this Form 10-K) for a discussion of these factors and other risks.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Additional information on our reportable segments is contained in Note 19 – Segment Information and Geographic Data of the Notes to Financial Statements (Part II, Item 8 of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II, Item 8 of this Form 10-K).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first quarter of fiscal year 2022, we made updates to the presentation and method of calculation for certain metrics, most notably changes to incorporate all current and anticipated revenue streams within our Office Consumer and Server products and cloud services metrics and changes to align with how we manage our Windows OEM and Search and news advertising businesses. None of these changes had a material impact on previously reported amounts in our MD&amp;A.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1" w:name="page42"/>
    <w:bookmarkEnd w:id="4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third quarter of fiscal year 2022, we completed our acquisition of Nuance. Nuance is included in all commercial metrics and our Server products and cloud services revenue growth metric. Azure and other cloud services revenue includes Nuance cloud services, and Server products revenue includes Nuance on-premises offerings.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ectPr>
          <w:pgSz w:w="11900" w:h="16838" w:orient="portrait"/>
          <w:cols w:equalWidth="0" w:num="1">
            <w:col w:w="11240"/>
          </w:cols>
          <w:pgMar w:left="320" w:top="138" w:right="339" w:bottom="1440" w:gutter="0" w:footer="0" w:header="0"/>
        </w:sectPr>
      </w:pPr>
    </w:p>
    <w:p>
      <w:pPr>
        <w:spacing w:after="0" w:line="19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Commercial remaining performance obligation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Commercial portion of revenue allocated to remaining performance obligations, which includes unearned revenue and amounts that will be invoiced and recognized as revenue in future periods</w:t>
      </w:r>
    </w:p>
    <w:p>
      <w:pPr>
        <w:spacing w:after="0" w:line="64" w:lineRule="exact"/>
        <w:rPr>
          <w:sz w:val="20"/>
          <w:szCs w:val="20"/>
          <w:color w:val="auto"/>
        </w:rPr>
      </w:pPr>
    </w:p>
    <w:p>
      <w:pPr>
        <w:sectPr>
          <w:pgSz w:w="11900" w:h="16838" w:orient="portrait"/>
          <w:cols w:equalWidth="0" w:num="2">
            <w:col w:w="3840" w:space="660"/>
            <w:col w:w="6740"/>
          </w:cols>
          <w:pgMar w:left="320" w:top="138" w:right="339"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Microsoft Cloud revenue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  from  Azure</w:t>
      </w:r>
    </w:p>
    <w:p>
      <w:pPr>
        <w:spacing w:after="0"/>
        <w:rPr>
          <w:sz w:val="20"/>
          <w:szCs w:val="20"/>
          <w:color w:val="auto"/>
        </w:rPr>
      </w:pPr>
      <w:r>
        <w:rPr>
          <w:rFonts w:ascii="Arial" w:cs="Arial" w:eastAsia="Arial" w:hAnsi="Arial"/>
          <w:sz w:val="18"/>
          <w:szCs w:val="18"/>
          <w:color w:val="auto"/>
        </w:rPr>
        <w:t>commercial  portion  of</w:t>
      </w:r>
    </w:p>
    <w:p>
      <w:pPr>
        <w:spacing w:after="0" w:line="20" w:lineRule="exact"/>
        <w:rPr>
          <w:sz w:val="20"/>
          <w:szCs w:val="20"/>
          <w:color w:val="auto"/>
        </w:rPr>
      </w:pPr>
      <w:r>
        <w:rPr>
          <w:sz w:val="20"/>
          <w:szCs w:val="20"/>
          <w:color w:val="auto"/>
        </w:rPr>
        <w:br w:type="column"/>
      </w:r>
    </w:p>
    <w:p>
      <w:pPr>
        <w:jc w:val="right"/>
        <w:spacing w:after="0" w:line="242" w:lineRule="auto"/>
        <w:rPr>
          <w:sz w:val="20"/>
          <w:szCs w:val="20"/>
          <w:color w:val="auto"/>
        </w:rPr>
      </w:pPr>
      <w:r>
        <w:rPr>
          <w:rFonts w:ascii="Arial" w:cs="Arial" w:eastAsia="Arial" w:hAnsi="Arial"/>
          <w:sz w:val="18"/>
          <w:szCs w:val="18"/>
          <w:color w:val="auto"/>
        </w:rPr>
        <w:t>and  other LinkedIn,</w:t>
      </w:r>
    </w:p>
    <w:p>
      <w:pPr>
        <w:spacing w:after="0" w:line="20" w:lineRule="exact"/>
        <w:rPr>
          <w:sz w:val="20"/>
          <w:szCs w:val="20"/>
          <w:color w:val="auto"/>
        </w:rPr>
      </w:pPr>
      <w:r>
        <w:rPr>
          <w:sz w:val="20"/>
          <w:szCs w:val="20"/>
          <w:color w:val="auto"/>
        </w:rPr>
        <w:br w:type="column"/>
      </w:r>
    </w:p>
    <w:p>
      <w:pPr>
        <w:jc w:val="both"/>
        <w:ind w:firstLine="35"/>
        <w:spacing w:after="0" w:line="242" w:lineRule="auto"/>
        <w:rPr>
          <w:sz w:val="20"/>
          <w:szCs w:val="20"/>
          <w:color w:val="auto"/>
        </w:rPr>
      </w:pPr>
      <w:r>
        <w:rPr>
          <w:rFonts w:ascii="Arial" w:cs="Arial" w:eastAsia="Arial" w:hAnsi="Arial"/>
          <w:sz w:val="18"/>
          <w:szCs w:val="18"/>
          <w:color w:val="auto"/>
        </w:rPr>
        <w:t>cloud services, Dynamics 365,</w:t>
      </w:r>
    </w:p>
    <w:p>
      <w:pPr>
        <w:spacing w:after="0" w:line="20" w:lineRule="exact"/>
        <w:rPr>
          <w:sz w:val="20"/>
          <w:szCs w:val="20"/>
          <w:color w:val="auto"/>
        </w:rPr>
      </w:pPr>
      <w:r>
        <w:rPr>
          <w:sz w:val="20"/>
          <w:szCs w:val="20"/>
          <w:color w:val="auto"/>
        </w:rPr>
        <w:br w:type="column"/>
      </w:r>
    </w:p>
    <w:p>
      <w:pPr>
        <w:ind w:firstLine="32"/>
        <w:spacing w:after="0" w:line="242" w:lineRule="auto"/>
        <w:rPr>
          <w:sz w:val="20"/>
          <w:szCs w:val="20"/>
          <w:color w:val="auto"/>
        </w:rPr>
      </w:pPr>
      <w:r>
        <w:rPr>
          <w:rFonts w:ascii="Arial" w:cs="Arial" w:eastAsia="Arial" w:hAnsi="Arial"/>
          <w:sz w:val="18"/>
          <w:szCs w:val="18"/>
          <w:color w:val="auto"/>
        </w:rPr>
        <w:t>Office 365 and other</w:t>
      </w:r>
    </w:p>
    <w:p>
      <w:pPr>
        <w:spacing w:after="0" w:line="20" w:lineRule="exact"/>
        <w:rPr>
          <w:sz w:val="20"/>
          <w:szCs w:val="20"/>
          <w:color w:val="auto"/>
        </w:rPr>
      </w:pPr>
      <w:r>
        <w:rPr>
          <w:sz w:val="20"/>
          <w:szCs w:val="20"/>
          <w:color w:val="auto"/>
        </w:rPr>
        <w:br w:type="column"/>
      </w:r>
    </w:p>
    <w:p>
      <w:pPr>
        <w:jc w:val="both"/>
        <w:ind w:firstLine="86"/>
        <w:spacing w:after="0" w:line="242" w:lineRule="auto"/>
        <w:rPr>
          <w:sz w:val="20"/>
          <w:szCs w:val="20"/>
          <w:color w:val="auto"/>
        </w:rPr>
      </w:pPr>
      <w:r>
        <w:rPr>
          <w:rFonts w:ascii="Arial" w:cs="Arial" w:eastAsia="Arial" w:hAnsi="Arial"/>
          <w:sz w:val="18"/>
          <w:szCs w:val="18"/>
          <w:color w:val="auto"/>
        </w:rPr>
        <w:t>Commercial, the commercial cloud</w:t>
      </w:r>
    </w:p>
    <w:p>
      <w:pPr>
        <w:spacing w:after="0" w:line="1" w:lineRule="exact"/>
        <w:rPr>
          <w:sz w:val="20"/>
          <w:szCs w:val="20"/>
          <w:color w:val="auto"/>
        </w:rPr>
      </w:pPr>
    </w:p>
    <w:p>
      <w:pPr>
        <w:sectPr>
          <w:pgSz w:w="11900" w:h="16838" w:orient="portrait"/>
          <w:cols w:equalWidth="0" w:num="6">
            <w:col w:w="3780" w:space="720"/>
            <w:col w:w="1880" w:space="60"/>
            <w:col w:w="840" w:space="100"/>
            <w:col w:w="1300" w:space="100"/>
            <w:col w:w="920" w:space="60"/>
            <w:col w:w="1480"/>
          </w:cols>
          <w:pgMar w:left="320" w:top="138" w:right="339" w:bottom="1440" w:gutter="0" w:footer="0" w:header="0"/>
          <w:type w:val="continuous"/>
        </w:sectPr>
      </w:pPr>
    </w:p>
    <w:p>
      <w:pPr>
        <w:ind w:left="4500"/>
        <w:spacing w:after="0"/>
        <w:rPr>
          <w:sz w:val="20"/>
          <w:szCs w:val="20"/>
          <w:color w:val="auto"/>
        </w:rPr>
      </w:pPr>
      <w:r>
        <w:rPr>
          <w:rFonts w:ascii="Arial" w:cs="Arial" w:eastAsia="Arial" w:hAnsi="Arial"/>
          <w:sz w:val="17"/>
          <w:szCs w:val="17"/>
          <w:color w:val="auto"/>
        </w:rPr>
        <w:t>properties</w:t>
      </w:r>
    </w:p>
    <w:p>
      <w:pPr>
        <w:sectPr>
          <w:pgSz w:w="11900" w:h="16838" w:orient="portrait"/>
          <w:cols w:equalWidth="0" w:num="1">
            <w:col w:w="11240"/>
          </w:cols>
          <w:pgMar w:left="320" w:top="138" w:right="339" w:bottom="1440" w:gutter="0" w:footer="0" w:header="0"/>
          <w:type w:val="continuous"/>
        </w:sectPr>
      </w:pP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Microsoft Cloud gross margin percentage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Gross margin percentage for our Microsoft Cloud business</w:t>
      </w:r>
    </w:p>
    <w:p>
      <w:pPr>
        <w:spacing w:after="0" w:line="211" w:lineRule="exact"/>
        <w:rPr>
          <w:sz w:val="20"/>
          <w:szCs w:val="20"/>
          <w:color w:val="auto"/>
        </w:rPr>
      </w:pPr>
    </w:p>
    <w:p>
      <w:pPr>
        <w:sectPr>
          <w:pgSz w:w="11900" w:h="16838" w:orient="portrait"/>
          <w:cols w:equalWidth="0" w:num="2">
            <w:col w:w="3780" w:space="720"/>
            <w:col w:w="6740"/>
          </w:cols>
          <w:pgMar w:left="320" w:top="138"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7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70" w:lineRule="exact"/>
        <w:rPr>
          <w:sz w:val="20"/>
          <w:szCs w:val="20"/>
          <w:color w:val="auto"/>
        </w:rPr>
      </w:pPr>
    </w:p>
    <w:p>
      <w:pPr>
        <w:jc w:val="both"/>
        <w:ind w:left="5300" w:hanging="5130"/>
        <w:spacing w:after="0" w:line="237"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(Office 365 subscriptions, the Office 365 portion of Microsoft 365 Commercial subscriptions, and Office licensed on-premises), comprising Office, Exchange, SharePoint, Microsoft Teams, Office 365 Security and Compliance, and Microsoft Viva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ind w:left="160"/>
              <w:spacing w:after="0"/>
              <w:rPr>
                <w:sz w:val="20"/>
                <w:szCs w:val="20"/>
                <w:color w:val="auto"/>
              </w:rPr>
            </w:pPr>
            <w:r>
              <w:rPr>
                <w:rFonts w:ascii="Arial" w:cs="Arial" w:eastAsia="Arial" w:hAnsi="Arial"/>
                <w:sz w:val="18"/>
                <w:szCs w:val="18"/>
                <w:color w:val="auto"/>
              </w:rPr>
              <w:t>Office Consumer products and cloud services revenue growth</w:t>
            </w:r>
          </w:p>
        </w:tc>
        <w:tc>
          <w:tcPr>
            <w:tcW w:w="6060" w:type="dxa"/>
            <w:vAlign w:val="bottom"/>
          </w:tcPr>
          <w:p>
            <w:pPr>
              <w:ind w:left="120"/>
              <w:spacing w:after="0"/>
              <w:rPr>
                <w:sz w:val="20"/>
                <w:szCs w:val="20"/>
                <w:color w:val="auto"/>
              </w:rPr>
            </w:pPr>
            <w:r>
              <w:rPr>
                <w:rFonts w:ascii="Arial" w:cs="Arial" w:eastAsia="Arial" w:hAnsi="Arial"/>
                <w:sz w:val="18"/>
                <w:szCs w:val="18"/>
                <w:color w:val="auto"/>
              </w:rPr>
              <w:t>Revenue from Office Consumer products and cloud services, including</w:t>
            </w:r>
          </w:p>
        </w:tc>
      </w:tr>
      <w:tr>
        <w:trPr>
          <w:trHeight w:val="202"/>
        </w:trPr>
        <w:tc>
          <w:tcPr>
            <w:tcW w:w="5180" w:type="dxa"/>
            <w:vAlign w:val="bottom"/>
          </w:tcPr>
          <w:p>
            <w:pPr>
              <w:spacing w:after="0"/>
              <w:rPr>
                <w:sz w:val="17"/>
                <w:szCs w:val="17"/>
                <w:color w:val="auto"/>
              </w:rPr>
            </w:pPr>
          </w:p>
        </w:tc>
        <w:tc>
          <w:tcPr>
            <w:tcW w:w="6060" w:type="dxa"/>
            <w:vAlign w:val="bottom"/>
          </w:tcPr>
          <w:p>
            <w:pPr>
              <w:ind w:left="120"/>
              <w:spacing w:after="0" w:line="202" w:lineRule="exact"/>
              <w:rPr>
                <w:sz w:val="20"/>
                <w:szCs w:val="20"/>
                <w:color w:val="auto"/>
              </w:rPr>
            </w:pPr>
            <w:r>
              <w:rPr>
                <w:rFonts w:ascii="Arial" w:cs="Arial" w:eastAsia="Arial" w:hAnsi="Arial"/>
                <w:sz w:val="18"/>
                <w:szCs w:val="18"/>
                <w:color w:val="auto"/>
              </w:rPr>
              <w:t>Microsoft 365 Consumer subscriptions, Office licensed on-premises, and</w:t>
            </w:r>
          </w:p>
        </w:tc>
      </w:tr>
      <w:tr>
        <w:trPr>
          <w:trHeight w:val="216"/>
        </w:trPr>
        <w:tc>
          <w:tcPr>
            <w:tcW w:w="518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other Office services</w:t>
            </w:r>
          </w:p>
        </w:tc>
      </w:tr>
      <w:tr>
        <w:trPr>
          <w:trHeight w:val="268"/>
        </w:trPr>
        <w:tc>
          <w:tcPr>
            <w:tcW w:w="5180" w:type="dxa"/>
            <w:vAlign w:val="bottom"/>
          </w:tcPr>
          <w:p>
            <w:pPr>
              <w:ind w:left="160"/>
              <w:spacing w:after="0"/>
              <w:rPr>
                <w:sz w:val="20"/>
                <w:szCs w:val="20"/>
                <w:color w:val="auto"/>
              </w:rPr>
            </w:pPr>
            <w:r>
              <w:rPr>
                <w:rFonts w:ascii="Arial" w:cs="Arial" w:eastAsia="Arial" w:hAnsi="Arial"/>
                <w:sz w:val="18"/>
                <w:szCs w:val="18"/>
                <w:color w:val="auto"/>
              </w:rPr>
              <w:t>Office 365 Commercial seat growth</w:t>
            </w:r>
          </w:p>
        </w:tc>
        <w:tc>
          <w:tcPr>
            <w:tcW w:w="6060" w:type="dxa"/>
            <w:vAlign w:val="bottom"/>
          </w:tcPr>
          <w:p>
            <w:pPr>
              <w:ind w:left="120"/>
              <w:spacing w:after="0"/>
              <w:rPr>
                <w:sz w:val="20"/>
                <w:szCs w:val="20"/>
                <w:color w:val="auto"/>
              </w:rPr>
            </w:pPr>
            <w:r>
              <w:rPr>
                <w:rFonts w:ascii="Arial" w:cs="Arial" w:eastAsia="Arial" w:hAnsi="Arial"/>
                <w:sz w:val="18"/>
                <w:szCs w:val="18"/>
                <w:color w:val="auto"/>
              </w:rPr>
              <w:t>The number of Office 365 Commercial seats at end of period where seats</w:t>
            </w:r>
          </w:p>
        </w:tc>
      </w:tr>
      <w:tr>
        <w:trPr>
          <w:trHeight w:val="216"/>
        </w:trPr>
        <w:tc>
          <w:tcPr>
            <w:tcW w:w="518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are paid users covered by an Office 365 Commercial subscription</w:t>
            </w:r>
          </w:p>
        </w:tc>
      </w:tr>
      <w:tr>
        <w:trPr>
          <w:trHeight w:val="283"/>
        </w:trPr>
        <w:tc>
          <w:tcPr>
            <w:tcW w:w="5180" w:type="dxa"/>
            <w:vAlign w:val="bottom"/>
          </w:tcPr>
          <w:p>
            <w:pPr>
              <w:ind w:left="160"/>
              <w:spacing w:after="0"/>
              <w:rPr>
                <w:sz w:val="20"/>
                <w:szCs w:val="20"/>
                <w:color w:val="auto"/>
              </w:rPr>
            </w:pPr>
            <w:r>
              <w:rPr>
                <w:rFonts w:ascii="Arial" w:cs="Arial" w:eastAsia="Arial" w:hAnsi="Arial"/>
                <w:sz w:val="18"/>
                <w:szCs w:val="18"/>
                <w:color w:val="auto"/>
              </w:rPr>
              <w:t>Microsoft 365 Consumer subscribers</w:t>
            </w:r>
          </w:p>
        </w:tc>
        <w:tc>
          <w:tcPr>
            <w:tcW w:w="6060" w:type="dxa"/>
            <w:vAlign w:val="bottom"/>
          </w:tcPr>
          <w:p>
            <w:pPr>
              <w:ind w:left="120"/>
              <w:spacing w:after="0"/>
              <w:rPr>
                <w:sz w:val="20"/>
                <w:szCs w:val="20"/>
                <w:color w:val="auto"/>
              </w:rPr>
            </w:pPr>
            <w:r>
              <w:rPr>
                <w:rFonts w:ascii="Arial" w:cs="Arial" w:eastAsia="Arial" w:hAnsi="Arial"/>
                <w:sz w:val="18"/>
                <w:szCs w:val="18"/>
                <w:color w:val="auto"/>
              </w:rPr>
              <w:t>The number of Microsoft 365 Consumer subscribers at end of period</w:t>
            </w:r>
          </w:p>
        </w:tc>
      </w:tr>
      <w:tr>
        <w:trPr>
          <w:trHeight w:val="268"/>
        </w:trPr>
        <w:tc>
          <w:tcPr>
            <w:tcW w:w="5180" w:type="dxa"/>
            <w:vAlign w:val="bottom"/>
          </w:tcPr>
          <w:p>
            <w:pPr>
              <w:ind w:left="160"/>
              <w:spacing w:after="0"/>
              <w:rPr>
                <w:sz w:val="20"/>
                <w:szCs w:val="20"/>
                <w:color w:val="auto"/>
              </w:rPr>
            </w:pPr>
            <w:r>
              <w:rPr>
                <w:rFonts w:ascii="Arial" w:cs="Arial" w:eastAsia="Arial" w:hAnsi="Arial"/>
                <w:sz w:val="18"/>
                <w:szCs w:val="18"/>
                <w:color w:val="auto"/>
              </w:rPr>
              <w:t>Dynamics products and cloud services revenue growth</w:t>
            </w:r>
          </w:p>
        </w:tc>
        <w:tc>
          <w:tcPr>
            <w:tcW w:w="6060" w:type="dxa"/>
            <w:vAlign w:val="bottom"/>
          </w:tcPr>
          <w:p>
            <w:pPr>
              <w:ind w:left="120"/>
              <w:spacing w:after="0"/>
              <w:rPr>
                <w:sz w:val="20"/>
                <w:szCs w:val="20"/>
                <w:color w:val="auto"/>
              </w:rPr>
            </w:pPr>
            <w:r>
              <w:rPr>
                <w:rFonts w:ascii="Arial" w:cs="Arial" w:eastAsia="Arial" w:hAnsi="Arial"/>
                <w:sz w:val="18"/>
                <w:szCs w:val="18"/>
                <w:color w:val="auto"/>
              </w:rPr>
              <w:t>Revenue from Dynamics products and cloud services, including Dynamics</w:t>
            </w:r>
          </w:p>
        </w:tc>
      </w:tr>
      <w:tr>
        <w:trPr>
          <w:trHeight w:val="202"/>
        </w:trPr>
        <w:tc>
          <w:tcPr>
            <w:tcW w:w="5180" w:type="dxa"/>
            <w:vAlign w:val="bottom"/>
          </w:tcPr>
          <w:p>
            <w:pPr>
              <w:spacing w:after="0"/>
              <w:rPr>
                <w:sz w:val="17"/>
                <w:szCs w:val="17"/>
                <w:color w:val="auto"/>
              </w:rPr>
            </w:pPr>
          </w:p>
        </w:tc>
        <w:tc>
          <w:tcPr>
            <w:tcW w:w="6060" w:type="dxa"/>
            <w:vAlign w:val="bottom"/>
          </w:tcPr>
          <w:p>
            <w:pPr>
              <w:ind w:left="120"/>
              <w:spacing w:after="0" w:line="202" w:lineRule="exact"/>
              <w:rPr>
                <w:sz w:val="20"/>
                <w:szCs w:val="20"/>
                <w:color w:val="auto"/>
              </w:rPr>
            </w:pPr>
            <w:r>
              <w:rPr>
                <w:rFonts w:ascii="Arial" w:cs="Arial" w:eastAsia="Arial" w:hAnsi="Arial"/>
                <w:sz w:val="18"/>
                <w:szCs w:val="18"/>
                <w:color w:val="auto"/>
              </w:rPr>
              <w:t>365, comprising a set of intelligent, cloud-based applications across ERP,</w:t>
            </w:r>
          </w:p>
        </w:tc>
      </w:tr>
      <w:tr>
        <w:trPr>
          <w:trHeight w:val="202"/>
        </w:trPr>
        <w:tc>
          <w:tcPr>
            <w:tcW w:w="5180" w:type="dxa"/>
            <w:vAlign w:val="bottom"/>
          </w:tcPr>
          <w:p>
            <w:pPr>
              <w:spacing w:after="0"/>
              <w:rPr>
                <w:sz w:val="17"/>
                <w:szCs w:val="17"/>
                <w:color w:val="auto"/>
              </w:rPr>
            </w:pPr>
          </w:p>
        </w:tc>
        <w:tc>
          <w:tcPr>
            <w:tcW w:w="6060" w:type="dxa"/>
            <w:vAlign w:val="bottom"/>
          </w:tcPr>
          <w:p>
            <w:pPr>
              <w:ind w:left="120"/>
              <w:spacing w:after="0" w:line="202" w:lineRule="exact"/>
              <w:rPr>
                <w:sz w:val="20"/>
                <w:szCs w:val="20"/>
                <w:color w:val="auto"/>
              </w:rPr>
            </w:pPr>
            <w:r>
              <w:rPr>
                <w:rFonts w:ascii="Arial" w:cs="Arial" w:eastAsia="Arial" w:hAnsi="Arial"/>
                <w:sz w:val="18"/>
                <w:szCs w:val="18"/>
                <w:color w:val="auto"/>
              </w:rPr>
              <w:t>CRM, Customer Insights, Power Apps, and Power Automate; and on-</w:t>
            </w:r>
          </w:p>
        </w:tc>
      </w:tr>
      <w:tr>
        <w:trPr>
          <w:trHeight w:val="216"/>
        </w:trPr>
        <w:tc>
          <w:tcPr>
            <w:tcW w:w="518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premises ERP and CRM applications</w:t>
            </w:r>
          </w:p>
        </w:tc>
      </w:tr>
      <w:tr>
        <w:trPr>
          <w:trHeight w:val="268"/>
        </w:trPr>
        <w:tc>
          <w:tcPr>
            <w:tcW w:w="5180" w:type="dxa"/>
            <w:vAlign w:val="bottom"/>
          </w:tcPr>
          <w:p>
            <w:pPr>
              <w:ind w:left="160"/>
              <w:spacing w:after="0"/>
              <w:rPr>
                <w:sz w:val="20"/>
                <w:szCs w:val="20"/>
                <w:color w:val="auto"/>
              </w:rPr>
            </w:pPr>
            <w:r>
              <w:rPr>
                <w:rFonts w:ascii="Arial" w:cs="Arial" w:eastAsia="Arial" w:hAnsi="Arial"/>
                <w:sz w:val="18"/>
                <w:szCs w:val="18"/>
                <w:color w:val="auto"/>
              </w:rPr>
              <w:t>LinkedIn revenue growth</w:t>
            </w:r>
          </w:p>
        </w:tc>
        <w:tc>
          <w:tcPr>
            <w:tcW w:w="6060" w:type="dxa"/>
            <w:vAlign w:val="bottom"/>
          </w:tcPr>
          <w:p>
            <w:pPr>
              <w:ind w:left="120"/>
              <w:spacing w:after="0"/>
              <w:rPr>
                <w:sz w:val="20"/>
                <w:szCs w:val="20"/>
                <w:color w:val="auto"/>
              </w:rPr>
            </w:pPr>
            <w:r>
              <w:rPr>
                <w:rFonts w:ascii="Arial" w:cs="Arial" w:eastAsia="Arial" w:hAnsi="Arial"/>
                <w:sz w:val="18"/>
                <w:szCs w:val="18"/>
                <w:color w:val="auto"/>
              </w:rPr>
              <w:t>Revenue from LinkedIn, including Talent Solutions, Marketing Solutions,</w:t>
            </w:r>
          </w:p>
        </w:tc>
      </w:tr>
      <w:tr>
        <w:trPr>
          <w:trHeight w:val="216"/>
        </w:trPr>
        <w:tc>
          <w:tcPr>
            <w:tcW w:w="518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Premium Subscriptions, and Sales Solutions</w:t>
            </w:r>
          </w:p>
        </w:tc>
      </w:tr>
      <w:tr>
        <w:trPr>
          <w:trHeight w:val="268"/>
        </w:trPr>
        <w:tc>
          <w:tcPr>
            <w:tcW w:w="5180" w:type="dxa"/>
            <w:vAlign w:val="bottom"/>
          </w:tcPr>
          <w:p>
            <w:pPr>
              <w:ind w:left="160"/>
              <w:spacing w:after="0"/>
              <w:rPr>
                <w:sz w:val="20"/>
                <w:szCs w:val="20"/>
                <w:color w:val="auto"/>
              </w:rPr>
            </w:pPr>
            <w:r>
              <w:rPr>
                <w:rFonts w:ascii="Arial" w:cs="Arial" w:eastAsia="Arial" w:hAnsi="Arial"/>
                <w:sz w:val="18"/>
                <w:szCs w:val="18"/>
                <w:color w:val="auto"/>
              </w:rPr>
              <w:t>Server products and cloud services revenue growth</w:t>
            </w:r>
          </w:p>
        </w:tc>
        <w:tc>
          <w:tcPr>
            <w:tcW w:w="6060" w:type="dxa"/>
            <w:vAlign w:val="bottom"/>
          </w:tcPr>
          <w:p>
            <w:pPr>
              <w:ind w:left="120"/>
              <w:spacing w:after="0"/>
              <w:rPr>
                <w:sz w:val="20"/>
                <w:szCs w:val="20"/>
                <w:color w:val="auto"/>
              </w:rPr>
            </w:pPr>
            <w:r>
              <w:rPr>
                <w:rFonts w:ascii="Arial" w:cs="Arial" w:eastAsia="Arial" w:hAnsi="Arial"/>
                <w:sz w:val="18"/>
                <w:szCs w:val="18"/>
                <w:color w:val="auto"/>
              </w:rPr>
              <w:t>Revenue from Server products and cloud services, including Azure and</w:t>
            </w:r>
          </w:p>
        </w:tc>
      </w:tr>
      <w:tr>
        <w:trPr>
          <w:trHeight w:val="202"/>
        </w:trPr>
        <w:tc>
          <w:tcPr>
            <w:tcW w:w="5180" w:type="dxa"/>
            <w:vAlign w:val="bottom"/>
          </w:tcPr>
          <w:p>
            <w:pPr>
              <w:spacing w:after="0"/>
              <w:rPr>
                <w:sz w:val="17"/>
                <w:szCs w:val="17"/>
                <w:color w:val="auto"/>
              </w:rPr>
            </w:pPr>
          </w:p>
        </w:tc>
        <w:tc>
          <w:tcPr>
            <w:tcW w:w="6060" w:type="dxa"/>
            <w:vAlign w:val="bottom"/>
          </w:tcPr>
          <w:p>
            <w:pPr>
              <w:ind w:left="120"/>
              <w:spacing w:after="0" w:line="202" w:lineRule="exact"/>
              <w:rPr>
                <w:sz w:val="20"/>
                <w:szCs w:val="20"/>
                <w:color w:val="auto"/>
              </w:rPr>
            </w:pPr>
            <w:r>
              <w:rPr>
                <w:rFonts w:ascii="Arial" w:cs="Arial" w:eastAsia="Arial" w:hAnsi="Arial"/>
                <w:sz w:val="18"/>
                <w:szCs w:val="18"/>
                <w:color w:val="auto"/>
              </w:rPr>
              <w:t>other cloud services; SQL Server, Windows Server, Visual Studio, System</w:t>
            </w:r>
          </w:p>
        </w:tc>
      </w:tr>
      <w:tr>
        <w:trPr>
          <w:trHeight w:val="202"/>
        </w:trPr>
        <w:tc>
          <w:tcPr>
            <w:tcW w:w="5180" w:type="dxa"/>
            <w:vAlign w:val="bottom"/>
          </w:tcPr>
          <w:p>
            <w:pPr>
              <w:spacing w:after="0"/>
              <w:rPr>
                <w:sz w:val="17"/>
                <w:szCs w:val="17"/>
                <w:color w:val="auto"/>
              </w:rPr>
            </w:pPr>
          </w:p>
        </w:tc>
        <w:tc>
          <w:tcPr>
            <w:tcW w:w="6060" w:type="dxa"/>
            <w:vAlign w:val="bottom"/>
          </w:tcPr>
          <w:p>
            <w:pPr>
              <w:ind w:left="120"/>
              <w:spacing w:after="0" w:line="202" w:lineRule="exact"/>
              <w:rPr>
                <w:sz w:val="20"/>
                <w:szCs w:val="20"/>
                <w:color w:val="auto"/>
              </w:rPr>
            </w:pPr>
            <w:r>
              <w:rPr>
                <w:rFonts w:ascii="Arial" w:cs="Arial" w:eastAsia="Arial" w:hAnsi="Arial"/>
                <w:sz w:val="18"/>
                <w:szCs w:val="18"/>
                <w:color w:val="auto"/>
              </w:rPr>
              <w:t>Center, and related Client Access Licenses (“CALs”); and Nuance and</w:t>
            </w:r>
          </w:p>
        </w:tc>
      </w:tr>
      <w:tr>
        <w:trPr>
          <w:trHeight w:val="216"/>
        </w:trPr>
        <w:tc>
          <w:tcPr>
            <w:tcW w:w="518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GitHub</w:t>
            </w:r>
          </w:p>
        </w:tc>
      </w:tr>
      <w:tr>
        <w:trPr>
          <w:trHeight w:val="379"/>
        </w:trPr>
        <w:tc>
          <w:tcPr>
            <w:tcW w:w="5180" w:type="dxa"/>
            <w:vAlign w:val="bottom"/>
          </w:tcPr>
          <w:p>
            <w:pPr>
              <w:spacing w:after="0"/>
              <w:rPr>
                <w:sz w:val="24"/>
                <w:szCs w:val="24"/>
                <w:color w:val="auto"/>
              </w:rPr>
            </w:pPr>
          </w:p>
        </w:tc>
        <w:tc>
          <w:tcPr>
            <w:tcW w:w="6060" w:type="dxa"/>
            <w:vAlign w:val="bottom"/>
          </w:tcPr>
          <w:p>
            <w:pPr>
              <w:ind w:left="360"/>
              <w:spacing w:after="0"/>
              <w:rPr>
                <w:sz w:val="20"/>
                <w:szCs w:val="20"/>
                <w:color w:val="auto"/>
              </w:rPr>
            </w:pPr>
            <w:r>
              <w:rPr>
                <w:rFonts w:ascii="Arial" w:cs="Arial" w:eastAsia="Arial" w:hAnsi="Arial"/>
                <w:sz w:val="14"/>
                <w:szCs w:val="14"/>
                <w:color w:val="auto"/>
              </w:rPr>
              <w:t>42</w:t>
            </w:r>
          </w:p>
        </w:tc>
      </w:tr>
      <w:tr>
        <w:trPr>
          <w:trHeight w:val="100"/>
        </w:trPr>
        <w:tc>
          <w:tcPr>
            <w:tcW w:w="5180" w:type="dxa"/>
            <w:vAlign w:val="bottom"/>
            <w:tcBorders>
              <w:bottom w:val="single" w:sz="8" w:color="9A9A9A"/>
            </w:tcBorders>
          </w:tcPr>
          <w:p>
            <w:pPr>
              <w:spacing w:after="0"/>
              <w:rPr>
                <w:sz w:val="8"/>
                <w:szCs w:val="8"/>
                <w:color w:val="auto"/>
              </w:rPr>
            </w:pPr>
          </w:p>
        </w:tc>
        <w:tc>
          <w:tcPr>
            <w:tcW w:w="6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type w:val="continuous"/>
        </w:sectPr>
      </w:pPr>
    </w:p>
    <w:bookmarkStart w:id="42" w:name="page43"/>
    <w:bookmarkEnd w:id="4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Windows OEM revenue growth</w:t>
            </w:r>
          </w:p>
        </w:tc>
        <w:tc>
          <w:tcPr>
            <w:tcW w:w="5720" w:type="dxa"/>
            <w:vAlign w:val="bottom"/>
            <w:gridSpan w:val="7"/>
          </w:tcPr>
          <w:p>
            <w:pPr>
              <w:ind w:left="60"/>
              <w:spacing w:after="0"/>
              <w:rPr>
                <w:sz w:val="20"/>
                <w:szCs w:val="20"/>
                <w:color w:val="auto"/>
              </w:rPr>
            </w:pPr>
            <w:r>
              <w:rPr>
                <w:rFonts w:ascii="Arial" w:cs="Arial" w:eastAsia="Arial" w:hAnsi="Arial"/>
                <w:sz w:val="18"/>
                <w:szCs w:val="18"/>
                <w:color w:val="auto"/>
              </w:rPr>
              <w:t>Revenue from sales of Windows Pro and non-Pro licenses sold</w:t>
            </w:r>
          </w:p>
        </w:tc>
      </w:tr>
      <w:tr>
        <w:trPr>
          <w:trHeight w:val="216"/>
        </w:trPr>
        <w:tc>
          <w:tcPr>
            <w:tcW w:w="3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ind w:left="60"/>
              <w:spacing w:after="0"/>
              <w:rPr>
                <w:sz w:val="20"/>
                <w:szCs w:val="20"/>
                <w:color w:val="auto"/>
              </w:rPr>
            </w:pPr>
            <w:r>
              <w:rPr>
                <w:rFonts w:ascii="Arial" w:cs="Arial" w:eastAsia="Arial" w:hAnsi="Arial"/>
                <w:sz w:val="18"/>
                <w:szCs w:val="18"/>
                <w:color w:val="auto"/>
              </w:rPr>
              <w:t>through the OEM channel</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Windows Commercial products and cloud services revenue growth</w:t>
            </w:r>
          </w:p>
        </w:tc>
        <w:tc>
          <w:tcPr>
            <w:tcW w:w="5720" w:type="dxa"/>
            <w:vAlign w:val="bottom"/>
            <w:gridSpan w:val="7"/>
          </w:tcPr>
          <w:p>
            <w:pPr>
              <w:ind w:left="60"/>
              <w:spacing w:after="0"/>
              <w:rPr>
                <w:sz w:val="20"/>
                <w:szCs w:val="20"/>
                <w:color w:val="auto"/>
              </w:rPr>
            </w:pPr>
            <w:r>
              <w:rPr>
                <w:rFonts w:ascii="Arial" w:cs="Arial" w:eastAsia="Arial" w:hAnsi="Arial"/>
                <w:sz w:val="18"/>
                <w:szCs w:val="18"/>
                <w:color w:val="auto"/>
              </w:rPr>
              <w:t>Revenue from Windows Commercial products and cloud services,</w:t>
            </w:r>
          </w:p>
        </w:tc>
      </w:tr>
      <w:tr>
        <w:trPr>
          <w:trHeight w:val="202"/>
        </w:trPr>
        <w:tc>
          <w:tcPr>
            <w:tcW w:w="3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720" w:type="dxa"/>
            <w:vAlign w:val="bottom"/>
            <w:gridSpan w:val="7"/>
          </w:tcPr>
          <w:p>
            <w:pPr>
              <w:ind w:left="60"/>
              <w:spacing w:after="0" w:line="202" w:lineRule="exact"/>
              <w:rPr>
                <w:sz w:val="20"/>
                <w:szCs w:val="20"/>
                <w:color w:val="auto"/>
              </w:rPr>
            </w:pPr>
            <w:r>
              <w:rPr>
                <w:rFonts w:ascii="Arial" w:cs="Arial" w:eastAsia="Arial" w:hAnsi="Arial"/>
                <w:sz w:val="18"/>
                <w:szCs w:val="18"/>
                <w:color w:val="auto"/>
              </w:rPr>
              <w:t>comprising  volume  licensing  of  the  Windows  operating  system,</w:t>
            </w:r>
          </w:p>
        </w:tc>
      </w:tr>
      <w:tr>
        <w:trPr>
          <w:trHeight w:val="216"/>
        </w:trPr>
        <w:tc>
          <w:tcPr>
            <w:tcW w:w="3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720" w:type="dxa"/>
            <w:vAlign w:val="bottom"/>
            <w:gridSpan w:val="7"/>
          </w:tcPr>
          <w:p>
            <w:pPr>
              <w:ind w:left="60"/>
              <w:spacing w:after="0"/>
              <w:rPr>
                <w:sz w:val="20"/>
                <w:szCs w:val="20"/>
                <w:color w:val="auto"/>
              </w:rPr>
            </w:pPr>
            <w:r>
              <w:rPr>
                <w:rFonts w:ascii="Arial" w:cs="Arial" w:eastAsia="Arial" w:hAnsi="Arial"/>
                <w:sz w:val="18"/>
                <w:szCs w:val="18"/>
                <w:color w:val="auto"/>
              </w:rPr>
              <w:t>Windows cloud services, and other Windows commercial offerings</w:t>
            </w:r>
          </w:p>
        </w:tc>
      </w:tr>
      <w:tr>
        <w:trPr>
          <w:trHeight w:val="283"/>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Surface revenue growth</w:t>
            </w:r>
          </w:p>
        </w:tc>
        <w:tc>
          <w:tcPr>
            <w:tcW w:w="4420" w:type="dxa"/>
            <w:vAlign w:val="bottom"/>
            <w:gridSpan w:val="5"/>
          </w:tcPr>
          <w:p>
            <w:pPr>
              <w:ind w:left="60"/>
              <w:spacing w:after="0"/>
              <w:rPr>
                <w:sz w:val="20"/>
                <w:szCs w:val="20"/>
                <w:color w:val="auto"/>
              </w:rPr>
            </w:pPr>
            <w:r>
              <w:rPr>
                <w:rFonts w:ascii="Arial" w:cs="Arial" w:eastAsia="Arial" w:hAnsi="Arial"/>
                <w:sz w:val="18"/>
                <w:szCs w:val="18"/>
                <w:color w:val="auto"/>
              </w:rPr>
              <w:t>Revenue from Surface devices and accessories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8"/>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Xbox content and services revenue growth</w:t>
            </w:r>
          </w:p>
        </w:tc>
        <w:tc>
          <w:tcPr>
            <w:tcW w:w="5720" w:type="dxa"/>
            <w:vAlign w:val="bottom"/>
            <w:gridSpan w:val="7"/>
          </w:tcPr>
          <w:p>
            <w:pPr>
              <w:ind w:left="60"/>
              <w:spacing w:after="0"/>
              <w:rPr>
                <w:sz w:val="20"/>
                <w:szCs w:val="20"/>
                <w:color w:val="auto"/>
              </w:rPr>
            </w:pPr>
            <w:r>
              <w:rPr>
                <w:rFonts w:ascii="Arial" w:cs="Arial" w:eastAsia="Arial" w:hAnsi="Arial"/>
                <w:sz w:val="18"/>
                <w:szCs w:val="18"/>
                <w:color w:val="auto"/>
              </w:rPr>
              <w:t>Revenue from Xbox content and services, comprising first- and third-</w:t>
            </w:r>
          </w:p>
        </w:tc>
      </w:tr>
      <w:tr>
        <w:trPr>
          <w:trHeight w:val="202"/>
        </w:trPr>
        <w:tc>
          <w:tcPr>
            <w:tcW w:w="3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720" w:type="dxa"/>
            <w:vAlign w:val="bottom"/>
            <w:gridSpan w:val="7"/>
          </w:tcPr>
          <w:p>
            <w:pPr>
              <w:ind w:left="60"/>
              <w:spacing w:after="0" w:line="202" w:lineRule="exact"/>
              <w:rPr>
                <w:sz w:val="20"/>
                <w:szCs w:val="20"/>
                <w:color w:val="auto"/>
              </w:rPr>
            </w:pPr>
            <w:r>
              <w:rPr>
                <w:rFonts w:ascii="Arial" w:cs="Arial" w:eastAsia="Arial" w:hAnsi="Arial"/>
                <w:sz w:val="18"/>
                <w:szCs w:val="18"/>
                <w:color w:val="auto"/>
              </w:rPr>
              <w:t>party content (including games and in-game content), Xbox Game</w:t>
            </w:r>
          </w:p>
        </w:tc>
      </w:tr>
      <w:tr>
        <w:trPr>
          <w:trHeight w:val="202"/>
        </w:trPr>
        <w:tc>
          <w:tcPr>
            <w:tcW w:w="3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720" w:type="dxa"/>
            <w:vAlign w:val="bottom"/>
            <w:gridSpan w:val="7"/>
          </w:tcPr>
          <w:p>
            <w:pPr>
              <w:ind w:left="60"/>
              <w:spacing w:after="0" w:line="202" w:lineRule="exact"/>
              <w:rPr>
                <w:sz w:val="20"/>
                <w:szCs w:val="20"/>
                <w:color w:val="auto"/>
              </w:rPr>
            </w:pPr>
            <w:r>
              <w:rPr>
                <w:rFonts w:ascii="Arial" w:cs="Arial" w:eastAsia="Arial" w:hAnsi="Arial"/>
                <w:sz w:val="18"/>
                <w:szCs w:val="18"/>
                <w:color w:val="auto"/>
              </w:rPr>
              <w:t>Pass and other subscriptions, Xbox Cloud Gaming, third-party disc</w:t>
            </w:r>
          </w:p>
        </w:tc>
      </w:tr>
      <w:tr>
        <w:trPr>
          <w:trHeight w:val="216"/>
        </w:trPr>
        <w:tc>
          <w:tcPr>
            <w:tcW w:w="3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20" w:type="dxa"/>
            <w:vAlign w:val="bottom"/>
            <w:gridSpan w:val="5"/>
          </w:tcPr>
          <w:p>
            <w:pPr>
              <w:ind w:left="60"/>
              <w:spacing w:after="0"/>
              <w:rPr>
                <w:sz w:val="20"/>
                <w:szCs w:val="20"/>
                <w:color w:val="auto"/>
              </w:rPr>
            </w:pPr>
            <w:r>
              <w:rPr>
                <w:rFonts w:ascii="Arial" w:cs="Arial" w:eastAsia="Arial" w:hAnsi="Arial"/>
                <w:sz w:val="18"/>
                <w:szCs w:val="18"/>
                <w:color w:val="auto"/>
              </w:rPr>
              <w:t>royalties, advertising, and other cloud services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Search and news advertising revenue, excluding TAC, growth</w:t>
            </w:r>
          </w:p>
        </w:tc>
        <w:tc>
          <w:tcPr>
            <w:tcW w:w="5720" w:type="dxa"/>
            <w:vAlign w:val="bottom"/>
            <w:gridSpan w:val="7"/>
          </w:tcPr>
          <w:p>
            <w:pPr>
              <w:ind w:left="60"/>
              <w:spacing w:after="0"/>
              <w:rPr>
                <w:sz w:val="20"/>
                <w:szCs w:val="20"/>
                <w:color w:val="auto"/>
              </w:rPr>
            </w:pPr>
            <w:r>
              <w:rPr>
                <w:rFonts w:ascii="Arial" w:cs="Arial" w:eastAsia="Arial" w:hAnsi="Arial"/>
                <w:sz w:val="18"/>
                <w:szCs w:val="18"/>
                <w:color w:val="auto"/>
                <w:w w:val="99"/>
              </w:rPr>
              <w:t>Revenue from search and news advertising excluding traffic acquisition</w:t>
            </w:r>
          </w:p>
        </w:tc>
      </w:tr>
      <w:tr>
        <w:trPr>
          <w:trHeight w:val="216"/>
        </w:trPr>
        <w:tc>
          <w:tcPr>
            <w:tcW w:w="3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720" w:type="dxa"/>
            <w:vAlign w:val="bottom"/>
            <w:gridSpan w:val="7"/>
          </w:tcPr>
          <w:p>
            <w:pPr>
              <w:ind w:left="60"/>
              <w:spacing w:after="0"/>
              <w:rPr>
                <w:sz w:val="20"/>
                <w:szCs w:val="20"/>
                <w:color w:val="auto"/>
              </w:rPr>
            </w:pPr>
            <w:r>
              <w:rPr>
                <w:rFonts w:ascii="Arial" w:cs="Arial" w:eastAsia="Arial" w:hAnsi="Arial"/>
                <w:sz w:val="18"/>
                <w:szCs w:val="18"/>
                <w:color w:val="auto"/>
              </w:rPr>
              <w:t>costs (“TAC”) paid to Bing Ads network publishers and news partners</w:t>
            </w:r>
          </w:p>
        </w:tc>
      </w:tr>
      <w:tr>
        <w:trPr>
          <w:trHeight w:val="390"/>
        </w:trPr>
        <w:tc>
          <w:tcPr>
            <w:tcW w:w="3980" w:type="dxa"/>
            <w:vAlign w:val="bottom"/>
          </w:tcPr>
          <w:p>
            <w:pPr>
              <w:spacing w:after="0"/>
              <w:rPr>
                <w:sz w:val="24"/>
                <w:szCs w:val="24"/>
                <w:color w:val="auto"/>
              </w:rPr>
            </w:pPr>
          </w:p>
        </w:tc>
        <w:tc>
          <w:tcPr>
            <w:tcW w:w="3920" w:type="dxa"/>
            <w:vAlign w:val="bottom"/>
            <w:gridSpan w:val="4"/>
          </w:tcPr>
          <w:p>
            <w:pPr>
              <w:jc w:val="right"/>
              <w:ind w:right="640"/>
              <w:spacing w:after="0"/>
              <w:rPr>
                <w:sz w:val="20"/>
                <w:szCs w:val="20"/>
                <w:color w:val="auto"/>
              </w:rPr>
            </w:pPr>
            <w:r>
              <w:rPr>
                <w:rFonts w:ascii="Arial" w:cs="Arial" w:eastAsia="Arial" w:hAnsi="Arial"/>
                <w:sz w:val="18"/>
                <w:szCs w:val="18"/>
                <w:color w:val="auto"/>
                <w:w w:val="97"/>
              </w:rPr>
              <w:t>SUMMARY RESULTS OF OPERATIONS</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7"/>
        </w:trPr>
        <w:tc>
          <w:tcPr>
            <w:tcW w:w="398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552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26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560" w:type="dxa"/>
            <w:vAlign w:val="bottom"/>
          </w:tcPr>
          <w:p>
            <w:pPr>
              <w:spacing w:after="0"/>
              <w:rPr>
                <w:sz w:val="15"/>
                <w:szCs w:val="15"/>
                <w:color w:val="auto"/>
              </w:rPr>
            </w:pPr>
          </w:p>
        </w:tc>
        <w:tc>
          <w:tcPr>
            <w:tcW w:w="1480" w:type="dxa"/>
            <w:vAlign w:val="bottom"/>
          </w:tcPr>
          <w:p>
            <w:pPr>
              <w:jc w:val="right"/>
              <w:ind w:right="393"/>
              <w:spacing w:after="0"/>
              <w:rPr>
                <w:sz w:val="20"/>
                <w:szCs w:val="20"/>
                <w:color w:val="auto"/>
              </w:rPr>
            </w:pPr>
            <w:r>
              <w:rPr>
                <w:rFonts w:ascii="Arial" w:cs="Arial" w:eastAsia="Arial" w:hAnsi="Arial"/>
                <w:sz w:val="13"/>
                <w:szCs w:val="13"/>
                <w:b w:val="1"/>
                <w:bCs w:val="1"/>
                <w:color w:val="auto"/>
              </w:rPr>
              <w:t>2021</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r>
      <w:tr>
        <w:trPr>
          <w:trHeight w:val="54"/>
        </w:trPr>
        <w:tc>
          <w:tcPr>
            <w:tcW w:w="39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39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55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260" w:type="dxa"/>
            <w:vAlign w:val="bottom"/>
            <w:shd w:val="clear" w:color="auto" w:fill="E5E5E5"/>
          </w:tcPr>
          <w:p>
            <w:pPr>
              <w:ind w:left="80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198,270</w:t>
            </w:r>
          </w:p>
        </w:tc>
        <w:tc>
          <w:tcPr>
            <w:tcW w:w="5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ind w:right="393"/>
              <w:spacing w:after="0" w:line="189" w:lineRule="exact"/>
              <w:rPr>
                <w:sz w:val="20"/>
                <w:szCs w:val="20"/>
                <w:color w:val="auto"/>
              </w:rPr>
            </w:pPr>
            <w:r>
              <w:rPr>
                <w:rFonts w:ascii="Arial" w:cs="Arial" w:eastAsia="Arial" w:hAnsi="Arial"/>
                <w:sz w:val="18"/>
                <w:szCs w:val="18"/>
                <w:color w:val="auto"/>
              </w:rPr>
              <w:t>168,088</w:t>
            </w:r>
          </w:p>
        </w:tc>
        <w:tc>
          <w:tcPr>
            <w:tcW w:w="13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w:t>
            </w:r>
          </w:p>
        </w:tc>
      </w:tr>
      <w:tr>
        <w:trPr>
          <w:trHeight w:val="189"/>
        </w:trPr>
        <w:tc>
          <w:tcPr>
            <w:tcW w:w="5520" w:type="dxa"/>
            <w:vAlign w:val="bottom"/>
            <w:gridSpan w:val="2"/>
          </w:tcPr>
          <w:p>
            <w:pPr>
              <w:spacing w:after="0" w:line="189" w:lineRule="exact"/>
              <w:rPr>
                <w:sz w:val="20"/>
                <w:szCs w:val="20"/>
                <w:color w:val="auto"/>
              </w:rPr>
            </w:pPr>
            <w:r>
              <w:rPr>
                <w:rFonts w:ascii="Arial" w:cs="Arial" w:eastAsia="Arial" w:hAnsi="Arial"/>
                <w:sz w:val="18"/>
                <w:szCs w:val="18"/>
                <w:color w:val="auto"/>
              </w:rPr>
              <w:t>Gross margin</w:t>
            </w:r>
          </w:p>
        </w:tc>
        <w:tc>
          <w:tcPr>
            <w:tcW w:w="12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135,620</w:t>
            </w:r>
          </w:p>
        </w:tc>
        <w:tc>
          <w:tcPr>
            <w:tcW w:w="560" w:type="dxa"/>
            <w:vAlign w:val="bottom"/>
          </w:tcPr>
          <w:p>
            <w:pPr>
              <w:spacing w:after="0"/>
              <w:rPr>
                <w:sz w:val="16"/>
                <w:szCs w:val="16"/>
                <w:color w:val="auto"/>
              </w:rPr>
            </w:pPr>
          </w:p>
        </w:tc>
        <w:tc>
          <w:tcPr>
            <w:tcW w:w="1480" w:type="dxa"/>
            <w:vAlign w:val="bottom"/>
          </w:tcPr>
          <w:p>
            <w:pPr>
              <w:jc w:val="right"/>
              <w:ind w:right="393"/>
              <w:spacing w:after="0" w:line="189" w:lineRule="exact"/>
              <w:rPr>
                <w:sz w:val="20"/>
                <w:szCs w:val="20"/>
                <w:color w:val="auto"/>
              </w:rPr>
            </w:pPr>
            <w:r>
              <w:rPr>
                <w:rFonts w:ascii="Arial" w:cs="Arial" w:eastAsia="Arial" w:hAnsi="Arial"/>
                <w:sz w:val="18"/>
                <w:szCs w:val="18"/>
                <w:color w:val="auto"/>
              </w:rPr>
              <w:t>115,856</w:t>
            </w: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17%</w:t>
            </w:r>
          </w:p>
        </w:tc>
      </w:tr>
      <w:tr>
        <w:trPr>
          <w:trHeight w:val="189"/>
        </w:trPr>
        <w:tc>
          <w:tcPr>
            <w:tcW w:w="55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2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83,383</w:t>
            </w:r>
          </w:p>
        </w:tc>
        <w:tc>
          <w:tcPr>
            <w:tcW w:w="5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393"/>
              <w:spacing w:after="0" w:line="189" w:lineRule="exact"/>
              <w:rPr>
                <w:sz w:val="20"/>
                <w:szCs w:val="20"/>
                <w:color w:val="auto"/>
              </w:rPr>
            </w:pPr>
            <w:r>
              <w:rPr>
                <w:rFonts w:ascii="Arial" w:cs="Arial" w:eastAsia="Arial" w:hAnsi="Arial"/>
                <w:sz w:val="18"/>
                <w:szCs w:val="18"/>
                <w:color w:val="auto"/>
              </w:rPr>
              <w:t>69,916</w:t>
            </w:r>
          </w:p>
        </w:tc>
        <w:tc>
          <w:tcPr>
            <w:tcW w:w="13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w:t>
            </w:r>
          </w:p>
        </w:tc>
      </w:tr>
      <w:tr>
        <w:trPr>
          <w:trHeight w:val="189"/>
        </w:trPr>
        <w:tc>
          <w:tcPr>
            <w:tcW w:w="5520" w:type="dxa"/>
            <w:vAlign w:val="bottom"/>
            <w:gridSpan w:val="2"/>
          </w:tcPr>
          <w:p>
            <w:pPr>
              <w:spacing w:after="0" w:line="189" w:lineRule="exact"/>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72,738</w:t>
            </w:r>
          </w:p>
        </w:tc>
        <w:tc>
          <w:tcPr>
            <w:tcW w:w="560" w:type="dxa"/>
            <w:vAlign w:val="bottom"/>
          </w:tcPr>
          <w:p>
            <w:pPr>
              <w:spacing w:after="0"/>
              <w:rPr>
                <w:sz w:val="16"/>
                <w:szCs w:val="16"/>
                <w:color w:val="auto"/>
              </w:rPr>
            </w:pPr>
          </w:p>
        </w:tc>
        <w:tc>
          <w:tcPr>
            <w:tcW w:w="1480" w:type="dxa"/>
            <w:vAlign w:val="bottom"/>
          </w:tcPr>
          <w:p>
            <w:pPr>
              <w:jc w:val="right"/>
              <w:ind w:right="393"/>
              <w:spacing w:after="0" w:line="189" w:lineRule="exact"/>
              <w:rPr>
                <w:sz w:val="20"/>
                <w:szCs w:val="20"/>
                <w:color w:val="auto"/>
              </w:rPr>
            </w:pPr>
            <w:r>
              <w:rPr>
                <w:rFonts w:ascii="Arial" w:cs="Arial" w:eastAsia="Arial" w:hAnsi="Arial"/>
                <w:sz w:val="18"/>
                <w:szCs w:val="18"/>
                <w:color w:val="auto"/>
              </w:rPr>
              <w:t>61,271</w:t>
            </w: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w:t>
            </w:r>
          </w:p>
        </w:tc>
      </w:tr>
      <w:tr>
        <w:trPr>
          <w:trHeight w:val="189"/>
        </w:trPr>
        <w:tc>
          <w:tcPr>
            <w:tcW w:w="55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12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9.65</w:t>
            </w:r>
          </w:p>
        </w:tc>
        <w:tc>
          <w:tcPr>
            <w:tcW w:w="5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393"/>
              <w:spacing w:after="0" w:line="189" w:lineRule="exact"/>
              <w:rPr>
                <w:sz w:val="20"/>
                <w:szCs w:val="20"/>
                <w:color w:val="auto"/>
              </w:rPr>
            </w:pPr>
            <w:r>
              <w:rPr>
                <w:rFonts w:ascii="Arial" w:cs="Arial" w:eastAsia="Arial" w:hAnsi="Arial"/>
                <w:sz w:val="18"/>
                <w:szCs w:val="18"/>
                <w:color w:val="auto"/>
              </w:rPr>
              <w:t>8.05</w:t>
            </w:r>
          </w:p>
        </w:tc>
        <w:tc>
          <w:tcPr>
            <w:tcW w:w="13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w:t>
            </w:r>
          </w:p>
        </w:tc>
      </w:tr>
      <w:tr>
        <w:trPr>
          <w:trHeight w:val="256"/>
        </w:trPr>
        <w:tc>
          <w:tcPr>
            <w:tcW w:w="5520" w:type="dxa"/>
            <w:vAlign w:val="bottom"/>
            <w:gridSpan w:val="2"/>
          </w:tcPr>
          <w:p>
            <w:pPr>
              <w:spacing w:after="0"/>
              <w:rPr>
                <w:sz w:val="20"/>
                <w:szCs w:val="20"/>
                <w:color w:val="auto"/>
              </w:rPr>
            </w:pPr>
            <w:r>
              <w:rPr>
                <w:rFonts w:ascii="Arial" w:cs="Arial" w:eastAsia="Arial" w:hAnsi="Arial"/>
                <w:sz w:val="18"/>
                <w:szCs w:val="18"/>
                <w:color w:val="auto"/>
              </w:rPr>
              <w:t>Adjusted net income (non-GAAP)</w:t>
            </w:r>
          </w:p>
        </w:tc>
        <w:tc>
          <w:tcPr>
            <w:tcW w:w="12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69,447</w:t>
            </w:r>
          </w:p>
        </w:tc>
        <w:tc>
          <w:tcPr>
            <w:tcW w:w="560" w:type="dxa"/>
            <w:vAlign w:val="bottom"/>
          </w:tcPr>
          <w:p>
            <w:pPr>
              <w:spacing w:after="0"/>
              <w:rPr>
                <w:sz w:val="22"/>
                <w:szCs w:val="22"/>
                <w:color w:val="auto"/>
              </w:rPr>
            </w:pPr>
          </w:p>
        </w:tc>
        <w:tc>
          <w:tcPr>
            <w:tcW w:w="1480" w:type="dxa"/>
            <w:vAlign w:val="bottom"/>
          </w:tcPr>
          <w:p>
            <w:pPr>
              <w:jc w:val="right"/>
              <w:ind w:right="393"/>
              <w:spacing w:after="0"/>
              <w:rPr>
                <w:sz w:val="20"/>
                <w:szCs w:val="20"/>
                <w:color w:val="auto"/>
              </w:rPr>
            </w:pPr>
            <w:r>
              <w:rPr>
                <w:rFonts w:ascii="Arial" w:cs="Arial" w:eastAsia="Arial" w:hAnsi="Arial"/>
                <w:sz w:val="18"/>
                <w:szCs w:val="18"/>
                <w:color w:val="auto"/>
              </w:rPr>
              <w:t>60,651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189"/>
        </w:trPr>
        <w:tc>
          <w:tcPr>
            <w:tcW w:w="55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Adjusted diluted earnings per share (non-GAAP)</w:t>
            </w:r>
          </w:p>
        </w:tc>
        <w:tc>
          <w:tcPr>
            <w:tcW w:w="12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9.21</w:t>
            </w:r>
          </w:p>
        </w:tc>
        <w:tc>
          <w:tcPr>
            <w:tcW w:w="5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393"/>
              <w:spacing w:after="0" w:line="189" w:lineRule="exact"/>
              <w:rPr>
                <w:sz w:val="20"/>
                <w:szCs w:val="20"/>
                <w:color w:val="auto"/>
              </w:rPr>
            </w:pPr>
            <w:r>
              <w:rPr>
                <w:rFonts w:ascii="Arial" w:cs="Arial" w:eastAsia="Arial" w:hAnsi="Arial"/>
                <w:sz w:val="18"/>
                <w:szCs w:val="18"/>
                <w:color w:val="auto"/>
              </w:rPr>
              <w:t>7.97</w:t>
            </w:r>
          </w:p>
        </w:tc>
        <w:tc>
          <w:tcPr>
            <w:tcW w:w="13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w:t>
            </w:r>
          </w:p>
        </w:tc>
      </w:tr>
      <w:tr>
        <w:trPr>
          <w:trHeight w:val="67"/>
        </w:trPr>
        <w:tc>
          <w:tcPr>
            <w:tcW w:w="39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Adjusted net income and adjusted diluted earnings per share (“EPS”) are non-GAAP financial measures which exclude the net income tax benefit related to transfer of intangible properties in the first quarter of fiscal year 2022 and the net income tax benefit related to an India Supreme Court decision on withholding taxes in the third quarter of fiscal year 2021. Refer to the Non-GAAP Financial Measures section below for a reconciliation of our financial results reported in accordance with GAAP to non-GAAP financial results. See Note 12 – Income Taxes of the Notes to Financial Statements (Part II, Item 8 of this Form 10-K) for further discussion.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2022 Compared with Fiscal Year 2021</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increased $30.2 billion or 18% driven by growth across each of our segments. Intelligent Cloud revenue increased driven by Azure and other cloud services. Productivity and Business Processes revenue increased driven by Office 365 Commercial and LinkedIn. More Personal Computing revenue increased driven by Search and news advertising and Windows.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$10.4 billion or 20% driven by growth in Microsoft Cloud.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$19.8 billion or 17% driven by growth across each of our segments.</w:t>
      </w:r>
    </w:p>
    <w:p>
      <w:pPr>
        <w:spacing w:after="0" w:line="62" w:lineRule="exact"/>
        <w:rPr>
          <w:sz w:val="20"/>
          <w:szCs w:val="20"/>
          <w:color w:val="auto"/>
        </w:rPr>
      </w:pPr>
    </w:p>
    <w:p>
      <w:pPr>
        <w:jc w:val="both"/>
        <w:ind w:left="1060" w:hanging="392"/>
        <w:spacing w:after="0" w:line="239"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percentage decreased slightly. Excluding the impact of the fiscal year 2021 change in accounting estimate for the useful lives of our server and network equipment, gross margin percentage increased 1 point driven by improvement in Productivity and Business Processes.</w:t>
      </w:r>
    </w:p>
    <w:p>
      <w:pPr>
        <w:spacing w:after="0" w:line="55" w:lineRule="exact"/>
        <w:rPr>
          <w:rFonts w:ascii="Arial" w:cs="Arial" w:eastAsia="Arial" w:hAnsi="Arial"/>
          <w:sz w:val="18"/>
          <w:szCs w:val="18"/>
          <w:color w:val="auto"/>
        </w:rPr>
      </w:pPr>
    </w:p>
    <w:p>
      <w:pPr>
        <w:jc w:val="both"/>
        <w:ind w:left="1060" w:hanging="392"/>
        <w:spacing w:after="0" w:line="239"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Microsoft Cloud gross margin percentage decreased slightly to 70%. Excluding the impact of the change in accounting estimate, Microsoft Cloud gross margin percentage increased 3 points driven by improvement across our cloud services, offset in part by sales mix shift to Azure and other cloud services.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3" w:name="page44"/>
    <w:bookmarkEnd w:id="4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$6.3 billion or 14% driven by investments in cloud engineering, LinkedIn, Gaming, and commercial sales.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62" w:lineRule="exact"/>
        <w:rPr>
          <w:sz w:val="20"/>
          <w:szCs w:val="20"/>
          <w:color w:val="auto"/>
        </w:rPr>
      </w:pPr>
    </w:p>
    <w:p>
      <w:pPr>
        <w:ind w:left="1060" w:hanging="392"/>
        <w:spacing w:after="0" w:line="245"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Research and development expenses increased $3.8 billion or 18% driven by investments in cloud engineering, Gaming, and LinkedIn.</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and marketing expenses increased $1.7 billion or 8% driven by investments in commercial sales and LinkedIn. Sales and marketing included a favorable foreign currency impact of 2%.</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administrative expenses increased $793 million or 16% driven by investments in corporate functions.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$13.5 billion or 19% driven by growth across each of our segments.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Current year net income and diluted EPS were positively impacted by the net tax benefit related to the transfer of intangible properties, which resulted in an increase to net income and diluted EPS of $3.3 billion and $0.44, respectively. Prior year net income and diluted EPS were positively impacted by the net tax benefit related to the India Supreme Court decision on withholding taxes, which resulted in an increase to net income and diluted EPS of $620 million and $0.08,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both included an unfavorable foreign currency impact of 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434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4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8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63,364</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53,915</w:t>
            </w:r>
          </w:p>
        </w:tc>
        <w:tc>
          <w:tcPr>
            <w:tcW w:w="2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75,251</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60,080</w:t>
            </w:r>
          </w:p>
        </w:tc>
        <w:tc>
          <w:tcPr>
            <w:tcW w:w="2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3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46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59,655</w:t>
            </w: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54,093</w:t>
            </w:r>
          </w:p>
        </w:tc>
        <w:tc>
          <w:tcPr>
            <w:tcW w:w="2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7"/>
        </w:trPr>
        <w:tc>
          <w:tcPr>
            <w:tcW w:w="43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gridSpan w:val="2"/>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340" w:type="dxa"/>
            <w:vAlign w:val="bottom"/>
          </w:tcPr>
          <w:p>
            <w:pPr>
              <w:ind w:left="220"/>
              <w:spacing w:after="0"/>
              <w:rPr>
                <w:sz w:val="20"/>
                <w:szCs w:val="20"/>
                <w:color w:val="auto"/>
              </w:rPr>
            </w:pPr>
            <w:r>
              <w:rPr>
                <w:rFonts w:ascii="Arial" w:cs="Arial" w:eastAsia="Arial" w:hAnsi="Arial"/>
                <w:sz w:val="18"/>
                <w:szCs w:val="18"/>
                <w:color w:val="auto"/>
              </w:rPr>
              <w:t>Total</w:t>
            </w:r>
          </w:p>
        </w:tc>
        <w:tc>
          <w:tcPr>
            <w:tcW w:w="1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198,270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168,088</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1"/>
        </w:trPr>
        <w:tc>
          <w:tcPr>
            <w:tcW w:w="434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3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34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8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29,687</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24,351</w:t>
            </w:r>
          </w:p>
        </w:tc>
        <w:tc>
          <w:tcPr>
            <w:tcW w:w="2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32,721</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26,126</w:t>
            </w:r>
          </w:p>
        </w:tc>
        <w:tc>
          <w:tcPr>
            <w:tcW w:w="2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3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46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20,975</w:t>
            </w: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19,439</w:t>
            </w:r>
          </w:p>
        </w:tc>
        <w:tc>
          <w:tcPr>
            <w:tcW w:w="2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7"/>
        </w:trPr>
        <w:tc>
          <w:tcPr>
            <w:tcW w:w="43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gridSpan w:val="2"/>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340" w:type="dxa"/>
            <w:vAlign w:val="bottom"/>
          </w:tcPr>
          <w:p>
            <w:pPr>
              <w:ind w:left="220"/>
              <w:spacing w:after="0"/>
              <w:rPr>
                <w:sz w:val="20"/>
                <w:szCs w:val="20"/>
                <w:color w:val="auto"/>
              </w:rPr>
            </w:pPr>
            <w:r>
              <w:rPr>
                <w:rFonts w:ascii="Arial" w:cs="Arial" w:eastAsia="Arial" w:hAnsi="Arial"/>
                <w:sz w:val="18"/>
                <w:szCs w:val="18"/>
                <w:color w:val="auto"/>
              </w:rPr>
              <w:t>Total</w:t>
            </w:r>
          </w:p>
        </w:tc>
        <w:tc>
          <w:tcPr>
            <w:tcW w:w="1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83,383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69,916</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1"/>
        </w:trPr>
        <w:tc>
          <w:tcPr>
            <w:tcW w:w="4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2022 Compared with Fiscal Year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$9.4 billion or 18%.</w:t>
      </w:r>
    </w:p>
    <w:p>
      <w:pPr>
        <w:spacing w:after="0" w:line="62" w:lineRule="exact"/>
        <w:rPr>
          <w:sz w:val="20"/>
          <w:szCs w:val="20"/>
          <w:color w:val="auto"/>
        </w:rPr>
      </w:pPr>
    </w:p>
    <w:p>
      <w:pPr>
        <w:jc w:val="both"/>
        <w:ind w:left="1060" w:hanging="392"/>
        <w:spacing w:after="0" w:line="23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$4.4 billion or 13%. Office 365 Commercial revenue grew 18% driven by seat growth of 14%, with continued momentum in small and medium business and frontline worker offerings, as well as growth in revenue per user. Office Commercial products revenue declined 22% driven by continued customer shift to cloud offerings.</w:t>
      </w:r>
    </w:p>
    <w:p>
      <w:pPr>
        <w:spacing w:after="0" w:line="54"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$641 million or 11% driven by Microsoft 365 Consumer subscription revenue. Microsoft 365 Consumer subscribers grew 15% to 59.7 million.</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LinkedIn revenue increased $3.5 billion or 34% driven by a strong job market in our Talent Solutions business and advertising demand in our Marketing Solutions business.</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25% driven by Dynamics 365 growth of 39%.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4" w:name="page45"/>
    <w:bookmarkEnd w:id="4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$5.3 billion or 22%.</w:t>
      </w:r>
    </w:p>
    <w:p>
      <w:pPr>
        <w:spacing w:after="0" w:line="62" w:lineRule="exact"/>
        <w:rPr>
          <w:sz w:val="20"/>
          <w:szCs w:val="20"/>
          <w:color w:val="auto"/>
        </w:rPr>
      </w:pPr>
    </w:p>
    <w:p>
      <w:pPr>
        <w:jc w:val="both"/>
        <w:ind w:left="1060" w:hanging="392"/>
        <w:spacing w:after="0" w:line="23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$7.3 billion or 17% driven by growth in Office 365 Commercial and LinkedIn. Gross margin percentage was relatively unchanged. Excluding the impact of the change in accounting estimate, gross margin percentage increased 2 points driven by improvement across all cloud services.</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increased $2.0 billion or 11% driven by investments in LinkedIn and cloud engineering.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both included an unfavorable foreign currency impact of 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$15.2 billion or 25%.</w:t>
      </w:r>
    </w:p>
    <w:p>
      <w:pPr>
        <w:spacing w:after="0" w:line="76" w:lineRule="exact"/>
        <w:rPr>
          <w:sz w:val="20"/>
          <w:szCs w:val="20"/>
          <w:color w:val="auto"/>
        </w:rPr>
      </w:pPr>
    </w:p>
    <w:p>
      <w:pPr>
        <w:jc w:val="both"/>
        <w:ind w:left="1060" w:hanging="392"/>
        <w:spacing w:after="0" w:line="23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$14.7 billion or 28% driven by Azure and other cloud services. Azure and other cloud services revenue grew 45% driven by growth in our consumption-based services. Server products revenue increased 5% driven by hybrid solutions, including Windows Server and SQL Server running in multi-cloud environments.</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Enterprise Services revenue increased $464 million or 7% driven by growth in Enterprise Support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$6.6 billion or 25%.</w:t>
      </w:r>
    </w:p>
    <w:p>
      <w:pPr>
        <w:spacing w:after="0" w:line="76" w:lineRule="exact"/>
        <w:rPr>
          <w:sz w:val="20"/>
          <w:szCs w:val="20"/>
          <w:color w:val="auto"/>
        </w:rPr>
      </w:pPr>
    </w:p>
    <w:p>
      <w:pPr>
        <w:jc w:val="both"/>
        <w:ind w:left="1060" w:hanging="392"/>
        <w:spacing w:after="0" w:line="23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increased $9.4 billion or 22% driven by growth in Azure and other cloud services. Gross margin percentage decreased. Excluding the impact of the change in accounting estimate, gross margin percentage was relatively unchanged driven by improvement in Azure and other cloud services, offset in part by sales mix shift to Azure and other cloud services.</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increased $2.8 billion or 16% driven by investments in Azure and other cloud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included an unfavorable foreign currency impact of 2% and 3%,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$5.6 billion or 10%.</w:t>
      </w:r>
    </w:p>
    <w:p>
      <w:pPr>
        <w:spacing w:after="0" w:line="62" w:lineRule="exact"/>
        <w:rPr>
          <w:sz w:val="20"/>
          <w:szCs w:val="20"/>
          <w:color w:val="auto"/>
        </w:rPr>
      </w:pPr>
    </w:p>
    <w:p>
      <w:pPr>
        <w:jc w:val="both"/>
        <w:ind w:left="1060" w:hanging="392"/>
        <w:spacing w:after="0" w:line="239"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Windows revenue increased $2.3 billion or 10% driven by growth in Windows OEM and Windows Commercial. Windows OEM revenue increased 11% driven by continued strength in the commercial PC market, which has higher revenue per license. Windows Commercial products and cloud services revenue increased 11% driven by demand for Microsoft 365.</w:t>
      </w:r>
    </w:p>
    <w:p>
      <w:pPr>
        <w:spacing w:after="0" w:line="55"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Search and news advertising revenue increased $2.3 billion or 25%. Search and news advertising revenue excluding traffic acquisition costs increased 27% driven by higher revenue per search and search volume.</w:t>
      </w:r>
    </w:p>
    <w:p>
      <w:pPr>
        <w:spacing w:after="0" w:line="48" w:lineRule="exact"/>
        <w:rPr>
          <w:rFonts w:ascii="Arial" w:cs="Arial" w:eastAsia="Arial" w:hAnsi="Arial"/>
          <w:sz w:val="18"/>
          <w:szCs w:val="18"/>
          <w:color w:val="auto"/>
        </w:rPr>
      </w:pPr>
    </w:p>
    <w:p>
      <w:pPr>
        <w:jc w:val="both"/>
        <w:ind w:left="1060" w:hanging="392"/>
        <w:spacing w:after="0" w:line="238"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Gaming revenue increased $860 million or 6% on a strong prior year comparable that benefited from Xbox Series X|S launches and stay-at-home scenarios, driven by growth in Xbox hardware and Xbox content and services. Xbox hardware revenue increased 16% due to continued demand for Xbox Series X|S. Xbox content and services revenue increased 3% driven by growth in Xbox Game Pass subscriptions and first-party content, offset in part by a decline in third-party content.</w:t>
      </w:r>
    </w:p>
    <w:p>
      <w:pPr>
        <w:spacing w:after="0" w:line="54" w:lineRule="exact"/>
        <w:rPr>
          <w:rFonts w:ascii="Arial" w:cs="Arial" w:eastAsia="Arial" w:hAnsi="Arial"/>
          <w:sz w:val="18"/>
          <w:szCs w:val="18"/>
          <w:color w:val="auto"/>
        </w:rPr>
      </w:pPr>
    </w:p>
    <w:p>
      <w:pPr>
        <w:ind w:left="1060" w:hanging="392"/>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Surface revenue increased $226 million or 3%.</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income increased $1.5 billion or 8%.</w:t>
      </w:r>
    </w:p>
    <w:p>
      <w:pPr>
        <w:spacing w:after="0" w:line="62" w:lineRule="exact"/>
        <w:rPr>
          <w:sz w:val="20"/>
          <w:szCs w:val="20"/>
          <w:color w:val="auto"/>
        </w:rPr>
      </w:pPr>
    </w:p>
    <w:p>
      <w:pPr>
        <w:ind w:left="1060" w:hanging="392"/>
        <w:spacing w:after="0" w:line="24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margin increased $3.1 billion or 10% driven by growth in Windows and Search and news advertising. Gross margin percentage was relatively unchanged.</w:t>
      </w:r>
    </w:p>
    <w:p>
      <w:pPr>
        <w:spacing w:after="0" w:line="48"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expenses increased $1.5 billion or 14% driven by investments in Gaming, Search and news advertising, and Windows marketing.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5" w:name="page46"/>
    <w:bookmarkEnd w:id="4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426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256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b w:val="1"/>
                <w:bCs w:val="1"/>
                <w:color w:val="auto"/>
              </w:rPr>
              <w:t>2022</w:t>
            </w:r>
          </w:p>
        </w:tc>
        <w:tc>
          <w:tcPr>
            <w:tcW w:w="600" w:type="dxa"/>
            <w:vAlign w:val="bottom"/>
          </w:tcPr>
          <w:p>
            <w:pPr>
              <w:spacing w:after="0"/>
              <w:rPr>
                <w:sz w:val="15"/>
                <w:szCs w:val="15"/>
                <w:color w:val="auto"/>
              </w:rPr>
            </w:pPr>
          </w:p>
        </w:tc>
        <w:tc>
          <w:tcPr>
            <w:tcW w:w="1440" w:type="dxa"/>
            <w:vAlign w:val="bottom"/>
          </w:tcPr>
          <w:p>
            <w:pPr>
              <w:jc w:val="right"/>
              <w:ind w:right="398"/>
              <w:spacing w:after="0"/>
              <w:rPr>
                <w:sz w:val="20"/>
                <w:szCs w:val="20"/>
                <w:color w:val="auto"/>
              </w:rPr>
            </w:pPr>
            <w:r>
              <w:rPr>
                <w:rFonts w:ascii="Arial" w:cs="Arial" w:eastAsia="Arial" w:hAnsi="Arial"/>
                <w:sz w:val="13"/>
                <w:szCs w:val="13"/>
                <w:b w:val="1"/>
                <w:bCs w:val="1"/>
                <w:color w:val="auto"/>
              </w:rPr>
              <w:t>2021</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r>
      <w:tr>
        <w:trPr>
          <w:trHeight w:val="54"/>
        </w:trPr>
        <w:tc>
          <w:tcPr>
            <w:tcW w:w="426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61"/>
        </w:trPr>
        <w:tc>
          <w:tcPr>
            <w:tcW w:w="42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4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256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b w:val="1"/>
                <w:bCs w:val="1"/>
                <w:color w:val="auto"/>
              </w:rPr>
              <w:t>24,512</w:t>
            </w:r>
          </w:p>
        </w:tc>
        <w:tc>
          <w:tcPr>
            <w:tcW w:w="6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E5E5E5"/>
          </w:tcPr>
          <w:p>
            <w:pPr>
              <w:jc w:val="right"/>
              <w:ind w:right="398"/>
              <w:spacing w:after="0" w:line="189" w:lineRule="exact"/>
              <w:rPr>
                <w:sz w:val="20"/>
                <w:szCs w:val="20"/>
                <w:color w:val="auto"/>
              </w:rPr>
            </w:pPr>
            <w:r>
              <w:rPr>
                <w:rFonts w:ascii="Arial" w:cs="Arial" w:eastAsia="Arial" w:hAnsi="Arial"/>
                <w:sz w:val="18"/>
                <w:szCs w:val="18"/>
                <w:color w:val="auto"/>
              </w:rPr>
              <w:t>20,716</w:t>
            </w:r>
          </w:p>
        </w:tc>
        <w:tc>
          <w:tcPr>
            <w:tcW w:w="12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w:t>
            </w:r>
          </w:p>
        </w:tc>
        <w:tc>
          <w:tcPr>
            <w:tcW w:w="120" w:type="dxa"/>
            <w:vAlign w:val="bottom"/>
            <w:shd w:val="clear" w:color="auto" w:fill="E5E5E5"/>
          </w:tcPr>
          <w:p>
            <w:pPr>
              <w:spacing w:after="0"/>
              <w:rPr>
                <w:sz w:val="16"/>
                <w:szCs w:val="16"/>
                <w:color w:val="auto"/>
              </w:rPr>
            </w:pPr>
          </w:p>
        </w:tc>
      </w:tr>
      <w:tr>
        <w:trPr>
          <w:trHeight w:val="249"/>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12%</w:t>
            </w:r>
          </w:p>
        </w:tc>
        <w:tc>
          <w:tcPr>
            <w:tcW w:w="6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12%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20" w:type="dxa"/>
            <w:vAlign w:val="bottom"/>
          </w:tcPr>
          <w:p>
            <w:pPr>
              <w:spacing w:after="0"/>
              <w:rPr>
                <w:sz w:val="21"/>
                <w:szCs w:val="21"/>
                <w:color w:val="auto"/>
              </w:rPr>
            </w:pPr>
          </w:p>
        </w:tc>
      </w:tr>
    </w:tbl>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$3.8 billion or 18% driven by investments in cloud engineering, Gaming, and LinkedIn.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422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2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3"/>
                <w:szCs w:val="13"/>
                <w:b w:val="1"/>
                <w:bCs w:val="1"/>
                <w:color w:val="auto"/>
              </w:rPr>
              <w:t>2022</w:t>
            </w:r>
          </w:p>
        </w:tc>
        <w:tc>
          <w:tcPr>
            <w:tcW w:w="600" w:type="dxa"/>
            <w:vAlign w:val="bottom"/>
          </w:tcPr>
          <w:p>
            <w:pPr>
              <w:spacing w:after="0"/>
              <w:rPr>
                <w:sz w:val="15"/>
                <w:szCs w:val="15"/>
                <w:color w:val="auto"/>
              </w:rPr>
            </w:pPr>
          </w:p>
        </w:tc>
        <w:tc>
          <w:tcPr>
            <w:tcW w:w="1440" w:type="dxa"/>
            <w:vAlign w:val="bottom"/>
          </w:tcPr>
          <w:p>
            <w:pPr>
              <w:jc w:val="right"/>
              <w:ind w:right="398"/>
              <w:spacing w:after="0"/>
              <w:rPr>
                <w:sz w:val="20"/>
                <w:szCs w:val="20"/>
                <w:color w:val="auto"/>
              </w:rPr>
            </w:pPr>
            <w:r>
              <w:rPr>
                <w:rFonts w:ascii="Arial" w:cs="Arial" w:eastAsia="Arial" w:hAnsi="Arial"/>
                <w:sz w:val="13"/>
                <w:szCs w:val="13"/>
                <w:b w:val="1"/>
                <w:bCs w:val="1"/>
                <w:color w:val="auto"/>
              </w:rPr>
              <w:t>2021</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r>
      <w:tr>
        <w:trPr>
          <w:trHeight w:val="54"/>
        </w:trPr>
        <w:tc>
          <w:tcPr>
            <w:tcW w:w="422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2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5"/>
        </w:trPr>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Sales and marketing</w:t>
            </w:r>
          </w:p>
        </w:tc>
        <w:tc>
          <w:tcPr>
            <w:tcW w:w="2620" w:type="dxa"/>
            <w:vAlign w:val="bottom"/>
            <w:shd w:val="clear" w:color="auto" w:fill="E5E5E5"/>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21,825</w:t>
            </w:r>
          </w:p>
        </w:tc>
        <w:tc>
          <w:tcPr>
            <w:tcW w:w="600" w:type="dxa"/>
            <w:vAlign w:val="bottom"/>
            <w:shd w:val="clear" w:color="auto" w:fill="E5E5E5"/>
          </w:tcPr>
          <w:p>
            <w:pPr>
              <w:jc w:val="right"/>
              <w:ind w:right="3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20,117</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E5E5E5"/>
          </w:tcPr>
          <w:p>
            <w:pPr>
              <w:spacing w:after="0"/>
              <w:rPr>
                <w:sz w:val="18"/>
                <w:szCs w:val="18"/>
                <w:color w:val="auto"/>
              </w:rPr>
            </w:pPr>
          </w:p>
        </w:tc>
      </w:tr>
      <w:tr>
        <w:trPr>
          <w:trHeight w:val="249"/>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11%</w:t>
            </w:r>
          </w:p>
        </w:tc>
        <w:tc>
          <w:tcPr>
            <w:tcW w:w="6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12%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1"/>
                <w:szCs w:val="2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Sales and marketing expenses increased $1.7 billion or 8% driven by investments in commercial sales and LinkedIn. Sales and marketing included a favorable foreign currency impact of 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424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40" w:type="dxa"/>
            <w:vAlign w:val="bottom"/>
          </w:tcPr>
          <w:p>
            <w:pPr>
              <w:spacing w:after="0"/>
              <w:rPr>
                <w:sz w:val="15"/>
                <w:szCs w:val="15"/>
                <w:color w:val="auto"/>
              </w:rPr>
            </w:pPr>
          </w:p>
        </w:tc>
        <w:tc>
          <w:tcPr>
            <w:tcW w:w="1020" w:type="dxa"/>
            <w:vAlign w:val="bottom"/>
          </w:tcPr>
          <w:p>
            <w:pPr>
              <w:jc w:val="right"/>
              <w:ind w:right="18"/>
              <w:spacing w:after="0"/>
              <w:rPr>
                <w:sz w:val="20"/>
                <w:szCs w:val="20"/>
                <w:color w:val="auto"/>
              </w:rPr>
            </w:pPr>
            <w:r>
              <w:rPr>
                <w:rFonts w:ascii="Arial" w:cs="Arial" w:eastAsia="Arial" w:hAnsi="Arial"/>
                <w:sz w:val="13"/>
                <w:szCs w:val="13"/>
                <w:b w:val="1"/>
                <w:bCs w:val="1"/>
                <w:color w:val="auto"/>
              </w:rPr>
              <w:t>2022</w:t>
            </w:r>
          </w:p>
        </w:tc>
        <w:tc>
          <w:tcPr>
            <w:tcW w:w="660" w:type="dxa"/>
            <w:vAlign w:val="bottom"/>
          </w:tcPr>
          <w:p>
            <w:pPr>
              <w:spacing w:after="0"/>
              <w:rPr>
                <w:sz w:val="15"/>
                <w:szCs w:val="15"/>
                <w:color w:val="auto"/>
              </w:rPr>
            </w:pPr>
          </w:p>
        </w:tc>
        <w:tc>
          <w:tcPr>
            <w:tcW w:w="1380" w:type="dxa"/>
            <w:vAlign w:val="bottom"/>
          </w:tcPr>
          <w:p>
            <w:pPr>
              <w:jc w:val="right"/>
              <w:ind w:right="378"/>
              <w:spacing w:after="0"/>
              <w:rPr>
                <w:sz w:val="20"/>
                <w:szCs w:val="20"/>
                <w:color w:val="auto"/>
              </w:rPr>
            </w:pPr>
            <w:r>
              <w:rPr>
                <w:rFonts w:ascii="Arial" w:cs="Arial" w:eastAsia="Arial" w:hAnsi="Arial"/>
                <w:sz w:val="13"/>
                <w:szCs w:val="13"/>
                <w:b w:val="1"/>
                <w:bCs w:val="1"/>
                <w:color w:val="auto"/>
              </w:rPr>
              <w:t>2021</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r>
      <w:tr>
        <w:trPr>
          <w:trHeight w:val="54"/>
        </w:trPr>
        <w:tc>
          <w:tcPr>
            <w:tcW w:w="424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2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264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b w:val="1"/>
                <w:bCs w:val="1"/>
                <w:color w:val="auto"/>
              </w:rPr>
              <w:t>5,900</w:t>
            </w:r>
          </w:p>
        </w:tc>
        <w:tc>
          <w:tcPr>
            <w:tcW w:w="6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378"/>
              <w:spacing w:after="0" w:line="189" w:lineRule="exact"/>
              <w:rPr>
                <w:sz w:val="20"/>
                <w:szCs w:val="20"/>
                <w:color w:val="auto"/>
              </w:rPr>
            </w:pPr>
            <w:r>
              <w:rPr>
                <w:rFonts w:ascii="Arial" w:cs="Arial" w:eastAsia="Arial" w:hAnsi="Arial"/>
                <w:sz w:val="18"/>
                <w:szCs w:val="18"/>
                <w:color w:val="auto"/>
              </w:rPr>
              <w:t>5,107</w:t>
            </w:r>
          </w:p>
        </w:tc>
        <w:tc>
          <w:tcPr>
            <w:tcW w:w="12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w:t>
            </w:r>
          </w:p>
        </w:tc>
        <w:tc>
          <w:tcPr>
            <w:tcW w:w="100" w:type="dxa"/>
            <w:vAlign w:val="bottom"/>
            <w:shd w:val="clear" w:color="auto" w:fill="E5E5E5"/>
          </w:tcPr>
          <w:p>
            <w:pPr>
              <w:spacing w:after="0"/>
              <w:rPr>
                <w:sz w:val="16"/>
                <w:szCs w:val="16"/>
                <w:color w:val="auto"/>
              </w:rPr>
            </w:pPr>
          </w:p>
        </w:tc>
      </w:tr>
      <w:tr>
        <w:trPr>
          <w:trHeight w:val="249"/>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6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w:t>
            </w:r>
          </w:p>
        </w:tc>
        <w:tc>
          <w:tcPr>
            <w:tcW w:w="6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color w:val="auto"/>
              </w:rPr>
              <w:t>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1"/>
                <w:szCs w:val="2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and other headcount-related expenses associated with finance, legal, facilities, certain human resources and other administrative personnel, certain taxes, and legal and other administrative fees.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$793 million or 16% driven by investments in corporate functions.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6" w:name="page47"/>
    <w:bookmarkEnd w:id="4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r>
      <w:tr>
        <w:trPr>
          <w:trHeight w:val="54"/>
        </w:trPr>
        <w:tc>
          <w:tcPr>
            <w:tcW w:w="60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6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220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2,094</w:t>
            </w:r>
          </w:p>
        </w:tc>
        <w:tc>
          <w:tcPr>
            <w:tcW w:w="72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2,131</w:t>
            </w:r>
          </w:p>
        </w:tc>
      </w:tr>
      <w:tr>
        <w:trPr>
          <w:trHeight w:val="189"/>
        </w:trPr>
        <w:tc>
          <w:tcPr>
            <w:tcW w:w="60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(2,063)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(2,346)</w:t>
            </w:r>
          </w:p>
        </w:tc>
      </w:tr>
      <w:tr>
        <w:trPr>
          <w:trHeight w:val="189"/>
        </w:trPr>
        <w:tc>
          <w:tcPr>
            <w:tcW w:w="6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156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461</w:t>
            </w:r>
          </w:p>
        </w:tc>
        <w:tc>
          <w:tcPr>
            <w:tcW w:w="8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1,232</w:t>
            </w:r>
          </w:p>
        </w:tc>
      </w:tr>
      <w:tr>
        <w:trPr>
          <w:trHeight w:val="189"/>
        </w:trPr>
        <w:tc>
          <w:tcPr>
            <w:tcW w:w="600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1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17</w:t>
            </w:r>
          </w:p>
        </w:tc>
      </w:tr>
      <w:tr>
        <w:trPr>
          <w:trHeight w:val="189"/>
        </w:trPr>
        <w:tc>
          <w:tcPr>
            <w:tcW w:w="6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156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54</w:t>
            </w:r>
          </w:p>
        </w:tc>
      </w:tr>
      <w:tr>
        <w:trPr>
          <w:trHeight w:val="249"/>
        </w:trPr>
        <w:tc>
          <w:tcPr>
            <w:tcW w:w="6000" w:type="dxa"/>
            <w:vAlign w:val="bottom"/>
          </w:tcPr>
          <w:p>
            <w:pPr>
              <w:spacing w:after="0"/>
              <w:rPr>
                <w:sz w:val="20"/>
                <w:szCs w:val="20"/>
                <w:color w:val="auto"/>
              </w:rPr>
            </w:pPr>
            <w:r>
              <w:rPr>
                <w:rFonts w:ascii="Arial" w:cs="Arial" w:eastAsia="Arial" w:hAnsi="Arial"/>
                <w:sz w:val="18"/>
                <w:szCs w:val="18"/>
                <w:color w:val="auto"/>
              </w:rPr>
              <w:t>Other, net</w:t>
            </w:r>
          </w:p>
        </w:tc>
        <w:tc>
          <w:tcPr>
            <w:tcW w:w="1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67"/>
        </w:trPr>
        <w:tc>
          <w:tcPr>
            <w:tcW w:w="6000" w:type="dxa"/>
            <w:vAlign w:val="bottom"/>
            <w:tcBorders>
              <w:top w:val="single" w:sz="8" w:color="auto"/>
            </w:tcBorders>
          </w:tcPr>
          <w:p>
            <w:pPr>
              <w:spacing w:after="0"/>
              <w:rPr>
                <w:sz w:val="5"/>
                <w:szCs w:val="5"/>
                <w:color w:val="auto"/>
              </w:rPr>
            </w:pPr>
          </w:p>
        </w:tc>
        <w:tc>
          <w:tcPr>
            <w:tcW w:w="15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6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333</w:t>
            </w:r>
          </w:p>
        </w:tc>
        <w:tc>
          <w:tcPr>
            <w:tcW w:w="72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1,186</w:t>
            </w:r>
          </w:p>
        </w:tc>
      </w:tr>
      <w:tr>
        <w:trPr>
          <w:trHeight w:val="74"/>
        </w:trPr>
        <w:tc>
          <w:tcPr>
            <w:tcW w:w="60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Interest and dividends income decreased due to lower portfolio balances. Interest expense decreased due to a decrease in outstanding long-term debt due to debt maturities. Net recognized gains on investments decreased primarily due to lower gains on equity securities.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effective tax rate for fiscal years 2022 and 2021 was 13% and 14%, respectively. The decrease in our effective tax rate was primarily due to a $3.3 billion net income tax benefit in the first quarter of fiscal year 2022 related to the transfer of intangible properties, offset in part by changes in the mix of our income before income taxes between the U.S. and foreign countries, as well as tax benefits in the prior year from the India Supreme Court decision on withholding taxes in the case of Engineering Analysis Centre of Excellent Private Limited vs The Commissioner of Income Tax, an agreement between the U.S. and India tax authorities related to transfer pricing, and final Tax Cuts and Jobs Act (“TCJA”) regulations.</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exceeds the current tax liability from the U.S. global intangible low-taxed income tax.</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historically paid India withholding taxes on software sales through distributor withholding and tax audit assessments in India. In March 2021, the India Supreme Court ruled favorably for companies in 86 separate appeals, some dating back to 2012, holding that software sales are not subject to India withholding taxes. Although we were not a party to the appeals, our software sales in India were determined to be not subject to withholding taxes. Therefore, we recorded a net income tax benefit of $ 620 million in the third quarter of fiscal year 2021 to reflect the results of the India Supreme Court decision impacting fiscal year 1996 through fiscal year 2016.</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effective tax rate was lower than the U.S. federal statutory rate, primarily due to the net income tax benefit related to the transfer of intangible properties, earnings taxed at lower rates in foreign jurisdictions resulting from producing and distributing our products and services through our foreign regional operations center in Ireland, and tax benefits relating to stock-based compensation.</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2022, our U.S. income before income taxes was $47.8 billion and our foreign income before income taxes was $35.9 billion. In fiscal year 2021, our U.S. income before income taxes was $35.0 billion and our foreign income before income taxes was $36.1 billion.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7" w:name="page48"/>
    <w:bookmarkEnd w:id="4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June 30, 2022,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2021, some of which are currently under audit by local tax authorities. The resolution of each of these audits is not expected to be material to our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Adjusted net income and adjusted diluted EPS are non-GAAP financial measures which exclude the net tax benefit related to the transfer of intangible properties in the first quarter of fiscal year 2022 and the net income tax benefit related to an India Supreme Court decision on withholding taxes in the third quarter of fiscal year 2021.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632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5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2021</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63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6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72,738</w:t>
            </w:r>
          </w:p>
        </w:tc>
        <w:tc>
          <w:tcPr>
            <w:tcW w:w="58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E5E5"/>
          </w:tcPr>
          <w:p>
            <w:pPr>
              <w:jc w:val="right"/>
              <w:ind w:right="520"/>
              <w:spacing w:after="0" w:line="189" w:lineRule="exact"/>
              <w:rPr>
                <w:sz w:val="20"/>
                <w:szCs w:val="20"/>
                <w:color w:val="auto"/>
              </w:rPr>
            </w:pPr>
            <w:r>
              <w:rPr>
                <w:rFonts w:ascii="Arial" w:cs="Arial" w:eastAsia="Arial" w:hAnsi="Arial"/>
                <w:sz w:val="18"/>
                <w:szCs w:val="18"/>
                <w:color w:val="auto"/>
              </w:rPr>
              <w:t>61,271</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line="189" w:lineRule="exact"/>
              <w:rPr>
                <w:sz w:val="20"/>
                <w:szCs w:val="20"/>
                <w:color w:val="auto"/>
              </w:rPr>
            </w:pPr>
            <w:r>
              <w:rPr>
                <w:rFonts w:ascii="Arial" w:cs="Arial" w:eastAsia="Arial" w:hAnsi="Arial"/>
                <w:sz w:val="18"/>
                <w:szCs w:val="18"/>
                <w:color w:val="auto"/>
              </w:rPr>
              <w:t>Net income tax benefit related to transfer of intangible properties</w:t>
            </w:r>
          </w:p>
        </w:tc>
        <w:tc>
          <w:tcPr>
            <w:tcW w:w="500" w:type="dxa"/>
            <w:vAlign w:val="bottom"/>
          </w:tcPr>
          <w:p>
            <w:pPr>
              <w:spacing w:after="0"/>
              <w:rPr>
                <w:sz w:val="16"/>
                <w:szCs w:val="16"/>
                <w:color w:val="auto"/>
              </w:rPr>
            </w:pPr>
          </w:p>
        </w:tc>
        <w:tc>
          <w:tcPr>
            <w:tcW w:w="11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(3,291)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6320" w:type="dxa"/>
            <w:vAlign w:val="bottom"/>
            <w:gridSpan w:val="2"/>
            <w:shd w:val="clear" w:color="auto" w:fill="E5E5E5"/>
          </w:tcPr>
          <w:p>
            <w:pPr>
              <w:spacing w:after="0" w:line="175" w:lineRule="exact"/>
              <w:rPr>
                <w:sz w:val="20"/>
                <w:szCs w:val="20"/>
                <w:color w:val="auto"/>
              </w:rPr>
            </w:pPr>
            <w:r>
              <w:rPr>
                <w:rFonts w:ascii="Arial" w:cs="Arial" w:eastAsia="Arial" w:hAnsi="Arial"/>
                <w:sz w:val="18"/>
                <w:szCs w:val="18"/>
                <w:color w:val="auto"/>
              </w:rPr>
              <w:t>Net income tax benefit related to India Supreme Court decision on withholding</w:t>
            </w:r>
          </w:p>
        </w:tc>
        <w:tc>
          <w:tcPr>
            <w:tcW w:w="500" w:type="dxa"/>
            <w:vAlign w:val="bottom"/>
            <w:shd w:val="clear" w:color="auto" w:fill="E5E5E5"/>
          </w:tcPr>
          <w:p>
            <w:pPr>
              <w:spacing w:after="0"/>
              <w:rPr>
                <w:sz w:val="15"/>
                <w:szCs w:val="15"/>
                <w:color w:val="auto"/>
              </w:rPr>
            </w:pPr>
          </w:p>
        </w:tc>
        <w:tc>
          <w:tcPr>
            <w:tcW w:w="110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E5E5E5"/>
          </w:tcPr>
          <w:p>
            <w:pPr>
              <w:spacing w:after="0"/>
              <w:rPr>
                <w:sz w:val="17"/>
                <w:szCs w:val="17"/>
                <w:color w:val="auto"/>
              </w:rPr>
            </w:pPr>
          </w:p>
        </w:tc>
        <w:tc>
          <w:tcPr>
            <w:tcW w:w="616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rPr>
              <w:t>taxes</w:t>
            </w:r>
          </w:p>
        </w:tc>
        <w:tc>
          <w:tcPr>
            <w:tcW w:w="500" w:type="dxa"/>
            <w:vAlign w:val="bottom"/>
            <w:shd w:val="clear" w:color="auto" w:fill="E5E5E5"/>
          </w:tcPr>
          <w:p>
            <w:pPr>
              <w:spacing w:after="0"/>
              <w:rPr>
                <w:sz w:val="17"/>
                <w:szCs w:val="17"/>
                <w:color w:val="auto"/>
              </w:rPr>
            </w:pPr>
          </w:p>
        </w:tc>
        <w:tc>
          <w:tcPr>
            <w:tcW w:w="1100" w:type="dxa"/>
            <w:vAlign w:val="bottom"/>
            <w:gridSpan w:val="2"/>
            <w:vMerge w:val="continue"/>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460"/>
              <w:spacing w:after="0" w:line="203" w:lineRule="exact"/>
              <w:rPr>
                <w:sz w:val="20"/>
                <w:szCs w:val="20"/>
                <w:color w:val="auto"/>
              </w:rPr>
            </w:pPr>
            <w:r>
              <w:rPr>
                <w:rFonts w:ascii="Arial" w:cs="Arial" w:eastAsia="Arial" w:hAnsi="Arial"/>
                <w:sz w:val="18"/>
                <w:szCs w:val="18"/>
                <w:color w:val="auto"/>
              </w:rPr>
              <w:t>(620)</w:t>
            </w:r>
          </w:p>
        </w:tc>
        <w:tc>
          <w:tcPr>
            <w:tcW w:w="1280" w:type="dxa"/>
            <w:vAlign w:val="bottom"/>
            <w:gridSpan w:val="2"/>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160" w:type="dxa"/>
            <w:vAlign w:val="bottom"/>
            <w:tcBorders>
              <w:bottom w:val="single" w:sz="8" w:color="auto"/>
            </w:tcBorders>
          </w:tcPr>
          <w:p>
            <w:pPr>
              <w:spacing w:after="0"/>
              <w:rPr>
                <w:sz w:val="5"/>
                <w:szCs w:val="5"/>
                <w:color w:val="auto"/>
              </w:rPr>
            </w:pPr>
          </w:p>
        </w:tc>
        <w:tc>
          <w:tcPr>
            <w:tcW w:w="6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6160" w:type="dxa"/>
            <w:vAlign w:val="bottom"/>
          </w:tcPr>
          <w:p>
            <w:pPr>
              <w:ind w:left="60"/>
              <w:spacing w:after="0"/>
              <w:rPr>
                <w:sz w:val="20"/>
                <w:szCs w:val="20"/>
                <w:color w:val="auto"/>
              </w:rPr>
            </w:pPr>
            <w:r>
              <w:rPr>
                <w:rFonts w:ascii="Arial" w:cs="Arial" w:eastAsia="Arial" w:hAnsi="Arial"/>
                <w:sz w:val="18"/>
                <w:szCs w:val="18"/>
                <w:color w:val="auto"/>
              </w:rPr>
              <w:t>Adjusted net income (non-GAAP)</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69,447</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60,651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1"/>
        </w:trPr>
        <w:tc>
          <w:tcPr>
            <w:tcW w:w="6320" w:type="dxa"/>
            <w:vAlign w:val="bottom"/>
            <w:gridSpan w:val="2"/>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60" w:type="dxa"/>
            <w:vAlign w:val="bottom"/>
          </w:tcPr>
          <w:p>
            <w:pPr>
              <w:spacing w:after="0"/>
              <w:rPr>
                <w:sz w:val="5"/>
                <w:szCs w:val="5"/>
                <w:color w:val="auto"/>
              </w:rPr>
            </w:pPr>
          </w:p>
        </w:tc>
        <w:tc>
          <w:tcPr>
            <w:tcW w:w="6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9.65</w:t>
            </w:r>
          </w:p>
        </w:tc>
        <w:tc>
          <w:tcPr>
            <w:tcW w:w="58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E5E5"/>
          </w:tcPr>
          <w:p>
            <w:pPr>
              <w:jc w:val="right"/>
              <w:ind w:right="520"/>
              <w:spacing w:after="0" w:line="189" w:lineRule="exact"/>
              <w:rPr>
                <w:sz w:val="20"/>
                <w:szCs w:val="20"/>
                <w:color w:val="auto"/>
              </w:rPr>
            </w:pPr>
            <w:r>
              <w:rPr>
                <w:rFonts w:ascii="Arial" w:cs="Arial" w:eastAsia="Arial" w:hAnsi="Arial"/>
                <w:sz w:val="18"/>
                <w:szCs w:val="18"/>
                <w:color w:val="auto"/>
              </w:rPr>
              <w:t>8.05</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line="189" w:lineRule="exact"/>
              <w:rPr>
                <w:sz w:val="20"/>
                <w:szCs w:val="20"/>
                <w:color w:val="auto"/>
              </w:rPr>
            </w:pPr>
            <w:r>
              <w:rPr>
                <w:rFonts w:ascii="Arial" w:cs="Arial" w:eastAsia="Arial" w:hAnsi="Arial"/>
                <w:sz w:val="18"/>
                <w:szCs w:val="18"/>
                <w:color w:val="auto"/>
              </w:rPr>
              <w:t>Net income tax benefit related to transfer of intangible properties</w:t>
            </w:r>
          </w:p>
        </w:tc>
        <w:tc>
          <w:tcPr>
            <w:tcW w:w="500" w:type="dxa"/>
            <w:vAlign w:val="bottom"/>
          </w:tcPr>
          <w:p>
            <w:pPr>
              <w:spacing w:after="0"/>
              <w:rPr>
                <w:sz w:val="16"/>
                <w:szCs w:val="16"/>
                <w:color w:val="auto"/>
              </w:rPr>
            </w:pPr>
          </w:p>
        </w:tc>
        <w:tc>
          <w:tcPr>
            <w:tcW w:w="11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(0.44)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6320" w:type="dxa"/>
            <w:vAlign w:val="bottom"/>
            <w:gridSpan w:val="2"/>
            <w:shd w:val="clear" w:color="auto" w:fill="E5E5E5"/>
          </w:tcPr>
          <w:p>
            <w:pPr>
              <w:spacing w:after="0" w:line="175" w:lineRule="exact"/>
              <w:rPr>
                <w:sz w:val="20"/>
                <w:szCs w:val="20"/>
                <w:color w:val="auto"/>
              </w:rPr>
            </w:pPr>
            <w:r>
              <w:rPr>
                <w:rFonts w:ascii="Arial" w:cs="Arial" w:eastAsia="Arial" w:hAnsi="Arial"/>
                <w:sz w:val="18"/>
                <w:szCs w:val="18"/>
                <w:color w:val="auto"/>
              </w:rPr>
              <w:t>Net income tax benefit related to India Supreme Court decision on withholding</w:t>
            </w:r>
          </w:p>
        </w:tc>
        <w:tc>
          <w:tcPr>
            <w:tcW w:w="500" w:type="dxa"/>
            <w:vAlign w:val="bottom"/>
            <w:shd w:val="clear" w:color="auto" w:fill="E5E5E5"/>
          </w:tcPr>
          <w:p>
            <w:pPr>
              <w:spacing w:after="0"/>
              <w:rPr>
                <w:sz w:val="15"/>
                <w:szCs w:val="15"/>
                <w:color w:val="auto"/>
              </w:rPr>
            </w:pPr>
          </w:p>
        </w:tc>
        <w:tc>
          <w:tcPr>
            <w:tcW w:w="110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E5E5E5"/>
          </w:tcPr>
          <w:p>
            <w:pPr>
              <w:spacing w:after="0"/>
              <w:rPr>
                <w:sz w:val="17"/>
                <w:szCs w:val="17"/>
                <w:color w:val="auto"/>
              </w:rPr>
            </w:pPr>
          </w:p>
        </w:tc>
        <w:tc>
          <w:tcPr>
            <w:tcW w:w="616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rPr>
              <w:t>taxes</w:t>
            </w:r>
          </w:p>
        </w:tc>
        <w:tc>
          <w:tcPr>
            <w:tcW w:w="500" w:type="dxa"/>
            <w:vAlign w:val="bottom"/>
            <w:shd w:val="clear" w:color="auto" w:fill="E5E5E5"/>
          </w:tcPr>
          <w:p>
            <w:pPr>
              <w:spacing w:after="0"/>
              <w:rPr>
                <w:sz w:val="17"/>
                <w:szCs w:val="17"/>
                <w:color w:val="auto"/>
              </w:rPr>
            </w:pPr>
          </w:p>
        </w:tc>
        <w:tc>
          <w:tcPr>
            <w:tcW w:w="1100" w:type="dxa"/>
            <w:vAlign w:val="bottom"/>
            <w:gridSpan w:val="2"/>
            <w:vMerge w:val="continue"/>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460"/>
              <w:spacing w:after="0" w:line="203" w:lineRule="exact"/>
              <w:rPr>
                <w:sz w:val="20"/>
                <w:szCs w:val="20"/>
                <w:color w:val="auto"/>
              </w:rPr>
            </w:pPr>
            <w:r>
              <w:rPr>
                <w:rFonts w:ascii="Arial" w:cs="Arial" w:eastAsia="Arial" w:hAnsi="Arial"/>
                <w:sz w:val="18"/>
                <w:szCs w:val="18"/>
                <w:color w:val="auto"/>
              </w:rPr>
              <w:t>(0.08)</w:t>
            </w:r>
          </w:p>
        </w:tc>
        <w:tc>
          <w:tcPr>
            <w:tcW w:w="1280" w:type="dxa"/>
            <w:vAlign w:val="bottom"/>
            <w:gridSpan w:val="2"/>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160" w:type="dxa"/>
            <w:vAlign w:val="bottom"/>
            <w:tcBorders>
              <w:bottom w:val="single" w:sz="8" w:color="auto"/>
            </w:tcBorders>
          </w:tcPr>
          <w:p>
            <w:pPr>
              <w:spacing w:after="0"/>
              <w:rPr>
                <w:sz w:val="5"/>
                <w:szCs w:val="5"/>
                <w:color w:val="auto"/>
              </w:rPr>
            </w:pPr>
          </w:p>
        </w:tc>
        <w:tc>
          <w:tcPr>
            <w:tcW w:w="6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6160" w:type="dxa"/>
            <w:vAlign w:val="bottom"/>
          </w:tcPr>
          <w:p>
            <w:pPr>
              <w:ind w:left="60"/>
              <w:spacing w:after="0"/>
              <w:rPr>
                <w:sz w:val="20"/>
                <w:szCs w:val="20"/>
                <w:color w:val="auto"/>
              </w:rPr>
            </w:pPr>
            <w:r>
              <w:rPr>
                <w:rFonts w:ascii="Arial" w:cs="Arial" w:eastAsia="Arial" w:hAnsi="Arial"/>
                <w:sz w:val="18"/>
                <w:szCs w:val="18"/>
                <w:color w:val="auto"/>
              </w:rPr>
              <w:t>Adjusted diluted earnings per share (non-GAAP)</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9.21</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7.97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1"/>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160" w:type="dxa"/>
            <w:vAlign w:val="bottom"/>
            <w:vMerge w:val="restart"/>
          </w:tcPr>
          <w:p>
            <w:pPr>
              <w:ind w:left="380"/>
              <w:spacing w:after="0"/>
              <w:rPr>
                <w:sz w:val="20"/>
                <w:szCs w:val="20"/>
                <w:color w:val="auto"/>
              </w:rPr>
            </w:pPr>
            <w:r>
              <w:rPr>
                <w:rFonts w:ascii="Arial" w:cs="Arial" w:eastAsia="Arial" w:hAnsi="Arial"/>
                <w:sz w:val="18"/>
                <w:szCs w:val="18"/>
                <w:i w:val="1"/>
                <w:iCs w:val="1"/>
                <w:color w:val="auto"/>
              </w:rPr>
              <w:t>Not meaningful.</w:t>
            </w: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6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8" w:name="page49"/>
    <w:bookmarkEnd w:id="4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cash equivalents, and short-term investments totaled $104.8 billion and $130.3 billion as of June 30, 2022 and 2021, respectively. Equity investments were $6.9 billion and $6.0 billion as of June 30, 2022 and 2021,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from operations increased $12.3 billion to $89.0 billion for fiscal year 2022, mainly due to an increase in cash received from customers, offset in part by an increase in cash paid to suppliers and employees. Cash used in financing increased $10.4 billion to $58.9 billion for fiscal year 2022, mainly due to a $5.3 billion increase in common stock repurchases and a $5.3 billion increase in repayments of debt. Cash used in investing increased $2.7 billion to $30.3 billion for fiscal year 2022, mainly due to a $13.1 billion increase in cash used for acquisitions of companies, net of cash acquired, and purchases of intangible and other assets, and a $3.3 billion increase in additions to property and equipment, offset in part by a $15.6 billion increase in cash from net investment purchases, sales, and maturities.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9" w:name="page50"/>
    <w:bookmarkEnd w:id="4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Proceeds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In March 2021 and June 2020, we exchanged a portion of our existing debt at a premium for cash and new debt with longer maturities to take advantage of favorable financing rates in the debt markets, reflecting our credit rating and the low interest rate environment. Refer to Note 11 – Debt of the Notes to Financial Statements (Part II, Item 8 of this Form 10-K) for further discussion.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II, Item 8 of this Form 10-K) for further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June 30, 2022:</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80" w:type="dxa"/>
            <w:vAlign w:val="bottom"/>
          </w:tcPr>
          <w:p>
            <w:pPr>
              <w:spacing w:after="0"/>
              <w:rPr>
                <w:sz w:val="20"/>
                <w:szCs w:val="20"/>
                <w:color w:val="auto"/>
              </w:rPr>
            </w:pPr>
            <w:r>
              <w:rPr>
                <w:rFonts w:ascii="Arial" w:cs="Arial" w:eastAsia="Arial" w:hAnsi="Arial"/>
                <w:sz w:val="13"/>
                <w:szCs w:val="13"/>
                <w:b w:val="1"/>
                <w:bCs w:val="1"/>
                <w:color w:val="auto"/>
              </w:rPr>
              <w:t>Three Months Ending</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
        </w:trPr>
        <w:tc>
          <w:tcPr>
            <w:tcW w:w="9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9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30, 2022</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17,691</w:t>
            </w:r>
          </w:p>
        </w:tc>
        <w:tc>
          <w:tcPr>
            <w:tcW w:w="100" w:type="dxa"/>
            <w:vAlign w:val="bottom"/>
            <w:shd w:val="clear" w:color="auto" w:fill="E5E5E5"/>
          </w:tcPr>
          <w:p>
            <w:pPr>
              <w:spacing w:after="0"/>
              <w:rPr>
                <w:sz w:val="16"/>
                <w:szCs w:val="16"/>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8"/>
                <w:szCs w:val="18"/>
                <w:color w:val="auto"/>
              </w:rPr>
              <w:t>December 31, 2022</w:t>
            </w: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13,923</w:t>
            </w:r>
          </w:p>
        </w:tc>
        <w:tc>
          <w:tcPr>
            <w:tcW w:w="100" w:type="dxa"/>
            <w:vAlign w:val="bottom"/>
          </w:tcPr>
          <w:p>
            <w:pPr>
              <w:spacing w:after="0"/>
              <w:rPr>
                <w:sz w:val="16"/>
                <w:szCs w:val="16"/>
                <w:color w:val="auto"/>
              </w:rPr>
            </w:pPr>
          </w:p>
        </w:tc>
      </w:tr>
      <w:tr>
        <w:trPr>
          <w:trHeight w:val="189"/>
        </w:trPr>
        <w:tc>
          <w:tcPr>
            <w:tcW w:w="9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31, 2023</w:t>
            </w:r>
          </w:p>
        </w:tc>
        <w:tc>
          <w:tcPr>
            <w:tcW w:w="50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9,491</w:t>
            </w:r>
          </w:p>
        </w:tc>
        <w:tc>
          <w:tcPr>
            <w:tcW w:w="100" w:type="dxa"/>
            <w:vAlign w:val="bottom"/>
            <w:shd w:val="clear" w:color="auto" w:fill="E5E5E5"/>
          </w:tcPr>
          <w:p>
            <w:pPr>
              <w:spacing w:after="0"/>
              <w:rPr>
                <w:sz w:val="16"/>
                <w:szCs w:val="16"/>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8"/>
                <w:szCs w:val="18"/>
                <w:color w:val="auto"/>
              </w:rPr>
              <w:t>June 30, 2023</w:t>
            </w: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4,433</w:t>
            </w:r>
          </w:p>
        </w:tc>
        <w:tc>
          <w:tcPr>
            <w:tcW w:w="100" w:type="dxa"/>
            <w:vAlign w:val="bottom"/>
          </w:tcPr>
          <w:p>
            <w:pPr>
              <w:spacing w:after="0"/>
              <w:rPr>
                <w:sz w:val="16"/>
                <w:szCs w:val="16"/>
                <w:color w:val="auto"/>
              </w:rPr>
            </w:pPr>
          </w:p>
        </w:tc>
      </w:tr>
      <w:tr>
        <w:trPr>
          <w:trHeight w:val="189"/>
        </w:trPr>
        <w:tc>
          <w:tcPr>
            <w:tcW w:w="9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50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2,870</w:t>
            </w:r>
          </w:p>
        </w:tc>
        <w:tc>
          <w:tcPr>
            <w:tcW w:w="100" w:type="dxa"/>
            <w:vAlign w:val="bottom"/>
            <w:shd w:val="clear" w:color="auto" w:fill="E5E5E5"/>
          </w:tcPr>
          <w:p>
            <w:pPr>
              <w:spacing w:after="0"/>
              <w:rPr>
                <w:sz w:val="16"/>
                <w:szCs w:val="16"/>
                <w:color w:val="auto"/>
              </w:rPr>
            </w:pPr>
          </w:p>
        </w:tc>
      </w:tr>
      <w:tr>
        <w:trPr>
          <w:trHeight w:val="67"/>
        </w:trPr>
        <w:tc>
          <w:tcPr>
            <w:tcW w:w="96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968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48,408</w:t>
            </w:r>
          </w:p>
        </w:tc>
        <w:tc>
          <w:tcPr>
            <w:tcW w:w="100" w:type="dxa"/>
            <w:vAlign w:val="bottom"/>
          </w:tcPr>
          <w:p>
            <w:pPr>
              <w:spacing w:after="0"/>
              <w:rPr>
                <w:sz w:val="22"/>
                <w:szCs w:val="22"/>
                <w:color w:val="auto"/>
              </w:rPr>
            </w:pPr>
          </w:p>
        </w:tc>
      </w:tr>
      <w:tr>
        <w:trPr>
          <w:trHeight w:val="61"/>
        </w:trPr>
        <w:tc>
          <w:tcPr>
            <w:tcW w:w="96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Other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payments due by fiscal year for our outstanding contractual obligations as of June 30,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Thereafter</w:t>
            </w:r>
          </w:p>
        </w:tc>
        <w:tc>
          <w:tcPr>
            <w:tcW w:w="4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Total</w:t>
            </w:r>
          </w:p>
        </w:tc>
      </w:tr>
      <w:tr>
        <w:trPr>
          <w:trHeight w:val="54"/>
        </w:trPr>
        <w:tc>
          <w:tcPr>
            <w:tcW w:w="6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74"/>
        </w:trPr>
        <w:tc>
          <w:tcPr>
            <w:tcW w:w="6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89"/>
        </w:trPr>
        <w:tc>
          <w:tcPr>
            <w:tcW w:w="6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12"/>
                <w:szCs w:val="12"/>
                <w:color w:val="auto"/>
              </w:rPr>
              <w:t>(a)</w:t>
            </w: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r>
      <w:tr>
        <w:trPr>
          <w:trHeight w:val="189"/>
        </w:trPr>
        <w:tc>
          <w:tcPr>
            <w:tcW w:w="6600" w:type="dxa"/>
            <w:vAlign w:val="bottom"/>
          </w:tcPr>
          <w:p>
            <w:pPr>
              <w:ind w:left="220"/>
              <w:spacing w:after="0" w:line="189" w:lineRule="exact"/>
              <w:rPr>
                <w:sz w:val="20"/>
                <w:szCs w:val="20"/>
                <w:color w:val="auto"/>
              </w:rPr>
            </w:pPr>
            <w:r>
              <w:rPr>
                <w:rFonts w:ascii="Arial" w:cs="Arial" w:eastAsia="Arial" w:hAnsi="Arial"/>
                <w:sz w:val="18"/>
                <w:szCs w:val="18"/>
                <w:color w:val="auto"/>
              </w:rPr>
              <w:t>Principal payments</w:t>
            </w:r>
          </w:p>
        </w:tc>
        <w:tc>
          <w:tcPr>
            <w:tcW w:w="46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2,750</w:t>
            </w:r>
          </w:p>
        </w:tc>
        <w:tc>
          <w:tcPr>
            <w:tcW w:w="38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52,761</w:t>
            </w:r>
          </w:p>
        </w:tc>
        <w:tc>
          <w:tcPr>
            <w:tcW w:w="40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55,511</w:t>
            </w:r>
          </w:p>
        </w:tc>
      </w:tr>
      <w:tr>
        <w:trPr>
          <w:trHeight w:val="189"/>
        </w:trPr>
        <w:tc>
          <w:tcPr>
            <w:tcW w:w="6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Interest payments</w:t>
            </w: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1,468</w:t>
            </w: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21,139</w:t>
            </w:r>
          </w:p>
        </w:tc>
        <w:tc>
          <w:tcPr>
            <w:tcW w:w="4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22,607</w:t>
            </w:r>
          </w:p>
        </w:tc>
      </w:tr>
      <w:tr>
        <w:trPr>
          <w:trHeight w:val="189"/>
        </w:trPr>
        <w:tc>
          <w:tcPr>
            <w:tcW w:w="6600" w:type="dxa"/>
            <w:vAlign w:val="bottom"/>
          </w:tcPr>
          <w:p>
            <w:pPr>
              <w:spacing w:after="0" w:line="189" w:lineRule="exact"/>
              <w:rPr>
                <w:sz w:val="20"/>
                <w:szCs w:val="20"/>
                <w:color w:val="auto"/>
              </w:rPr>
            </w:pPr>
            <w:r>
              <w:rPr>
                <w:rFonts w:ascii="Arial" w:cs="Arial" w:eastAsia="Arial" w:hAnsi="Arial"/>
                <w:sz w:val="18"/>
                <w:szCs w:val="18"/>
                <w:color w:val="auto"/>
              </w:rPr>
              <w:t xml:space="preserve">Construction commitments </w:t>
            </w:r>
            <w:r>
              <w:rPr>
                <w:rFonts w:ascii="Arial" w:cs="Arial" w:eastAsia="Arial" w:hAnsi="Arial"/>
                <w:sz w:val="12"/>
                <w:szCs w:val="12"/>
                <w:color w:val="auto"/>
              </w:rPr>
              <w:t>(b)</w:t>
            </w:r>
          </w:p>
        </w:tc>
        <w:tc>
          <w:tcPr>
            <w:tcW w:w="460" w:type="dxa"/>
            <w:vAlign w:val="bottom"/>
          </w:tcPr>
          <w:p>
            <w:pPr>
              <w:spacing w:after="0"/>
              <w:rPr>
                <w:sz w:val="16"/>
                <w:szCs w:val="16"/>
                <w:color w:val="auto"/>
              </w:rPr>
            </w:pP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7,942</w:t>
            </w:r>
          </w:p>
        </w:tc>
        <w:tc>
          <w:tcPr>
            <w:tcW w:w="3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576</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8,518</w:t>
            </w:r>
          </w:p>
        </w:tc>
      </w:tr>
      <w:tr>
        <w:trPr>
          <w:trHeight w:val="189"/>
        </w:trPr>
        <w:tc>
          <w:tcPr>
            <w:tcW w:w="6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Operating and finance leases, including imputed interest </w:t>
            </w:r>
            <w:r>
              <w:rPr>
                <w:rFonts w:ascii="Arial" w:cs="Arial" w:eastAsia="Arial" w:hAnsi="Arial"/>
                <w:sz w:val="12"/>
                <w:szCs w:val="12"/>
                <w:color w:val="auto"/>
              </w:rPr>
              <w:t>(c)</w:t>
            </w:r>
          </w:p>
        </w:tc>
        <w:tc>
          <w:tcPr>
            <w:tcW w:w="4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4,609</w:t>
            </w:r>
          </w:p>
        </w:tc>
        <w:tc>
          <w:tcPr>
            <w:tcW w:w="3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44,045</w:t>
            </w:r>
          </w:p>
        </w:tc>
        <w:tc>
          <w:tcPr>
            <w:tcW w:w="4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48,654</w:t>
            </w:r>
          </w:p>
        </w:tc>
      </w:tr>
      <w:tr>
        <w:trPr>
          <w:trHeight w:val="249"/>
        </w:trPr>
        <w:tc>
          <w:tcPr>
            <w:tcW w:w="6600" w:type="dxa"/>
            <w:vAlign w:val="bottom"/>
          </w:tcPr>
          <w:p>
            <w:pPr>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2"/>
                <w:szCs w:val="12"/>
                <w:color w:val="auto"/>
              </w:rPr>
              <w:t>(d)</w:t>
            </w:r>
          </w:p>
        </w:tc>
        <w:tc>
          <w:tcPr>
            <w:tcW w:w="4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42,669</w:t>
            </w:r>
          </w:p>
        </w:tc>
        <w:tc>
          <w:tcPr>
            <w:tcW w:w="3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2,985</w:t>
            </w:r>
          </w:p>
        </w:tc>
        <w:tc>
          <w:tcPr>
            <w:tcW w:w="4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45,654</w:t>
            </w:r>
          </w:p>
        </w:tc>
      </w:tr>
      <w:tr>
        <w:trPr>
          <w:trHeight w:val="67"/>
        </w:trPr>
        <w:tc>
          <w:tcPr>
            <w:tcW w:w="66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r>
      <w:tr>
        <w:trPr>
          <w:trHeight w:val="189"/>
        </w:trPr>
        <w:tc>
          <w:tcPr>
            <w:tcW w:w="6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59,438</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121,506</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180,944</w:t>
            </w:r>
          </w:p>
        </w:tc>
      </w:tr>
      <w:tr>
        <w:trPr>
          <w:trHeight w:val="88"/>
        </w:trPr>
        <w:tc>
          <w:tcPr>
            <w:tcW w:w="66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bl>
    <w:p>
      <w:pPr>
        <w:spacing w:after="0" w:line="62"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Refer to Note 11 – Debt of the Notes to Financial Statements (Part II, Item 8 of this Form 10-K).</w:t>
      </w:r>
    </w:p>
    <w:p>
      <w:pPr>
        <w:spacing w:after="0" w:line="13"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Refer to Note 7 – Property and Equipment of the Notes to Financial Statements (Part II, Item 8 of this Form 10-K).</w:t>
      </w:r>
    </w:p>
    <w:p>
      <w:pPr>
        <w:ind w:left="540" w:hanging="532"/>
        <w:spacing w:after="0" w:line="23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Refer to Note 14 – Leases of the Notes to Financial Statements (Part II, Item 8 of this Form 10-K).</w:t>
      </w:r>
    </w:p>
    <w:p>
      <w:pPr>
        <w:ind w:left="540" w:hanging="532"/>
        <w:spacing w:after="0" w:line="245"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Purchase commitments primarily relate to datacenters and include open purchase orders and take-or-pay contracts that are not presented as construction commitments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$6.2 billion, which included $1.5 billion for fiscal year 2022. The remaining transition tax of $12.0 billion is payable over the next four years, with $1.3 billion payable within 12 months.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Provisions enacted in the TCJA related to the capitalization for tax purposes of research and experimental expenditures became effective on July 1, 2022. These provisions require us to capitalize research and experimental expenditures and amortize them on the U.S. tax return over five or fifteen years, depending on where research is conducted. The final foreign tax credit regulations, also effective on July 1, 2022, introduced significant changes to foreign tax credit calculations in the U.S. tax return. While these provisions are not expected to have a material impact on our fiscal year 2023 effective tax rate on a net basis, our cash paid for taxes would increase unless these provisions are postponed or modified through legislative processes.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fiscal years 2022 and 2021, we repurchased 95 million shares and 101 million shares of our common stock for $28.0 billion and $23.0 billion, respectively, through our share repurchase programs. All repurchases were made using cash resources. As of June 30, 2022, $40.7 billion remained of our $60 billion share repurchase program. Refer to Note 16 – Stockholders’ Equity of the Notes to Financial Statements (Part II, Item 8 of this Form 10-K)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fiscal year 2022, our Board of Directors declared quarterly dividends of $0.62 per share. We intend to continue returning capital to shareholders in the form of dividends, subject to declaration by our Board of Directors. Refer to Note 16 – Stockholders’ Equity of the Notes to Financial Statements (Part II, Item 8 of this Form 10-K) for further discussion.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The acquisition has been approved by Activision Blizzard’s shareholders, and we expect it to close in fiscal year 2023, subject to the satisfaction of certain regulatory approvals and other customary closing conditions.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232"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II, Item 8 of this Form 10-K) for further discussion.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CRITICAL ACCOUNTING ESTIMATES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inventories.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CHANGE IN ACCOUNTING ESTIMATE</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will be effective beginning fiscal year 2023. Based on the carrying amount of server and network equipment included in property and equipment, net as of June 30, 2022, it is estimated this change will increase our fiscal year 2023 operating income by $3.7 billion. We had previously increased the estimated useful lives of both server and network equipment in July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MANAGEMENT’S RESPONSIBILITY FOR FINANCIAL STATEMENTS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Management is responsible for the preparation of the consolidated financial statements and related information that are presented in this report. The consolidated financial statements, which include amounts based on management’s estimates and judgments, have been prepared in conformity with accounting principles generally accepted in the United States of America.</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designs and maintains accounting and internal control systems to provide reasonable assurance at reasonable cost that assets are safeguarded against loss from unauthorized use or disposition, and that the financial records are reliable for preparing consolidated financial statements and maintaining accountability for assets. These systems are augmented by written policies, an organizational structure providing division of responsibilities, careful selection and training of qualified personnel, and a program of internal audits.</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engaged Deloitte &amp; Touche LLP, an independent registered public accounting firm, to audit and render an opinion on the consolidated financial statements and internal control over financial reporting in accordance with the standards of the Public Company Accounting Oversight Board (United States).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through its Audit Committee, consisting solely of independent directors of the Company, meets periodically with management, internal auditors, and our independent registered public accounting firm to ensure that each is meeting its responsibilities and to discuss matters concerning internal controls and financial reporting. Deloitte &amp; Touche LLP and the internal auditors each have full and free access to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Alice L. Jolla</w:t>
      </w:r>
    </w:p>
    <w:p>
      <w:pPr>
        <w:spacing w:after="0"/>
        <w:rPr>
          <w:sz w:val="20"/>
          <w:szCs w:val="20"/>
          <w:color w:val="auto"/>
        </w:rPr>
      </w:pPr>
      <w:r>
        <w:rPr>
          <w:rFonts w:ascii="Arial" w:cs="Arial" w:eastAsia="Arial" w:hAnsi="Arial"/>
          <w:sz w:val="18"/>
          <w:szCs w:val="18"/>
          <w:color w:val="auto"/>
        </w:rPr>
        <w:t>Corporate Vice President and Chief Accounting Officer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7A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7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7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54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5485"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b w:val="1"/>
                <w:bCs w:val="1"/>
                <w:color w:val="auto"/>
              </w:rPr>
              <w:t>June 30,</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8"/>
        </w:trPr>
        <w:tc>
          <w:tcPr>
            <w:tcW w:w="2960" w:type="dxa"/>
            <w:vAlign w:val="bottom"/>
          </w:tcPr>
          <w:p>
            <w:pPr>
              <w:spacing w:after="0"/>
              <w:rPr>
                <w:sz w:val="20"/>
                <w:szCs w:val="20"/>
                <w:color w:val="auto"/>
              </w:rPr>
            </w:pPr>
            <w:r>
              <w:rPr>
                <w:rFonts w:ascii="Arial" w:cs="Arial" w:eastAsia="Arial" w:hAnsi="Arial"/>
                <w:sz w:val="13"/>
                <w:szCs w:val="13"/>
                <w:b w:val="1"/>
                <w:bCs w:val="1"/>
                <w:color w:val="auto"/>
              </w:rPr>
              <w:t>Risk Categories</w:t>
            </w:r>
          </w:p>
        </w:tc>
        <w:tc>
          <w:tcPr>
            <w:tcW w:w="5200" w:type="dxa"/>
            <w:vAlign w:val="bottom"/>
          </w:tcPr>
          <w:p>
            <w:pPr>
              <w:ind w:left="420"/>
              <w:spacing w:after="0"/>
              <w:rPr>
                <w:sz w:val="20"/>
                <w:szCs w:val="20"/>
                <w:color w:val="auto"/>
              </w:rPr>
            </w:pPr>
            <w:r>
              <w:rPr>
                <w:rFonts w:ascii="Arial" w:cs="Arial" w:eastAsia="Arial" w:hAnsi="Arial"/>
                <w:sz w:val="13"/>
                <w:szCs w:val="13"/>
                <w:b w:val="1"/>
                <w:bCs w:val="1"/>
                <w:color w:val="auto"/>
              </w:rPr>
              <w:t>Hypothetical Change</w:t>
            </w:r>
          </w:p>
        </w:tc>
        <w:tc>
          <w:tcPr>
            <w:tcW w:w="84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b w:val="1"/>
                <w:bCs w:val="1"/>
                <w:color w:val="auto"/>
              </w:rPr>
              <w:t>2022</w:t>
            </w:r>
          </w:p>
        </w:tc>
        <w:tc>
          <w:tcPr>
            <w:tcW w:w="1280" w:type="dxa"/>
            <w:vAlign w:val="bottom"/>
            <w:gridSpan w:val="2"/>
          </w:tcPr>
          <w:p>
            <w:pPr>
              <w:ind w:left="140"/>
              <w:spacing w:after="0"/>
              <w:rPr>
                <w:sz w:val="20"/>
                <w:szCs w:val="20"/>
                <w:color w:val="auto"/>
              </w:rPr>
            </w:pPr>
            <w:r>
              <w:rPr>
                <w:rFonts w:ascii="Arial" w:cs="Arial" w:eastAsia="Arial" w:hAnsi="Arial"/>
                <w:sz w:val="13"/>
                <w:szCs w:val="13"/>
                <w:b w:val="1"/>
                <w:bCs w:val="1"/>
                <w:color w:val="auto"/>
              </w:rPr>
              <w:t>Impact</w:t>
            </w:r>
          </w:p>
        </w:tc>
      </w:tr>
      <w:tr>
        <w:trPr>
          <w:trHeight w:val="54"/>
        </w:trPr>
        <w:tc>
          <w:tcPr>
            <w:tcW w:w="2960" w:type="dxa"/>
            <w:vAlign w:val="bottom"/>
          </w:tcPr>
          <w:p>
            <w:pPr>
              <w:spacing w:after="0"/>
              <w:rPr>
                <w:sz w:val="4"/>
                <w:szCs w:val="4"/>
                <w:color w:val="auto"/>
              </w:rPr>
            </w:pPr>
          </w:p>
        </w:tc>
        <w:tc>
          <w:tcPr>
            <w:tcW w:w="5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2"/>
        </w:trPr>
        <w:tc>
          <w:tcPr>
            <w:tcW w:w="2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Foreign currency </w:t>
            </w:r>
            <w:r>
              <w:rPr>
                <w:rFonts w:ascii="Arial" w:cs="Arial" w:eastAsia="Arial" w:hAnsi="Arial"/>
                <w:sz w:val="21"/>
                <w:szCs w:val="21"/>
                <w:color w:val="auto"/>
              </w:rPr>
              <w:t>–</w:t>
            </w:r>
            <w:r>
              <w:rPr>
                <w:rFonts w:ascii="Arial" w:cs="Arial" w:eastAsia="Arial" w:hAnsi="Arial"/>
                <w:sz w:val="18"/>
                <w:szCs w:val="18"/>
                <w:color w:val="auto"/>
              </w:rPr>
              <w:t xml:space="preserve"> Revenue</w:t>
            </w:r>
          </w:p>
        </w:tc>
        <w:tc>
          <w:tcPr>
            <w:tcW w:w="520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10% decrease in foreign exchange rates</w:t>
            </w:r>
          </w:p>
        </w:tc>
        <w:tc>
          <w:tcPr>
            <w:tcW w:w="8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ind w:right="37"/>
              <w:spacing w:after="0" w:line="202" w:lineRule="exact"/>
              <w:rPr>
                <w:sz w:val="20"/>
                <w:szCs w:val="20"/>
                <w:color w:val="auto"/>
              </w:rPr>
            </w:pPr>
            <w:r>
              <w:rPr>
                <w:rFonts w:ascii="Arial" w:cs="Arial" w:eastAsia="Arial" w:hAnsi="Arial"/>
                <w:sz w:val="18"/>
                <w:szCs w:val="18"/>
                <w:b w:val="1"/>
                <w:bCs w:val="1"/>
                <w:color w:val="auto"/>
              </w:rPr>
              <w:t>(6,822)</w:t>
            </w:r>
          </w:p>
        </w:tc>
        <w:tc>
          <w:tcPr>
            <w:tcW w:w="1280" w:type="dxa"/>
            <w:vAlign w:val="bottom"/>
            <w:gridSpan w:val="2"/>
            <w:shd w:val="clear" w:color="auto" w:fill="E5E5E5"/>
          </w:tcPr>
          <w:p>
            <w:pPr>
              <w:ind w:left="140"/>
              <w:spacing w:after="0" w:line="202" w:lineRule="exact"/>
              <w:rPr>
                <w:sz w:val="20"/>
                <w:szCs w:val="20"/>
                <w:color w:val="auto"/>
              </w:rPr>
            </w:pPr>
            <w:r>
              <w:rPr>
                <w:rFonts w:ascii="Arial" w:cs="Arial" w:eastAsia="Arial" w:hAnsi="Arial"/>
                <w:sz w:val="18"/>
                <w:szCs w:val="18"/>
                <w:color w:val="auto"/>
              </w:rPr>
              <w:t>Earnings</w:t>
            </w:r>
          </w:p>
        </w:tc>
      </w:tr>
      <w:tr>
        <w:trPr>
          <w:trHeight w:val="202"/>
        </w:trPr>
        <w:tc>
          <w:tcPr>
            <w:tcW w:w="2960" w:type="dxa"/>
            <w:vAlign w:val="bottom"/>
          </w:tcPr>
          <w:p>
            <w:pPr>
              <w:spacing w:after="0" w:line="202" w:lineRule="exact"/>
              <w:rPr>
                <w:sz w:val="20"/>
                <w:szCs w:val="20"/>
                <w:color w:val="auto"/>
              </w:rPr>
            </w:pPr>
            <w:r>
              <w:rPr>
                <w:rFonts w:ascii="Arial" w:cs="Arial" w:eastAsia="Arial" w:hAnsi="Arial"/>
                <w:sz w:val="18"/>
                <w:szCs w:val="18"/>
                <w:color w:val="auto"/>
              </w:rPr>
              <w:t xml:space="preserve">Foreign currency </w:t>
            </w:r>
            <w:r>
              <w:rPr>
                <w:rFonts w:ascii="Arial" w:cs="Arial" w:eastAsia="Arial" w:hAnsi="Arial"/>
                <w:sz w:val="21"/>
                <w:szCs w:val="21"/>
                <w:color w:val="auto"/>
              </w:rPr>
              <w:t>–</w:t>
            </w:r>
            <w:r>
              <w:rPr>
                <w:rFonts w:ascii="Arial" w:cs="Arial" w:eastAsia="Arial" w:hAnsi="Arial"/>
                <w:sz w:val="18"/>
                <w:szCs w:val="18"/>
                <w:color w:val="auto"/>
              </w:rPr>
              <w:t xml:space="preserve"> Investments</w:t>
            </w:r>
          </w:p>
        </w:tc>
        <w:tc>
          <w:tcPr>
            <w:tcW w:w="5200" w:type="dxa"/>
            <w:vAlign w:val="bottom"/>
          </w:tcPr>
          <w:p>
            <w:pPr>
              <w:ind w:left="420"/>
              <w:spacing w:after="0" w:line="202" w:lineRule="exact"/>
              <w:rPr>
                <w:sz w:val="20"/>
                <w:szCs w:val="20"/>
                <w:color w:val="auto"/>
              </w:rPr>
            </w:pPr>
            <w:r>
              <w:rPr>
                <w:rFonts w:ascii="Arial" w:cs="Arial" w:eastAsia="Arial" w:hAnsi="Arial"/>
                <w:sz w:val="18"/>
                <w:szCs w:val="18"/>
                <w:color w:val="auto"/>
              </w:rPr>
              <w:t>10% decrease in foreign exchange rates</w:t>
            </w:r>
          </w:p>
        </w:tc>
        <w:tc>
          <w:tcPr>
            <w:tcW w:w="840" w:type="dxa"/>
            <w:vAlign w:val="bottom"/>
          </w:tcPr>
          <w:p>
            <w:pPr>
              <w:spacing w:after="0"/>
              <w:rPr>
                <w:sz w:val="17"/>
                <w:szCs w:val="17"/>
                <w:color w:val="auto"/>
              </w:rPr>
            </w:pPr>
          </w:p>
        </w:tc>
        <w:tc>
          <w:tcPr>
            <w:tcW w:w="96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(94)</w:t>
            </w:r>
          </w:p>
        </w:tc>
        <w:tc>
          <w:tcPr>
            <w:tcW w:w="1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Fair Value</w:t>
            </w:r>
          </w:p>
        </w:tc>
      </w:tr>
      <w:tr>
        <w:trPr>
          <w:trHeight w:val="189"/>
        </w:trPr>
        <w:tc>
          <w:tcPr>
            <w:tcW w:w="2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20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8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(2,536)</w:t>
            </w:r>
          </w:p>
        </w:tc>
        <w:tc>
          <w:tcPr>
            <w:tcW w:w="1280" w:type="dxa"/>
            <w:vAlign w:val="bottom"/>
            <w:gridSpan w:val="2"/>
            <w:shd w:val="clear" w:color="auto" w:fill="E5E5E5"/>
          </w:tcPr>
          <w:p>
            <w:pPr>
              <w:ind w:left="14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6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200" w:type="dxa"/>
            <w:vAlign w:val="bottom"/>
          </w:tcPr>
          <w:p>
            <w:pPr>
              <w:ind w:left="42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840" w:type="dxa"/>
            <w:vAlign w:val="bottom"/>
          </w:tcPr>
          <w:p>
            <w:pPr>
              <w:spacing w:after="0"/>
              <w:rPr>
                <w:sz w:val="16"/>
                <w:szCs w:val="16"/>
                <w:color w:val="auto"/>
              </w:rPr>
            </w:pPr>
          </w:p>
        </w:tc>
        <w:tc>
          <w:tcPr>
            <w:tcW w:w="960" w:type="dxa"/>
            <w:vAlign w:val="bottom"/>
          </w:tcPr>
          <w:p>
            <w:pPr>
              <w:jc w:val="right"/>
              <w:ind w:right="37"/>
              <w:spacing w:after="0" w:line="189" w:lineRule="exact"/>
              <w:rPr>
                <w:sz w:val="20"/>
                <w:szCs w:val="20"/>
                <w:color w:val="auto"/>
              </w:rPr>
            </w:pPr>
            <w:r>
              <w:rPr>
                <w:rFonts w:ascii="Arial" w:cs="Arial" w:eastAsia="Arial" w:hAnsi="Arial"/>
                <w:sz w:val="18"/>
                <w:szCs w:val="18"/>
                <w:b w:val="1"/>
                <w:bCs w:val="1"/>
                <w:color w:val="auto"/>
              </w:rPr>
              <w:t>(350)</w:t>
            </w:r>
          </w:p>
        </w:tc>
        <w:tc>
          <w:tcPr>
            <w:tcW w:w="12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20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10% decrease in equity market prices</w:t>
            </w:r>
          </w:p>
        </w:tc>
        <w:tc>
          <w:tcPr>
            <w:tcW w:w="8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(637)</w:t>
            </w:r>
          </w:p>
        </w:tc>
        <w:tc>
          <w:tcPr>
            <w:tcW w:w="1280" w:type="dxa"/>
            <w:vAlign w:val="bottom"/>
            <w:gridSpan w:val="2"/>
            <w:shd w:val="clear" w:color="auto" w:fill="E5E5E5"/>
          </w:tcPr>
          <w:p>
            <w:pPr>
              <w:ind w:left="140"/>
              <w:spacing w:after="0" w:line="189" w:lineRule="exact"/>
              <w:rPr>
                <w:sz w:val="20"/>
                <w:szCs w:val="20"/>
                <w:color w:val="auto"/>
              </w:rPr>
            </w:pPr>
            <w:r>
              <w:rPr>
                <w:rFonts w:ascii="Arial" w:cs="Arial" w:eastAsia="Arial" w:hAnsi="Arial"/>
                <w:sz w:val="18"/>
                <w:szCs w:val="18"/>
                <w:color w:val="auto"/>
              </w:rPr>
              <w:t>Earnings</w:t>
            </w:r>
          </w:p>
        </w:tc>
      </w:tr>
      <w:tr>
        <w:trPr>
          <w:trHeight w:val="67"/>
        </w:trPr>
        <w:tc>
          <w:tcPr>
            <w:tcW w:w="296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9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23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72,732</w:t>
            </w: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71,074</w:t>
            </w:r>
          </w:p>
        </w:tc>
        <w:tc>
          <w:tcPr>
            <w:tcW w:w="44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68,041</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19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125,538</w:t>
            </w: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97,014</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74,974</w:t>
            </w:r>
          </w:p>
        </w:tc>
        <w:tc>
          <w:tcPr>
            <w:tcW w:w="0" w:type="dxa"/>
            <w:vAlign w:val="bottom"/>
          </w:tcPr>
          <w:p>
            <w:pPr>
              <w:spacing w:after="0"/>
              <w:rPr>
                <w:sz w:val="1"/>
                <w:szCs w:val="1"/>
                <w:color w:val="auto"/>
              </w:rPr>
            </w:pPr>
          </w:p>
        </w:tc>
      </w:tr>
      <w:tr>
        <w:trPr>
          <w:trHeight w:val="67"/>
        </w:trPr>
        <w:tc>
          <w:tcPr>
            <w:tcW w:w="50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198,270</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143,015</w:t>
            </w:r>
          </w:p>
        </w:tc>
        <w:tc>
          <w:tcPr>
            <w:tcW w:w="0" w:type="dxa"/>
            <w:vAlign w:val="bottom"/>
          </w:tcPr>
          <w:p>
            <w:pPr>
              <w:spacing w:after="0"/>
              <w:rPr>
                <w:sz w:val="1"/>
                <w:szCs w:val="1"/>
                <w:color w:val="auto"/>
              </w:rPr>
            </w:pPr>
          </w:p>
        </w:tc>
      </w:tr>
      <w:tr>
        <w:trPr>
          <w:trHeight w:val="54"/>
        </w:trPr>
        <w:tc>
          <w:tcPr>
            <w:tcW w:w="50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0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19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19,064</w:t>
            </w:r>
          </w:p>
        </w:tc>
        <w:tc>
          <w:tcPr>
            <w:tcW w:w="3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18,219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16,017</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19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43,586</w:t>
            </w: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34,013</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30,061</w:t>
            </w:r>
          </w:p>
        </w:tc>
        <w:tc>
          <w:tcPr>
            <w:tcW w:w="0" w:type="dxa"/>
            <w:vAlign w:val="bottom"/>
          </w:tcPr>
          <w:p>
            <w:pPr>
              <w:spacing w:after="0"/>
              <w:rPr>
                <w:sz w:val="1"/>
                <w:szCs w:val="1"/>
                <w:color w:val="auto"/>
              </w:rPr>
            </w:pPr>
          </w:p>
        </w:tc>
      </w:tr>
      <w:tr>
        <w:trPr>
          <w:trHeight w:val="67"/>
        </w:trPr>
        <w:tc>
          <w:tcPr>
            <w:tcW w:w="50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1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62,650</w:t>
            </w:r>
          </w:p>
        </w:tc>
        <w:tc>
          <w:tcPr>
            <w:tcW w:w="3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52,232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46,078</w:t>
            </w:r>
          </w:p>
        </w:tc>
        <w:tc>
          <w:tcPr>
            <w:tcW w:w="0" w:type="dxa"/>
            <w:vAlign w:val="bottom"/>
          </w:tcPr>
          <w:p>
            <w:pPr>
              <w:spacing w:after="0"/>
              <w:rPr>
                <w:sz w:val="1"/>
                <w:szCs w:val="1"/>
                <w:color w:val="auto"/>
              </w:rPr>
            </w:pPr>
          </w:p>
        </w:tc>
      </w:tr>
      <w:tr>
        <w:trPr>
          <w:trHeight w:val="54"/>
        </w:trPr>
        <w:tc>
          <w:tcPr>
            <w:tcW w:w="50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0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Gross margin</w:t>
            </w:r>
          </w:p>
        </w:tc>
        <w:tc>
          <w:tcPr>
            <w:tcW w:w="19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135,620</w:t>
            </w: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115,856</w:t>
            </w: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96,937</w:t>
            </w: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24,512</w:t>
            </w:r>
          </w:p>
        </w:tc>
        <w:tc>
          <w:tcPr>
            <w:tcW w:w="3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20,716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19,269</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9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21,825</w:t>
            </w: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20,117</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5,900</w:t>
            </w: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67"/>
        </w:trPr>
        <w:tc>
          <w:tcPr>
            <w:tcW w:w="5040" w:type="dxa"/>
            <w:vAlign w:val="bottom"/>
            <w:tcBorders>
              <w:top w:val="single" w:sz="8" w:color="auto"/>
            </w:tcBorders>
          </w:tcPr>
          <w:p>
            <w:pPr>
              <w:spacing w:after="0"/>
              <w:rPr>
                <w:sz w:val="5"/>
                <w:szCs w:val="5"/>
                <w:color w:val="auto"/>
              </w:rPr>
            </w:pPr>
          </w:p>
        </w:tc>
        <w:tc>
          <w:tcPr>
            <w:tcW w:w="19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9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83,383</w:t>
            </w: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69,916</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52,959</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0"/>
                <w:szCs w:val="20"/>
                <w:color w:val="auto"/>
              </w:rPr>
            </w:pPr>
            <w:r>
              <w:rPr>
                <w:rFonts w:ascii="Arial" w:cs="Arial" w:eastAsia="Arial" w:hAnsi="Arial"/>
                <w:sz w:val="18"/>
                <w:szCs w:val="18"/>
                <w:color w:val="auto"/>
              </w:rPr>
              <w:t>Other income, net</w:t>
            </w: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67"/>
        </w:trPr>
        <w:tc>
          <w:tcPr>
            <w:tcW w:w="5040" w:type="dxa"/>
            <w:vAlign w:val="bottom"/>
            <w:tcBorders>
              <w:top w:val="single" w:sz="8" w:color="auto"/>
            </w:tcBorders>
          </w:tcPr>
          <w:p>
            <w:pPr>
              <w:spacing w:after="0"/>
              <w:rPr>
                <w:sz w:val="5"/>
                <w:szCs w:val="5"/>
                <w:color w:val="auto"/>
              </w:rPr>
            </w:pPr>
          </w:p>
        </w:tc>
        <w:tc>
          <w:tcPr>
            <w:tcW w:w="19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19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83,716</w:t>
            </w: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71,102</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53,036</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10,978</w:t>
            </w: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67"/>
        </w:trPr>
        <w:tc>
          <w:tcPr>
            <w:tcW w:w="5040" w:type="dxa"/>
            <w:vAlign w:val="bottom"/>
            <w:tcBorders>
              <w:top w:val="single" w:sz="8" w:color="auto"/>
            </w:tcBorders>
          </w:tcPr>
          <w:p>
            <w:pPr>
              <w:spacing w:after="0"/>
              <w:rPr>
                <w:sz w:val="5"/>
                <w:szCs w:val="5"/>
                <w:color w:val="auto"/>
              </w:rPr>
            </w:pPr>
          </w:p>
        </w:tc>
        <w:tc>
          <w:tcPr>
            <w:tcW w:w="19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23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72,738</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61,271</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44,281</w:t>
            </w:r>
          </w:p>
        </w:tc>
        <w:tc>
          <w:tcPr>
            <w:tcW w:w="0" w:type="dxa"/>
            <w:vAlign w:val="bottom"/>
          </w:tcPr>
          <w:p>
            <w:pPr>
              <w:spacing w:after="0"/>
              <w:rPr>
                <w:sz w:val="1"/>
                <w:szCs w:val="1"/>
                <w:color w:val="auto"/>
              </w:rPr>
            </w:pPr>
          </w:p>
        </w:tc>
      </w:tr>
      <w:tr>
        <w:trPr>
          <w:trHeight w:val="74"/>
        </w:trPr>
        <w:tc>
          <w:tcPr>
            <w:tcW w:w="50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9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040" w:type="dxa"/>
            <w:vAlign w:val="bottom"/>
            <w:vMerge w:val="continue"/>
          </w:tcPr>
          <w:p>
            <w:pPr>
              <w:spacing w:after="0"/>
              <w:rPr>
                <w:sz w:val="22"/>
                <w:szCs w:val="22"/>
                <w:color w:val="auto"/>
              </w:rPr>
            </w:pPr>
          </w:p>
        </w:tc>
        <w:tc>
          <w:tcPr>
            <w:tcW w:w="1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Basic</w:t>
            </w:r>
          </w:p>
        </w:tc>
        <w:tc>
          <w:tcPr>
            <w:tcW w:w="23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9.70</w:t>
            </w: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8.12</w:t>
            </w:r>
          </w:p>
        </w:tc>
        <w:tc>
          <w:tcPr>
            <w:tcW w:w="100" w:type="dxa"/>
            <w:vAlign w:val="bottom"/>
            <w:shd w:val="clear" w:color="auto" w:fill="E5E5E5"/>
          </w:tcPr>
          <w:p>
            <w:pPr>
              <w:spacing w:after="0"/>
              <w:rPr>
                <w:sz w:val="16"/>
                <w:szCs w:val="16"/>
                <w:color w:val="auto"/>
              </w:rPr>
            </w:pP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7"/>
        </w:trPr>
        <w:tc>
          <w:tcPr>
            <w:tcW w:w="50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9.65</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197"/>
        </w:trPr>
        <w:tc>
          <w:tcPr>
            <w:tcW w:w="5040" w:type="dxa"/>
            <w:vAlign w:val="bottom"/>
            <w:shd w:val="clear" w:color="auto" w:fill="E5E5E5"/>
          </w:tcPr>
          <w:p>
            <w:pPr>
              <w:spacing w:after="0" w:line="197" w:lineRule="exact"/>
              <w:rPr>
                <w:sz w:val="20"/>
                <w:szCs w:val="20"/>
                <w:color w:val="auto"/>
              </w:rPr>
            </w:pPr>
            <w:r>
              <w:rPr>
                <w:rFonts w:ascii="Arial" w:cs="Arial" w:eastAsia="Arial" w:hAnsi="Arial"/>
                <w:sz w:val="18"/>
                <w:szCs w:val="18"/>
                <w:color w:val="auto"/>
              </w:rPr>
              <w:t>Weighted average shares outstanding:</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7,496</w:t>
            </w:r>
          </w:p>
        </w:tc>
        <w:tc>
          <w:tcPr>
            <w:tcW w:w="3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7,547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Diluted</w:t>
            </w:r>
          </w:p>
        </w:tc>
        <w:tc>
          <w:tcPr>
            <w:tcW w:w="19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7,540</w:t>
            </w: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7,608</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67"/>
        </w:trPr>
        <w:tc>
          <w:tcPr>
            <w:tcW w:w="50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875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8754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16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72,738</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61,271</w:t>
            </w:r>
          </w:p>
        </w:tc>
        <w:tc>
          <w:tcPr>
            <w:tcW w:w="6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44,281</w:t>
            </w:r>
          </w:p>
        </w:tc>
        <w:tc>
          <w:tcPr>
            <w:tcW w:w="0" w:type="dxa"/>
            <w:vAlign w:val="bottom"/>
          </w:tcPr>
          <w:p>
            <w:pPr>
              <w:spacing w:after="0"/>
              <w:rPr>
                <w:sz w:val="1"/>
                <w:szCs w:val="1"/>
                <w:color w:val="auto"/>
              </w:rPr>
            </w:pPr>
          </w:p>
        </w:tc>
      </w:tr>
      <w:tr>
        <w:trPr>
          <w:trHeight w:val="67"/>
        </w:trPr>
        <w:tc>
          <w:tcPr>
            <w:tcW w:w="502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28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502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Net change related to derivatives</w:t>
            </w:r>
          </w:p>
        </w:tc>
        <w:tc>
          <w:tcPr>
            <w:tcW w:w="12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w:t>
            </w:r>
          </w:p>
        </w:tc>
        <w:tc>
          <w:tcPr>
            <w:tcW w:w="4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19</w:t>
            </w:r>
          </w:p>
        </w:tc>
        <w:tc>
          <w:tcPr>
            <w:tcW w:w="2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line="189" w:lineRule="exact"/>
              <w:rPr>
                <w:sz w:val="20"/>
                <w:szCs w:val="20"/>
                <w:color w:val="auto"/>
              </w:rPr>
            </w:pPr>
            <w:r>
              <w:rPr>
                <w:rFonts w:ascii="Arial" w:cs="Arial" w:eastAsia="Arial" w:hAnsi="Arial"/>
                <w:sz w:val="18"/>
                <w:szCs w:val="18"/>
                <w:color w:val="auto"/>
              </w:rPr>
              <w:t>Net change related to investments</w:t>
            </w: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tcPr>
          <w:p>
            <w:pPr>
              <w:jc w:val="right"/>
              <w:ind w:right="400"/>
              <w:spacing w:after="0" w:line="189" w:lineRule="exact"/>
              <w:rPr>
                <w:sz w:val="20"/>
                <w:szCs w:val="20"/>
                <w:color w:val="auto"/>
              </w:rPr>
            </w:pPr>
            <w:r>
              <w:rPr>
                <w:rFonts w:ascii="Arial" w:cs="Arial" w:eastAsia="Arial" w:hAnsi="Arial"/>
                <w:sz w:val="18"/>
                <w:szCs w:val="18"/>
                <w:b w:val="1"/>
                <w:bCs w:val="1"/>
                <w:color w:val="auto"/>
              </w:rPr>
              <w:t>(5,360)</w:t>
            </w:r>
          </w:p>
        </w:tc>
        <w:tc>
          <w:tcPr>
            <w:tcW w:w="40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(2,266)</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Translation adjustments and other</w:t>
            </w:r>
          </w:p>
        </w:tc>
        <w:tc>
          <w:tcPr>
            <w:tcW w:w="12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3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(1,146)</w:t>
            </w:r>
          </w:p>
        </w:tc>
        <w:tc>
          <w:tcPr>
            <w:tcW w:w="4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873</w:t>
            </w:r>
          </w:p>
        </w:tc>
        <w:tc>
          <w:tcPr>
            <w:tcW w:w="2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67"/>
        </w:trPr>
        <w:tc>
          <w:tcPr>
            <w:tcW w:w="50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1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(6,500)</w:t>
            </w:r>
          </w:p>
        </w:tc>
        <w:tc>
          <w:tcPr>
            <w:tcW w:w="4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54"/>
        </w:trPr>
        <w:tc>
          <w:tcPr>
            <w:tcW w:w="50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16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66,238</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59,897</w:t>
            </w:r>
          </w:p>
        </w:tc>
        <w:tc>
          <w:tcPr>
            <w:tcW w:w="6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47,807</w:t>
            </w:r>
          </w:p>
        </w:tc>
        <w:tc>
          <w:tcPr>
            <w:tcW w:w="0" w:type="dxa"/>
            <w:vAlign w:val="bottom"/>
          </w:tcPr>
          <w:p>
            <w:pPr>
              <w:spacing w:after="0"/>
              <w:rPr>
                <w:sz w:val="1"/>
                <w:szCs w:val="1"/>
                <w:color w:val="auto"/>
              </w:rPr>
            </w:pPr>
          </w:p>
        </w:tc>
      </w:tr>
      <w:tr>
        <w:trPr>
          <w:trHeight w:val="74"/>
        </w:trPr>
        <w:tc>
          <w:tcPr>
            <w:tcW w:w="50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472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4723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2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r>
      <w:tr>
        <w:trPr>
          <w:trHeight w:val="54"/>
        </w:trPr>
        <w:tc>
          <w:tcPr>
            <w:tcW w:w="8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9"/>
        </w:trPr>
        <w:tc>
          <w:tcPr>
            <w:tcW w:w="8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13,931</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14,224</w:t>
            </w:r>
          </w:p>
        </w:tc>
      </w:tr>
      <w:tr>
        <w:trPr>
          <w:trHeight w:val="249"/>
        </w:trPr>
        <w:tc>
          <w:tcPr>
            <w:tcW w:w="86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90,826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116,110</w:t>
            </w:r>
          </w:p>
        </w:tc>
      </w:tr>
      <w:tr>
        <w:trPr>
          <w:trHeight w:val="67"/>
        </w:trPr>
        <w:tc>
          <w:tcPr>
            <w:tcW w:w="86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189"/>
        </w:trPr>
        <w:tc>
          <w:tcPr>
            <w:tcW w:w="8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Total cash, cash equivalents, and short-term investments</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104,757</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130,334</w:t>
            </w:r>
          </w:p>
        </w:tc>
      </w:tr>
      <w:tr>
        <w:trPr>
          <w:trHeight w:val="189"/>
        </w:trPr>
        <w:tc>
          <w:tcPr>
            <w:tcW w:w="862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$633</w:t>
            </w:r>
            <w:r>
              <w:rPr>
                <w:rFonts w:ascii="Arial" w:cs="Arial" w:eastAsia="Arial" w:hAnsi="Arial"/>
                <w:sz w:val="18"/>
                <w:szCs w:val="18"/>
                <w:color w:val="auto"/>
              </w:rPr>
              <w:t xml:space="preserve"> and $751</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44,261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38,043</w:t>
            </w:r>
          </w:p>
        </w:tc>
      </w:tr>
      <w:tr>
        <w:trPr>
          <w:trHeight w:val="189"/>
        </w:trPr>
        <w:tc>
          <w:tcPr>
            <w:tcW w:w="8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3,742</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2,636</w:t>
            </w:r>
          </w:p>
        </w:tc>
      </w:tr>
      <w:tr>
        <w:trPr>
          <w:trHeight w:val="249"/>
        </w:trPr>
        <w:tc>
          <w:tcPr>
            <w:tcW w:w="86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13,393</w:t>
            </w:r>
          </w:p>
        </w:tc>
      </w:tr>
      <w:tr>
        <w:trPr>
          <w:trHeight w:val="67"/>
        </w:trPr>
        <w:tc>
          <w:tcPr>
            <w:tcW w:w="86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189"/>
        </w:trPr>
        <w:tc>
          <w:tcPr>
            <w:tcW w:w="8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169,684</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184,406</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$59,660</w:t>
            </w:r>
            <w:r>
              <w:rPr>
                <w:rFonts w:ascii="Arial" w:cs="Arial" w:eastAsia="Arial" w:hAnsi="Arial"/>
                <w:sz w:val="18"/>
                <w:szCs w:val="18"/>
                <w:color w:val="auto"/>
              </w:rPr>
              <w:t xml:space="preserve"> and $51,351</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74,398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59,715</w:t>
            </w:r>
          </w:p>
        </w:tc>
      </w:tr>
      <w:tr>
        <w:trPr>
          <w:trHeight w:val="189"/>
        </w:trPr>
        <w:tc>
          <w:tcPr>
            <w:tcW w:w="8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13,148</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11,088</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6,891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5,984</w:t>
            </w:r>
          </w:p>
        </w:tc>
      </w:tr>
      <w:tr>
        <w:trPr>
          <w:trHeight w:val="189"/>
        </w:trPr>
        <w:tc>
          <w:tcPr>
            <w:tcW w:w="8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Goodwill</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67,524</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49,711</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11,298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7,800</w:t>
            </w:r>
          </w:p>
        </w:tc>
      </w:tr>
      <w:tr>
        <w:trPr>
          <w:trHeight w:val="189"/>
        </w:trPr>
        <w:tc>
          <w:tcPr>
            <w:tcW w:w="8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21,897</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15,075</w:t>
            </w:r>
          </w:p>
        </w:tc>
      </w:tr>
      <w:tr>
        <w:trPr>
          <w:trHeight w:val="67"/>
        </w:trPr>
        <w:tc>
          <w:tcPr>
            <w:tcW w:w="86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263"/>
        </w:trPr>
        <w:tc>
          <w:tcPr>
            <w:tcW w:w="86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364,840</w:t>
            </w:r>
          </w:p>
        </w:tc>
        <w:tc>
          <w:tcPr>
            <w:tcW w:w="140" w:type="dxa"/>
            <w:vAlign w:val="bottom"/>
          </w:tcPr>
          <w:p>
            <w:pPr>
              <w:spacing w:after="0"/>
              <w:rPr>
                <w:sz w:val="22"/>
                <w:szCs w:val="2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333,779</w:t>
            </w:r>
          </w:p>
        </w:tc>
      </w:tr>
      <w:tr>
        <w:trPr>
          <w:trHeight w:val="61"/>
        </w:trPr>
        <w:tc>
          <w:tcPr>
            <w:tcW w:w="86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67"/>
        </w:trPr>
        <w:tc>
          <w:tcPr>
            <w:tcW w:w="8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189"/>
        </w:trPr>
        <w:tc>
          <w:tcPr>
            <w:tcW w:w="8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19,000</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15,163</w:t>
            </w:r>
          </w:p>
        </w:tc>
      </w:tr>
      <w:tr>
        <w:trPr>
          <w:trHeight w:val="189"/>
        </w:trPr>
        <w:tc>
          <w:tcPr>
            <w:tcW w:w="8620" w:type="dxa"/>
            <w:vAlign w:val="bottom"/>
          </w:tcPr>
          <w:p>
            <w:pPr>
              <w:ind w:left="220"/>
              <w:spacing w:after="0" w:line="189" w:lineRule="exact"/>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2,749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8,072</w:t>
            </w:r>
          </w:p>
        </w:tc>
      </w:tr>
      <w:tr>
        <w:trPr>
          <w:trHeight w:val="189"/>
        </w:trPr>
        <w:tc>
          <w:tcPr>
            <w:tcW w:w="8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10,661</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10,057</w:t>
            </w:r>
          </w:p>
        </w:tc>
      </w:tr>
      <w:tr>
        <w:trPr>
          <w:trHeight w:val="189"/>
        </w:trPr>
        <w:tc>
          <w:tcPr>
            <w:tcW w:w="8620" w:type="dxa"/>
            <w:vAlign w:val="bottom"/>
          </w:tcPr>
          <w:p>
            <w:pPr>
              <w:ind w:left="220"/>
              <w:spacing w:after="0" w:line="189" w:lineRule="exact"/>
              <w:rPr>
                <w:sz w:val="20"/>
                <w:szCs w:val="20"/>
                <w:color w:val="auto"/>
              </w:rPr>
            </w:pPr>
            <w:r>
              <w:rPr>
                <w:rFonts w:ascii="Arial" w:cs="Arial" w:eastAsia="Arial" w:hAnsi="Arial"/>
                <w:sz w:val="18"/>
                <w:szCs w:val="18"/>
                <w:color w:val="auto"/>
              </w:rPr>
              <w:t>Short-term income taxes</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4,067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2,174</w:t>
            </w:r>
          </w:p>
        </w:tc>
      </w:tr>
      <w:tr>
        <w:trPr>
          <w:trHeight w:val="189"/>
        </w:trPr>
        <w:tc>
          <w:tcPr>
            <w:tcW w:w="8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Short-term unearned revenue</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45,538</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41,525</w:t>
            </w:r>
          </w:p>
        </w:tc>
      </w:tr>
      <w:tr>
        <w:trPr>
          <w:trHeight w:val="249"/>
        </w:trPr>
        <w:tc>
          <w:tcPr>
            <w:tcW w:w="862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11,666</w:t>
            </w:r>
          </w:p>
        </w:tc>
      </w:tr>
      <w:tr>
        <w:trPr>
          <w:trHeight w:val="67"/>
        </w:trPr>
        <w:tc>
          <w:tcPr>
            <w:tcW w:w="86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189"/>
        </w:trPr>
        <w:tc>
          <w:tcPr>
            <w:tcW w:w="8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95,082</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88,657</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47,032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50,074</w:t>
            </w:r>
          </w:p>
        </w:tc>
      </w:tr>
      <w:tr>
        <w:trPr>
          <w:trHeight w:val="189"/>
        </w:trPr>
        <w:tc>
          <w:tcPr>
            <w:tcW w:w="8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income taxes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26,069</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27,190</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2,870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2,616</w:t>
            </w:r>
          </w:p>
        </w:tc>
      </w:tr>
      <w:tr>
        <w:trPr>
          <w:trHeight w:val="189"/>
        </w:trPr>
        <w:tc>
          <w:tcPr>
            <w:tcW w:w="8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230</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198</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11,489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9,629</w:t>
            </w:r>
          </w:p>
        </w:tc>
      </w:tr>
      <w:tr>
        <w:trPr>
          <w:trHeight w:val="189"/>
        </w:trPr>
        <w:tc>
          <w:tcPr>
            <w:tcW w:w="8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15,526</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13,427</w:t>
            </w:r>
          </w:p>
        </w:tc>
      </w:tr>
      <w:tr>
        <w:trPr>
          <w:trHeight w:val="67"/>
        </w:trPr>
        <w:tc>
          <w:tcPr>
            <w:tcW w:w="86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263"/>
        </w:trPr>
        <w:tc>
          <w:tcPr>
            <w:tcW w:w="862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198,298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191,791</w:t>
            </w:r>
          </w:p>
        </w:tc>
      </w:tr>
      <w:tr>
        <w:trPr>
          <w:trHeight w:val="54"/>
        </w:trPr>
        <w:tc>
          <w:tcPr>
            <w:tcW w:w="86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8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189"/>
        </w:trPr>
        <w:tc>
          <w:tcPr>
            <w:tcW w:w="8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7,464</w:t>
            </w:r>
            <w:r>
              <w:rPr>
                <w:rFonts w:ascii="Arial" w:cs="Arial" w:eastAsia="Arial" w:hAnsi="Arial"/>
                <w:sz w:val="18"/>
                <w:szCs w:val="18"/>
                <w:color w:val="auto"/>
              </w:rPr>
              <w:t xml:space="preserve"> and 7,519</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86,939</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83,111</w:t>
            </w:r>
          </w:p>
        </w:tc>
      </w:tr>
      <w:tr>
        <w:trPr>
          <w:trHeight w:val="189"/>
        </w:trPr>
        <w:tc>
          <w:tcPr>
            <w:tcW w:w="8620" w:type="dxa"/>
            <w:vAlign w:val="bottom"/>
          </w:tcPr>
          <w:p>
            <w:pPr>
              <w:ind w:left="220"/>
              <w:spacing w:after="0" w:line="189" w:lineRule="exact"/>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84,281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57,055</w:t>
            </w:r>
          </w:p>
        </w:tc>
      </w:tr>
      <w:tr>
        <w:trPr>
          <w:trHeight w:val="189"/>
        </w:trPr>
        <w:tc>
          <w:tcPr>
            <w:tcW w:w="8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(4,678)</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1,822</w:t>
            </w:r>
          </w:p>
        </w:tc>
      </w:tr>
      <w:tr>
        <w:trPr>
          <w:trHeight w:val="67"/>
        </w:trPr>
        <w:tc>
          <w:tcPr>
            <w:tcW w:w="86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263"/>
        </w:trPr>
        <w:tc>
          <w:tcPr>
            <w:tcW w:w="862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166,542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141,988</w:t>
            </w:r>
          </w:p>
        </w:tc>
      </w:tr>
      <w:tr>
        <w:trPr>
          <w:trHeight w:val="54"/>
        </w:trPr>
        <w:tc>
          <w:tcPr>
            <w:tcW w:w="86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8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189"/>
        </w:trPr>
        <w:tc>
          <w:tcPr>
            <w:tcW w:w="8620" w:type="dxa"/>
            <w:vAlign w:val="bottom"/>
            <w:shd w:val="clear" w:color="auto" w:fill="E5E5E5"/>
          </w:tcPr>
          <w:p>
            <w:pPr>
              <w:ind w:left="860"/>
              <w:spacing w:after="0" w:line="189"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364,840</w:t>
            </w:r>
          </w:p>
        </w:tc>
        <w:tc>
          <w:tcPr>
            <w:tcW w:w="140" w:type="dxa"/>
            <w:vAlign w:val="bottom"/>
            <w:shd w:val="clear" w:color="auto" w:fill="E5E5E5"/>
          </w:tcPr>
          <w:p>
            <w:pPr>
              <w:spacing w:after="0"/>
              <w:rPr>
                <w:sz w:val="16"/>
                <w:szCs w:val="16"/>
                <w:color w:val="auto"/>
              </w:rPr>
            </w:pP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333,779</w:t>
            </w:r>
          </w:p>
        </w:tc>
      </w:tr>
      <w:tr>
        <w:trPr>
          <w:trHeight w:val="74"/>
        </w:trPr>
        <w:tc>
          <w:tcPr>
            <w:tcW w:w="86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FLOWS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36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72,738</w:t>
            </w:r>
          </w:p>
        </w:tc>
        <w:tc>
          <w:tcPr>
            <w:tcW w:w="44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61,271</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44,281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Adjustments to reconcile net income to net cash from operations:</w:t>
            </w:r>
          </w:p>
        </w:tc>
        <w:tc>
          <w:tcPr>
            <w:tcW w:w="36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tcPr>
          <w:p>
            <w:pPr>
              <w:ind w:left="220"/>
              <w:spacing w:after="0" w:line="189" w:lineRule="exact"/>
              <w:rPr>
                <w:sz w:val="20"/>
                <w:szCs w:val="20"/>
                <w:color w:val="auto"/>
              </w:rPr>
            </w:pPr>
            <w:r>
              <w:rPr>
                <w:rFonts w:ascii="Arial" w:cs="Arial" w:eastAsia="Arial" w:hAnsi="Arial"/>
                <w:sz w:val="18"/>
                <w:szCs w:val="18"/>
                <w:color w:val="auto"/>
              </w:rPr>
              <w:t>Depreciation, amortization, and other</w:t>
            </w:r>
          </w:p>
        </w:tc>
        <w:tc>
          <w:tcPr>
            <w:tcW w:w="36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14,460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11,686</w:t>
            </w:r>
          </w:p>
        </w:tc>
        <w:tc>
          <w:tcPr>
            <w:tcW w:w="36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12,796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7,502</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6,118</w:t>
            </w: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5,289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tcPr>
          <w:p>
            <w:pPr>
              <w:ind w:left="220"/>
              <w:spacing w:after="0" w:line="189" w:lineRule="exact"/>
              <w:rPr>
                <w:sz w:val="20"/>
                <w:szCs w:val="20"/>
                <w:color w:val="auto"/>
              </w:rPr>
            </w:pPr>
            <w:r>
              <w:rPr>
                <w:rFonts w:ascii="Arial" w:cs="Arial" w:eastAsia="Arial" w:hAnsi="Arial"/>
                <w:sz w:val="18"/>
                <w:szCs w:val="18"/>
                <w:color w:val="auto"/>
              </w:rPr>
              <w:t>Net recognized gains on investments and derivatives</w:t>
            </w:r>
          </w:p>
        </w:tc>
        <w:tc>
          <w:tcPr>
            <w:tcW w:w="36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(409)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(1,249)</w:t>
            </w:r>
          </w:p>
        </w:tc>
        <w:tc>
          <w:tcPr>
            <w:tcW w:w="360" w:type="dxa"/>
            <w:vAlign w:val="bottom"/>
          </w:tcPr>
          <w:p>
            <w:pPr>
              <w:spacing w:after="0"/>
              <w:rPr>
                <w:sz w:val="16"/>
                <w:szCs w:val="16"/>
                <w:color w:val="auto"/>
              </w:rPr>
            </w:pPr>
          </w:p>
        </w:tc>
        <w:tc>
          <w:tcPr>
            <w:tcW w:w="98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(5,702)</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(150)</w:t>
            </w: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receivable</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(6,834)</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(6,481)</w:t>
            </w: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189"/>
        </w:trPr>
        <w:tc>
          <w:tcPr>
            <w:tcW w:w="7000" w:type="dxa"/>
            <w:vAlign w:val="bottom"/>
          </w:tcPr>
          <w:p>
            <w:pPr>
              <w:ind w:left="440"/>
              <w:spacing w:after="0" w:line="189" w:lineRule="exact"/>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(1,123)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(737)</w:t>
            </w:r>
          </w:p>
        </w:tc>
        <w:tc>
          <w:tcPr>
            <w:tcW w:w="36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(709)</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(932)</w:t>
            </w: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189"/>
        </w:trPr>
        <w:tc>
          <w:tcPr>
            <w:tcW w:w="7000" w:type="dxa"/>
            <w:vAlign w:val="bottom"/>
          </w:tcPr>
          <w:p>
            <w:pPr>
              <w:ind w:left="440"/>
              <w:spacing w:after="0" w:line="189" w:lineRule="exact"/>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(2,805)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(3,459)</w:t>
            </w:r>
          </w:p>
        </w:tc>
        <w:tc>
          <w:tcPr>
            <w:tcW w:w="360" w:type="dxa"/>
            <w:vAlign w:val="bottom"/>
          </w:tcPr>
          <w:p>
            <w:pPr>
              <w:spacing w:after="0"/>
              <w:rPr>
                <w:sz w:val="16"/>
                <w:szCs w:val="16"/>
                <w:color w:val="auto"/>
              </w:rPr>
            </w:pPr>
          </w:p>
        </w:tc>
        <w:tc>
          <w:tcPr>
            <w:tcW w:w="98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2,943</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2,798</w:t>
            </w: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3,018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tcPr>
          <w:p>
            <w:pPr>
              <w:ind w:left="440"/>
              <w:spacing w:after="0" w:line="189" w:lineRule="exact"/>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5,109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4,633</w:t>
            </w:r>
          </w:p>
        </w:tc>
        <w:tc>
          <w:tcPr>
            <w:tcW w:w="36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2,212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Income taxes</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696</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(2,309)</w:t>
            </w: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189"/>
        </w:trPr>
        <w:tc>
          <w:tcPr>
            <w:tcW w:w="7000" w:type="dxa"/>
            <w:vAlign w:val="bottom"/>
          </w:tcPr>
          <w:p>
            <w:pPr>
              <w:ind w:left="440"/>
              <w:spacing w:after="0" w:line="189" w:lineRule="exact"/>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2,344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4,149</w:t>
            </w:r>
          </w:p>
        </w:tc>
        <w:tc>
          <w:tcPr>
            <w:tcW w:w="36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1,346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825</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1,402</w:t>
            </w: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1,348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00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36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89,035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76,740</w:t>
            </w:r>
          </w:p>
        </w:tc>
        <w:tc>
          <w:tcPr>
            <w:tcW w:w="36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60,675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7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Financing</w:t>
            </w:r>
          </w:p>
        </w:tc>
        <w:tc>
          <w:tcPr>
            <w:tcW w:w="36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tcPr>
          <w:p>
            <w:pPr>
              <w:spacing w:after="0" w:line="189" w:lineRule="exact"/>
              <w:rPr>
                <w:sz w:val="20"/>
                <w:szCs w:val="20"/>
                <w:color w:val="auto"/>
              </w:rPr>
            </w:pPr>
            <w:r>
              <w:rPr>
                <w:rFonts w:ascii="Arial" w:cs="Arial" w:eastAsia="Arial" w:hAnsi="Arial"/>
                <w:sz w:val="18"/>
                <w:szCs w:val="18"/>
                <w:color w:val="auto"/>
              </w:rPr>
              <w:t>Cash premium on debt exchange</w:t>
            </w:r>
          </w:p>
        </w:tc>
        <w:tc>
          <w:tcPr>
            <w:tcW w:w="36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(1,754)</w:t>
            </w:r>
          </w:p>
        </w:tc>
        <w:tc>
          <w:tcPr>
            <w:tcW w:w="360" w:type="dxa"/>
            <w:vAlign w:val="bottom"/>
          </w:tcPr>
          <w:p>
            <w:pPr>
              <w:spacing w:after="0"/>
              <w:rPr>
                <w:sz w:val="16"/>
                <w:szCs w:val="16"/>
                <w:color w:val="auto"/>
              </w:rPr>
            </w:pPr>
          </w:p>
        </w:tc>
        <w:tc>
          <w:tcPr>
            <w:tcW w:w="98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Repayments of debt</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(9,023)</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(3,750)</w:t>
            </w: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189"/>
        </w:trPr>
        <w:tc>
          <w:tcPr>
            <w:tcW w:w="7000" w:type="dxa"/>
            <w:vAlign w:val="bottom"/>
          </w:tcPr>
          <w:p>
            <w:pPr>
              <w:spacing w:after="0" w:line="189" w:lineRule="exact"/>
              <w:rPr>
                <w:sz w:val="20"/>
                <w:szCs w:val="20"/>
                <w:color w:val="auto"/>
              </w:rPr>
            </w:pPr>
            <w:r>
              <w:rPr>
                <w:rFonts w:ascii="Arial" w:cs="Arial" w:eastAsia="Arial" w:hAnsi="Arial"/>
                <w:sz w:val="18"/>
                <w:szCs w:val="18"/>
                <w:color w:val="auto"/>
              </w:rPr>
              <w:t>Common stock issued</w:t>
            </w:r>
          </w:p>
        </w:tc>
        <w:tc>
          <w:tcPr>
            <w:tcW w:w="36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1,841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1,693</w:t>
            </w:r>
          </w:p>
        </w:tc>
        <w:tc>
          <w:tcPr>
            <w:tcW w:w="36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1,343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repurchased</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(32,696)</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(27,385)</w:t>
            </w: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(22,968)</w:t>
            </w:r>
          </w:p>
        </w:tc>
        <w:tc>
          <w:tcPr>
            <w:tcW w:w="0" w:type="dxa"/>
            <w:vAlign w:val="bottom"/>
          </w:tcPr>
          <w:p>
            <w:pPr>
              <w:spacing w:after="0"/>
              <w:rPr>
                <w:sz w:val="1"/>
                <w:szCs w:val="1"/>
                <w:color w:val="auto"/>
              </w:rPr>
            </w:pPr>
          </w:p>
        </w:tc>
      </w:tr>
      <w:tr>
        <w:trPr>
          <w:trHeight w:val="189"/>
        </w:trPr>
        <w:tc>
          <w:tcPr>
            <w:tcW w:w="7000" w:type="dxa"/>
            <w:vAlign w:val="bottom"/>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36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(18,135)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(16,521)</w:t>
            </w:r>
          </w:p>
        </w:tc>
        <w:tc>
          <w:tcPr>
            <w:tcW w:w="360" w:type="dxa"/>
            <w:vAlign w:val="bottom"/>
          </w:tcPr>
          <w:p>
            <w:pPr>
              <w:spacing w:after="0"/>
              <w:rPr>
                <w:sz w:val="16"/>
                <w:szCs w:val="16"/>
                <w:color w:val="auto"/>
              </w:rPr>
            </w:pPr>
          </w:p>
        </w:tc>
        <w:tc>
          <w:tcPr>
            <w:tcW w:w="98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(15,137)</w:t>
            </w: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(863)</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(769)</w:t>
            </w: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67"/>
        </w:trPr>
        <w:tc>
          <w:tcPr>
            <w:tcW w:w="7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000" w:type="dxa"/>
            <w:vAlign w:val="bottom"/>
          </w:tcPr>
          <w:p>
            <w:pPr>
              <w:ind w:left="660"/>
              <w:spacing w:after="0"/>
              <w:rPr>
                <w:sz w:val="20"/>
                <w:szCs w:val="20"/>
                <w:color w:val="auto"/>
              </w:rPr>
            </w:pPr>
            <w:r>
              <w:rPr>
                <w:rFonts w:ascii="Arial" w:cs="Arial" w:eastAsia="Arial" w:hAnsi="Arial"/>
                <w:sz w:val="18"/>
                <w:szCs w:val="18"/>
                <w:color w:val="auto"/>
              </w:rPr>
              <w:t>Net cash used in financing</w:t>
            </w:r>
          </w:p>
        </w:tc>
        <w:tc>
          <w:tcPr>
            <w:tcW w:w="36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(58,876)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(48,486)</w:t>
            </w:r>
          </w:p>
        </w:tc>
        <w:tc>
          <w:tcPr>
            <w:tcW w:w="36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(46,031)</w:t>
            </w:r>
          </w:p>
        </w:tc>
        <w:tc>
          <w:tcPr>
            <w:tcW w:w="0" w:type="dxa"/>
            <w:vAlign w:val="bottom"/>
          </w:tcPr>
          <w:p>
            <w:pPr>
              <w:spacing w:after="0"/>
              <w:rPr>
                <w:sz w:val="1"/>
                <w:szCs w:val="1"/>
                <w:color w:val="auto"/>
              </w:rPr>
            </w:pPr>
          </w:p>
        </w:tc>
      </w:tr>
      <w:tr>
        <w:trPr>
          <w:trHeight w:val="54"/>
        </w:trPr>
        <w:tc>
          <w:tcPr>
            <w:tcW w:w="7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Investing</w:t>
            </w:r>
          </w:p>
        </w:tc>
        <w:tc>
          <w:tcPr>
            <w:tcW w:w="36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(23,886)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(20,622)</w:t>
            </w:r>
          </w:p>
        </w:tc>
        <w:tc>
          <w:tcPr>
            <w:tcW w:w="360" w:type="dxa"/>
            <w:vAlign w:val="bottom"/>
          </w:tcPr>
          <w:p>
            <w:pPr>
              <w:spacing w:after="0"/>
              <w:rPr>
                <w:sz w:val="16"/>
                <w:szCs w:val="16"/>
                <w:color w:val="auto"/>
              </w:rPr>
            </w:pPr>
          </w:p>
        </w:tc>
        <w:tc>
          <w:tcPr>
            <w:tcW w:w="98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(15,441)</w:t>
            </w:r>
          </w:p>
        </w:tc>
        <w:tc>
          <w:tcPr>
            <w:tcW w:w="0" w:type="dxa"/>
            <w:vAlign w:val="bottom"/>
          </w:tcPr>
          <w:p>
            <w:pPr>
              <w:spacing w:after="0"/>
              <w:rPr>
                <w:sz w:val="1"/>
                <w:szCs w:val="1"/>
                <w:color w:val="auto"/>
              </w:rPr>
            </w:pPr>
          </w:p>
        </w:tc>
      </w:tr>
      <w:tr>
        <w:trPr>
          <w:trHeight w:val="174"/>
        </w:trPr>
        <w:tc>
          <w:tcPr>
            <w:tcW w:w="700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Acquisition of companies, net of cash acquired, and purchases of intangible and other</w:t>
            </w:r>
          </w:p>
        </w:tc>
        <w:tc>
          <w:tcPr>
            <w:tcW w:w="360" w:type="dxa"/>
            <w:vAlign w:val="bottom"/>
            <w:shd w:val="clear" w:color="auto" w:fill="E5E5E5"/>
          </w:tcPr>
          <w:p>
            <w:pPr>
              <w:spacing w:after="0"/>
              <w:rPr>
                <w:sz w:val="15"/>
                <w:szCs w:val="15"/>
                <w:color w:val="auto"/>
              </w:rPr>
            </w:pPr>
          </w:p>
        </w:tc>
        <w:tc>
          <w:tcPr>
            <w:tcW w:w="104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(22,038)</w:t>
            </w:r>
          </w:p>
        </w:tc>
        <w:tc>
          <w:tcPr>
            <w:tcW w:w="8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assets</w:t>
            </w:r>
          </w:p>
        </w:tc>
        <w:tc>
          <w:tcPr>
            <w:tcW w:w="360" w:type="dxa"/>
            <w:vAlign w:val="bottom"/>
            <w:shd w:val="clear" w:color="auto" w:fill="E5E5E5"/>
          </w:tcPr>
          <w:p>
            <w:pPr>
              <w:spacing w:after="0"/>
              <w:rPr>
                <w:sz w:val="17"/>
                <w:szCs w:val="17"/>
                <w:color w:val="auto"/>
              </w:rPr>
            </w:pPr>
          </w:p>
        </w:tc>
        <w:tc>
          <w:tcPr>
            <w:tcW w:w="1040" w:type="dxa"/>
            <w:vAlign w:val="bottom"/>
            <w:gridSpan w:val="2"/>
            <w:vMerge w:val="continue"/>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(8,909)</w:t>
            </w:r>
          </w:p>
        </w:tc>
        <w:tc>
          <w:tcPr>
            <w:tcW w:w="360" w:type="dxa"/>
            <w:vAlign w:val="bottom"/>
            <w:shd w:val="clear" w:color="auto" w:fill="E5E5E5"/>
          </w:tcPr>
          <w:p>
            <w:pPr>
              <w:spacing w:after="0"/>
              <w:rPr>
                <w:sz w:val="17"/>
                <w:szCs w:val="17"/>
                <w:color w:val="auto"/>
              </w:rPr>
            </w:pPr>
          </w:p>
        </w:tc>
        <w:tc>
          <w:tcPr>
            <w:tcW w:w="980" w:type="dxa"/>
            <w:vAlign w:val="bottom"/>
            <w:gridSpan w:val="3"/>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189"/>
        </w:trPr>
        <w:tc>
          <w:tcPr>
            <w:tcW w:w="7000" w:type="dxa"/>
            <w:vAlign w:val="bottom"/>
          </w:tcPr>
          <w:p>
            <w:pPr>
              <w:spacing w:after="0" w:line="189" w:lineRule="exact"/>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(26,456)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(62,924)</w:t>
            </w:r>
          </w:p>
        </w:tc>
        <w:tc>
          <w:tcPr>
            <w:tcW w:w="360" w:type="dxa"/>
            <w:vAlign w:val="bottom"/>
          </w:tcPr>
          <w:p>
            <w:pPr>
              <w:spacing w:after="0"/>
              <w:rPr>
                <w:sz w:val="16"/>
                <w:szCs w:val="16"/>
                <w:color w:val="auto"/>
              </w:rPr>
            </w:pPr>
          </w:p>
        </w:tc>
        <w:tc>
          <w:tcPr>
            <w:tcW w:w="98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(77,190)</w:t>
            </w: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Maturities of investments</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16,451</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51,792</w:t>
            </w: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66,449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tcPr>
          <w:p>
            <w:pPr>
              <w:spacing w:after="0" w:line="189" w:lineRule="exact"/>
              <w:rPr>
                <w:sz w:val="20"/>
                <w:szCs w:val="20"/>
                <w:color w:val="auto"/>
              </w:rPr>
            </w:pPr>
            <w:r>
              <w:rPr>
                <w:rFonts w:ascii="Arial" w:cs="Arial" w:eastAsia="Arial" w:hAnsi="Arial"/>
                <w:sz w:val="18"/>
                <w:szCs w:val="18"/>
                <w:color w:val="auto"/>
              </w:rPr>
              <w:t>Sales of investments</w:t>
            </w:r>
          </w:p>
        </w:tc>
        <w:tc>
          <w:tcPr>
            <w:tcW w:w="36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28,443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14,008</w:t>
            </w:r>
          </w:p>
        </w:tc>
        <w:tc>
          <w:tcPr>
            <w:tcW w:w="36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17,721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(2,825)</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(922)</w:t>
            </w: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67"/>
        </w:trPr>
        <w:tc>
          <w:tcPr>
            <w:tcW w:w="7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000" w:type="dxa"/>
            <w:vAlign w:val="bottom"/>
          </w:tcPr>
          <w:p>
            <w:pPr>
              <w:ind w:left="660"/>
              <w:spacing w:after="0"/>
              <w:rPr>
                <w:sz w:val="20"/>
                <w:szCs w:val="20"/>
                <w:color w:val="auto"/>
              </w:rPr>
            </w:pPr>
            <w:r>
              <w:rPr>
                <w:rFonts w:ascii="Arial" w:cs="Arial" w:eastAsia="Arial" w:hAnsi="Arial"/>
                <w:sz w:val="18"/>
                <w:szCs w:val="18"/>
                <w:color w:val="auto"/>
              </w:rPr>
              <w:t>Net cash used in investing</w:t>
            </w:r>
          </w:p>
        </w:tc>
        <w:tc>
          <w:tcPr>
            <w:tcW w:w="36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(30,311)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(27,577)</w:t>
            </w:r>
          </w:p>
        </w:tc>
        <w:tc>
          <w:tcPr>
            <w:tcW w:w="36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54"/>
        </w:trPr>
        <w:tc>
          <w:tcPr>
            <w:tcW w:w="7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Effect of foreign exchange rates on cash and cash equivalents</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(141)</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(29)</w:t>
            </w: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67"/>
        </w:trPr>
        <w:tc>
          <w:tcPr>
            <w:tcW w:w="7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70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3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14,224</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13,576</w:t>
            </w: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11,356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0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13,931</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14,224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13,576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0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38" w:right="31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957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79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r>
      <w:tr>
        <w:trPr>
          <w:trHeight w:val="54"/>
        </w:trPr>
        <w:tc>
          <w:tcPr>
            <w:tcW w:w="48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r>
      <w:tr>
        <w:trPr>
          <w:trHeight w:val="256"/>
        </w:trPr>
        <w:tc>
          <w:tcPr>
            <w:tcW w:w="48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83,111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80,552</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78,520</w:t>
            </w: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1,841</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1,963</w:t>
            </w: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1,343</w:t>
            </w:r>
          </w:p>
        </w:tc>
      </w:tr>
      <w:tr>
        <w:trPr>
          <w:trHeight w:val="189"/>
        </w:trPr>
        <w:tc>
          <w:tcPr>
            <w:tcW w:w="488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(5,688)</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(5,539)</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(4,599)</w:t>
            </w: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7,502</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6,118</w:t>
            </w: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5,289</w:t>
            </w:r>
          </w:p>
        </w:tc>
      </w:tr>
      <w:tr>
        <w:trPr>
          <w:trHeight w:val="249"/>
        </w:trPr>
        <w:tc>
          <w:tcPr>
            <w:tcW w:w="4880" w:type="dxa"/>
            <w:vAlign w:val="bottom"/>
          </w:tcPr>
          <w:p>
            <w:pPr>
              <w:spacing w:after="0"/>
              <w:rPr>
                <w:sz w:val="20"/>
                <w:szCs w:val="20"/>
                <w:color w:val="auto"/>
              </w:rPr>
            </w:pPr>
            <w:r>
              <w:rPr>
                <w:rFonts w:ascii="Arial" w:cs="Arial" w:eastAsia="Arial" w:hAnsi="Arial"/>
                <w:sz w:val="18"/>
                <w:szCs w:val="18"/>
                <w:color w:val="auto"/>
              </w:rPr>
              <w:t>Other, net</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67"/>
        </w:trPr>
        <w:tc>
          <w:tcPr>
            <w:tcW w:w="4880" w:type="dxa"/>
            <w:vAlign w:val="bottom"/>
            <w:tcBorders>
              <w:top w:val="single" w:sz="8" w:color="auto"/>
            </w:tcBorders>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48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86,939</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83,111</w:t>
            </w: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80,552</w:t>
            </w:r>
          </w:p>
        </w:tc>
      </w:tr>
      <w:tr>
        <w:trPr>
          <w:trHeight w:val="67"/>
        </w:trPr>
        <w:tc>
          <w:tcPr>
            <w:tcW w:w="48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263"/>
        </w:trPr>
        <w:tc>
          <w:tcPr>
            <w:tcW w:w="488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1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54"/>
        </w:trPr>
        <w:tc>
          <w:tcPr>
            <w:tcW w:w="48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57,055</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34,566</w:t>
            </w: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24,150</w:t>
            </w:r>
          </w:p>
        </w:tc>
      </w:tr>
      <w:tr>
        <w:trPr>
          <w:trHeight w:val="189"/>
        </w:trPr>
        <w:tc>
          <w:tcPr>
            <w:tcW w:w="48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72,738</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61,271</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44,281</w:t>
            </w: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(18,552)</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(16,871)</w:t>
            </w: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(15,483)</w:t>
            </w:r>
          </w:p>
        </w:tc>
      </w:tr>
      <w:tr>
        <w:trPr>
          <w:trHeight w:val="189"/>
        </w:trPr>
        <w:tc>
          <w:tcPr>
            <w:tcW w:w="488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(26,960)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(21,879)</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(18,382)</w:t>
            </w: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(32)</w:t>
            </w: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r>
      <w:tr>
        <w:trPr>
          <w:trHeight w:val="67"/>
        </w:trPr>
        <w:tc>
          <w:tcPr>
            <w:tcW w:w="48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263"/>
        </w:trPr>
        <w:tc>
          <w:tcPr>
            <w:tcW w:w="4880" w:type="dxa"/>
            <w:vAlign w:val="bottom"/>
          </w:tcPr>
          <w:p>
            <w:pPr>
              <w:ind w:left="220"/>
              <w:spacing w:after="0"/>
              <w:rPr>
                <w:sz w:val="20"/>
                <w:szCs w:val="20"/>
                <w:color w:val="auto"/>
              </w:rPr>
            </w:pPr>
            <w:r>
              <w:rPr>
                <w:rFonts w:ascii="Arial" w:cs="Arial" w:eastAsia="Arial" w:hAnsi="Arial"/>
                <w:sz w:val="18"/>
                <w:szCs w:val="18"/>
                <w:color w:val="auto"/>
              </w:rPr>
              <w:t>Balance, end of period</w:t>
            </w:r>
          </w:p>
        </w:tc>
        <w:tc>
          <w:tcPr>
            <w:tcW w:w="1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84,281</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57,055</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34,566</w:t>
            </w:r>
          </w:p>
        </w:tc>
      </w:tr>
      <w:tr>
        <w:trPr>
          <w:trHeight w:val="54"/>
        </w:trPr>
        <w:tc>
          <w:tcPr>
            <w:tcW w:w="4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61"/>
        </w:trPr>
        <w:tc>
          <w:tcPr>
            <w:tcW w:w="48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Accumulated other comprehensive income (loss)</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r>
      <w:tr>
        <w:trPr>
          <w:trHeight w:val="256"/>
        </w:trPr>
        <w:tc>
          <w:tcPr>
            <w:tcW w:w="48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1,822</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3,186</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(6,500)</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(1,374)</w:t>
            </w: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3,526</w:t>
            </w:r>
          </w:p>
        </w:tc>
      </w:tr>
      <w:tr>
        <w:trPr>
          <w:trHeight w:val="249"/>
        </w:trPr>
        <w:tc>
          <w:tcPr>
            <w:tcW w:w="488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r>
      <w:tr>
        <w:trPr>
          <w:trHeight w:val="67"/>
        </w:trPr>
        <w:tc>
          <w:tcPr>
            <w:tcW w:w="4880" w:type="dxa"/>
            <w:vAlign w:val="bottom"/>
            <w:tcBorders>
              <w:top w:val="single" w:sz="8" w:color="auto"/>
            </w:tcBorders>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48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14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(4,678)</w:t>
            </w:r>
          </w:p>
        </w:tc>
        <w:tc>
          <w:tcPr>
            <w:tcW w:w="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1,822</w:t>
            </w: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3,186</w:t>
            </w:r>
          </w:p>
        </w:tc>
      </w:tr>
      <w:tr>
        <w:trPr>
          <w:trHeight w:val="67"/>
        </w:trPr>
        <w:tc>
          <w:tcPr>
            <w:tcW w:w="48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gridSpan w:val="2"/>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263"/>
        </w:trPr>
        <w:tc>
          <w:tcPr>
            <w:tcW w:w="4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166,542</w:t>
            </w:r>
          </w:p>
        </w:tc>
        <w:tc>
          <w:tcPr>
            <w:tcW w:w="240" w:type="dxa"/>
            <w:vAlign w:val="bottom"/>
          </w:tcPr>
          <w:p>
            <w:pPr>
              <w:spacing w:after="0"/>
              <w:rPr>
                <w:sz w:val="22"/>
                <w:szCs w:val="2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141,988</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118,304</w:t>
            </w:r>
          </w:p>
        </w:tc>
      </w:tr>
      <w:tr>
        <w:trPr>
          <w:trHeight w:val="61"/>
        </w:trPr>
        <w:tc>
          <w:tcPr>
            <w:tcW w:w="48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67"/>
        </w:trPr>
        <w:tc>
          <w:tcPr>
            <w:tcW w:w="48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18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2.48</w:t>
            </w:r>
          </w:p>
        </w:tc>
        <w:tc>
          <w:tcPr>
            <w:tcW w:w="240" w:type="dxa"/>
            <w:vAlign w:val="bottom"/>
            <w:shd w:val="clear" w:color="auto" w:fill="E5E5E5"/>
          </w:tcPr>
          <w:p>
            <w:pPr>
              <w:spacing w:after="0"/>
              <w:rPr>
                <w:sz w:val="16"/>
                <w:szCs w:val="16"/>
                <w:color w:val="auto"/>
              </w:rPr>
            </w:pPr>
          </w:p>
        </w:tc>
        <w:tc>
          <w:tcPr>
            <w:tcW w:w="5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2.24</w:t>
            </w:r>
          </w:p>
        </w:tc>
        <w:tc>
          <w:tcPr>
            <w:tcW w:w="5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2.04</w:t>
            </w:r>
          </w:p>
        </w:tc>
      </w:tr>
      <w:tr>
        <w:trPr>
          <w:trHeight w:val="67"/>
        </w:trPr>
        <w:tc>
          <w:tcPr>
            <w:tcW w:w="48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411"/>
        </w:trPr>
        <w:tc>
          <w:tcPr>
            <w:tcW w:w="488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81"/>
        </w:trPr>
        <w:tc>
          <w:tcPr>
            <w:tcW w:w="4880" w:type="dxa"/>
            <w:vAlign w:val="bottom"/>
          </w:tcPr>
          <w:p>
            <w:pPr>
              <w:spacing w:after="0"/>
              <w:rPr>
                <w:sz w:val="24"/>
                <w:szCs w:val="24"/>
                <w:color w:val="auto"/>
              </w:rPr>
            </w:pPr>
          </w:p>
        </w:tc>
        <w:tc>
          <w:tcPr>
            <w:tcW w:w="1440" w:type="dxa"/>
            <w:vAlign w:val="bottom"/>
          </w:tcPr>
          <w:p>
            <w:pPr>
              <w:jc w:val="right"/>
              <w:ind w:right="535"/>
              <w:spacing w:after="0"/>
              <w:rPr>
                <w:sz w:val="20"/>
                <w:szCs w:val="20"/>
                <w:color w:val="auto"/>
              </w:rPr>
            </w:pPr>
            <w:r>
              <w:rPr>
                <w:rFonts w:ascii="Arial" w:cs="Arial" w:eastAsia="Arial" w:hAnsi="Arial"/>
                <w:sz w:val="14"/>
                <w:szCs w:val="14"/>
                <w:color w:val="auto"/>
              </w:rPr>
              <w:t>61</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0"/>
        </w:trPr>
        <w:tc>
          <w:tcPr>
            <w:tcW w:w="48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1" w:name="page62"/>
    <w:bookmarkEnd w:id="6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7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Our consolidated financial statements and accompanying notes are prepared in accordance with accounting principles generally accepted in the United States of America (“GAAP”).</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recast certain prior period amounts to conform to the current period presentation. The recast of these prior period amounts had no impact on our consolidated balance sheets, consolidated income statements, or consolidated cash flows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will be effective beginning fiscal year 2023. We had previously increased the estimated useful lives of both server and network equipment in July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Assets and liabilities recorded in foreign currencies are translated at the exchange rate on the balance sheet date. Revenue and expenses are translated at average rates of exchange prevailing during the year. Translation adjustments resulting from this process are recorded to other comprehensive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and Service and Other Revenue</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Product revenue includes sales from operating systems, cross-device productivity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Service and other revenue includes sales from cloud-based solutions that provide customers with software, services, platforms, and content such as Office 365, Azure, Dynamics 365, and Xbox; solution support; and consulting services. Service and other revenue also includes sales from online advertising and LinkedIn.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2" w:name="page63"/>
    <w:bookmarkEnd w:id="6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4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Refer to Note 19 – Segment Information and Geographic Data for further information, including revenue by significant product and service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3" w:name="page64"/>
    <w:bookmarkEnd w:id="6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and Other Receivables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SA and cloud services. Unearned revenue is generally invoiced annually at the beginning of each contract period for multi-year agreements and recognized ratably over the coverage period. Unearned revenue also includes payments for consulting services to be performed in the future, LinkedIn subscriptions, Office 365 subscriptions, Xbox subscriptions, Windows post-delivery support, Dynamics business solutions, and other offerings for which we have been paid in advance and earn the revenue when we transfer control of the product or service.</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Refer to Note 13 – Unearned Revenue for further information, including unearned revenue by segment and changes in unearned revenue during the period.</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June 30, 2022 and 2021, other receivables due from suppliers were $1.0 billion and $965 million, respectively, and are included in accounts receivable, net in our consolidated balance sheets.</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June 30, 2022 and 2021, long-term accounts receivable, net of allowance for doubtful accounts, was $3.8 billion and $3.4 billion, respectively, and is included in other long-term assets in our consolidated balance sheets.</w:t>
      </w:r>
    </w:p>
    <w:p>
      <w:pPr>
        <w:spacing w:after="0" w:line="143"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allowance for doubtful accounts reflects our best estimate of probable losses inherent in the accounts receivable balance. We determine the allowance based on known troubled accounts, historical experience, and other currently available evidence.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4" w:name="page65"/>
    <w:bookmarkEnd w:id="6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897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97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6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940" w:type="dxa"/>
            <w:vAlign w:val="bottom"/>
            <w:gridSpan w:val="3"/>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798</w:t>
            </w:r>
          </w:p>
        </w:tc>
        <w:tc>
          <w:tcPr>
            <w:tcW w:w="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816</w:t>
            </w:r>
          </w:p>
        </w:tc>
        <w:tc>
          <w:tcPr>
            <w:tcW w:w="58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189"/>
        </w:trPr>
        <w:tc>
          <w:tcPr>
            <w:tcW w:w="6560" w:type="dxa"/>
            <w:vAlign w:val="bottom"/>
          </w:tcPr>
          <w:p>
            <w:pPr>
              <w:ind w:left="220"/>
              <w:spacing w:after="0" w:line="189" w:lineRule="exact"/>
              <w:rPr>
                <w:sz w:val="20"/>
                <w:szCs w:val="20"/>
                <w:color w:val="auto"/>
              </w:rPr>
            </w:pPr>
            <w:r>
              <w:rPr>
                <w:rFonts w:ascii="Arial" w:cs="Arial" w:eastAsia="Arial" w:hAnsi="Arial"/>
                <w:sz w:val="18"/>
                <w:szCs w:val="18"/>
                <w:color w:val="auto"/>
              </w:rPr>
              <w:t>Charged to costs and other</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3"/>
          </w:tcPr>
          <w:p>
            <w:pPr>
              <w:jc w:val="right"/>
              <w:ind w:right="200"/>
              <w:spacing w:after="0" w:line="189" w:lineRule="exact"/>
              <w:rPr>
                <w:sz w:val="20"/>
                <w:szCs w:val="20"/>
                <w:color w:val="auto"/>
              </w:rPr>
            </w:pPr>
            <w:r>
              <w:rPr>
                <w:rFonts w:ascii="Arial" w:cs="Arial" w:eastAsia="Arial" w:hAnsi="Arial"/>
                <w:sz w:val="18"/>
                <w:szCs w:val="18"/>
                <w:b w:val="1"/>
                <w:bCs w:val="1"/>
                <w:color w:val="auto"/>
              </w:rPr>
              <w:t>157</w:t>
            </w:r>
          </w:p>
        </w:tc>
        <w:tc>
          <w:tcPr>
            <w:tcW w:w="500" w:type="dxa"/>
            <w:vAlign w:val="bottom"/>
          </w:tcPr>
          <w:p>
            <w:pPr>
              <w:spacing w:after="0"/>
              <w:rPr>
                <w:sz w:val="16"/>
                <w:szCs w:val="16"/>
                <w:color w:val="auto"/>
              </w:rPr>
            </w:pP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234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89"/>
        </w:trPr>
        <w:tc>
          <w:tcPr>
            <w:tcW w:w="65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Write-offs</w:t>
            </w:r>
          </w:p>
        </w:tc>
        <w:tc>
          <w:tcPr>
            <w:tcW w:w="4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(245)</w:t>
            </w:r>
          </w:p>
        </w:tc>
        <w:tc>
          <w:tcPr>
            <w:tcW w:w="5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(252)</w:t>
            </w: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820" w:type="dxa"/>
            <w:vAlign w:val="bottom"/>
            <w:gridSpan w:val="3"/>
            <w:shd w:val="clear" w:color="auto" w:fill="E5E5E5"/>
          </w:tcPr>
          <w:p>
            <w:pPr>
              <w:jc w:val="right"/>
              <w:spacing w:after="0" w:line="189"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67"/>
        </w:trPr>
        <w:tc>
          <w:tcPr>
            <w:tcW w:w="65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56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710</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798</w:t>
            </w:r>
          </w:p>
        </w:tc>
        <w:tc>
          <w:tcPr>
            <w:tcW w:w="5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61"/>
        </w:trPr>
        <w:tc>
          <w:tcPr>
            <w:tcW w:w="6560" w:type="dxa"/>
            <w:vAlign w:val="bottom"/>
            <w:vMerge w:val="restart"/>
          </w:tcPr>
          <w:p>
            <w:pPr>
              <w:spacing w:after="0"/>
              <w:rPr>
                <w:sz w:val="20"/>
                <w:szCs w:val="20"/>
                <w:color w:val="auto"/>
              </w:rPr>
            </w:pPr>
            <w:r>
              <w:rPr>
                <w:rFonts w:ascii="Arial" w:cs="Arial" w:eastAsia="Arial" w:hAnsi="Arial"/>
                <w:sz w:val="18"/>
                <w:szCs w:val="18"/>
                <w:color w:val="auto"/>
              </w:rPr>
              <w:t>Allowance for doubtful accounts included in our consolidated balance sheets:</w:t>
            </w: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5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940" w:type="dxa"/>
            <w:vAlign w:val="bottom"/>
            <w:gridSpan w:val="3"/>
            <w:shd w:val="clear" w:color="auto" w:fill="E5E5E5"/>
          </w:tcPr>
          <w:p>
            <w:pPr>
              <w:jc w:val="right"/>
              <w:ind w:right="42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633</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751</w:t>
            </w:r>
          </w:p>
        </w:tc>
        <w:tc>
          <w:tcPr>
            <w:tcW w:w="14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788</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60" w:type="dxa"/>
            <w:vAlign w:val="bottom"/>
          </w:tcPr>
          <w:p>
            <w:pPr>
              <w:spacing w:after="0"/>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65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940" w:type="dxa"/>
            <w:vAlign w:val="bottom"/>
            <w:gridSpan w:val="3"/>
            <w:shd w:val="clear" w:color="auto" w:fill="E5E5E5"/>
          </w:tcPr>
          <w:p>
            <w:pPr>
              <w:jc w:val="right"/>
              <w:ind w:right="42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710</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798</w:t>
            </w:r>
          </w:p>
        </w:tc>
        <w:tc>
          <w:tcPr>
            <w:tcW w:w="14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816</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June 30, 2022 and 2021, our financing receivables, net were $4.1 billion and $4.4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in our consolidated balance sheets.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apply a practical expedient to expense costs as incurred for costs to obtain a contract with a customer when the amortization period would have been one year or less. These costs include our internal sales force compensation program and certain partner sales incentive programs as we have determined annual compensation is commensurate with annual sales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 of revenue includes: manufacturing and distribution costs for products sold and programs licensed; operating costs related to product support service centers and product distribution centers; costs incurred to include software on PCs sold by original equipment manufacturers (“OEM”), to drive traffic to our websites, and to acquire online advertising space; costs incurred to support and maintain online products and services, including datacenter costs and royalties; warranty costs; inventory valuation adjustments; costs associated with the delivery of consulting services; and the amortization of capitalized software development costs. Capitalized software development costs are amortized over the estimated lives of the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for the estimated costs of fulfilling our obligations under hardware and software warranties at the time the related revenue is recognized. For hardware warranties, we estimate the costs based on historical and projected product failure rates, historical and projected repair costs, and knowledge of specific product failures (if any). The specific hardware warranty terms and conditions vary depending upon the product sold and the country in which we do business, but generally include parts and labor over a period generally ranging from 90 days to three years. For software warranties, we estimate the costs to provide bug fixes, such as security patches, over the estimated life of the software. We regularly reevaluate our estimates to assess the adequacy of the recorded warranty liabilities and adjust the amounts as necessary.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5" w:name="page66"/>
    <w:bookmarkEnd w:id="6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 Such costs related to software development are included in research and development expense until the point that technological feasibility is reached, which for our software products, is generally shortly before the products are released to production. Once technological feasibility is reached, such costs are capitalized and amortized to cost of revenue over the estimated lives of the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 Advertising costs are expensed as incurred. Advertising expense was $1.5 billion, $1.5 billion, and $1.6 billion in fiscal years 2022, 2021, and 2020,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Compensation cost for stock awards, which include restricted stock units (“RSUs”) and performance stock units (“PSUs”), is measured at the fair value on the grant date and recognized as expense, net of estimated forfeitures, over the related service or performance period. The fair value of stock awards is based on the quoted price of our common stock on the grant date less the present value of expected dividends not received during the vesting period. We measure the fair value of PSUs using a Monte Carlo valuation model. Compensation cost for RSUs is recognized using the straight-line method and for PSUs is recognized using the accelerated method.</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Compensation expense for the employee stock purchase plan (“ESPP”) is measured as the discount the employee is entitled to upon purchase and is recognized in the period of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Deferred tax assets are reported net of a valuation allowance when it is more likely than not that a tax benefit will not be realized. All deferred income taxes are classified as long-term in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6" w:name="page67"/>
    <w:bookmarkEnd w:id="6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7" w:lineRule="exact"/>
        <w:rPr>
          <w:sz w:val="20"/>
          <w:szCs w:val="20"/>
          <w:color w:val="auto"/>
        </w:rPr>
      </w:pPr>
    </w:p>
    <w:p>
      <w:pPr>
        <w:jc w:val="both"/>
        <w:ind w:left="1060" w:hanging="392"/>
        <w:spacing w:after="0" w:line="250"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26" w:lineRule="exact"/>
        <w:rPr>
          <w:rFonts w:ascii="Arial" w:cs="Arial" w:eastAsia="Arial" w:hAnsi="Arial"/>
          <w:sz w:val="18"/>
          <w:szCs w:val="18"/>
          <w:color w:val="auto"/>
        </w:rPr>
      </w:pPr>
    </w:p>
    <w:p>
      <w:pPr>
        <w:jc w:val="both"/>
        <w:ind w:left="1060" w:hanging="392"/>
        <w:spacing w:after="0" w:line="238"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over-the-counter forward, option, and swap contracts.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7" w:name="page68"/>
    <w:bookmarkEnd w:id="6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50" w:lineRule="exact"/>
        <w:rPr>
          <w:sz w:val="20"/>
          <w:szCs w:val="20"/>
          <w:color w:val="auto"/>
        </w:rPr>
      </w:pPr>
    </w:p>
    <w:p>
      <w:pPr>
        <w:jc w:val="both"/>
        <w:ind w:left="1060" w:hanging="392"/>
        <w:spacing w:after="0" w:line="242"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If our review indicates a reduction in utility below carrying value, we reduce our inventory to a new cost basis through a charge to cost of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is stated at cost less accumulated depreciation, and depreciated using the straight-line method over the shorter of the estimated useful life of the asset or the lease term. The estimated useful lives of our property and equipment are generally as follows: computer software developed or acquired for internal use, three to seven years; computer equipment, two to four years; buildings and improvements, five to 15 years; leasehold improvements, three to 20 years; and furniture and equipment, one to 10 years. Land is not depreciated.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consolidated balance sheets. Finance leases are included in property and equipment, other current liabilities, and other long-term liabilities in our consolidated balance sheets.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8" w:name="page69"/>
    <w:bookmarkEnd w:id="6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intangible assets are subject to amortization and are amortized using the straight-line method over their estimated period of benefit, ranging from one to 20 years. We evaluate the recoverability of intangible assets periodically by taking into account events or circumstances that may warrant revised estimates of useful lives or that indicate the asset may be impaired.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2019, the Financial Accounting Standards Board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We adopted the standard effective July 1, 2021. Adoption of the standard did not have a material impact on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available for common shareholders (A)</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72,738</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61,271</w:t>
            </w:r>
          </w:p>
        </w:tc>
        <w:tc>
          <w:tcPr>
            <w:tcW w:w="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44,281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Weighted average outstanding shares of common stock (B)</w:t>
            </w:r>
          </w:p>
        </w:tc>
        <w:tc>
          <w:tcPr>
            <w:tcW w:w="3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7,496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7,547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7,610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3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61</w:t>
            </w: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3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32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34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32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3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9.70</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8.12</w:t>
            </w:r>
          </w:p>
        </w:tc>
        <w:tc>
          <w:tcPr>
            <w:tcW w:w="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5.82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9.65</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8.05</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24" w:lineRule="exact"/>
        <w:rPr>
          <w:sz w:val="20"/>
          <w:szCs w:val="20"/>
          <w:color w:val="auto"/>
        </w:rPr>
      </w:pPr>
    </w:p>
    <w:p>
      <w:pPr>
        <w:ind w:right="3720" w:firstLine="3716"/>
        <w:spacing w:after="0" w:line="432"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27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2,094</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2,131</w:t>
            </w: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(2,063)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(2,346)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189"/>
        </w:trPr>
        <w:tc>
          <w:tcPr>
            <w:tcW w:w="4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23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461</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1,232</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2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89"/>
        </w:trPr>
        <w:tc>
          <w:tcPr>
            <w:tcW w:w="4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234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54</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9"/>
        </w:trPr>
        <w:tc>
          <w:tcPr>
            <w:tcW w:w="4980" w:type="dxa"/>
            <w:vAlign w:val="bottom"/>
          </w:tcPr>
          <w:p>
            <w:pPr>
              <w:spacing w:after="0"/>
              <w:rPr>
                <w:sz w:val="20"/>
                <w:szCs w:val="20"/>
                <w:color w:val="auto"/>
              </w:rPr>
            </w:pPr>
            <w:r>
              <w:rPr>
                <w:rFonts w:ascii="Arial" w:cs="Arial" w:eastAsia="Arial" w:hAnsi="Arial"/>
                <w:sz w:val="18"/>
                <w:szCs w:val="18"/>
                <w:color w:val="auto"/>
              </w:rPr>
              <w:t>Other, net</w:t>
            </w:r>
          </w:p>
        </w:tc>
        <w:tc>
          <w:tcPr>
            <w:tcW w:w="2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7"/>
        </w:trPr>
        <w:tc>
          <w:tcPr>
            <w:tcW w:w="4980" w:type="dxa"/>
            <w:vAlign w:val="bottom"/>
            <w:tcBorders>
              <w:top w:val="single" w:sz="8" w:color="auto"/>
            </w:tcBorders>
          </w:tcPr>
          <w:p>
            <w:pPr>
              <w:spacing w:after="0"/>
              <w:rPr>
                <w:sz w:val="5"/>
                <w:szCs w:val="5"/>
                <w:color w:val="auto"/>
              </w:rPr>
            </w:pPr>
          </w:p>
        </w:tc>
        <w:tc>
          <w:tcPr>
            <w:tcW w:w="23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333</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1,186</w:t>
            </w: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74"/>
        </w:trPr>
        <w:tc>
          <w:tcPr>
            <w:tcW w:w="4980" w:type="dxa"/>
            <w:vAlign w:val="bottom"/>
          </w:tcPr>
          <w:p>
            <w:pPr>
              <w:spacing w:after="0"/>
              <w:rPr>
                <w:sz w:val="6"/>
                <w:szCs w:val="6"/>
                <w:color w:val="auto"/>
              </w:rPr>
            </w:pPr>
          </w:p>
        </w:tc>
        <w:tc>
          <w:tcPr>
            <w:tcW w:w="2340" w:type="dxa"/>
            <w:vAlign w:val="bottom"/>
            <w:vMerge w:val="restart"/>
          </w:tcPr>
          <w:p>
            <w:pPr>
              <w:jc w:val="right"/>
              <w:ind w:right="1536"/>
              <w:spacing w:after="0"/>
              <w:rPr>
                <w:sz w:val="20"/>
                <w:szCs w:val="20"/>
                <w:color w:val="auto"/>
              </w:rPr>
            </w:pPr>
            <w:r>
              <w:rPr>
                <w:rFonts w:ascii="Arial" w:cs="Arial" w:eastAsia="Arial" w:hAnsi="Arial"/>
                <w:sz w:val="14"/>
                <w:szCs w:val="14"/>
                <w:color w:val="auto"/>
              </w:rPr>
              <w:t>69</w:t>
            </w: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2"/>
        </w:trPr>
        <w:tc>
          <w:tcPr>
            <w:tcW w:w="49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98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9" w:name="page70"/>
    <w:bookmarkEnd w:id="6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Recognized Gains (Losses) on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debt investments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54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5548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r>
      <w:tr>
        <w:trPr>
          <w:trHeight w:val="54"/>
        </w:trPr>
        <w:tc>
          <w:tcPr>
            <w:tcW w:w="7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162</w:t>
            </w:r>
          </w:p>
        </w:tc>
        <w:tc>
          <w:tcPr>
            <w:tcW w:w="52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105</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50</w:t>
            </w: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Realized losses from sales of available-for-sale securities</w:t>
            </w:r>
          </w:p>
        </w:tc>
        <w:tc>
          <w:tcPr>
            <w:tcW w:w="44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(138)</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(40)</w:t>
            </w:r>
          </w:p>
        </w:tc>
        <w:tc>
          <w:tcPr>
            <w:tcW w:w="46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(37)</w:t>
            </w: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and allowance for credit losses</w:t>
            </w:r>
          </w:p>
        </w:tc>
        <w:tc>
          <w:tcPr>
            <w:tcW w:w="4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(81)</w:t>
            </w:r>
          </w:p>
        </w:tc>
        <w:tc>
          <w:tcPr>
            <w:tcW w:w="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w:t>
            </w:r>
          </w:p>
        </w:tc>
        <w:tc>
          <w:tcPr>
            <w:tcW w:w="4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(17)</w:t>
            </w:r>
          </w:p>
        </w:tc>
      </w:tr>
      <w:tr>
        <w:trPr>
          <w:trHeight w:val="67"/>
        </w:trPr>
        <w:tc>
          <w:tcPr>
            <w:tcW w:w="73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3"/>
        </w:trPr>
        <w:tc>
          <w:tcPr>
            <w:tcW w:w="732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61"/>
        </w:trPr>
        <w:tc>
          <w:tcPr>
            <w:tcW w:w="73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equity investments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54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5548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realized gains on investments sold</w:t>
            </w:r>
          </w:p>
        </w:tc>
        <w:tc>
          <w:tcPr>
            <w:tcW w:w="320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29</w:t>
            </w:r>
          </w:p>
        </w:tc>
        <w:tc>
          <w:tcPr>
            <w:tcW w:w="46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123</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8"/>
                <w:szCs w:val="18"/>
                <w:color w:val="auto"/>
              </w:rPr>
              <w:t>Net unrealized gains on investments still held</w:t>
            </w:r>
          </w:p>
        </w:tc>
        <w:tc>
          <w:tcPr>
            <w:tcW w:w="2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509</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1,057</w:t>
            </w:r>
          </w:p>
        </w:tc>
        <w:tc>
          <w:tcPr>
            <w:tcW w:w="44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9"/>
        </w:trPr>
        <w:tc>
          <w:tcPr>
            <w:tcW w:w="4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of investments</w:t>
            </w:r>
          </w:p>
        </w:tc>
        <w:tc>
          <w:tcPr>
            <w:tcW w:w="274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(20)</w:t>
            </w:r>
          </w:p>
        </w:tc>
        <w:tc>
          <w:tcPr>
            <w:tcW w:w="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(11)</w:t>
            </w:r>
          </w:p>
        </w:tc>
        <w:tc>
          <w:tcPr>
            <w:tcW w:w="4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67"/>
        </w:trPr>
        <w:tc>
          <w:tcPr>
            <w:tcW w:w="458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220"/>
              <w:spacing w:after="0"/>
              <w:rPr>
                <w:sz w:val="20"/>
                <w:szCs w:val="20"/>
                <w:color w:val="auto"/>
              </w:rPr>
            </w:pPr>
            <w:r>
              <w:rPr>
                <w:rFonts w:ascii="Arial" w:cs="Arial" w:eastAsia="Arial" w:hAnsi="Arial"/>
                <w:sz w:val="18"/>
                <w:szCs w:val="18"/>
                <w:color w:val="auto"/>
              </w:rPr>
              <w:t>Total</w:t>
            </w:r>
          </w:p>
        </w:tc>
        <w:tc>
          <w:tcPr>
            <w:tcW w:w="3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518</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1,169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1"/>
        </w:trPr>
        <w:tc>
          <w:tcPr>
            <w:tcW w:w="4580" w:type="dxa"/>
            <w:vAlign w:val="bottom"/>
          </w:tcPr>
          <w:p>
            <w:pPr>
              <w:spacing w:after="0"/>
              <w:rPr>
                <w:sz w:val="5"/>
                <w:szCs w:val="5"/>
                <w:color w:val="auto"/>
              </w:rPr>
            </w:pPr>
          </w:p>
        </w:tc>
        <w:tc>
          <w:tcPr>
            <w:tcW w:w="2740" w:type="dxa"/>
            <w:vAlign w:val="bottom"/>
            <w:vMerge w:val="restart"/>
          </w:tcPr>
          <w:p>
            <w:pPr>
              <w:jc w:val="right"/>
              <w:ind w:right="1536"/>
              <w:spacing w:after="0"/>
              <w:rPr>
                <w:sz w:val="20"/>
                <w:szCs w:val="20"/>
                <w:color w:val="auto"/>
              </w:rPr>
            </w:pPr>
            <w:r>
              <w:rPr>
                <w:rFonts w:ascii="Arial" w:cs="Arial" w:eastAsia="Arial" w:hAnsi="Arial"/>
                <w:sz w:val="14"/>
                <w:szCs w:val="14"/>
                <w:color w:val="auto"/>
              </w:rPr>
              <w:t>70</w:t>
            </w:r>
          </w:p>
        </w:tc>
        <w:tc>
          <w:tcPr>
            <w:tcW w:w="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45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0" w:name="page71"/>
    <w:bookmarkEnd w:id="7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80" w:type="dxa"/>
            <w:vAlign w:val="bottom"/>
          </w:tcPr>
          <w:p>
            <w:pPr>
              <w:jc w:val="right"/>
              <w:ind w:right="101"/>
              <w:spacing w:after="0" w:line="148" w:lineRule="exact"/>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Recorded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and Cash</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Short-term</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7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980" w:type="dxa"/>
            <w:vAlign w:val="bottom"/>
          </w:tcPr>
          <w:p>
            <w:pPr>
              <w:jc w:val="right"/>
              <w:ind w:right="241"/>
              <w:spacing w:after="0"/>
              <w:rPr>
                <w:sz w:val="20"/>
                <w:szCs w:val="20"/>
                <w:color w:val="auto"/>
              </w:rPr>
            </w:pPr>
            <w:r>
              <w:rPr>
                <w:rFonts w:ascii="Arial" w:cs="Arial" w:eastAsia="Arial" w:hAnsi="Arial"/>
                <w:sz w:val="13"/>
                <w:szCs w:val="13"/>
                <w:b w:val="1"/>
                <w:bCs w:val="1"/>
                <w:color w:val="auto"/>
              </w:rPr>
              <w:t>Level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Cost Basis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Equivalents</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12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7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9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Level 2</w:t>
            </w:r>
          </w:p>
        </w:tc>
        <w:tc>
          <w:tcPr>
            <w:tcW w:w="30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2,500</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2,500</w:t>
            </w:r>
          </w:p>
        </w:tc>
        <w:tc>
          <w:tcPr>
            <w:tcW w:w="280" w:type="dxa"/>
            <w:vAlign w:val="bottom"/>
            <w:gridSpan w:val="2"/>
            <w:shd w:val="clear" w:color="auto" w:fill="E5E5E5"/>
          </w:tcPr>
          <w:p>
            <w:pPr>
              <w:jc w:val="right"/>
              <w:ind w:right="13"/>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2,498</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2</w:t>
            </w:r>
          </w:p>
        </w:tc>
        <w:tc>
          <w:tcPr>
            <w:tcW w:w="380" w:type="dxa"/>
            <w:vAlign w:val="bottom"/>
            <w:gridSpan w:val="2"/>
            <w:shd w:val="clear" w:color="auto" w:fill="E5E5E5"/>
          </w:tcPr>
          <w:p>
            <w:pPr>
              <w:jc w:val="right"/>
              <w:ind w:right="113"/>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2,032</w:t>
            </w:r>
          </w:p>
        </w:tc>
        <w:tc>
          <w:tcPr>
            <w:tcW w:w="1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9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Level 1</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79,696</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(2,178)</w:t>
            </w: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77,547</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77,538</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U.S. agency securities</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9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506</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(24)</w:t>
            </w:r>
          </w:p>
        </w:tc>
        <w:tc>
          <w:tcPr>
            <w:tcW w:w="1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482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482</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20"/>
                <w:szCs w:val="20"/>
                <w:color w:val="auto"/>
              </w:rPr>
            </w:pPr>
            <w:r>
              <w:rPr>
                <w:rFonts w:ascii="Arial" w:cs="Arial" w:eastAsia="Arial" w:hAnsi="Arial"/>
                <w:sz w:val="16"/>
                <w:szCs w:val="16"/>
                <w:color w:val="auto"/>
              </w:rPr>
              <w:t>Mortgage- and asset-backed</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(30)</w:t>
            </w:r>
          </w:p>
        </w:tc>
        <w:tc>
          <w:tcPr>
            <w:tcW w:w="16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698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698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7"/>
        </w:trPr>
        <w:tc>
          <w:tcPr>
            <w:tcW w:w="278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9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11,661</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(554)</w:t>
            </w: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11,111</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11,111</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Level 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9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368</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(13)</w:t>
            </w:r>
          </w:p>
        </w:tc>
        <w:tc>
          <w:tcPr>
            <w:tcW w:w="1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374</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374</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4"/>
        </w:trPr>
        <w:tc>
          <w:tcPr>
            <w:tcW w:w="2780" w:type="dxa"/>
            <w:vAlign w:val="bottom"/>
          </w:tcPr>
          <w:p>
            <w:pPr>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Level 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42"/>
        </w:trPr>
        <w:tc>
          <w:tcPr>
            <w:tcW w:w="27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980" w:type="dxa"/>
            <w:vAlign w:val="bottom"/>
            <w:shd w:val="clear" w:color="auto" w:fill="E5E5E5"/>
          </w:tcPr>
          <w:p>
            <w:pPr>
              <w:spacing w:after="0"/>
              <w:rPr>
                <w:sz w:val="16"/>
                <w:szCs w:val="16"/>
                <w:color w:val="auto"/>
              </w:rPr>
            </w:pPr>
          </w:p>
        </w:tc>
        <w:tc>
          <w:tcPr>
            <w:tcW w:w="30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98,118</w:t>
            </w:r>
          </w:p>
        </w:tc>
        <w:tc>
          <w:tcPr>
            <w:tcW w:w="12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53</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(2,814)</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95,357</w:t>
            </w:r>
          </w:p>
        </w:tc>
        <w:tc>
          <w:tcPr>
            <w:tcW w:w="10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13"/>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4,539</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90,818</w:t>
            </w:r>
          </w:p>
        </w:tc>
        <w:tc>
          <w:tcPr>
            <w:tcW w:w="100" w:type="dxa"/>
            <w:vAlign w:val="bottom"/>
            <w:shd w:val="clear" w:color="auto" w:fill="E5E5E5"/>
          </w:tcPr>
          <w:p>
            <w:pPr>
              <w:spacing w:after="0"/>
              <w:rPr>
                <w:sz w:val="16"/>
                <w:szCs w:val="16"/>
                <w:color w:val="auto"/>
              </w:rPr>
            </w:pPr>
          </w:p>
        </w:tc>
        <w:tc>
          <w:tcPr>
            <w:tcW w:w="380" w:type="dxa"/>
            <w:vAlign w:val="bottom"/>
            <w:gridSpan w:val="2"/>
            <w:shd w:val="clear" w:color="auto" w:fill="E5E5E5"/>
          </w:tcPr>
          <w:p>
            <w:pPr>
              <w:jc w:val="right"/>
              <w:ind w:right="113"/>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74"/>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7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9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Level 1</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1,590</w:t>
            </w:r>
          </w:p>
        </w:tc>
        <w:tc>
          <w:tcPr>
            <w:tcW w:w="280" w:type="dxa"/>
            <w:vAlign w:val="bottom"/>
            <w:gridSpan w:val="2"/>
            <w:shd w:val="clear" w:color="auto" w:fill="E5E5E5"/>
          </w:tcPr>
          <w:p>
            <w:pPr>
              <w:jc w:val="right"/>
              <w:ind w:right="13"/>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1,134</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380" w:type="dxa"/>
            <w:vAlign w:val="bottom"/>
            <w:gridSpan w:val="2"/>
            <w:shd w:val="clear" w:color="auto" w:fill="E5E5E5"/>
          </w:tcPr>
          <w:p>
            <w:pPr>
              <w:jc w:val="right"/>
              <w:ind w:right="113"/>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456</w:t>
            </w:r>
          </w:p>
        </w:tc>
        <w:tc>
          <w:tcPr>
            <w:tcW w:w="0" w:type="dxa"/>
            <w:vAlign w:val="bottom"/>
          </w:tcPr>
          <w:p>
            <w:pPr>
              <w:spacing w:after="0"/>
              <w:rPr>
                <w:sz w:val="1"/>
                <w:szCs w:val="1"/>
                <w:color w:val="auto"/>
              </w:rPr>
            </w:pPr>
          </w:p>
        </w:tc>
      </w:tr>
      <w:tr>
        <w:trPr>
          <w:trHeight w:val="214"/>
        </w:trPr>
        <w:tc>
          <w:tcPr>
            <w:tcW w:w="2780" w:type="dxa"/>
            <w:vAlign w:val="bottom"/>
          </w:tcPr>
          <w:p>
            <w:pPr>
              <w:spacing w:after="0"/>
              <w:rPr>
                <w:sz w:val="20"/>
                <w:szCs w:val="20"/>
                <w:color w:val="auto"/>
              </w:rPr>
            </w:pPr>
            <w:r>
              <w:rPr>
                <w:rFonts w:ascii="Arial" w:cs="Arial" w:eastAsia="Arial" w:hAnsi="Arial"/>
                <w:sz w:val="16"/>
                <w:szCs w:val="16"/>
                <w:color w:val="auto"/>
              </w:rPr>
              <w:t>Equity investments</w:t>
            </w:r>
          </w:p>
        </w:tc>
        <w:tc>
          <w:tcPr>
            <w:tcW w:w="980" w:type="dxa"/>
            <w:vAlign w:val="bottom"/>
          </w:tcPr>
          <w:p>
            <w:pPr>
              <w:jc w:val="right"/>
              <w:ind w:right="161"/>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6,435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6,435</w:t>
            </w:r>
          </w:p>
        </w:tc>
        <w:tc>
          <w:tcPr>
            <w:tcW w:w="0" w:type="dxa"/>
            <w:vAlign w:val="bottom"/>
          </w:tcPr>
          <w:p>
            <w:pPr>
              <w:spacing w:after="0"/>
              <w:rPr>
                <w:sz w:val="1"/>
                <w:szCs w:val="1"/>
                <w:color w:val="auto"/>
              </w:rPr>
            </w:pPr>
          </w:p>
        </w:tc>
      </w:tr>
      <w:tr>
        <w:trPr>
          <w:trHeight w:val="42"/>
        </w:trPr>
        <w:tc>
          <w:tcPr>
            <w:tcW w:w="27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9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8,025</w:t>
            </w:r>
          </w:p>
        </w:tc>
        <w:tc>
          <w:tcPr>
            <w:tcW w:w="280" w:type="dxa"/>
            <w:vAlign w:val="bottom"/>
            <w:gridSpan w:val="2"/>
            <w:shd w:val="clear" w:color="auto" w:fill="E5E5E5"/>
          </w:tcPr>
          <w:p>
            <w:pPr>
              <w:jc w:val="right"/>
              <w:ind w:right="13"/>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1,134</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380" w:type="dxa"/>
            <w:vAlign w:val="bottom"/>
            <w:gridSpan w:val="2"/>
            <w:shd w:val="clear" w:color="auto" w:fill="E5E5E5"/>
          </w:tcPr>
          <w:p>
            <w:pPr>
              <w:jc w:val="right"/>
              <w:ind w:right="113"/>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6,891</w:t>
            </w:r>
          </w:p>
        </w:tc>
        <w:tc>
          <w:tcPr>
            <w:tcW w:w="0" w:type="dxa"/>
            <w:vAlign w:val="bottom"/>
          </w:tcPr>
          <w:p>
            <w:pPr>
              <w:spacing w:after="0"/>
              <w:rPr>
                <w:sz w:val="1"/>
                <w:szCs w:val="1"/>
                <w:color w:val="auto"/>
              </w:rPr>
            </w:pPr>
          </w:p>
        </w:tc>
      </w:tr>
      <w:tr>
        <w:trPr>
          <w:trHeight w:val="74"/>
        </w:trPr>
        <w:tc>
          <w:tcPr>
            <w:tcW w:w="2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6"/>
                <w:szCs w:val="16"/>
                <w:color w:val="auto"/>
              </w:rPr>
              <w:t>Cash</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8,258</w:t>
            </w:r>
          </w:p>
        </w:tc>
        <w:tc>
          <w:tcPr>
            <w:tcW w:w="2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8,258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380" w:type="dxa"/>
            <w:vAlign w:val="bottom"/>
            <w:gridSpan w:val="2"/>
          </w:tcPr>
          <w:p>
            <w:pPr>
              <w:jc w:val="right"/>
              <w:ind w:right="113"/>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9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67"/>
        </w:trPr>
        <w:tc>
          <w:tcPr>
            <w:tcW w:w="27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780" w:type="dxa"/>
            <w:vAlign w:val="bottom"/>
          </w:tcPr>
          <w:p>
            <w:pPr>
              <w:ind w:left="220"/>
              <w:spacing w:after="0"/>
              <w:rPr>
                <w:sz w:val="20"/>
                <w:szCs w:val="20"/>
                <w:color w:val="auto"/>
              </w:rPr>
            </w:pPr>
            <w:r>
              <w:rPr>
                <w:rFonts w:ascii="Arial" w:cs="Arial" w:eastAsia="Arial" w:hAnsi="Arial"/>
                <w:sz w:val="16"/>
                <w:szCs w:val="16"/>
                <w:color w:val="auto"/>
              </w:rPr>
              <w:t>Total</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111,648</w:t>
            </w:r>
          </w:p>
        </w:tc>
        <w:tc>
          <w:tcPr>
            <w:tcW w:w="100" w:type="dxa"/>
            <w:vAlign w:val="bottom"/>
          </w:tcPr>
          <w:p>
            <w:pPr>
              <w:spacing w:after="0"/>
              <w:rPr>
                <w:sz w:val="22"/>
                <w:szCs w:val="22"/>
                <w:color w:val="auto"/>
              </w:rPr>
            </w:pPr>
          </w:p>
        </w:tc>
        <w:tc>
          <w:tcPr>
            <w:tcW w:w="2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13,931</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90,826</w:t>
            </w:r>
          </w:p>
        </w:tc>
        <w:tc>
          <w:tcPr>
            <w:tcW w:w="100" w:type="dxa"/>
            <w:vAlign w:val="bottom"/>
          </w:tcPr>
          <w:p>
            <w:pPr>
              <w:spacing w:after="0"/>
              <w:rPr>
                <w:sz w:val="22"/>
                <w:szCs w:val="22"/>
                <w:color w:val="auto"/>
              </w:rPr>
            </w:pPr>
          </w:p>
        </w:tc>
        <w:tc>
          <w:tcPr>
            <w:tcW w:w="380" w:type="dxa"/>
            <w:vAlign w:val="bottom"/>
            <w:gridSpan w:val="2"/>
          </w:tcPr>
          <w:p>
            <w:pPr>
              <w:jc w:val="right"/>
              <w:ind w:right="113"/>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6,891</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right"/>
              <w:ind w:right="102"/>
              <w:spacing w:after="0"/>
              <w:rPr>
                <w:sz w:val="20"/>
                <w:szCs w:val="20"/>
                <w:color w:val="auto"/>
              </w:rPr>
            </w:pPr>
            <w:r>
              <w:rPr>
                <w:rFonts w:ascii="Arial" w:cs="Arial" w:eastAsia="Arial" w:hAnsi="Arial"/>
                <w:sz w:val="14"/>
                <w:szCs w:val="14"/>
                <w:color w:val="auto"/>
              </w:rPr>
              <w:t>71</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2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7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1" w:name="page72"/>
    <w:bookmarkEnd w:id="7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Cash</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280" w:type="dxa"/>
            <w:vAlign w:val="bottom"/>
          </w:tcPr>
          <w:p>
            <w:pPr>
              <w:ind w:left="160"/>
              <w:spacing w:after="0" w:line="148"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Adjusted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Recorded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and Cash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Short-term</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14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80" w:type="dxa"/>
            <w:vAlign w:val="bottom"/>
          </w:tcPr>
          <w:p>
            <w:pPr>
              <w:ind w:left="300"/>
              <w:spacing w:after="0"/>
              <w:rPr>
                <w:sz w:val="20"/>
                <w:szCs w:val="20"/>
                <w:color w:val="auto"/>
              </w:rPr>
            </w:pPr>
            <w:r>
              <w:rPr>
                <w:rFonts w:ascii="Arial" w:cs="Arial" w:eastAsia="Arial" w:hAnsi="Arial"/>
                <w:sz w:val="13"/>
                <w:szCs w:val="13"/>
                <w:b w:val="1"/>
                <w:bCs w:val="1"/>
                <w:color w:val="auto"/>
              </w:rPr>
              <w:t>Level</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Gains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Basis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Equivalents</w:t>
            </w:r>
          </w:p>
        </w:tc>
        <w:tc>
          <w:tcPr>
            <w:tcW w:w="22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Investments</w:t>
            </w: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20"/>
                <w:szCs w:val="20"/>
                <w:color w:val="auto"/>
              </w:rPr>
            </w:pPr>
            <w:r>
              <w:rPr>
                <w:rFonts w:ascii="Arial" w:cs="Arial" w:eastAsia="Arial" w:hAnsi="Arial"/>
                <w:sz w:val="13"/>
                <w:szCs w:val="13"/>
                <w:b w:val="1"/>
                <w:bCs w:val="1"/>
                <w:color w:val="auto"/>
              </w:rPr>
              <w:t>Changes in Fair</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Value Recorded</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in Other</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Comprehensive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44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Commercial</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paper</w:t>
            </w:r>
          </w:p>
        </w:tc>
        <w:tc>
          <w:tcPr>
            <w:tcW w:w="12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2</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4,316</w:t>
            </w:r>
          </w:p>
        </w:tc>
        <w:tc>
          <w:tcPr>
            <w:tcW w:w="3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0</w:t>
            </w:r>
          </w:p>
        </w:tc>
        <w:tc>
          <w:tcPr>
            <w:tcW w:w="3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5E5E5"/>
          </w:tcPr>
          <w:p>
            <w:pPr>
              <w:jc w:val="right"/>
              <w:ind w:right="4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4,316</w:t>
            </w:r>
          </w:p>
        </w:tc>
        <w:tc>
          <w:tcPr>
            <w:tcW w:w="3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1,331</w:t>
            </w:r>
          </w:p>
        </w:tc>
        <w:tc>
          <w:tcPr>
            <w:tcW w:w="320" w:type="dxa"/>
            <w:vAlign w:val="bottom"/>
            <w:gridSpan w:val="2"/>
            <w:shd w:val="clear" w:color="auto" w:fill="E5E5E5"/>
          </w:tcPr>
          <w:p>
            <w:pPr>
              <w:ind w:left="22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E5E5E5"/>
          </w:tcPr>
          <w:p>
            <w:pPr>
              <w:jc w:val="right"/>
              <w:ind w:right="440"/>
              <w:spacing w:after="0"/>
              <w:rPr>
                <w:sz w:val="20"/>
                <w:szCs w:val="20"/>
                <w:color w:val="auto"/>
              </w:rPr>
            </w:pPr>
            <w:r>
              <w:rPr>
                <w:rFonts w:ascii="Arial" w:cs="Arial" w:eastAsia="Arial" w:hAnsi="Arial"/>
                <w:sz w:val="16"/>
                <w:szCs w:val="16"/>
                <w:color w:val="auto"/>
              </w:rPr>
              <w:t>2,985</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Certificates of</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220"/>
              <w:spacing w:after="0"/>
              <w:rPr>
                <w:sz w:val="20"/>
                <w:szCs w:val="20"/>
                <w:color w:val="auto"/>
              </w:rPr>
            </w:pPr>
            <w:r>
              <w:rPr>
                <w:rFonts w:ascii="Arial" w:cs="Arial" w:eastAsia="Arial" w:hAnsi="Arial"/>
                <w:sz w:val="16"/>
                <w:szCs w:val="16"/>
                <w:color w:val="auto"/>
              </w:rPr>
              <w:t>deposit</w:t>
            </w:r>
          </w:p>
        </w:tc>
        <w:tc>
          <w:tcPr>
            <w:tcW w:w="1280" w:type="dxa"/>
            <w:vAlign w:val="bottom"/>
          </w:tcPr>
          <w:p>
            <w:pPr>
              <w:ind w:left="320"/>
              <w:spacing w:after="0"/>
              <w:rPr>
                <w:sz w:val="20"/>
                <w:szCs w:val="20"/>
                <w:color w:val="auto"/>
              </w:rPr>
            </w:pPr>
            <w:r>
              <w:rPr>
                <w:rFonts w:ascii="Arial" w:cs="Arial" w:eastAsia="Arial" w:hAnsi="Arial"/>
                <w:sz w:val="16"/>
                <w:szCs w:val="16"/>
                <w:color w:val="auto"/>
              </w:rPr>
              <w:t>Level 2</w:t>
            </w: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3,615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3,615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2,920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U.S. government</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securities</w:t>
            </w:r>
          </w:p>
        </w:tc>
        <w:tc>
          <w:tcPr>
            <w:tcW w:w="12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1</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90,664</w:t>
            </w: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3,832</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380"/>
              <w:spacing w:after="0"/>
              <w:rPr>
                <w:sz w:val="20"/>
                <w:szCs w:val="20"/>
                <w:color w:val="auto"/>
              </w:rPr>
            </w:pPr>
            <w:r>
              <w:rPr>
                <w:rFonts w:ascii="Arial" w:cs="Arial" w:eastAsia="Arial" w:hAnsi="Arial"/>
                <w:sz w:val="16"/>
                <w:szCs w:val="16"/>
                <w:color w:val="auto"/>
              </w:rPr>
              <w:t>(111)</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94,385</w:t>
            </w: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92,885</w:t>
            </w: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U.S. agency</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280" w:type="dxa"/>
            <w:vAlign w:val="bottom"/>
          </w:tcPr>
          <w:p>
            <w:pPr>
              <w:ind w:left="320"/>
              <w:spacing w:after="0"/>
              <w:rPr>
                <w:sz w:val="20"/>
                <w:szCs w:val="20"/>
                <w:color w:val="auto"/>
              </w:rPr>
            </w:pPr>
            <w:r>
              <w:rPr>
                <w:rFonts w:ascii="Arial" w:cs="Arial" w:eastAsia="Arial" w:hAnsi="Arial"/>
                <w:sz w:val="16"/>
                <w:szCs w:val="16"/>
                <w:color w:val="auto"/>
              </w:rPr>
              <w:t>Level 2</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Foreign</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government</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bonds</w:t>
            </w:r>
          </w:p>
        </w:tc>
        <w:tc>
          <w:tcPr>
            <w:tcW w:w="12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2</w:t>
            </w:r>
          </w:p>
        </w:tc>
        <w:tc>
          <w:tcPr>
            <w:tcW w:w="1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6,213</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9</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380"/>
              <w:spacing w:after="0"/>
              <w:rPr>
                <w:sz w:val="20"/>
                <w:szCs w:val="20"/>
                <w:color w:val="auto"/>
              </w:rPr>
            </w:pPr>
            <w:r>
              <w:rPr>
                <w:rFonts w:ascii="Arial" w:cs="Arial" w:eastAsia="Arial" w:hAnsi="Arial"/>
                <w:sz w:val="16"/>
                <w:szCs w:val="16"/>
                <w:color w:val="auto"/>
              </w:rPr>
              <w:t>(2)</w:t>
            </w: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6,220</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225</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440"/>
              <w:spacing w:after="0"/>
              <w:rPr>
                <w:sz w:val="20"/>
                <w:szCs w:val="20"/>
                <w:color w:val="auto"/>
              </w:rPr>
            </w:pPr>
            <w:r>
              <w:rPr>
                <w:rFonts w:ascii="Arial" w:cs="Arial" w:eastAsia="Arial" w:hAnsi="Arial"/>
                <w:sz w:val="16"/>
                <w:szCs w:val="16"/>
                <w:color w:val="auto"/>
              </w:rPr>
              <w:t>5,995</w:t>
            </w:r>
          </w:p>
        </w:tc>
        <w:tc>
          <w:tcPr>
            <w:tcW w:w="1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Mortgage- and</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ind w:left="220"/>
              <w:spacing w:after="0"/>
              <w:rPr>
                <w:sz w:val="20"/>
                <w:szCs w:val="20"/>
                <w:color w:val="auto"/>
              </w:rPr>
            </w:pPr>
            <w:r>
              <w:rPr>
                <w:rFonts w:ascii="Arial" w:cs="Arial" w:eastAsia="Arial" w:hAnsi="Arial"/>
                <w:sz w:val="16"/>
                <w:szCs w:val="16"/>
                <w:color w:val="auto"/>
              </w:rPr>
              <w:t>asset-backed</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280" w:type="dxa"/>
            <w:vAlign w:val="bottom"/>
          </w:tcPr>
          <w:p>
            <w:pPr>
              <w:ind w:left="320"/>
              <w:spacing w:after="0"/>
              <w:rPr>
                <w:sz w:val="20"/>
                <w:szCs w:val="20"/>
                <w:color w:val="auto"/>
              </w:rPr>
            </w:pPr>
            <w:r>
              <w:rPr>
                <w:rFonts w:ascii="Arial" w:cs="Arial" w:eastAsia="Arial" w:hAnsi="Arial"/>
                <w:sz w:val="16"/>
                <w:szCs w:val="16"/>
                <w:color w:val="auto"/>
              </w:rPr>
              <w:t>Level 2</w:t>
            </w: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3,442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3,458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3,458</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and bonds</w:t>
            </w:r>
          </w:p>
        </w:tc>
        <w:tc>
          <w:tcPr>
            <w:tcW w:w="12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2</w:t>
            </w:r>
          </w:p>
        </w:tc>
        <w:tc>
          <w:tcPr>
            <w:tcW w:w="1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8,443</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249</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380"/>
              <w:spacing w:after="0"/>
              <w:rPr>
                <w:sz w:val="20"/>
                <w:szCs w:val="20"/>
                <w:color w:val="auto"/>
              </w:rPr>
            </w:pPr>
            <w:r>
              <w:rPr>
                <w:rFonts w:ascii="Arial" w:cs="Arial" w:eastAsia="Arial" w:hAnsi="Arial"/>
                <w:sz w:val="16"/>
                <w:szCs w:val="16"/>
                <w:color w:val="auto"/>
              </w:rPr>
              <w:t>(9)</w:t>
            </w: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8,683</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440"/>
              <w:spacing w:after="0"/>
              <w:rPr>
                <w:sz w:val="20"/>
                <w:szCs w:val="20"/>
                <w:color w:val="auto"/>
              </w:rPr>
            </w:pPr>
            <w:r>
              <w:rPr>
                <w:rFonts w:ascii="Arial" w:cs="Arial" w:eastAsia="Arial" w:hAnsi="Arial"/>
                <w:sz w:val="16"/>
                <w:szCs w:val="16"/>
                <w:color w:val="auto"/>
              </w:rPr>
              <w:t>8,683</w:t>
            </w:r>
          </w:p>
        </w:tc>
        <w:tc>
          <w:tcPr>
            <w:tcW w:w="1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Corporate notes</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220"/>
              <w:spacing w:after="0"/>
              <w:rPr>
                <w:sz w:val="20"/>
                <w:szCs w:val="20"/>
                <w:color w:val="auto"/>
              </w:rPr>
            </w:pPr>
            <w:r>
              <w:rPr>
                <w:rFonts w:ascii="Arial" w:cs="Arial" w:eastAsia="Arial" w:hAnsi="Arial"/>
                <w:sz w:val="16"/>
                <w:szCs w:val="16"/>
                <w:color w:val="auto"/>
              </w:rPr>
              <w:t>and bonds</w:t>
            </w:r>
          </w:p>
        </w:tc>
        <w:tc>
          <w:tcPr>
            <w:tcW w:w="1280" w:type="dxa"/>
            <w:vAlign w:val="bottom"/>
          </w:tcPr>
          <w:p>
            <w:pPr>
              <w:ind w:left="320"/>
              <w:spacing w:after="0"/>
              <w:rPr>
                <w:sz w:val="20"/>
                <w:szCs w:val="20"/>
                <w:color w:val="auto"/>
              </w:rPr>
            </w:pPr>
            <w:r>
              <w:rPr>
                <w:rFonts w:ascii="Arial" w:cs="Arial" w:eastAsia="Arial" w:hAnsi="Arial"/>
                <w:sz w:val="16"/>
                <w:szCs w:val="16"/>
                <w:color w:val="auto"/>
              </w:rPr>
              <w:t>Level 3</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Municipal</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securities</w:t>
            </w:r>
          </w:p>
        </w:tc>
        <w:tc>
          <w:tcPr>
            <w:tcW w:w="12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2</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308</w:t>
            </w: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63</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371</w:t>
            </w: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440"/>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Municipal</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280" w:type="dxa"/>
            <w:vAlign w:val="bottom"/>
          </w:tcPr>
          <w:p>
            <w:pPr>
              <w:ind w:left="320"/>
              <w:spacing w:after="0"/>
              <w:rPr>
                <w:sz w:val="20"/>
                <w:szCs w:val="20"/>
                <w:color w:val="auto"/>
              </w:rPr>
            </w:pPr>
            <w:r>
              <w:rPr>
                <w:rFonts w:ascii="Arial" w:cs="Arial" w:eastAsia="Arial" w:hAnsi="Arial"/>
                <w:sz w:val="16"/>
                <w:szCs w:val="16"/>
                <w:color w:val="auto"/>
              </w:rPr>
              <w:t>Level 3</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0"/>
        </w:trPr>
        <w:tc>
          <w:tcPr>
            <w:tcW w:w="1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5E5E5"/>
          </w:tcPr>
          <w:p>
            <w:pPr>
              <w:ind w:left="440"/>
              <w:spacing w:after="0"/>
              <w:rPr>
                <w:sz w:val="20"/>
                <w:szCs w:val="20"/>
                <w:color w:val="auto"/>
              </w:rPr>
            </w:pPr>
            <w:r>
              <w:rPr>
                <w:rFonts w:ascii="Arial" w:cs="Arial" w:eastAsia="Arial" w:hAnsi="Arial"/>
                <w:sz w:val="16"/>
                <w:szCs w:val="16"/>
                <w:color w:val="auto"/>
              </w:rPr>
              <w:t>investments</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117,966</w:t>
            </w:r>
          </w:p>
        </w:tc>
        <w:tc>
          <w:tcPr>
            <w:tcW w:w="22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4,177</w:t>
            </w:r>
          </w:p>
        </w:tc>
        <w:tc>
          <w:tcPr>
            <w:tcW w:w="3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5E5E5"/>
          </w:tcPr>
          <w:p>
            <w:pPr>
              <w:jc w:val="right"/>
              <w:ind w:right="380"/>
              <w:spacing w:after="0"/>
              <w:rPr>
                <w:sz w:val="20"/>
                <w:szCs w:val="20"/>
                <w:color w:val="auto"/>
              </w:rPr>
            </w:pPr>
            <w:r>
              <w:rPr>
                <w:rFonts w:ascii="Arial" w:cs="Arial" w:eastAsia="Arial" w:hAnsi="Arial"/>
                <w:sz w:val="16"/>
                <w:szCs w:val="16"/>
                <w:color w:val="auto"/>
              </w:rPr>
              <w:t>(135)</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122,008</w:t>
            </w:r>
          </w:p>
        </w:tc>
        <w:tc>
          <w:tcPr>
            <w:tcW w:w="20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5,976</w:t>
            </w:r>
          </w:p>
        </w:tc>
        <w:tc>
          <w:tcPr>
            <w:tcW w:w="220" w:type="dxa"/>
            <w:vAlign w:val="bottom"/>
            <w:shd w:val="clear" w:color="auto" w:fill="E5E5E5"/>
          </w:tcPr>
          <w:p>
            <w:pPr>
              <w:spacing w:after="0"/>
              <w:rPr>
                <w:sz w:val="16"/>
                <w:szCs w:val="16"/>
                <w:color w:val="auto"/>
              </w:rPr>
            </w:pPr>
          </w:p>
        </w:tc>
        <w:tc>
          <w:tcPr>
            <w:tcW w:w="320" w:type="dxa"/>
            <w:vAlign w:val="bottom"/>
            <w:gridSpan w:val="2"/>
            <w:shd w:val="clear" w:color="auto" w:fill="E5E5E5"/>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116,032</w:t>
            </w: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4"/>
        </w:trPr>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w:t>
            </w:r>
          </w:p>
        </w:tc>
        <w:tc>
          <w:tcPr>
            <w:tcW w:w="12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144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Value Recorded</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440" w:type="dxa"/>
            <w:vAlign w:val="bottom"/>
          </w:tcPr>
          <w:p>
            <w:pPr>
              <w:ind w:left="220"/>
              <w:spacing w:after="0"/>
              <w:rPr>
                <w:sz w:val="20"/>
                <w:szCs w:val="20"/>
                <w:color w:val="auto"/>
              </w:rPr>
            </w:pPr>
            <w:r>
              <w:rPr>
                <w:rFonts w:ascii="Arial" w:cs="Arial" w:eastAsia="Arial" w:hAnsi="Arial"/>
                <w:sz w:val="13"/>
                <w:szCs w:val="13"/>
                <w:b w:val="1"/>
                <w:bCs w:val="1"/>
                <w:color w:val="auto"/>
              </w:rPr>
              <w:t>in Net Income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Equity</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investments</w:t>
            </w:r>
          </w:p>
        </w:tc>
        <w:tc>
          <w:tcPr>
            <w:tcW w:w="12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1</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1,582</w:t>
            </w:r>
          </w:p>
        </w:tc>
        <w:tc>
          <w:tcPr>
            <w:tcW w:w="3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976</w:t>
            </w:r>
          </w:p>
        </w:tc>
        <w:tc>
          <w:tcPr>
            <w:tcW w:w="220" w:type="dxa"/>
            <w:vAlign w:val="bottom"/>
            <w:shd w:val="clear" w:color="auto" w:fill="E5E5E5"/>
          </w:tcPr>
          <w:p>
            <w:pPr>
              <w:spacing w:after="0"/>
              <w:rPr>
                <w:sz w:val="16"/>
                <w:szCs w:val="16"/>
                <w:color w:val="auto"/>
              </w:rPr>
            </w:pPr>
          </w:p>
        </w:tc>
        <w:tc>
          <w:tcPr>
            <w:tcW w:w="320" w:type="dxa"/>
            <w:vAlign w:val="bottom"/>
            <w:gridSpan w:val="2"/>
            <w:shd w:val="clear" w:color="auto" w:fill="E5E5E5"/>
          </w:tcPr>
          <w:p>
            <w:pPr>
              <w:ind w:left="22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E5E5E5"/>
          </w:tcPr>
          <w:p>
            <w:pPr>
              <w:jc w:val="right"/>
              <w:ind w:right="440"/>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Equity</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220"/>
              <w:spacing w:after="0"/>
              <w:rPr>
                <w:sz w:val="20"/>
                <w:szCs w:val="20"/>
                <w:color w:val="auto"/>
              </w:rPr>
            </w:pPr>
            <w:r>
              <w:rPr>
                <w:rFonts w:ascii="Arial" w:cs="Arial" w:eastAsia="Arial" w:hAnsi="Arial"/>
                <w:sz w:val="16"/>
                <w:szCs w:val="16"/>
                <w:color w:val="auto"/>
              </w:rPr>
              <w:t>investments</w:t>
            </w:r>
          </w:p>
        </w:tc>
        <w:tc>
          <w:tcPr>
            <w:tcW w:w="1280" w:type="dxa"/>
            <w:vAlign w:val="bottom"/>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5,378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5,378</w:t>
            </w:r>
          </w:p>
        </w:tc>
        <w:tc>
          <w:tcPr>
            <w:tcW w:w="0" w:type="dxa"/>
            <w:vAlign w:val="bottom"/>
          </w:tcPr>
          <w:p>
            <w:pPr>
              <w:spacing w:after="0"/>
              <w:rPr>
                <w:sz w:val="1"/>
                <w:szCs w:val="1"/>
                <w:color w:val="auto"/>
              </w:rPr>
            </w:pPr>
          </w:p>
        </w:tc>
      </w:tr>
      <w:tr>
        <w:trPr>
          <w:trHeight w:val="60"/>
        </w:trPr>
        <w:tc>
          <w:tcPr>
            <w:tcW w:w="1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5E5E5"/>
          </w:tcPr>
          <w:p>
            <w:pPr>
              <w:ind w:left="440"/>
              <w:spacing w:after="0"/>
              <w:rPr>
                <w:sz w:val="20"/>
                <w:szCs w:val="20"/>
                <w:color w:val="auto"/>
              </w:rPr>
            </w:pPr>
            <w:r>
              <w:rPr>
                <w:rFonts w:ascii="Arial" w:cs="Arial" w:eastAsia="Arial" w:hAnsi="Arial"/>
                <w:sz w:val="16"/>
                <w:szCs w:val="16"/>
                <w:color w:val="auto"/>
              </w:rPr>
              <w:t>investments</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6,960</w:t>
            </w:r>
          </w:p>
        </w:tc>
        <w:tc>
          <w:tcPr>
            <w:tcW w:w="3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976</w:t>
            </w:r>
          </w:p>
        </w:tc>
        <w:tc>
          <w:tcPr>
            <w:tcW w:w="220" w:type="dxa"/>
            <w:vAlign w:val="bottom"/>
            <w:shd w:val="clear" w:color="auto" w:fill="E5E5E5"/>
          </w:tcPr>
          <w:p>
            <w:pPr>
              <w:spacing w:after="0"/>
              <w:rPr>
                <w:sz w:val="16"/>
                <w:szCs w:val="16"/>
                <w:color w:val="auto"/>
              </w:rPr>
            </w:pPr>
          </w:p>
        </w:tc>
        <w:tc>
          <w:tcPr>
            <w:tcW w:w="320" w:type="dxa"/>
            <w:vAlign w:val="bottom"/>
            <w:gridSpan w:val="2"/>
            <w:shd w:val="clear" w:color="auto" w:fill="E5E5E5"/>
          </w:tcPr>
          <w:p>
            <w:pPr>
              <w:ind w:left="22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E5E5E5"/>
          </w:tcPr>
          <w:p>
            <w:pPr>
              <w:jc w:val="right"/>
              <w:ind w:right="440"/>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r>
        <w:trPr>
          <w:trHeight w:val="74"/>
        </w:trPr>
        <w:tc>
          <w:tcPr>
            <w:tcW w:w="1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Arial" w:cs="Arial" w:eastAsia="Arial" w:hAnsi="Arial"/>
                <w:sz w:val="16"/>
                <w:szCs w:val="16"/>
                <w:color w:val="auto"/>
              </w:rPr>
              <w:t>Cash</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7,272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7,272</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5"/>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Derivatives, net</w:t>
            </w: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78</w:t>
            </w: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6"/>
                <w:szCs w:val="16"/>
                <w:color w:val="auto"/>
              </w:rPr>
              <w:t>78</w:t>
            </w:r>
          </w:p>
        </w:tc>
        <w:tc>
          <w:tcPr>
            <w:tcW w:w="100" w:type="dxa"/>
            <w:vAlign w:val="bottom"/>
            <w:shd w:val="clear" w:color="auto" w:fill="E5E5E5"/>
          </w:tcPr>
          <w:p>
            <w:pPr>
              <w:spacing w:after="0"/>
              <w:rPr>
                <w:sz w:val="16"/>
                <w:szCs w:val="16"/>
                <w:color w:val="auto"/>
              </w:rPr>
            </w:pPr>
          </w:p>
        </w:tc>
        <w:tc>
          <w:tcPr>
            <w:tcW w:w="100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65"/>
        </w:trPr>
        <w:tc>
          <w:tcPr>
            <w:tcW w:w="1440" w:type="dxa"/>
            <w:vAlign w:val="bottom"/>
            <w:shd w:val="clear" w:color="auto" w:fill="E5E5E5"/>
          </w:tcPr>
          <w:p>
            <w:pPr>
              <w:ind w:left="220"/>
              <w:spacing w:after="0"/>
              <w:rPr>
                <w:sz w:val="20"/>
                <w:szCs w:val="20"/>
                <w:color w:val="auto"/>
              </w:rPr>
            </w:pPr>
            <w:r>
              <w:rPr>
                <w:rFonts w:ascii="Arial" w:cs="Arial" w:eastAsia="Arial" w:hAnsi="Arial"/>
                <w:sz w:val="14"/>
                <w:szCs w:val="14"/>
                <w:color w:val="auto"/>
              </w:rPr>
              <w:t>(a)</w:t>
            </w:r>
          </w:p>
        </w:tc>
        <w:tc>
          <w:tcPr>
            <w:tcW w:w="12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00" w:type="dxa"/>
            <w:vAlign w:val="bottom"/>
            <w:shd w:val="clear" w:color="auto" w:fill="E5E5E5"/>
          </w:tcPr>
          <w:p>
            <w:pPr>
              <w:spacing w:after="0"/>
              <w:rPr>
                <w:sz w:val="14"/>
                <w:szCs w:val="14"/>
                <w:color w:val="auto"/>
              </w:rPr>
            </w:pPr>
          </w:p>
        </w:tc>
        <w:tc>
          <w:tcPr>
            <w:tcW w:w="4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80" w:type="dxa"/>
            <w:vAlign w:val="bottom"/>
            <w:vMerge w:val="continue"/>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80" w:type="dxa"/>
            <w:vAlign w:val="bottom"/>
            <w:vMerge w:val="continue"/>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140" w:type="dxa"/>
            <w:vAlign w:val="bottom"/>
            <w:gridSpan w:val="2"/>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00" w:type="dxa"/>
            <w:vAlign w:val="bottom"/>
            <w:gridSpan w:val="2"/>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440" w:type="dxa"/>
            <w:vAlign w:val="bottom"/>
          </w:tcPr>
          <w:p>
            <w:pPr>
              <w:ind w:left="220"/>
              <w:spacing w:after="0"/>
              <w:rPr>
                <w:sz w:val="20"/>
                <w:szCs w:val="20"/>
                <w:color w:val="auto"/>
              </w:rPr>
            </w:pPr>
            <w:r>
              <w:rPr>
                <w:rFonts w:ascii="Arial" w:cs="Arial" w:eastAsia="Arial" w:hAnsi="Arial"/>
                <w:sz w:val="16"/>
                <w:szCs w:val="16"/>
                <w:color w:val="auto"/>
              </w:rPr>
              <w:t>Total</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136,318</w:t>
            </w:r>
          </w:p>
        </w:tc>
        <w:tc>
          <w:tcPr>
            <w:tcW w:w="20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14,224</w:t>
            </w:r>
          </w:p>
        </w:tc>
        <w:tc>
          <w:tcPr>
            <w:tcW w:w="220" w:type="dxa"/>
            <w:vAlign w:val="bottom"/>
          </w:tcPr>
          <w:p>
            <w:pPr>
              <w:spacing w:after="0"/>
              <w:rPr>
                <w:sz w:val="22"/>
                <w:szCs w:val="22"/>
                <w:color w:val="auto"/>
              </w:rPr>
            </w:pP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116,110</w:t>
            </w:r>
          </w:p>
        </w:tc>
        <w:tc>
          <w:tcPr>
            <w:tcW w:w="4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38100</wp:posOffset>
            </wp:positionV>
            <wp:extent cx="29762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76245" cy="17145"/>
                    </a:xfrm>
                    <a:prstGeom prst="rect">
                      <a:avLst/>
                    </a:prstGeom>
                    <a:noFill/>
                  </pic:spPr>
                </pic:pic>
              </a:graphicData>
            </a:graphic>
          </wp:anchor>
        </w:drawing>
      </w:r>
    </w:p>
    <w:p>
      <w:pPr>
        <w:spacing w:after="0" w:line="129"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215"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June 30, 2022 and 2021, equity investments without readily determinable fair values measured at cost with adjustments for observable changes in price or impairments were $3.8 billion and $3.3 billion,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79"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Less than 12 Months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12 Months or Greater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102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4"/>
        </w:trPr>
        <w:tc>
          <w:tcPr>
            <w:tcW w:w="3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3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59,092</w:t>
            </w:r>
          </w:p>
        </w:tc>
        <w:tc>
          <w:tcPr>
            <w:tcW w:w="5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(1,835)</w:t>
            </w:r>
          </w:p>
        </w:tc>
        <w:tc>
          <w:tcPr>
            <w:tcW w:w="3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2,210</w:t>
            </w:r>
          </w:p>
        </w:tc>
        <w:tc>
          <w:tcPr>
            <w:tcW w:w="3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(352)</w:t>
            </w:r>
          </w:p>
        </w:tc>
        <w:tc>
          <w:tcPr>
            <w:tcW w:w="3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61,302</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(2,187)</w:t>
            </w:r>
          </w:p>
        </w:tc>
        <w:tc>
          <w:tcPr>
            <w:tcW w:w="0" w:type="dxa"/>
            <w:vAlign w:val="bottom"/>
          </w:tcPr>
          <w:p>
            <w:pPr>
              <w:spacing w:after="0"/>
              <w:rPr>
                <w:sz w:val="1"/>
                <w:szCs w:val="1"/>
                <w:color w:val="auto"/>
              </w:rPr>
            </w:pPr>
          </w:p>
        </w:tc>
      </w:tr>
      <w:tr>
        <w:trPr>
          <w:trHeight w:val="189"/>
        </w:trPr>
        <w:tc>
          <w:tcPr>
            <w:tcW w:w="33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418</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00"/>
              <w:spacing w:after="0" w:line="189" w:lineRule="exact"/>
              <w:rPr>
                <w:sz w:val="20"/>
                <w:szCs w:val="20"/>
                <w:color w:val="auto"/>
              </w:rPr>
            </w:pPr>
            <w:r>
              <w:rPr>
                <w:rFonts w:ascii="Arial" w:cs="Arial" w:eastAsia="Arial" w:hAnsi="Arial"/>
                <w:sz w:val="18"/>
                <w:szCs w:val="18"/>
                <w:b w:val="1"/>
                <w:bCs w:val="1"/>
                <w:color w:val="auto"/>
              </w:rPr>
              <w:t>445</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189"/>
        </w:trPr>
        <w:tc>
          <w:tcPr>
            <w:tcW w:w="3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510</w:t>
            </w:r>
          </w:p>
        </w:tc>
        <w:tc>
          <w:tcPr>
            <w:tcW w:w="3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(26)</w:t>
            </w:r>
          </w:p>
        </w:tc>
        <w:tc>
          <w:tcPr>
            <w:tcW w:w="1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41</w:t>
            </w: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551</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189"/>
        </w:trPr>
        <w:tc>
          <w:tcPr>
            <w:tcW w:w="33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9,443</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(477)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786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(77)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00"/>
              <w:spacing w:after="0" w:line="189" w:lineRule="exact"/>
              <w:rPr>
                <w:sz w:val="20"/>
                <w:szCs w:val="20"/>
                <w:color w:val="auto"/>
              </w:rPr>
            </w:pPr>
            <w:r>
              <w:rPr>
                <w:rFonts w:ascii="Arial" w:cs="Arial" w:eastAsia="Arial" w:hAnsi="Arial"/>
                <w:sz w:val="18"/>
                <w:szCs w:val="18"/>
                <w:b w:val="1"/>
                <w:bCs w:val="1"/>
                <w:color w:val="auto"/>
              </w:rPr>
              <w:t>10,229</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(554)</w:t>
            </w:r>
          </w:p>
        </w:tc>
        <w:tc>
          <w:tcPr>
            <w:tcW w:w="0" w:type="dxa"/>
            <w:vAlign w:val="bottom"/>
          </w:tcPr>
          <w:p>
            <w:pPr>
              <w:spacing w:after="0"/>
              <w:rPr>
                <w:sz w:val="1"/>
                <w:szCs w:val="1"/>
                <w:color w:val="auto"/>
              </w:rPr>
            </w:pPr>
          </w:p>
        </w:tc>
      </w:tr>
      <w:tr>
        <w:trPr>
          <w:trHeight w:val="189"/>
        </w:trPr>
        <w:tc>
          <w:tcPr>
            <w:tcW w:w="3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178</w:t>
            </w:r>
          </w:p>
        </w:tc>
        <w:tc>
          <w:tcPr>
            <w:tcW w:w="3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252</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67"/>
        </w:trPr>
        <w:tc>
          <w:tcPr>
            <w:tcW w:w="3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36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69,641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(2,368)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3,138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72,779</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(2,814)</w:t>
            </w:r>
          </w:p>
        </w:tc>
        <w:tc>
          <w:tcPr>
            <w:tcW w:w="0" w:type="dxa"/>
            <w:vAlign w:val="bottom"/>
          </w:tcPr>
          <w:p>
            <w:pPr>
              <w:spacing w:after="0"/>
              <w:rPr>
                <w:sz w:val="1"/>
                <w:szCs w:val="1"/>
                <w:color w:val="auto"/>
              </w:rPr>
            </w:pPr>
          </w:p>
        </w:tc>
      </w:tr>
      <w:tr>
        <w:trPr>
          <w:trHeight w:val="61"/>
        </w:trPr>
        <w:tc>
          <w:tcPr>
            <w:tcW w:w="3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38" w:right="239" w:bottom="439" w:gutter="0" w:footer="0" w:header="0"/>
        </w:sectPr>
      </w:pP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38" w:right="239" w:bottom="439" w:gutter="0" w:footer="0" w:header="0"/>
          <w:type w:val="continuous"/>
        </w:sectPr>
      </w:pPr>
    </w:p>
    <w:bookmarkStart w:id="72" w:name="page73"/>
    <w:bookmarkEnd w:id="7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5"/>
                <w:szCs w:val="15"/>
                <w:color w:val="auto"/>
              </w:rPr>
            </w:pPr>
          </w:p>
        </w:tc>
        <w:tc>
          <w:tcPr>
            <w:tcW w:w="228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380"/>
              <w:spacing w:after="0" w:line="148"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00"/>
              <w:spacing w:after="0" w:line="148"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3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4"/>
        </w:trPr>
        <w:tc>
          <w:tcPr>
            <w:tcW w:w="3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3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5,294</w:t>
            </w:r>
          </w:p>
        </w:tc>
        <w:tc>
          <w:tcPr>
            <w:tcW w:w="5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(111)</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0</w:t>
            </w:r>
          </w:p>
        </w:tc>
        <w:tc>
          <w:tcPr>
            <w:tcW w:w="3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5,294</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3,148</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3,153</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9"/>
        </w:trPr>
        <w:tc>
          <w:tcPr>
            <w:tcW w:w="3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1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1,211</w:t>
            </w:r>
          </w:p>
        </w:tc>
        <w:tc>
          <w:tcPr>
            <w:tcW w:w="3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(5)</w:t>
            </w:r>
          </w:p>
        </w:tc>
        <w:tc>
          <w:tcPr>
            <w:tcW w:w="2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87</w:t>
            </w:r>
          </w:p>
        </w:tc>
        <w:tc>
          <w:tcPr>
            <w:tcW w:w="2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1,298</w:t>
            </w:r>
          </w:p>
        </w:tc>
        <w:tc>
          <w:tcPr>
            <w:tcW w:w="2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1,678</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1,712</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9"/>
        </w:trPr>
        <w:tc>
          <w:tcPr>
            <w:tcW w:w="3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58</w:t>
            </w:r>
          </w:p>
        </w:tc>
        <w:tc>
          <w:tcPr>
            <w:tcW w:w="3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(7)</w:t>
            </w:r>
          </w:p>
        </w:tc>
        <w:tc>
          <w:tcPr>
            <w:tcW w:w="2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w:t>
            </w:r>
          </w:p>
        </w:tc>
        <w:tc>
          <w:tcPr>
            <w:tcW w:w="2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59</w:t>
            </w:r>
          </w:p>
        </w:tc>
        <w:tc>
          <w:tcPr>
            <w:tcW w:w="2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7"/>
        </w:trPr>
        <w:tc>
          <w:tcPr>
            <w:tcW w:w="33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32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11,389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11,516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61"/>
        </w:trPr>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Estimated</w:t>
            </w:r>
          </w:p>
        </w:tc>
      </w:tr>
      <w:tr>
        <w:trPr>
          <w:trHeight w:val="178"/>
        </w:trPr>
        <w:tc>
          <w:tcPr>
            <w:tcW w:w="54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Cost Basis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r>
      <w:tr>
        <w:trPr>
          <w:trHeight w:val="54"/>
        </w:trPr>
        <w:tc>
          <w:tcPr>
            <w:tcW w:w="548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2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4"/>
        </w:trPr>
        <w:tc>
          <w:tcPr>
            <w:tcW w:w="54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5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29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26,480</w:t>
            </w:r>
          </w:p>
        </w:tc>
        <w:tc>
          <w:tcPr>
            <w:tcW w:w="56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26,470</w:t>
            </w: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2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52,006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50,748</w:t>
            </w:r>
          </w:p>
        </w:tc>
      </w:tr>
      <w:tr>
        <w:trPr>
          <w:trHeight w:val="189"/>
        </w:trPr>
        <w:tc>
          <w:tcPr>
            <w:tcW w:w="5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25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18,274</w:t>
            </w: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16,880</w:t>
            </w: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Due after 10 years</w:t>
            </w:r>
          </w:p>
        </w:tc>
        <w:tc>
          <w:tcPr>
            <w:tcW w:w="2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1,259</w:t>
            </w:r>
          </w:p>
        </w:tc>
      </w:tr>
      <w:tr>
        <w:trPr>
          <w:trHeight w:val="67"/>
        </w:trPr>
        <w:tc>
          <w:tcPr>
            <w:tcW w:w="5480" w:type="dxa"/>
            <w:vAlign w:val="bottom"/>
            <w:tcBorders>
              <w:top w:val="single" w:sz="8" w:color="auto"/>
            </w:tcBorders>
          </w:tcPr>
          <w:p>
            <w:pPr>
              <w:spacing w:after="0"/>
              <w:rPr>
                <w:sz w:val="5"/>
                <w:szCs w:val="5"/>
                <w:color w:val="auto"/>
              </w:rPr>
            </w:pPr>
          </w:p>
        </w:tc>
        <w:tc>
          <w:tcPr>
            <w:tcW w:w="25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54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98,118</w:t>
            </w:r>
          </w:p>
        </w:tc>
        <w:tc>
          <w:tcPr>
            <w:tcW w:w="56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95,357</w:t>
            </w:r>
          </w:p>
        </w:tc>
      </w:tr>
      <w:tr>
        <w:trPr>
          <w:trHeight w:val="74"/>
        </w:trPr>
        <w:tc>
          <w:tcPr>
            <w:tcW w:w="54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3" w:name="page74"/>
    <w:bookmarkEnd w:id="7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over-the-counter swap and option contracts. These contracts are not designated as hedging instruments and are included in “Other contracts” in the tables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Securities held in our equity investments portfolio are subject to market price risk. At times, we may hold options, futures, and swap contracts.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These contracts are not designated as hedging instruments and are included in “Other contracts” in the tables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June 30, 2022, our long-term unsecured debt rating was AAA, and cash investments were in excess of $1.0 billion. As a result, no collateral was required to be posted.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b w:val="1"/>
                <w:bCs w:val="1"/>
                <w:color w:val="auto"/>
              </w:rPr>
              <w:t>June 30,</w:t>
            </w:r>
          </w:p>
        </w:tc>
        <w:tc>
          <w:tcPr>
            <w:tcW w:w="440" w:type="dxa"/>
            <w:vAlign w:val="bottom"/>
          </w:tcPr>
          <w:p>
            <w:pPr>
              <w:spacing w:after="0"/>
              <w:rPr>
                <w:sz w:val="13"/>
                <w:szCs w:val="13"/>
                <w:color w:val="auto"/>
              </w:rPr>
            </w:pP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43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70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r>
      <w:tr>
        <w:trPr>
          <w:trHeight w:val="54"/>
        </w:trPr>
        <w:tc>
          <w:tcPr>
            <w:tcW w:w="432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
        </w:trPr>
        <w:tc>
          <w:tcPr>
            <w:tcW w:w="432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700" w:type="dxa"/>
            <w:vAlign w:val="bottom"/>
            <w:shd w:val="clear" w:color="auto" w:fill="E5E5E5"/>
          </w:tcPr>
          <w:p>
            <w:pPr>
              <w:jc w:val="right"/>
              <w:ind w:right="159"/>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635</w:t>
            </w:r>
          </w:p>
        </w:tc>
        <w:tc>
          <w:tcPr>
            <w:tcW w:w="4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635</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700" w:type="dxa"/>
            <w:vAlign w:val="bottom"/>
          </w:tcPr>
          <w:p>
            <w:pPr>
              <w:spacing w:after="0"/>
              <w:rPr>
                <w:sz w:val="16"/>
                <w:szCs w:val="16"/>
                <w:color w:val="auto"/>
              </w:rPr>
            </w:pPr>
          </w:p>
        </w:tc>
        <w:tc>
          <w:tcPr>
            <w:tcW w:w="88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6,081</w:t>
            </w:r>
          </w:p>
        </w:tc>
      </w:tr>
      <w:tr>
        <w:trPr>
          <w:trHeight w:val="189"/>
        </w:trPr>
        <w:tc>
          <w:tcPr>
            <w:tcW w:w="4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 purchased</w:t>
            </w:r>
          </w:p>
        </w:tc>
        <w:tc>
          <w:tcPr>
            <w:tcW w:w="47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1,139</w:t>
            </w: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1,247</w:t>
            </w:r>
          </w:p>
        </w:tc>
      </w:tr>
      <w:tr>
        <w:trPr>
          <w:trHeight w:val="229"/>
        </w:trPr>
        <w:tc>
          <w:tcPr>
            <w:tcW w:w="432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
        </w:trPr>
        <w:tc>
          <w:tcPr>
            <w:tcW w:w="432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7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10,322</w:t>
            </w: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14,223</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700" w:type="dxa"/>
            <w:vAlign w:val="bottom"/>
          </w:tcPr>
          <w:p>
            <w:pPr>
              <w:spacing w:after="0"/>
              <w:rPr>
                <w:sz w:val="16"/>
                <w:szCs w:val="16"/>
                <w:color w:val="auto"/>
              </w:rPr>
            </w:pPr>
          </w:p>
        </w:tc>
        <w:tc>
          <w:tcPr>
            <w:tcW w:w="88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21,606</w:t>
            </w: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23,391</w:t>
            </w:r>
          </w:p>
        </w:tc>
      </w:tr>
      <w:tr>
        <w:trPr>
          <w:trHeight w:val="189"/>
        </w:trPr>
        <w:tc>
          <w:tcPr>
            <w:tcW w:w="4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47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2,773</w:t>
            </w: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2,456</w:t>
            </w:r>
          </w:p>
        </w:tc>
      </w:tr>
      <w:tr>
        <w:trPr>
          <w:trHeight w:val="249"/>
        </w:trPr>
        <w:tc>
          <w:tcPr>
            <w:tcW w:w="4320" w:type="dxa"/>
            <w:vAlign w:val="bottom"/>
          </w:tcPr>
          <w:p>
            <w:pPr>
              <w:spacing w:after="0"/>
              <w:rPr>
                <w:sz w:val="20"/>
                <w:szCs w:val="20"/>
                <w:color w:val="auto"/>
              </w:rPr>
            </w:pPr>
            <w:r>
              <w:rPr>
                <w:rFonts w:ascii="Arial" w:cs="Arial" w:eastAsia="Arial" w:hAnsi="Arial"/>
                <w:sz w:val="18"/>
                <w:szCs w:val="18"/>
                <w:color w:val="auto"/>
              </w:rPr>
              <w:t>Other contracts sold</w:t>
            </w:r>
          </w:p>
        </w:tc>
        <w:tc>
          <w:tcPr>
            <w:tcW w:w="470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544</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r>
        <w:trPr>
          <w:trHeight w:val="662"/>
        </w:trPr>
        <w:tc>
          <w:tcPr>
            <w:tcW w:w="4320" w:type="dxa"/>
            <w:vAlign w:val="bottom"/>
            <w:tcBorders>
              <w:top w:val="single" w:sz="8" w:color="auto"/>
            </w:tcBorders>
          </w:tcPr>
          <w:p>
            <w:pPr>
              <w:spacing w:after="0"/>
              <w:rPr>
                <w:sz w:val="24"/>
                <w:szCs w:val="24"/>
                <w:color w:val="auto"/>
              </w:rPr>
            </w:pPr>
          </w:p>
        </w:tc>
        <w:tc>
          <w:tcPr>
            <w:tcW w:w="4700" w:type="dxa"/>
            <w:vAlign w:val="bottom"/>
            <w:tcBorders>
              <w:top w:val="single" w:sz="8" w:color="auto"/>
            </w:tcBorders>
          </w:tcPr>
          <w:p>
            <w:pPr>
              <w:jc w:val="right"/>
              <w:ind w:right="3239"/>
              <w:spacing w:after="0"/>
              <w:rPr>
                <w:sz w:val="20"/>
                <w:szCs w:val="20"/>
                <w:color w:val="auto"/>
              </w:rPr>
            </w:pPr>
            <w:r>
              <w:rPr>
                <w:rFonts w:ascii="Arial" w:cs="Arial" w:eastAsia="Arial" w:hAnsi="Arial"/>
                <w:sz w:val="14"/>
                <w:szCs w:val="14"/>
                <w:color w:val="auto"/>
              </w:rPr>
              <w:t>74</w:t>
            </w:r>
          </w:p>
        </w:tc>
        <w:tc>
          <w:tcPr>
            <w:tcW w:w="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32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4" w:name="page75"/>
    <w:bookmarkEnd w:id="7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30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3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54"/>
        </w:trPr>
        <w:tc>
          <w:tcPr>
            <w:tcW w:w="5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(77)</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333</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(362)</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227</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9"/>
        </w:trPr>
        <w:tc>
          <w:tcPr>
            <w:tcW w:w="5980" w:type="dxa"/>
            <w:vAlign w:val="bottom"/>
          </w:tcPr>
          <w:p>
            <w:pPr>
              <w:spacing w:after="0"/>
              <w:rPr>
                <w:sz w:val="20"/>
                <w:szCs w:val="20"/>
                <w:color w:val="auto"/>
              </w:rPr>
            </w:pPr>
            <w:r>
              <w:rPr>
                <w:rFonts w:ascii="Arial" w:cs="Arial" w:eastAsia="Arial" w:hAnsi="Arial"/>
                <w:sz w:val="18"/>
                <w:szCs w:val="18"/>
                <w:color w:val="auto"/>
              </w:rPr>
              <w:t>Other contracts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7"/>
        </w:trPr>
        <w:tc>
          <w:tcPr>
            <w:tcW w:w="59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Gross amounts of derivatives</w:t>
            </w: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356</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(551)</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399</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Gross amounts of derivatives offset in the balance sheet</w:t>
            </w:r>
          </w:p>
        </w:tc>
        <w:tc>
          <w:tcPr>
            <w:tcW w:w="30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(130)</w:t>
            </w:r>
          </w:p>
        </w:tc>
        <w:tc>
          <w:tcPr>
            <w:tcW w:w="300" w:type="dxa"/>
            <w:vAlign w:val="bottom"/>
          </w:tcPr>
          <w:p>
            <w:pPr>
              <w:spacing w:after="0"/>
              <w:rPr>
                <w:sz w:val="16"/>
                <w:szCs w:val="16"/>
                <w:color w:val="auto"/>
              </w:rPr>
            </w:pP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(141)</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collateral received</w:t>
            </w: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7"/>
        </w:trPr>
        <w:tc>
          <w:tcPr>
            <w:tcW w:w="59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980" w:type="dxa"/>
            <w:vAlign w:val="bottom"/>
          </w:tcPr>
          <w:p>
            <w:pPr>
              <w:ind w:left="220"/>
              <w:spacing w:after="0"/>
              <w:rPr>
                <w:sz w:val="20"/>
                <w:szCs w:val="20"/>
                <w:color w:val="auto"/>
              </w:rPr>
            </w:pPr>
            <w:r>
              <w:rPr>
                <w:rFonts w:ascii="Arial" w:cs="Arial" w:eastAsia="Arial" w:hAnsi="Arial"/>
                <w:sz w:val="18"/>
                <w:szCs w:val="18"/>
                <w:color w:val="auto"/>
              </w:rPr>
              <w:t>Net amounts of derivatives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226</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1"/>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218</w:t>
            </w:r>
          </w:p>
        </w:tc>
        <w:tc>
          <w:tcPr>
            <w:tcW w:w="300" w:type="dxa"/>
            <w:vAlign w:val="bottom"/>
          </w:tcPr>
          <w:p>
            <w:pPr>
              <w:spacing w:after="0"/>
              <w:rPr>
                <w:sz w:val="16"/>
                <w:szCs w:val="16"/>
                <w:color w:val="auto"/>
              </w:rPr>
            </w:pP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137</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43</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30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(298)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(195)</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7"/>
        </w:trPr>
        <w:tc>
          <w:tcPr>
            <w:tcW w:w="59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226</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$343 million and $550 million, respectively, as of June 30, 2022, and $395 million and $335 million, respectively, as of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40" w:type="dxa"/>
            <w:vAlign w:val="bottom"/>
          </w:tcPr>
          <w:p>
            <w:pPr>
              <w:spacing w:after="0"/>
              <w:rPr>
                <w:sz w:val="15"/>
                <w:szCs w:val="15"/>
                <w:color w:val="auto"/>
              </w:rPr>
            </w:pPr>
          </w:p>
        </w:tc>
        <w:tc>
          <w:tcPr>
            <w:tcW w:w="840" w:type="dxa"/>
            <w:vAlign w:val="bottom"/>
          </w:tcPr>
          <w:p>
            <w:pPr>
              <w:jc w:val="right"/>
              <w:ind w:right="15"/>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5"/>
                <w:szCs w:val="15"/>
                <w:color w:val="auto"/>
              </w:rPr>
            </w:pPr>
          </w:p>
        </w:tc>
        <w:tc>
          <w:tcPr>
            <w:tcW w:w="840" w:type="dxa"/>
            <w:vAlign w:val="bottom"/>
          </w:tcPr>
          <w:p>
            <w:pPr>
              <w:jc w:val="right"/>
              <w:ind w:right="15"/>
              <w:spacing w:after="0"/>
              <w:rPr>
                <w:sz w:val="20"/>
                <w:szCs w:val="20"/>
                <w:color w:val="auto"/>
              </w:rPr>
            </w:pPr>
            <w:r>
              <w:rPr>
                <w:rFonts w:ascii="Arial" w:cs="Arial" w:eastAsia="Arial" w:hAnsi="Arial"/>
                <w:sz w:val="13"/>
                <w:szCs w:val="13"/>
                <w:b w:val="1"/>
                <w:bCs w:val="1"/>
                <w:color w:val="auto"/>
              </w:rPr>
              <w:t>Level 3</w:t>
            </w:r>
          </w:p>
        </w:tc>
        <w:tc>
          <w:tcPr>
            <w:tcW w:w="5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54"/>
        </w:trPr>
        <w:tc>
          <w:tcPr>
            <w:tcW w:w="35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2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
        </w:trPr>
        <w:tc>
          <w:tcPr>
            <w:tcW w:w="35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40" w:type="dxa"/>
            <w:vAlign w:val="bottom"/>
            <w:shd w:val="clear" w:color="auto" w:fill="E5E5E5"/>
          </w:tcPr>
          <w:p>
            <w:pPr>
              <w:jc w:val="right"/>
              <w:ind w:right="219"/>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w:t>
            </w:r>
          </w:p>
        </w:tc>
        <w:tc>
          <w:tcPr>
            <w:tcW w:w="5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349</w:t>
            </w:r>
          </w:p>
        </w:tc>
        <w:tc>
          <w:tcPr>
            <w:tcW w:w="46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6</w:t>
            </w:r>
          </w:p>
        </w:tc>
        <w:tc>
          <w:tcPr>
            <w:tcW w:w="54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356</w:t>
            </w:r>
          </w:p>
        </w:tc>
      </w:tr>
      <w:tr>
        <w:trPr>
          <w:trHeight w:val="238"/>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4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46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(551)</w:t>
            </w:r>
          </w:p>
        </w:tc>
      </w:tr>
      <w:tr>
        <w:trPr>
          <w:trHeight w:val="179"/>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2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
        </w:trPr>
        <w:tc>
          <w:tcPr>
            <w:tcW w:w="35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4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0</w:t>
            </w:r>
          </w:p>
        </w:tc>
        <w:tc>
          <w:tcPr>
            <w:tcW w:w="5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396</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3</w:t>
            </w:r>
          </w:p>
        </w:tc>
        <w:tc>
          <w:tcPr>
            <w:tcW w:w="5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399</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46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r>
      <w:tr>
        <w:trPr>
          <w:trHeight w:val="39"/>
        </w:trPr>
        <w:tc>
          <w:tcPr>
            <w:tcW w:w="3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588"/>
        </w:trPr>
        <w:tc>
          <w:tcPr>
            <w:tcW w:w="3540" w:type="dxa"/>
            <w:vAlign w:val="bottom"/>
          </w:tcPr>
          <w:p>
            <w:pPr>
              <w:spacing w:after="0"/>
              <w:rPr>
                <w:sz w:val="24"/>
                <w:szCs w:val="24"/>
                <w:color w:val="auto"/>
              </w:rPr>
            </w:pPr>
          </w:p>
        </w:tc>
        <w:tc>
          <w:tcPr>
            <w:tcW w:w="2840" w:type="dxa"/>
            <w:vAlign w:val="bottom"/>
          </w:tcPr>
          <w:p>
            <w:pPr>
              <w:jc w:val="right"/>
              <w:ind w:right="599"/>
              <w:spacing w:after="0"/>
              <w:rPr>
                <w:sz w:val="20"/>
                <w:szCs w:val="20"/>
                <w:color w:val="auto"/>
              </w:rPr>
            </w:pPr>
            <w:r>
              <w:rPr>
                <w:rFonts w:ascii="Arial" w:cs="Arial" w:eastAsia="Arial" w:hAnsi="Arial"/>
                <w:sz w:val="14"/>
                <w:szCs w:val="14"/>
                <w:color w:val="auto"/>
              </w:rPr>
              <w:t>75</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354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5" w:name="page76"/>
    <w:bookmarkEnd w:id="7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957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79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720" w:type="dxa"/>
            <w:vAlign w:val="bottom"/>
          </w:tcPr>
          <w:p>
            <w:pPr>
              <w:spacing w:after="0"/>
              <w:rPr>
                <w:sz w:val="15"/>
                <w:szCs w:val="15"/>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b w:val="1"/>
                <w:bCs w:val="1"/>
                <w:color w:val="auto"/>
              </w:rPr>
              <w:t>2022</w:t>
            </w:r>
          </w:p>
        </w:tc>
        <w:tc>
          <w:tcPr>
            <w:tcW w:w="760" w:type="dxa"/>
            <w:vAlign w:val="bottom"/>
          </w:tcPr>
          <w:p>
            <w:pPr>
              <w:spacing w:after="0"/>
              <w:rPr>
                <w:sz w:val="15"/>
                <w:szCs w:val="15"/>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b w:val="1"/>
                <w:bCs w:val="1"/>
                <w:color w:val="auto"/>
              </w:rPr>
              <w:t>2021</w:t>
            </w:r>
          </w:p>
        </w:tc>
        <w:tc>
          <w:tcPr>
            <w:tcW w:w="7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7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720" w:type="dxa"/>
            <w:vAlign w:val="bottom"/>
          </w:tcPr>
          <w:p>
            <w:pPr>
              <w:jc w:val="right"/>
              <w:ind w:right="43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49</w:t>
            </w:r>
          </w:p>
        </w:tc>
        <w:tc>
          <w:tcPr>
            <w:tcW w:w="760" w:type="dxa"/>
            <w:vAlign w:val="bottom"/>
          </w:tcPr>
          <w:p>
            <w:pPr>
              <w:jc w:val="right"/>
              <w:ind w:right="390"/>
              <w:spacing w:after="0" w:line="189"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53"/>
              <w:spacing w:after="0" w:line="189" w:lineRule="exact"/>
              <w:rPr>
                <w:sz w:val="20"/>
                <w:szCs w:val="20"/>
                <w:color w:val="auto"/>
              </w:rPr>
            </w:pPr>
            <w:r>
              <w:rPr>
                <w:rFonts w:ascii="Arial" w:cs="Arial" w:eastAsia="Arial" w:hAnsi="Arial"/>
                <w:sz w:val="18"/>
                <w:szCs w:val="18"/>
                <w:color w:val="auto"/>
              </w:rPr>
              <w:t>193</w:t>
            </w:r>
          </w:p>
        </w:tc>
        <w:tc>
          <w:tcPr>
            <w:tcW w:w="780" w:type="dxa"/>
            <w:vAlign w:val="bottom"/>
          </w:tcPr>
          <w:p>
            <w:pPr>
              <w:jc w:val="right"/>
              <w:ind w:right="39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72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(50)</w:t>
            </w:r>
          </w:p>
        </w:tc>
        <w:tc>
          <w:tcPr>
            <w:tcW w:w="76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93"/>
              <w:spacing w:after="0" w:line="189" w:lineRule="exact"/>
              <w:rPr>
                <w:sz w:val="20"/>
                <w:szCs w:val="20"/>
                <w:color w:val="auto"/>
              </w:rPr>
            </w:pPr>
            <w:r>
              <w:rPr>
                <w:rFonts w:ascii="Arial" w:cs="Arial" w:eastAsia="Arial" w:hAnsi="Arial"/>
                <w:sz w:val="18"/>
                <w:szCs w:val="18"/>
                <w:color w:val="auto"/>
              </w:rPr>
              <w:t>(188)</w:t>
            </w:r>
          </w:p>
        </w:tc>
        <w:tc>
          <w:tcPr>
            <w:tcW w:w="7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220"/>
              <w:spacing w:after="0" w:line="189" w:lineRule="exact"/>
              <w:rPr>
                <w:sz w:val="20"/>
                <w:szCs w:val="20"/>
                <w:color w:val="auto"/>
              </w:rPr>
            </w:pPr>
            <w:r>
              <w:rPr>
                <w:rFonts w:ascii="Arial" w:cs="Arial" w:eastAsia="Arial" w:hAnsi="Arial"/>
                <w:sz w:val="18"/>
                <w:szCs w:val="18"/>
                <w:color w:val="auto"/>
              </w:rPr>
              <w:t>Excluded from effectiveness assessment</w:t>
            </w:r>
          </w:p>
        </w:tc>
        <w:tc>
          <w:tcPr>
            <w:tcW w:w="720" w:type="dxa"/>
            <w:vAlign w:val="bottom"/>
          </w:tcPr>
          <w:p>
            <w:pPr>
              <w:spacing w:after="0"/>
              <w:rPr>
                <w:sz w:val="16"/>
                <w:szCs w:val="16"/>
                <w:color w:val="auto"/>
              </w:rPr>
            </w:pPr>
          </w:p>
        </w:tc>
        <w:tc>
          <w:tcPr>
            <w:tcW w:w="108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4</w:t>
            </w:r>
          </w:p>
        </w:tc>
        <w:tc>
          <w:tcPr>
            <w:tcW w:w="760" w:type="dxa"/>
            <w:vAlign w:val="bottom"/>
          </w:tcPr>
          <w:p>
            <w:pPr>
              <w:spacing w:after="0"/>
              <w:rPr>
                <w:sz w:val="16"/>
                <w:szCs w:val="16"/>
                <w:color w:val="auto"/>
              </w:rPr>
            </w:pPr>
          </w:p>
        </w:tc>
        <w:tc>
          <w:tcPr>
            <w:tcW w:w="1100" w:type="dxa"/>
            <w:vAlign w:val="bottom"/>
          </w:tcPr>
          <w:p>
            <w:pPr>
              <w:jc w:val="right"/>
              <w:ind w:right="153"/>
              <w:spacing w:after="0" w:line="189" w:lineRule="exact"/>
              <w:rPr>
                <w:sz w:val="20"/>
                <w:szCs w:val="20"/>
                <w:color w:val="auto"/>
              </w:rPr>
            </w:pPr>
            <w:r>
              <w:rPr>
                <w:rFonts w:ascii="Arial" w:cs="Arial" w:eastAsia="Arial" w:hAnsi="Arial"/>
                <w:sz w:val="18"/>
                <w:szCs w:val="18"/>
                <w:color w:val="auto"/>
              </w:rPr>
              <w:t>30</w:t>
            </w:r>
          </w:p>
        </w:tc>
        <w:tc>
          <w:tcPr>
            <w:tcW w:w="7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139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7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720" w:type="dxa"/>
            <w:vAlign w:val="bottom"/>
          </w:tcPr>
          <w:p>
            <w:pPr>
              <w:spacing w:after="0"/>
              <w:rPr>
                <w:sz w:val="16"/>
                <w:szCs w:val="16"/>
                <w:color w:val="auto"/>
              </w:rPr>
            </w:pPr>
          </w:p>
        </w:tc>
        <w:tc>
          <w:tcPr>
            <w:tcW w:w="108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(92)</w:t>
            </w:r>
          </w:p>
        </w:tc>
        <w:tc>
          <w:tcPr>
            <w:tcW w:w="760" w:type="dxa"/>
            <w:vAlign w:val="bottom"/>
          </w:tcPr>
          <w:p>
            <w:pPr>
              <w:spacing w:after="0"/>
              <w:rPr>
                <w:sz w:val="16"/>
                <w:szCs w:val="16"/>
                <w:color w:val="auto"/>
              </w:rPr>
            </w:pPr>
          </w:p>
        </w:tc>
        <w:tc>
          <w:tcPr>
            <w:tcW w:w="1100" w:type="dxa"/>
            <w:vAlign w:val="bottom"/>
          </w:tcPr>
          <w:p>
            <w:pPr>
              <w:jc w:val="right"/>
              <w:ind w:right="93"/>
              <w:spacing w:after="0" w:line="189" w:lineRule="exact"/>
              <w:rPr>
                <w:sz w:val="20"/>
                <w:szCs w:val="20"/>
                <w:color w:val="auto"/>
              </w:rPr>
            </w:pPr>
            <w:r>
              <w:rPr>
                <w:rFonts w:ascii="Arial" w:cs="Arial" w:eastAsia="Arial" w:hAnsi="Arial"/>
                <w:sz w:val="18"/>
                <w:szCs w:val="18"/>
                <w:color w:val="auto"/>
              </w:rPr>
              <w:t>(37)</w:t>
            </w:r>
          </w:p>
        </w:tc>
        <w:tc>
          <w:tcPr>
            <w:tcW w:w="7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93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72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108</w:t>
            </w:r>
          </w:p>
        </w:tc>
        <w:tc>
          <w:tcPr>
            <w:tcW w:w="76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53</w:t>
            </w:r>
          </w:p>
        </w:tc>
        <w:tc>
          <w:tcPr>
            <w:tcW w:w="7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2"/>
        </w:trPr>
        <w:tc>
          <w:tcPr>
            <w:tcW w:w="572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5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7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20" w:type="dxa"/>
            <w:vAlign w:val="bottom"/>
          </w:tcPr>
          <w:p>
            <w:pPr>
              <w:ind w:left="220"/>
              <w:spacing w:after="0" w:line="175" w:lineRule="exact"/>
              <w:rPr>
                <w:sz w:val="20"/>
                <w:szCs w:val="20"/>
                <w:color w:val="auto"/>
              </w:rPr>
            </w:pPr>
            <w:r>
              <w:rPr>
                <w:rFonts w:ascii="Arial" w:cs="Arial" w:eastAsia="Arial" w:hAnsi="Arial"/>
                <w:sz w:val="18"/>
                <w:szCs w:val="18"/>
                <w:color w:val="auto"/>
              </w:rPr>
              <w:t>Amount  reclassified  from  accumulated  other  comprehensive</w:t>
            </w:r>
          </w:p>
        </w:tc>
        <w:tc>
          <w:tcPr>
            <w:tcW w:w="720" w:type="dxa"/>
            <w:vAlign w:val="bottom"/>
          </w:tcPr>
          <w:p>
            <w:pPr>
              <w:spacing w:after="0"/>
              <w:rPr>
                <w:sz w:val="15"/>
                <w:szCs w:val="15"/>
                <w:color w:val="auto"/>
              </w:rPr>
            </w:pPr>
          </w:p>
        </w:tc>
        <w:tc>
          <w:tcPr>
            <w:tcW w:w="1080" w:type="dxa"/>
            <w:vAlign w:val="bottom"/>
            <w:vMerge w:val="restart"/>
          </w:tcPr>
          <w:p>
            <w:pPr>
              <w:jc w:val="right"/>
              <w:ind w:right="113"/>
              <w:spacing w:after="0"/>
              <w:rPr>
                <w:sz w:val="20"/>
                <w:szCs w:val="20"/>
                <w:color w:val="auto"/>
              </w:rPr>
            </w:pPr>
            <w:r>
              <w:rPr>
                <w:rFonts w:ascii="Arial" w:cs="Arial" w:eastAsia="Arial" w:hAnsi="Arial"/>
                <w:sz w:val="18"/>
                <w:szCs w:val="18"/>
                <w:b w:val="1"/>
                <w:bCs w:val="1"/>
                <w:color w:val="auto"/>
              </w:rPr>
              <w:t>(79)</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income</w:t>
            </w:r>
          </w:p>
        </w:tc>
        <w:tc>
          <w:tcPr>
            <w:tcW w:w="7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2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72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383</w:t>
            </w:r>
          </w:p>
        </w:tc>
        <w:tc>
          <w:tcPr>
            <w:tcW w:w="76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27</w:t>
            </w:r>
          </w:p>
        </w:tc>
        <w:tc>
          <w:tcPr>
            <w:tcW w:w="7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9"/>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contracts</w:t>
            </w:r>
          </w:p>
        </w:tc>
        <w:tc>
          <w:tcPr>
            <w:tcW w:w="7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(72)</w:t>
            </w:r>
          </w:p>
        </w:tc>
        <w:tc>
          <w:tcPr>
            <w:tcW w:w="7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w:t>
            </w:r>
          </w:p>
        </w:tc>
        <w:tc>
          <w:tcPr>
            <w:tcW w:w="7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Arial" w:cs="Arial" w:eastAsia="Arial" w:hAnsi="Arial"/>
                <w:sz w:val="13"/>
                <w:szCs w:val="13"/>
                <w:b w:val="1"/>
                <w:bCs w:val="1"/>
                <w:color w:val="auto"/>
              </w:rPr>
              <w:t>2022</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80" w:type="dxa"/>
            <w:vAlign w:val="bottom"/>
            <w:shd w:val="clear" w:color="auto" w:fill="E5E5E5"/>
          </w:tcPr>
          <w:p>
            <w:pPr>
              <w:spacing w:after="0"/>
              <w:rPr>
                <w:sz w:val="16"/>
                <w:szCs w:val="16"/>
                <w:color w:val="auto"/>
              </w:rPr>
            </w:pPr>
          </w:p>
        </w:tc>
        <w:tc>
          <w:tcPr>
            <w:tcW w:w="214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80" w:type="dxa"/>
            <w:vAlign w:val="bottom"/>
          </w:tcPr>
          <w:p>
            <w:pPr>
              <w:ind w:left="220"/>
              <w:spacing w:after="0"/>
              <w:rPr>
                <w:sz w:val="20"/>
                <w:szCs w:val="20"/>
                <w:color w:val="auto"/>
              </w:rPr>
            </w:pPr>
            <w:r>
              <w:rPr>
                <w:rFonts w:ascii="Arial" w:cs="Arial" w:eastAsia="Arial" w:hAnsi="Arial"/>
                <w:sz w:val="18"/>
                <w:szCs w:val="18"/>
                <w:color w:val="auto"/>
              </w:rPr>
              <w:t>Included in effectiveness assessment</w:t>
            </w:r>
          </w:p>
        </w:tc>
        <w:tc>
          <w:tcPr>
            <w:tcW w:w="2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b w:val="1"/>
                <w:bCs w:val="1"/>
                <w:color w:val="auto"/>
              </w:rPr>
              <w:t>(57)</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512"/>
        </w:trPr>
        <w:tc>
          <w:tcPr>
            <w:tcW w:w="418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NOTE 6 — INVENTORIES</w:t>
            </w:r>
          </w:p>
        </w:tc>
        <w:tc>
          <w:tcPr>
            <w:tcW w:w="8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18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38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1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380" w:type="dxa"/>
            <w:vAlign w:val="bottom"/>
            <w:shd w:val="clear" w:color="auto" w:fill="E5E5E5"/>
          </w:tcPr>
          <w:p>
            <w:pPr>
              <w:spacing w:after="0"/>
              <w:rPr>
                <w:sz w:val="16"/>
                <w:szCs w:val="16"/>
                <w:color w:val="auto"/>
              </w:rPr>
            </w:pPr>
          </w:p>
        </w:tc>
        <w:tc>
          <w:tcPr>
            <w:tcW w:w="214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1,144</w:t>
            </w:r>
          </w:p>
        </w:tc>
        <w:tc>
          <w:tcPr>
            <w:tcW w:w="50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380" w:type="dxa"/>
            <w:vAlign w:val="bottom"/>
            <w:shd w:val="clear" w:color="auto" w:fill="E5E5E5"/>
          </w:tcPr>
          <w:p>
            <w:pPr>
              <w:spacing w:after="0"/>
              <w:rPr>
                <w:sz w:val="16"/>
                <w:szCs w:val="16"/>
                <w:color w:val="auto"/>
              </w:rPr>
            </w:pPr>
          </w:p>
        </w:tc>
        <w:tc>
          <w:tcPr>
            <w:tcW w:w="214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2,516</w:t>
            </w:r>
          </w:p>
        </w:tc>
        <w:tc>
          <w:tcPr>
            <w:tcW w:w="12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67"/>
        </w:trPr>
        <w:tc>
          <w:tcPr>
            <w:tcW w:w="4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18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3,742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61"/>
        </w:trPr>
        <w:tc>
          <w:tcPr>
            <w:tcW w:w="4180" w:type="dxa"/>
            <w:vAlign w:val="bottom"/>
          </w:tcPr>
          <w:p>
            <w:pPr>
              <w:spacing w:after="0"/>
              <w:rPr>
                <w:sz w:val="5"/>
                <w:szCs w:val="5"/>
                <w:color w:val="auto"/>
              </w:rPr>
            </w:pPr>
          </w:p>
        </w:tc>
        <w:tc>
          <w:tcPr>
            <w:tcW w:w="2520" w:type="dxa"/>
            <w:vAlign w:val="bottom"/>
            <w:gridSpan w:val="2"/>
            <w:vMerge w:val="restart"/>
          </w:tcPr>
          <w:p>
            <w:pPr>
              <w:jc w:val="right"/>
              <w:ind w:right="1000"/>
              <w:spacing w:after="0"/>
              <w:rPr>
                <w:sz w:val="20"/>
                <w:szCs w:val="20"/>
                <w:color w:val="auto"/>
              </w:rPr>
            </w:pPr>
            <w:r>
              <w:rPr>
                <w:rFonts w:ascii="Arial" w:cs="Arial" w:eastAsia="Arial" w:hAnsi="Arial"/>
                <w:sz w:val="14"/>
                <w:szCs w:val="14"/>
                <w:color w:val="auto"/>
              </w:rPr>
              <w:t>76</w:t>
            </w: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4180" w:type="dxa"/>
            <w:vAlign w:val="bottom"/>
          </w:tcPr>
          <w:p>
            <w:pPr>
              <w:spacing w:after="0"/>
              <w:rPr>
                <w:sz w:val="24"/>
                <w:szCs w:val="24"/>
                <w:color w:val="auto"/>
              </w:rPr>
            </w:pPr>
          </w:p>
        </w:tc>
        <w:tc>
          <w:tcPr>
            <w:tcW w:w="25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6" w:name="page77"/>
    <w:bookmarkEnd w:id="7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NOTE 7 — PROPERTY AND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54"/>
        </w:trPr>
        <w:tc>
          <w:tcPr>
            <w:tcW w:w="57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5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Land</w:t>
            </w:r>
          </w:p>
        </w:tc>
        <w:tc>
          <w:tcPr>
            <w:tcW w:w="32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4,734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3,660</w:t>
            </w:r>
          </w:p>
        </w:tc>
        <w:tc>
          <w:tcPr>
            <w:tcW w:w="100" w:type="dxa"/>
            <w:vAlign w:val="bottom"/>
            <w:shd w:val="clear" w:color="auto" w:fill="E5E5E5"/>
          </w:tcPr>
          <w:p>
            <w:pPr>
              <w:spacing w:after="0"/>
              <w:rPr>
                <w:sz w:val="16"/>
                <w:szCs w:val="16"/>
                <w:color w:val="auto"/>
              </w:rPr>
            </w:pP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Buildings and improvements</w:t>
            </w:r>
          </w:p>
        </w:tc>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55,014</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43,928</w:t>
            </w:r>
          </w:p>
        </w:tc>
      </w:tr>
      <w:tr>
        <w:trPr>
          <w:trHeight w:val="189"/>
        </w:trPr>
        <w:tc>
          <w:tcPr>
            <w:tcW w:w="5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Leasehold improvements</w:t>
            </w:r>
          </w:p>
        </w:tc>
        <w:tc>
          <w:tcPr>
            <w:tcW w:w="29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7,819</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6,884</w:t>
            </w:r>
          </w:p>
        </w:tc>
        <w:tc>
          <w:tcPr>
            <w:tcW w:w="100" w:type="dxa"/>
            <w:vAlign w:val="bottom"/>
            <w:shd w:val="clear" w:color="auto" w:fill="E5E5E5"/>
          </w:tcPr>
          <w:p>
            <w:pPr>
              <w:spacing w:after="0"/>
              <w:rPr>
                <w:sz w:val="16"/>
                <w:szCs w:val="16"/>
                <w:color w:val="auto"/>
              </w:rPr>
            </w:pP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60,631</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51,250</w:t>
            </w:r>
          </w:p>
        </w:tc>
      </w:tr>
      <w:tr>
        <w:trPr>
          <w:trHeight w:val="189"/>
        </w:trPr>
        <w:tc>
          <w:tcPr>
            <w:tcW w:w="5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Furniture and equipment</w:t>
            </w:r>
          </w:p>
        </w:tc>
        <w:tc>
          <w:tcPr>
            <w:tcW w:w="29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5,860</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5,344</w:t>
            </w:r>
          </w:p>
        </w:tc>
        <w:tc>
          <w:tcPr>
            <w:tcW w:w="100" w:type="dxa"/>
            <w:vAlign w:val="bottom"/>
            <w:shd w:val="clear" w:color="auto" w:fill="E5E5E5"/>
          </w:tcPr>
          <w:p>
            <w:pPr>
              <w:spacing w:after="0"/>
              <w:rPr>
                <w:sz w:val="16"/>
                <w:szCs w:val="16"/>
                <w:color w:val="auto"/>
              </w:rPr>
            </w:pPr>
          </w:p>
        </w:tc>
      </w:tr>
      <w:tr>
        <w:trPr>
          <w:trHeight w:val="67"/>
        </w:trPr>
        <w:tc>
          <w:tcPr>
            <w:tcW w:w="572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9"/>
        </w:trPr>
        <w:tc>
          <w:tcPr>
            <w:tcW w:w="5720" w:type="dxa"/>
            <w:vAlign w:val="bottom"/>
          </w:tcPr>
          <w:p>
            <w:pPr>
              <w:ind w:left="220"/>
              <w:spacing w:after="0"/>
              <w:rPr>
                <w:sz w:val="20"/>
                <w:szCs w:val="20"/>
                <w:color w:val="auto"/>
              </w:rPr>
            </w:pPr>
            <w:r>
              <w:rPr>
                <w:rFonts w:ascii="Arial" w:cs="Arial" w:eastAsia="Arial" w:hAnsi="Arial"/>
                <w:sz w:val="18"/>
                <w:szCs w:val="18"/>
                <w:color w:val="auto"/>
              </w:rPr>
              <w:t>Total, at cost</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134,058</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111,066</w:t>
            </w:r>
          </w:p>
        </w:tc>
        <w:tc>
          <w:tcPr>
            <w:tcW w:w="100" w:type="dxa"/>
            <w:vAlign w:val="bottom"/>
          </w:tcPr>
          <w:p>
            <w:pPr>
              <w:spacing w:after="0"/>
              <w:rPr>
                <w:sz w:val="21"/>
                <w:szCs w:val="21"/>
                <w:color w:val="auto"/>
              </w:rPr>
            </w:pPr>
          </w:p>
        </w:tc>
      </w:tr>
      <w:tr>
        <w:trPr>
          <w:trHeight w:val="189"/>
        </w:trPr>
        <w:tc>
          <w:tcPr>
            <w:tcW w:w="5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Accumulated depreciation</w:t>
            </w:r>
          </w:p>
        </w:tc>
        <w:tc>
          <w:tcPr>
            <w:tcW w:w="29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(59,660)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(51,351)</w:t>
            </w:r>
          </w:p>
        </w:tc>
      </w:tr>
      <w:tr>
        <w:trPr>
          <w:trHeight w:val="67"/>
        </w:trPr>
        <w:tc>
          <w:tcPr>
            <w:tcW w:w="572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5720" w:type="dxa"/>
            <w:vAlign w:val="bottom"/>
          </w:tcPr>
          <w:p>
            <w:pPr>
              <w:ind w:left="220"/>
              <w:spacing w:after="0"/>
              <w:rPr>
                <w:sz w:val="20"/>
                <w:szCs w:val="20"/>
                <w:color w:val="auto"/>
              </w:rPr>
            </w:pPr>
            <w:r>
              <w:rPr>
                <w:rFonts w:ascii="Arial" w:cs="Arial" w:eastAsia="Arial" w:hAnsi="Arial"/>
                <w:sz w:val="18"/>
                <w:szCs w:val="18"/>
                <w:color w:val="auto"/>
              </w:rPr>
              <w:t>Total, net</w:t>
            </w:r>
          </w:p>
        </w:tc>
        <w:tc>
          <w:tcPr>
            <w:tcW w:w="3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74,398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59,715</w:t>
            </w:r>
          </w:p>
        </w:tc>
        <w:tc>
          <w:tcPr>
            <w:tcW w:w="100" w:type="dxa"/>
            <w:vAlign w:val="bottom"/>
          </w:tcPr>
          <w:p>
            <w:pPr>
              <w:spacing w:after="0"/>
              <w:rPr>
                <w:sz w:val="22"/>
                <w:szCs w:val="22"/>
                <w:color w:val="auto"/>
              </w:rPr>
            </w:pPr>
          </w:p>
        </w:tc>
      </w:tr>
      <w:tr>
        <w:trPr>
          <w:trHeight w:val="61"/>
        </w:trPr>
        <w:tc>
          <w:tcPr>
            <w:tcW w:w="57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fiscal years 2022, 2021, and 2020, depreciation expense was $12.6 billion, $9.3 billion, and $10.7 billion, respectively. We have committed $8.5 billion, primarily related to datacenters, for the construction of new buildings, building improvements, and leasehold improvements as of June 30, 2022.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8 — BUSINESS COMBINATIONS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Nuance Communications, Inc.</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4, 2022, we completed our acquisition of Nuance Communications, Inc. (“Nuance”) for a total purchase price of $ 18.8 billion, consisting primarily of cash. Nuance is a cloud and artificial intelligence (“AI”) software provider with healthcare and enterprise AI experience, and the acquisition will build on our industry-specific cloud offerings. The financial results of Nuance have been included in our consolidated financial statements since the date of the acquisition. Nuance is reported as part of our Intelligent Cloud segment.</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purchase price allocation as of the date of acquisition was based on a preliminary valuation and is subject to revision as more detailed analyses are completed and additional information about the fair value of assets acquired and liabilities assumed becomes available.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assets and liabilities to which we have preliminarily allocated the purchase price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383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8340"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(a)</w:t>
            </w:r>
          </w:p>
        </w:tc>
        <w:tc>
          <w:tcPr>
            <w:tcW w:w="500" w:type="dxa"/>
            <w:vAlign w:val="bottom"/>
            <w:shd w:val="clear" w:color="auto" w:fill="E5E5E5"/>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16,308</w:t>
            </w:r>
          </w:p>
        </w:tc>
      </w:tr>
      <w:tr>
        <w:trPr>
          <w:trHeight w:val="229"/>
        </w:trPr>
        <w:tc>
          <w:tcPr>
            <w:tcW w:w="964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4,365</w:t>
            </w:r>
          </w:p>
        </w:tc>
      </w:tr>
      <w:tr>
        <w:trPr>
          <w:trHeight w:val="229"/>
        </w:trPr>
        <w:tc>
          <w:tcPr>
            <w:tcW w:w="9640" w:type="dxa"/>
            <w:vAlign w:val="bottom"/>
            <w:shd w:val="clear" w:color="auto" w:fill="E5E5E5"/>
          </w:tcPr>
          <w:p>
            <w:pPr>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59</w:t>
            </w:r>
          </w:p>
        </w:tc>
      </w:tr>
      <w:tr>
        <w:trPr>
          <w:trHeight w:val="243"/>
        </w:trPr>
        <w:tc>
          <w:tcPr>
            <w:tcW w:w="9640" w:type="dxa"/>
            <w:vAlign w:val="bottom"/>
          </w:tcPr>
          <w:p>
            <w:pPr>
              <w:spacing w:after="0"/>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15"/>
                <w:szCs w:val="15"/>
                <w:color w:val="auto"/>
              </w:rPr>
              <w:t>(b)</w:t>
            </w:r>
          </w:p>
        </w:tc>
        <w:tc>
          <w:tcPr>
            <w:tcW w:w="5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(1,971)</w:t>
            </w:r>
          </w:p>
        </w:tc>
      </w:tr>
      <w:tr>
        <w:trPr>
          <w:trHeight w:val="54"/>
        </w:trPr>
        <w:tc>
          <w:tcPr>
            <w:tcW w:w="96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61"/>
        </w:trPr>
        <w:tc>
          <w:tcPr>
            <w:tcW w:w="9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2"/>
        </w:trPr>
        <w:tc>
          <w:tcPr>
            <w:tcW w:w="9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5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18,761</w:t>
            </w:r>
          </w:p>
        </w:tc>
      </w:tr>
      <w:tr>
        <w:trPr>
          <w:trHeight w:val="74"/>
        </w:trPr>
        <w:tc>
          <w:tcPr>
            <w:tcW w:w="96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62" w:lineRule="exact"/>
        <w:rPr>
          <w:sz w:val="20"/>
          <w:szCs w:val="20"/>
          <w:color w:val="auto"/>
        </w:rPr>
      </w:pPr>
    </w:p>
    <w:p>
      <w:pPr>
        <w:ind w:left="540" w:hanging="532"/>
        <w:spacing w:after="0" w:line="24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Goodwill was assigned to our Intelligent Cloud segment and was primarily attributed to increased synergies that are expected to be achieved from the integration of Nuance. None of the goodwill is expected to be deductible for income tax purposes.</w:t>
      </w:r>
    </w:p>
    <w:p>
      <w:pPr>
        <w:spacing w:after="0" w:line="1" w:lineRule="exact"/>
        <w:rPr>
          <w:rFonts w:ascii="Arial" w:cs="Arial" w:eastAsia="Arial" w:hAnsi="Arial"/>
          <w:sz w:val="18"/>
          <w:szCs w:val="18"/>
          <w:color w:val="auto"/>
        </w:rPr>
      </w:pPr>
    </w:p>
    <w:p>
      <w:pPr>
        <w:jc w:val="both"/>
        <w:ind w:left="540" w:hanging="532"/>
        <w:spacing w:after="0" w:line="23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Includes $986 million of convertible senior notes issued by Nuance in 2015 and 2017, of which $985 million was redeemed prior to June 30, 2022. The remaining $1 million of notes are redeemable through their respective maturity dates and are included in other current liabilities on our consolidated balance sheets as of June 30, 2022.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7" w:name="page78"/>
    <w:bookmarkEnd w:id="7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40" w:type="dxa"/>
            <w:vAlign w:val="bottom"/>
            <w:gridSpan w:val="2"/>
          </w:tcPr>
          <w:p>
            <w:pPr>
              <w:jc w:val="center"/>
              <w:ind w:left="978"/>
              <w:spacing w:after="0"/>
              <w:rPr>
                <w:sz w:val="20"/>
                <w:szCs w:val="20"/>
                <w:color w:val="auto"/>
              </w:rPr>
            </w:pPr>
            <w:r>
              <w:rPr>
                <w:rFonts w:ascii="Arial" w:cs="Arial" w:eastAsia="Arial" w:hAnsi="Arial"/>
                <w:sz w:val="13"/>
                <w:szCs w:val="13"/>
                <w:b w:val="1"/>
                <w:bCs w:val="1"/>
                <w:color w:val="auto"/>
              </w:rPr>
              <w:t>Weighted</w:t>
            </w:r>
          </w:p>
        </w:tc>
      </w:tr>
      <w:tr>
        <w:trPr>
          <w:trHeight w:val="178"/>
        </w:trPr>
        <w:tc>
          <w:tcPr>
            <w:tcW w:w="7620" w:type="dxa"/>
            <w:vAlign w:val="bottom"/>
          </w:tcPr>
          <w:p>
            <w:pPr>
              <w:spacing w:after="0"/>
              <w:rPr>
                <w:sz w:val="20"/>
                <w:szCs w:val="20"/>
                <w:color w:val="auto"/>
              </w:rPr>
            </w:pPr>
            <w:r>
              <w:rPr>
                <w:rFonts w:ascii="Arial" w:cs="Arial" w:eastAsia="Arial" w:hAnsi="Arial"/>
                <w:sz w:val="13"/>
                <w:szCs w:val="13"/>
                <w:b w:val="1"/>
                <w:bCs w:val="1"/>
                <w:color w:val="auto"/>
              </w:rPr>
              <w:t>(In millions, except average life)</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140" w:type="dxa"/>
            <w:vAlign w:val="bottom"/>
            <w:gridSpan w:val="2"/>
          </w:tcPr>
          <w:p>
            <w:pPr>
              <w:ind w:left="1100"/>
              <w:spacing w:after="0"/>
              <w:rPr>
                <w:sz w:val="20"/>
                <w:szCs w:val="20"/>
                <w:color w:val="auto"/>
              </w:rPr>
            </w:pPr>
            <w:r>
              <w:rPr>
                <w:rFonts w:ascii="Arial" w:cs="Arial" w:eastAsia="Arial" w:hAnsi="Arial"/>
                <w:sz w:val="13"/>
                <w:szCs w:val="13"/>
                <w:b w:val="1"/>
                <w:bCs w:val="1"/>
                <w:color w:val="auto"/>
              </w:rPr>
              <w:t>Average Life</w:t>
            </w:r>
          </w:p>
        </w:tc>
      </w:tr>
      <w:tr>
        <w:trPr>
          <w:trHeight w:val="54"/>
        </w:trPr>
        <w:tc>
          <w:tcPr>
            <w:tcW w:w="76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61"/>
        </w:trPr>
        <w:tc>
          <w:tcPr>
            <w:tcW w:w="7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29"/>
        </w:trPr>
        <w:tc>
          <w:tcPr>
            <w:tcW w:w="7620" w:type="dxa"/>
            <w:vAlign w:val="bottom"/>
            <w:shd w:val="clear" w:color="auto" w:fill="E5E5E5"/>
          </w:tcPr>
          <w:p>
            <w:pPr>
              <w:spacing w:after="0"/>
              <w:rPr>
                <w:sz w:val="20"/>
                <w:szCs w:val="20"/>
                <w:color w:val="auto"/>
              </w:rPr>
            </w:pPr>
            <w:r>
              <w:rPr>
                <w:rFonts w:ascii="Arial" w:cs="Arial" w:eastAsia="Arial" w:hAnsi="Arial"/>
                <w:sz w:val="18"/>
                <w:szCs w:val="18"/>
                <w:color w:val="auto"/>
              </w:rPr>
              <w:t>Customer-related</w:t>
            </w:r>
          </w:p>
        </w:tc>
        <w:tc>
          <w:tcPr>
            <w:tcW w:w="520" w:type="dxa"/>
            <w:vAlign w:val="bottom"/>
            <w:shd w:val="clear" w:color="auto" w:fill="E5E5E5"/>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2,610</w:t>
            </w:r>
          </w:p>
        </w:tc>
        <w:tc>
          <w:tcPr>
            <w:tcW w:w="2140" w:type="dxa"/>
            <w:vAlign w:val="bottom"/>
            <w:gridSpan w:val="2"/>
            <w:shd w:val="clear" w:color="auto" w:fill="E5E5E5"/>
          </w:tcPr>
          <w:p>
            <w:pPr>
              <w:jc w:val="center"/>
              <w:ind w:left="1018"/>
              <w:spacing w:after="0"/>
              <w:rPr>
                <w:sz w:val="20"/>
                <w:szCs w:val="20"/>
                <w:color w:val="auto"/>
              </w:rPr>
            </w:pPr>
            <w:r>
              <w:rPr>
                <w:rFonts w:ascii="Arial" w:cs="Arial" w:eastAsia="Arial" w:hAnsi="Arial"/>
                <w:sz w:val="18"/>
                <w:szCs w:val="18"/>
                <w:color w:val="auto"/>
              </w:rPr>
              <w:t>9 years</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Technology-based</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1,540</w:t>
            </w:r>
          </w:p>
        </w:tc>
        <w:tc>
          <w:tcPr>
            <w:tcW w:w="2140" w:type="dxa"/>
            <w:vAlign w:val="bottom"/>
            <w:gridSpan w:val="2"/>
          </w:tcPr>
          <w:p>
            <w:pPr>
              <w:jc w:val="center"/>
              <w:ind w:left="1018"/>
              <w:spacing w:after="0"/>
              <w:rPr>
                <w:sz w:val="20"/>
                <w:szCs w:val="20"/>
                <w:color w:val="auto"/>
              </w:rPr>
            </w:pPr>
            <w:r>
              <w:rPr>
                <w:rFonts w:ascii="Arial" w:cs="Arial" w:eastAsia="Arial" w:hAnsi="Arial"/>
                <w:sz w:val="18"/>
                <w:szCs w:val="18"/>
                <w:color w:val="auto"/>
              </w:rPr>
              <w:t>5 years</w:t>
            </w:r>
          </w:p>
        </w:tc>
      </w:tr>
      <w:tr>
        <w:trPr>
          <w:trHeight w:val="229"/>
        </w:trPr>
        <w:tc>
          <w:tcPr>
            <w:tcW w:w="7620" w:type="dxa"/>
            <w:vAlign w:val="bottom"/>
            <w:shd w:val="clear" w:color="auto" w:fill="E5E5E5"/>
          </w:tcPr>
          <w:p>
            <w:pPr>
              <w:spacing w:after="0"/>
              <w:rPr>
                <w:sz w:val="20"/>
                <w:szCs w:val="20"/>
                <w:color w:val="auto"/>
              </w:rPr>
            </w:pPr>
            <w:r>
              <w:rPr>
                <w:rFonts w:ascii="Arial" w:cs="Arial" w:eastAsia="Arial" w:hAnsi="Arial"/>
                <w:sz w:val="18"/>
                <w:szCs w:val="18"/>
                <w:color w:val="auto"/>
              </w:rPr>
              <w:t>Marketing-related</w:t>
            </w:r>
          </w:p>
        </w:tc>
        <w:tc>
          <w:tcPr>
            <w:tcW w:w="52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215</w:t>
            </w:r>
          </w:p>
        </w:tc>
        <w:tc>
          <w:tcPr>
            <w:tcW w:w="2140" w:type="dxa"/>
            <w:vAlign w:val="bottom"/>
            <w:gridSpan w:val="2"/>
            <w:shd w:val="clear" w:color="auto" w:fill="E5E5E5"/>
          </w:tcPr>
          <w:p>
            <w:pPr>
              <w:jc w:val="center"/>
              <w:ind w:left="1018"/>
              <w:spacing w:after="0"/>
              <w:rPr>
                <w:sz w:val="20"/>
                <w:szCs w:val="20"/>
                <w:color w:val="auto"/>
              </w:rPr>
            </w:pPr>
            <w:r>
              <w:rPr>
                <w:rFonts w:ascii="Arial" w:cs="Arial" w:eastAsia="Arial" w:hAnsi="Arial"/>
                <w:sz w:val="18"/>
                <w:szCs w:val="18"/>
                <w:color w:val="auto"/>
              </w:rPr>
              <w:t>4 years</w:t>
            </w:r>
          </w:p>
        </w:tc>
      </w:tr>
      <w:tr>
        <w:trPr>
          <w:trHeight w:val="67"/>
        </w:trPr>
        <w:tc>
          <w:tcPr>
            <w:tcW w:w="76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9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63"/>
        </w:trPr>
        <w:tc>
          <w:tcPr>
            <w:tcW w:w="762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4,365</w:t>
            </w:r>
          </w:p>
        </w:tc>
        <w:tc>
          <w:tcPr>
            <w:tcW w:w="2140" w:type="dxa"/>
            <w:vAlign w:val="bottom"/>
            <w:gridSpan w:val="2"/>
          </w:tcPr>
          <w:p>
            <w:pPr>
              <w:jc w:val="center"/>
              <w:ind w:left="1018"/>
              <w:spacing w:after="0"/>
              <w:rPr>
                <w:sz w:val="20"/>
                <w:szCs w:val="20"/>
                <w:color w:val="auto"/>
              </w:rPr>
            </w:pPr>
            <w:r>
              <w:rPr>
                <w:rFonts w:ascii="Arial" w:cs="Arial" w:eastAsia="Arial" w:hAnsi="Arial"/>
                <w:sz w:val="18"/>
                <w:szCs w:val="18"/>
                <w:color w:val="auto"/>
              </w:rPr>
              <w:t>7 years</w:t>
            </w:r>
          </w:p>
        </w:tc>
      </w:tr>
      <w:tr>
        <w:trPr>
          <w:trHeight w:val="61"/>
        </w:trPr>
        <w:tc>
          <w:tcPr>
            <w:tcW w:w="76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920" w:type="dxa"/>
            <w:vAlign w:val="bottom"/>
          </w:tcPr>
          <w:p>
            <w:pPr>
              <w:spacing w:after="0"/>
              <w:rPr>
                <w:sz w:val="5"/>
                <w:szCs w:val="5"/>
                <w:color w:val="auto"/>
              </w:rPr>
            </w:pPr>
          </w:p>
        </w:tc>
        <w:tc>
          <w:tcPr>
            <w:tcW w:w="220" w:type="dxa"/>
            <w:vAlign w:val="bottom"/>
          </w:tcPr>
          <w:p>
            <w:pPr>
              <w:spacing w:after="0"/>
              <w:rPr>
                <w:sz w:val="5"/>
                <w:szCs w:val="5"/>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ZeniMax Media Inc.</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9, 2021, we completed our acquisition of ZeniMax Media Inc. (“ZeniMax”), the parent company of Bethesda Softworks LLC (“Bethesda”), for a total purchase price of $8.1 billion, consisting primarily of cash. The purchase price included $766 million of cash and cash equivalents acquired. Bethesda is one of the largest, privately held game developers and publishers in the world, and brings a broad portfolio of games, technology, and talent to Xbox. The financial results of ZeniMax have been included in our consolidated financial statements since the date of the acquisition. ZeniMax is reported as part of our More Personal Computing segment.</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allocation of the purchase price to goodwill was completed as of December 31, 2021. The major classes of assets and liabilities to which we have allocated the purchase price were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472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47230"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6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E5E5E5"/>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E5E5E5"/>
          </w:tcPr>
          <w:p>
            <w:pPr>
              <w:spacing w:after="0"/>
              <w:rPr>
                <w:sz w:val="18"/>
                <w:szCs w:val="18"/>
                <w:color w:val="auto"/>
              </w:rPr>
            </w:pPr>
          </w:p>
        </w:tc>
      </w:tr>
      <w:tr>
        <w:trPr>
          <w:trHeight w:val="202"/>
        </w:trPr>
        <w:tc>
          <w:tcPr>
            <w:tcW w:w="96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5,510</w:t>
            </w:r>
          </w:p>
        </w:tc>
        <w:tc>
          <w:tcPr>
            <w:tcW w:w="140" w:type="dxa"/>
            <w:vAlign w:val="bottom"/>
          </w:tcPr>
          <w:p>
            <w:pPr>
              <w:spacing w:after="0"/>
              <w:rPr>
                <w:sz w:val="17"/>
                <w:szCs w:val="17"/>
                <w:color w:val="auto"/>
              </w:rPr>
            </w:pPr>
          </w:p>
        </w:tc>
      </w:tr>
      <w:tr>
        <w:trPr>
          <w:trHeight w:val="229"/>
        </w:trPr>
        <w:tc>
          <w:tcPr>
            <w:tcW w:w="966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1,968</w:t>
            </w:r>
          </w:p>
        </w:tc>
        <w:tc>
          <w:tcPr>
            <w:tcW w:w="140" w:type="dxa"/>
            <w:vAlign w:val="bottom"/>
            <w:shd w:val="clear" w:color="auto" w:fill="E5E5E5"/>
          </w:tcPr>
          <w:p>
            <w:pPr>
              <w:spacing w:after="0"/>
              <w:rPr>
                <w:sz w:val="19"/>
                <w:szCs w:val="19"/>
                <w:color w:val="auto"/>
              </w:rPr>
            </w:pPr>
          </w:p>
        </w:tc>
      </w:tr>
      <w:tr>
        <w:trPr>
          <w:trHeight w:val="229"/>
        </w:trPr>
        <w:tc>
          <w:tcPr>
            <w:tcW w:w="966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r>
      <w:tr>
        <w:trPr>
          <w:trHeight w:val="202"/>
        </w:trPr>
        <w:tc>
          <w:tcPr>
            <w:tcW w:w="9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liabilities</w:t>
            </w:r>
          </w:p>
        </w:tc>
        <w:tc>
          <w:tcPr>
            <w:tcW w:w="54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(244)</w:t>
            </w:r>
          </w:p>
        </w:tc>
      </w:tr>
      <w:tr>
        <w:trPr>
          <w:trHeight w:val="67"/>
        </w:trPr>
        <w:tc>
          <w:tcPr>
            <w:tcW w:w="96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276"/>
        </w:trPr>
        <w:tc>
          <w:tcPr>
            <w:tcW w:w="9660" w:type="dxa"/>
            <w:vAlign w:val="bottom"/>
          </w:tcPr>
          <w:p>
            <w:pPr>
              <w:ind w:left="22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8,121</w:t>
            </w:r>
          </w:p>
        </w:tc>
        <w:tc>
          <w:tcPr>
            <w:tcW w:w="140" w:type="dxa"/>
            <w:vAlign w:val="bottom"/>
          </w:tcPr>
          <w:p>
            <w:pPr>
              <w:spacing w:after="0"/>
              <w:rPr>
                <w:sz w:val="24"/>
                <w:szCs w:val="24"/>
                <w:color w:val="auto"/>
              </w:rPr>
            </w:pPr>
          </w:p>
        </w:tc>
      </w:tr>
      <w:tr>
        <w:trPr>
          <w:trHeight w:val="61"/>
        </w:trPr>
        <w:tc>
          <w:tcPr>
            <w:tcW w:w="966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bl>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ZeniMax. None of the goodwill is expected to be deductible for income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details of the purchase price allocated to the intangible assets acquired: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Weighted</w:t>
            </w:r>
          </w:p>
        </w:tc>
      </w:tr>
      <w:tr>
        <w:trPr>
          <w:trHeight w:val="178"/>
        </w:trPr>
        <w:tc>
          <w:tcPr>
            <w:tcW w:w="4840" w:type="dxa"/>
            <w:vAlign w:val="bottom"/>
          </w:tcPr>
          <w:p>
            <w:pPr>
              <w:spacing w:after="0"/>
              <w:rPr>
                <w:sz w:val="20"/>
                <w:szCs w:val="20"/>
                <w:color w:val="auto"/>
              </w:rPr>
            </w:pPr>
            <w:r>
              <w:rPr>
                <w:rFonts w:ascii="Arial" w:cs="Arial" w:eastAsia="Arial" w:hAnsi="Arial"/>
                <w:sz w:val="13"/>
                <w:szCs w:val="13"/>
                <w:b w:val="1"/>
                <w:bCs w:val="1"/>
                <w:color w:val="auto"/>
              </w:rPr>
              <w:t>(In millions, except average life)</w:t>
            </w:r>
          </w:p>
        </w:tc>
        <w:tc>
          <w:tcPr>
            <w:tcW w:w="2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gridSpan w:val="2"/>
          </w:tcPr>
          <w:p>
            <w:pPr>
              <w:ind w:left="440"/>
              <w:spacing w:after="0"/>
              <w:rPr>
                <w:sz w:val="20"/>
                <w:szCs w:val="20"/>
                <w:color w:val="auto"/>
              </w:rPr>
            </w:pPr>
            <w:r>
              <w:rPr>
                <w:rFonts w:ascii="Arial" w:cs="Arial" w:eastAsia="Arial" w:hAnsi="Arial"/>
                <w:sz w:val="13"/>
                <w:szCs w:val="13"/>
                <w:b w:val="1"/>
                <w:bCs w:val="1"/>
                <w:color w:val="auto"/>
              </w:rPr>
              <w:t>Amount</w:t>
            </w:r>
          </w:p>
        </w:tc>
        <w:tc>
          <w:tcPr>
            <w:tcW w:w="1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Average Life</w:t>
            </w:r>
          </w:p>
        </w:tc>
      </w:tr>
      <w:tr>
        <w:trPr>
          <w:trHeight w:val="54"/>
        </w:trPr>
        <w:tc>
          <w:tcPr>
            <w:tcW w:w="48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61"/>
        </w:trPr>
        <w:tc>
          <w:tcPr>
            <w:tcW w:w="48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29"/>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Technology-based</w:t>
            </w:r>
          </w:p>
        </w:tc>
        <w:tc>
          <w:tcPr>
            <w:tcW w:w="3320" w:type="dxa"/>
            <w:vAlign w:val="bottom"/>
            <w:gridSpan w:val="2"/>
            <w:shd w:val="clear" w:color="auto" w:fill="E5E5E5"/>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jc w:val="right"/>
              <w:ind w:right="540"/>
              <w:spacing w:after="0"/>
              <w:rPr>
                <w:sz w:val="20"/>
                <w:szCs w:val="20"/>
                <w:color w:val="auto"/>
              </w:rPr>
            </w:pPr>
            <w:r>
              <w:rPr>
                <w:rFonts w:ascii="Arial" w:cs="Arial" w:eastAsia="Arial" w:hAnsi="Arial"/>
                <w:sz w:val="18"/>
                <w:szCs w:val="18"/>
                <w:color w:val="auto"/>
              </w:rPr>
              <w:t>1,341</w:t>
            </w:r>
          </w:p>
        </w:tc>
        <w:tc>
          <w:tcPr>
            <w:tcW w:w="15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4 years</w:t>
            </w: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Marketing-related</w:t>
            </w:r>
          </w:p>
        </w:tc>
        <w:tc>
          <w:tcPr>
            <w:tcW w:w="2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627</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 years</w:t>
            </w:r>
          </w:p>
        </w:tc>
      </w:tr>
      <w:tr>
        <w:trPr>
          <w:trHeight w:val="54"/>
        </w:trPr>
        <w:tc>
          <w:tcPr>
            <w:tcW w:w="48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61"/>
        </w:trPr>
        <w:tc>
          <w:tcPr>
            <w:tcW w:w="48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48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color w:val="auto"/>
              </w:rPr>
              <w:t>1,968</w:t>
            </w:r>
          </w:p>
        </w:tc>
        <w:tc>
          <w:tcPr>
            <w:tcW w:w="15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 years</w:t>
            </w:r>
          </w:p>
        </w:tc>
      </w:tr>
      <w:tr>
        <w:trPr>
          <w:trHeight w:val="74"/>
        </w:trPr>
        <w:tc>
          <w:tcPr>
            <w:tcW w:w="48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Activision Blizzard is a leader in game development and an interactive entertainment content publisher. The acquisition will accelerate the growth in our gaming business across mobile, PC, console, and cloud and will provide building blocks for the metaverse. The acquisition has been approved by Activision Blizzard’s shareholders, and we expect it to close in fiscal year 2023, subject to the satisfaction of certain regulatory approvals and other customary closing conditions.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8" w:name="page79"/>
    <w:bookmarkEnd w:id="7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7"/>
          <w:szCs w:val="17"/>
          <w:u w:val="single" w:color="auto"/>
          <w:color w:val="auto"/>
        </w:rPr>
        <w:t>NOTE 9 — GOODWILL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ectPr>
          <w:pgSz w:w="11900" w:h="16838" w:orient="portrait"/>
          <w:cols w:equalWidth="0" w:num="1">
            <w:col w:w="11300"/>
          </w:cols>
          <w:pgMar w:left="320" w:top="137" w:right="27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June 30,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52705</wp:posOffset>
            </wp:positionV>
            <wp:extent cx="71329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June 30,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ind w:right="60"/>
        <w:spacing w:after="0"/>
        <w:rPr>
          <w:sz w:val="20"/>
          <w:szCs w:val="20"/>
          <w:color w:val="auto"/>
        </w:rPr>
      </w:pPr>
      <w:r>
        <w:rPr>
          <w:rFonts w:ascii="Arial" w:cs="Arial" w:eastAsia="Arial" w:hAnsi="Arial"/>
          <w:sz w:val="13"/>
          <w:szCs w:val="13"/>
          <w:b w:val="1"/>
          <w:bCs w:val="1"/>
          <w:color w:val="auto"/>
        </w:rPr>
        <w:t>June 30,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3"/>
          <w:szCs w:val="13"/>
          <w:b w:val="1"/>
          <w:bCs w:val="1"/>
          <w:color w:val="auto"/>
        </w:rPr>
        <w:t>2022</w:t>
      </w:r>
    </w:p>
    <w:p>
      <w:pPr>
        <w:spacing w:after="0" w:line="115" w:lineRule="exact"/>
        <w:rPr>
          <w:sz w:val="20"/>
          <w:szCs w:val="20"/>
          <w:color w:val="auto"/>
        </w:rPr>
      </w:pPr>
    </w:p>
    <w:p>
      <w:pPr>
        <w:sectPr>
          <w:pgSz w:w="11900" w:h="16838" w:orient="portrait"/>
          <w:cols w:equalWidth="0" w:num="8">
            <w:col w:w="2120" w:space="720"/>
            <w:col w:w="540" w:space="540"/>
            <w:col w:w="1080" w:space="720"/>
            <w:col w:w="380" w:space="720"/>
            <w:col w:w="540" w:space="520"/>
            <w:col w:w="1000" w:space="720"/>
            <w:col w:w="380" w:space="720"/>
            <w:col w:w="600"/>
          </w:cols>
          <w:pgMar w:left="320" w:top="137" w:right="2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200" w:type="dxa"/>
            <w:vAlign w:val="bottom"/>
            <w:shd w:val="clear" w:color="auto" w:fill="E5E5E5"/>
          </w:tcPr>
          <w:p>
            <w:pPr>
              <w:spacing w:after="0"/>
              <w:rPr>
                <w:sz w:val="20"/>
                <w:szCs w:val="20"/>
                <w:color w:val="auto"/>
              </w:rPr>
            </w:pPr>
            <w:r>
              <w:rPr>
                <w:rFonts w:ascii="Arial" w:cs="Arial" w:eastAsia="Arial" w:hAnsi="Arial"/>
                <w:sz w:val="18"/>
                <w:szCs w:val="18"/>
                <w:color w:val="auto"/>
              </w:rPr>
              <w:t>Productivity and Business</w:t>
            </w:r>
          </w:p>
        </w:tc>
        <w:tc>
          <w:tcPr>
            <w:tcW w:w="4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24,317</w:t>
            </w:r>
          </w:p>
        </w:tc>
        <w:tc>
          <w:tcPr>
            <w:tcW w:w="46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599</w:t>
            </w:r>
          </w:p>
        </w:tc>
        <w:tc>
          <w:tcPr>
            <w:tcW w:w="620" w:type="dxa"/>
            <w:vAlign w:val="bottom"/>
            <w:gridSpan w:val="2"/>
            <w:vMerge w:val="restart"/>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(105)</w:t>
            </w:r>
          </w:p>
        </w:tc>
        <w:tc>
          <w:tcPr>
            <w:tcW w:w="52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24,811</w:t>
            </w:r>
          </w:p>
        </w:tc>
        <w:tc>
          <w:tcPr>
            <w:tcW w:w="0" w:type="dxa"/>
            <w:vAlign w:val="bottom"/>
          </w:tcPr>
          <w:p>
            <w:pPr>
              <w:spacing w:after="0"/>
              <w:rPr>
                <w:sz w:val="1"/>
                <w:szCs w:val="1"/>
                <w:color w:val="auto"/>
              </w:rPr>
            </w:pPr>
          </w:p>
        </w:tc>
      </w:tr>
      <w:tr>
        <w:trPr>
          <w:trHeight w:val="167"/>
        </w:trPr>
        <w:tc>
          <w:tcPr>
            <w:tcW w:w="2200" w:type="dxa"/>
            <w:vAlign w:val="bottom"/>
            <w:shd w:val="clear" w:color="auto" w:fill="E5E5E5"/>
          </w:tcPr>
          <w:p>
            <w:pPr>
              <w:ind w:left="220"/>
              <w:spacing w:after="0" w:line="167" w:lineRule="exact"/>
              <w:rPr>
                <w:sz w:val="20"/>
                <w:szCs w:val="20"/>
                <w:color w:val="auto"/>
              </w:rPr>
            </w:pPr>
            <w:r>
              <w:rPr>
                <w:rFonts w:ascii="Arial" w:cs="Arial" w:eastAsia="Arial" w:hAnsi="Arial"/>
                <w:sz w:val="18"/>
                <w:szCs w:val="18"/>
                <w:color w:val="auto"/>
              </w:rPr>
              <w:t>Processes</w:t>
            </w:r>
          </w:p>
        </w:tc>
        <w:tc>
          <w:tcPr>
            <w:tcW w:w="440" w:type="dxa"/>
            <w:vAlign w:val="bottom"/>
            <w:shd w:val="clear" w:color="auto" w:fill="E5E5E5"/>
          </w:tcPr>
          <w:p>
            <w:pPr>
              <w:jc w:val="right"/>
              <w:ind w:right="110"/>
              <w:spacing w:after="0" w:line="167"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20"/>
              <w:spacing w:after="0" w:line="167" w:lineRule="exact"/>
              <w:rPr>
                <w:sz w:val="20"/>
                <w:szCs w:val="20"/>
                <w:color w:val="auto"/>
              </w:rPr>
            </w:pPr>
            <w:r>
              <w:rPr>
                <w:rFonts w:ascii="Arial" w:cs="Arial" w:eastAsia="Arial" w:hAnsi="Arial"/>
                <w:sz w:val="18"/>
                <w:szCs w:val="18"/>
                <w:color w:val="auto"/>
              </w:rPr>
              <w:t>24,190</w:t>
            </w:r>
          </w:p>
        </w:tc>
        <w:tc>
          <w:tcPr>
            <w:tcW w:w="500" w:type="dxa"/>
            <w:vAlign w:val="bottom"/>
            <w:gridSpan w:val="2"/>
            <w:shd w:val="clear" w:color="auto" w:fill="E5E5E5"/>
          </w:tcPr>
          <w:p>
            <w:pPr>
              <w:jc w:val="right"/>
              <w:ind w:right="280"/>
              <w:spacing w:after="0" w:line="167"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240"/>
              <w:spacing w:after="0" w:line="167" w:lineRule="exact"/>
              <w:rPr>
                <w:sz w:val="20"/>
                <w:szCs w:val="20"/>
                <w:color w:val="auto"/>
              </w:rPr>
            </w:pPr>
            <w:r>
              <w:rPr>
                <w:rFonts w:ascii="Arial" w:cs="Arial" w:eastAsia="Arial" w:hAnsi="Arial"/>
                <w:sz w:val="18"/>
                <w:szCs w:val="18"/>
                <w:color w:val="auto"/>
              </w:rPr>
              <w:t>0</w:t>
            </w:r>
          </w:p>
        </w:tc>
        <w:tc>
          <w:tcPr>
            <w:tcW w:w="460" w:type="dxa"/>
            <w:vAlign w:val="bottom"/>
            <w:gridSpan w:val="2"/>
            <w:shd w:val="clear" w:color="auto" w:fill="E5E5E5"/>
          </w:tcPr>
          <w:p>
            <w:pPr>
              <w:jc w:val="right"/>
              <w:ind w:right="300"/>
              <w:spacing w:after="0" w:line="167"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220"/>
              <w:spacing w:after="0" w:line="167" w:lineRule="exact"/>
              <w:rPr>
                <w:sz w:val="20"/>
                <w:szCs w:val="20"/>
                <w:color w:val="auto"/>
              </w:rPr>
            </w:pPr>
            <w:r>
              <w:rPr>
                <w:rFonts w:ascii="Arial" w:cs="Arial" w:eastAsia="Arial" w:hAnsi="Arial"/>
                <w:sz w:val="18"/>
                <w:szCs w:val="18"/>
                <w:color w:val="auto"/>
              </w:rPr>
              <w:t>127</w:t>
            </w:r>
          </w:p>
        </w:tc>
        <w:tc>
          <w:tcPr>
            <w:tcW w:w="340" w:type="dxa"/>
            <w:vAlign w:val="bottom"/>
            <w:gridSpan w:val="2"/>
            <w:vMerge w:val="continue"/>
            <w:shd w:val="clear" w:color="auto" w:fill="E5E5E5"/>
          </w:tcPr>
          <w:p>
            <w:pPr>
              <w:spacing w:after="0"/>
              <w:rPr>
                <w:sz w:val="14"/>
                <w:szCs w:val="14"/>
                <w:color w:val="auto"/>
              </w:rPr>
            </w:pPr>
          </w:p>
        </w:tc>
        <w:tc>
          <w:tcPr>
            <w:tcW w:w="820" w:type="dxa"/>
            <w:vAlign w:val="bottom"/>
            <w:gridSpan w:val="2"/>
            <w:vMerge w:val="continue"/>
            <w:shd w:val="clear" w:color="auto" w:fill="E5E5E5"/>
          </w:tcPr>
          <w:p>
            <w:pPr>
              <w:spacing w:after="0"/>
              <w:rPr>
                <w:sz w:val="14"/>
                <w:szCs w:val="14"/>
                <w:color w:val="auto"/>
              </w:rPr>
            </w:pPr>
          </w:p>
        </w:tc>
        <w:tc>
          <w:tcPr>
            <w:tcW w:w="460" w:type="dxa"/>
            <w:vAlign w:val="bottom"/>
            <w:gridSpan w:val="2"/>
            <w:vMerge w:val="continue"/>
            <w:shd w:val="clear" w:color="auto" w:fill="E5E5E5"/>
          </w:tcPr>
          <w:p>
            <w:pPr>
              <w:spacing w:after="0"/>
              <w:rPr>
                <w:sz w:val="14"/>
                <w:szCs w:val="14"/>
                <w:color w:val="auto"/>
              </w:rPr>
            </w:pPr>
          </w:p>
        </w:tc>
        <w:tc>
          <w:tcPr>
            <w:tcW w:w="780" w:type="dxa"/>
            <w:vAlign w:val="bottom"/>
            <w:vMerge w:val="continue"/>
            <w:shd w:val="clear" w:color="auto" w:fill="E5E5E5"/>
          </w:tcPr>
          <w:p>
            <w:pPr>
              <w:spacing w:after="0"/>
              <w:rPr>
                <w:sz w:val="14"/>
                <w:szCs w:val="14"/>
                <w:color w:val="auto"/>
              </w:rPr>
            </w:pPr>
          </w:p>
        </w:tc>
        <w:tc>
          <w:tcPr>
            <w:tcW w:w="620" w:type="dxa"/>
            <w:vAlign w:val="bottom"/>
            <w:gridSpan w:val="2"/>
            <w:vMerge w:val="continue"/>
            <w:shd w:val="clear" w:color="auto" w:fill="E5E5E5"/>
          </w:tcPr>
          <w:p>
            <w:pPr>
              <w:spacing w:after="0"/>
              <w:rPr>
                <w:sz w:val="14"/>
                <w:szCs w:val="14"/>
                <w:color w:val="auto"/>
              </w:rPr>
            </w:pPr>
          </w:p>
        </w:tc>
        <w:tc>
          <w:tcPr>
            <w:tcW w:w="720" w:type="dxa"/>
            <w:vAlign w:val="bottom"/>
            <w:gridSpan w:val="2"/>
            <w:vMerge w:val="continue"/>
            <w:shd w:val="clear" w:color="auto" w:fill="E5E5E5"/>
          </w:tcPr>
          <w:p>
            <w:pPr>
              <w:spacing w:after="0"/>
              <w:rPr>
                <w:sz w:val="14"/>
                <w:szCs w:val="14"/>
                <w:color w:val="auto"/>
              </w:rPr>
            </w:pPr>
          </w:p>
        </w:tc>
        <w:tc>
          <w:tcPr>
            <w:tcW w:w="520" w:type="dxa"/>
            <w:vAlign w:val="bottom"/>
            <w:gridSpan w:val="2"/>
            <w:vMerge w:val="continue"/>
            <w:shd w:val="clear" w:color="auto" w:fill="E5E5E5"/>
          </w:tcPr>
          <w:p>
            <w:pPr>
              <w:spacing w:after="0"/>
              <w:rPr>
                <w:sz w:val="14"/>
                <w:szCs w:val="14"/>
                <w:color w:val="auto"/>
              </w:rPr>
            </w:pPr>
          </w:p>
        </w:tc>
        <w:tc>
          <w:tcPr>
            <w:tcW w:w="740" w:type="dxa"/>
            <w:vAlign w:val="bottom"/>
            <w:gridSpan w:val="2"/>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200" w:type="dxa"/>
            <w:vAlign w:val="bottom"/>
            <w:shd w:val="clear" w:color="auto" w:fill="E5E5E5"/>
          </w:tcPr>
          <w:p>
            <w:pPr>
              <w:spacing w:after="0" w:line="37" w:lineRule="exact"/>
              <w:rPr>
                <w:sz w:val="20"/>
                <w:szCs w:val="20"/>
                <w:color w:val="auto"/>
              </w:rPr>
            </w:pPr>
            <w:r>
              <w:rPr>
                <w:rFonts w:ascii="Arial" w:cs="Arial" w:eastAsia="Arial" w:hAnsi="Arial"/>
                <w:sz w:val="4"/>
                <w:szCs w:val="4"/>
                <w:color w:val="auto"/>
              </w:rPr>
              <w:t>Intelligent Cloud</w:t>
            </w:r>
          </w:p>
        </w:tc>
        <w:tc>
          <w:tcPr>
            <w:tcW w:w="440" w:type="dxa"/>
            <w:vAlign w:val="bottom"/>
            <w:shd w:val="clear" w:color="auto" w:fill="E5E5E5"/>
          </w:tcPr>
          <w:p>
            <w:pPr>
              <w:spacing w:after="0"/>
              <w:rPr>
                <w:sz w:val="3"/>
                <w:szCs w:val="3"/>
                <w:color w:val="auto"/>
              </w:rPr>
            </w:pPr>
          </w:p>
        </w:tc>
        <w:tc>
          <w:tcPr>
            <w:tcW w:w="860" w:type="dxa"/>
            <w:vAlign w:val="bottom"/>
            <w:gridSpan w:val="2"/>
            <w:shd w:val="clear" w:color="auto" w:fill="E5E5E5"/>
          </w:tcPr>
          <w:p>
            <w:pPr>
              <w:jc w:val="right"/>
              <w:ind w:right="120"/>
              <w:spacing w:after="0" w:line="37" w:lineRule="exact"/>
              <w:rPr>
                <w:sz w:val="20"/>
                <w:szCs w:val="20"/>
                <w:color w:val="auto"/>
              </w:rPr>
            </w:pPr>
            <w:r>
              <w:rPr>
                <w:rFonts w:ascii="Arial" w:cs="Arial" w:eastAsia="Arial" w:hAnsi="Arial"/>
                <w:sz w:val="4"/>
                <w:szCs w:val="4"/>
                <w:color w:val="auto"/>
              </w:rPr>
              <w:t>12,697</w:t>
            </w:r>
          </w:p>
        </w:tc>
        <w:tc>
          <w:tcPr>
            <w:tcW w:w="120" w:type="dxa"/>
            <w:vAlign w:val="bottom"/>
            <w:shd w:val="clear" w:color="auto" w:fill="E5E5E5"/>
          </w:tcPr>
          <w:p>
            <w:pPr>
              <w:spacing w:after="0"/>
              <w:rPr>
                <w:sz w:val="3"/>
                <w:szCs w:val="3"/>
                <w:color w:val="auto"/>
              </w:rPr>
            </w:pPr>
          </w:p>
        </w:tc>
        <w:tc>
          <w:tcPr>
            <w:tcW w:w="380" w:type="dxa"/>
            <w:vAlign w:val="bottom"/>
            <w:shd w:val="clear" w:color="auto" w:fill="E5E5E5"/>
          </w:tcPr>
          <w:p>
            <w:pPr>
              <w:spacing w:after="0"/>
              <w:rPr>
                <w:sz w:val="3"/>
                <w:szCs w:val="3"/>
                <w:color w:val="auto"/>
              </w:rPr>
            </w:pPr>
          </w:p>
        </w:tc>
        <w:tc>
          <w:tcPr>
            <w:tcW w:w="980" w:type="dxa"/>
            <w:vAlign w:val="bottom"/>
            <w:gridSpan w:val="2"/>
            <w:shd w:val="clear" w:color="auto" w:fill="E5E5E5"/>
          </w:tcPr>
          <w:p>
            <w:pPr>
              <w:jc w:val="right"/>
              <w:ind w:right="240"/>
              <w:spacing w:after="0" w:line="37" w:lineRule="exact"/>
              <w:rPr>
                <w:sz w:val="20"/>
                <w:szCs w:val="20"/>
                <w:color w:val="auto"/>
              </w:rPr>
            </w:pPr>
            <w:r>
              <w:rPr>
                <w:rFonts w:ascii="Arial" w:cs="Arial" w:eastAsia="Arial" w:hAnsi="Arial"/>
                <w:sz w:val="4"/>
                <w:szCs w:val="4"/>
                <w:color w:val="auto"/>
              </w:rPr>
              <w:t>505</w:t>
            </w:r>
          </w:p>
        </w:tc>
        <w:tc>
          <w:tcPr>
            <w:tcW w:w="60" w:type="dxa"/>
            <w:vAlign w:val="bottom"/>
            <w:shd w:val="clear" w:color="auto" w:fill="E5E5E5"/>
          </w:tcPr>
          <w:p>
            <w:pPr>
              <w:spacing w:after="0"/>
              <w:rPr>
                <w:sz w:val="3"/>
                <w:szCs w:val="3"/>
                <w:color w:val="auto"/>
              </w:rPr>
            </w:pPr>
          </w:p>
        </w:tc>
        <w:tc>
          <w:tcPr>
            <w:tcW w:w="400" w:type="dxa"/>
            <w:vAlign w:val="bottom"/>
            <w:shd w:val="clear" w:color="auto" w:fill="E5E5E5"/>
          </w:tcPr>
          <w:p>
            <w:pPr>
              <w:spacing w:after="0"/>
              <w:rPr>
                <w:sz w:val="3"/>
                <w:szCs w:val="3"/>
                <w:color w:val="auto"/>
              </w:rPr>
            </w:pPr>
          </w:p>
        </w:tc>
        <w:tc>
          <w:tcPr>
            <w:tcW w:w="860" w:type="dxa"/>
            <w:vAlign w:val="bottom"/>
            <w:gridSpan w:val="2"/>
            <w:shd w:val="clear" w:color="auto" w:fill="E5E5E5"/>
          </w:tcPr>
          <w:p>
            <w:pPr>
              <w:jc w:val="right"/>
              <w:ind w:right="220"/>
              <w:spacing w:after="0" w:line="37" w:lineRule="exact"/>
              <w:rPr>
                <w:sz w:val="20"/>
                <w:szCs w:val="20"/>
                <w:color w:val="auto"/>
              </w:rPr>
            </w:pPr>
            <w:r>
              <w:rPr>
                <w:rFonts w:ascii="Arial" w:cs="Arial" w:eastAsia="Arial" w:hAnsi="Arial"/>
                <w:sz w:val="4"/>
                <w:szCs w:val="4"/>
                <w:color w:val="auto"/>
              </w:rPr>
              <w:t>54</w:t>
            </w:r>
          </w:p>
        </w:tc>
        <w:tc>
          <w:tcPr>
            <w:tcW w:w="60" w:type="dxa"/>
            <w:vAlign w:val="bottom"/>
            <w:shd w:val="clear" w:color="auto" w:fill="E5E5E5"/>
          </w:tcPr>
          <w:p>
            <w:pPr>
              <w:spacing w:after="0"/>
              <w:rPr>
                <w:sz w:val="3"/>
                <w:szCs w:val="3"/>
                <w:color w:val="auto"/>
              </w:rPr>
            </w:pPr>
          </w:p>
        </w:tc>
        <w:tc>
          <w:tcPr>
            <w:tcW w:w="280" w:type="dxa"/>
            <w:vAlign w:val="bottom"/>
            <w:shd w:val="clear" w:color="auto" w:fill="E5E5E5"/>
          </w:tcPr>
          <w:p>
            <w:pPr>
              <w:spacing w:after="0"/>
              <w:rPr>
                <w:sz w:val="3"/>
                <w:szCs w:val="3"/>
                <w:color w:val="auto"/>
              </w:rPr>
            </w:pPr>
          </w:p>
        </w:tc>
        <w:tc>
          <w:tcPr>
            <w:tcW w:w="820" w:type="dxa"/>
            <w:vAlign w:val="bottom"/>
            <w:gridSpan w:val="2"/>
            <w:shd w:val="clear" w:color="auto" w:fill="E5E5E5"/>
          </w:tcPr>
          <w:p>
            <w:pPr>
              <w:jc w:val="right"/>
              <w:ind w:right="100"/>
              <w:spacing w:after="0" w:line="37" w:lineRule="exact"/>
              <w:rPr>
                <w:sz w:val="20"/>
                <w:szCs w:val="20"/>
                <w:color w:val="auto"/>
              </w:rPr>
            </w:pPr>
            <w:r>
              <w:rPr>
                <w:rFonts w:ascii="Arial" w:cs="Arial" w:eastAsia="Arial" w:hAnsi="Arial"/>
                <w:sz w:val="4"/>
                <w:szCs w:val="4"/>
                <w:b w:val="1"/>
                <w:bCs w:val="1"/>
                <w:color w:val="auto"/>
              </w:rPr>
              <w:t>13,256</w:t>
            </w:r>
          </w:p>
        </w:tc>
        <w:tc>
          <w:tcPr>
            <w:tcW w:w="120" w:type="dxa"/>
            <w:vAlign w:val="bottom"/>
            <w:shd w:val="clear" w:color="auto" w:fill="E5E5E5"/>
          </w:tcPr>
          <w:p>
            <w:pPr>
              <w:spacing w:after="0"/>
              <w:rPr>
                <w:sz w:val="3"/>
                <w:szCs w:val="3"/>
                <w:color w:val="auto"/>
              </w:rPr>
            </w:pPr>
          </w:p>
        </w:tc>
        <w:tc>
          <w:tcPr>
            <w:tcW w:w="340" w:type="dxa"/>
            <w:vAlign w:val="bottom"/>
            <w:shd w:val="clear" w:color="auto" w:fill="E5E5E5"/>
          </w:tcPr>
          <w:p>
            <w:pPr>
              <w:spacing w:after="0"/>
              <w:rPr>
                <w:sz w:val="3"/>
                <w:szCs w:val="3"/>
                <w:color w:val="auto"/>
              </w:rPr>
            </w:pPr>
          </w:p>
        </w:tc>
        <w:tc>
          <w:tcPr>
            <w:tcW w:w="780" w:type="dxa"/>
            <w:vAlign w:val="bottom"/>
            <w:shd w:val="clear" w:color="auto" w:fill="E5E5E5"/>
          </w:tcPr>
          <w:p>
            <w:pPr>
              <w:jc w:val="right"/>
              <w:spacing w:after="0" w:line="37" w:lineRule="exact"/>
              <w:rPr>
                <w:sz w:val="20"/>
                <w:szCs w:val="20"/>
                <w:color w:val="auto"/>
              </w:rPr>
            </w:pPr>
            <w:r>
              <w:rPr>
                <w:rFonts w:ascii="Arial" w:cs="Arial" w:eastAsia="Arial" w:hAnsi="Arial"/>
                <w:sz w:val="4"/>
                <w:szCs w:val="4"/>
                <w:b w:val="1"/>
                <w:bCs w:val="1"/>
                <w:color w:val="auto"/>
              </w:rPr>
              <w:t>16,879</w:t>
            </w:r>
          </w:p>
        </w:tc>
        <w:tc>
          <w:tcPr>
            <w:tcW w:w="260" w:type="dxa"/>
            <w:vAlign w:val="bottom"/>
            <w:shd w:val="clear" w:color="auto" w:fill="E5E5E5"/>
          </w:tcPr>
          <w:p>
            <w:pPr>
              <w:spacing w:after="0"/>
              <w:rPr>
                <w:sz w:val="3"/>
                <w:szCs w:val="3"/>
                <w:color w:val="auto"/>
              </w:rPr>
            </w:pPr>
          </w:p>
        </w:tc>
        <w:tc>
          <w:tcPr>
            <w:tcW w:w="360" w:type="dxa"/>
            <w:vAlign w:val="bottom"/>
            <w:shd w:val="clear" w:color="auto" w:fill="E5E5E5"/>
          </w:tcPr>
          <w:p>
            <w:pPr>
              <w:spacing w:after="0"/>
              <w:rPr>
                <w:sz w:val="3"/>
                <w:szCs w:val="3"/>
                <w:color w:val="auto"/>
              </w:rPr>
            </w:pPr>
          </w:p>
        </w:tc>
        <w:tc>
          <w:tcPr>
            <w:tcW w:w="720" w:type="dxa"/>
            <w:vAlign w:val="bottom"/>
            <w:gridSpan w:val="2"/>
            <w:shd w:val="clear" w:color="auto" w:fill="E5E5E5"/>
          </w:tcPr>
          <w:p>
            <w:pPr>
              <w:jc w:val="right"/>
              <w:ind w:right="80"/>
              <w:spacing w:after="0" w:line="37" w:lineRule="exact"/>
              <w:rPr>
                <w:sz w:val="20"/>
                <w:szCs w:val="20"/>
                <w:color w:val="auto"/>
              </w:rPr>
            </w:pPr>
            <w:r>
              <w:rPr>
                <w:rFonts w:ascii="Arial" w:cs="Arial" w:eastAsia="Arial" w:hAnsi="Arial"/>
                <w:sz w:val="4"/>
                <w:szCs w:val="4"/>
                <w:b w:val="1"/>
                <w:bCs w:val="1"/>
                <w:color w:val="auto"/>
              </w:rPr>
              <w:t>47</w:t>
            </w:r>
          </w:p>
        </w:tc>
        <w:tc>
          <w:tcPr>
            <w:tcW w:w="300" w:type="dxa"/>
            <w:vAlign w:val="bottom"/>
            <w:shd w:val="clear" w:color="auto" w:fill="E5E5E5"/>
          </w:tcPr>
          <w:p>
            <w:pPr>
              <w:spacing w:after="0"/>
              <w:rPr>
                <w:sz w:val="3"/>
                <w:szCs w:val="3"/>
                <w:color w:val="auto"/>
              </w:rPr>
            </w:pPr>
          </w:p>
        </w:tc>
        <w:tc>
          <w:tcPr>
            <w:tcW w:w="220" w:type="dxa"/>
            <w:vAlign w:val="bottom"/>
            <w:shd w:val="clear" w:color="auto" w:fill="E5E5E5"/>
          </w:tcPr>
          <w:p>
            <w:pPr>
              <w:spacing w:after="0"/>
              <w:rPr>
                <w:sz w:val="3"/>
                <w:szCs w:val="3"/>
                <w:color w:val="auto"/>
              </w:rPr>
            </w:pPr>
          </w:p>
        </w:tc>
        <w:tc>
          <w:tcPr>
            <w:tcW w:w="740" w:type="dxa"/>
            <w:vAlign w:val="bottom"/>
            <w:gridSpan w:val="2"/>
            <w:shd w:val="clear" w:color="auto" w:fill="E5E5E5"/>
          </w:tcPr>
          <w:p>
            <w:pPr>
              <w:jc w:val="right"/>
              <w:ind w:right="60"/>
              <w:spacing w:after="0" w:line="37" w:lineRule="exact"/>
              <w:rPr>
                <w:sz w:val="20"/>
                <w:szCs w:val="20"/>
                <w:color w:val="auto"/>
              </w:rPr>
            </w:pPr>
            <w:r>
              <w:rPr>
                <w:rFonts w:ascii="Arial" w:cs="Arial" w:eastAsia="Arial" w:hAnsi="Arial"/>
                <w:sz w:val="4"/>
                <w:szCs w:val="4"/>
                <w:b w:val="1"/>
                <w:bCs w:val="1"/>
                <w:color w:val="auto"/>
              </w:rPr>
              <w:t>30,182</w:t>
            </w:r>
          </w:p>
        </w:tc>
        <w:tc>
          <w:tcPr>
            <w:tcW w:w="0" w:type="dxa"/>
            <w:vAlign w:val="bottom"/>
          </w:tcPr>
          <w:p>
            <w:pPr>
              <w:spacing w:after="0" w:line="20" w:lineRule="exact"/>
              <w:rPr>
                <w:sz w:val="1"/>
                <w:szCs w:val="1"/>
                <w:color w:val="auto"/>
              </w:rPr>
            </w:pPr>
          </w:p>
        </w:tc>
      </w:tr>
      <w:tr>
        <w:trPr>
          <w:trHeight w:val="189"/>
        </w:trPr>
        <w:tc>
          <w:tcPr>
            <w:tcW w:w="2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83"/>
              </w:rPr>
              <w:t>(b)</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3"/>
              </w:rPr>
              <w:t>(b)</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6,464</w:t>
            </w:r>
          </w:p>
        </w:tc>
        <w:tc>
          <w:tcPr>
            <w:tcW w:w="12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ind w:left="280"/>
              <w:spacing w:after="0" w:line="189" w:lineRule="exact"/>
              <w:rPr>
                <w:sz w:val="20"/>
                <w:szCs w:val="20"/>
                <w:color w:val="auto"/>
              </w:rPr>
            </w:pPr>
            <w:r>
              <w:rPr>
                <w:rFonts w:ascii="Arial" w:cs="Arial" w:eastAsia="Arial" w:hAnsi="Arial"/>
                <w:sz w:val="18"/>
                <w:szCs w:val="18"/>
                <w:color w:val="auto"/>
              </w:rPr>
              <w:t>5,556</w:t>
            </w:r>
            <w:r>
              <w:rPr>
                <w:rFonts w:ascii="Arial" w:cs="Arial" w:eastAsia="Arial" w:hAnsi="Arial"/>
                <w:sz w:val="15"/>
                <w:szCs w:val="15"/>
                <w:color w:val="auto"/>
              </w:rPr>
              <w:t>(a)</w:t>
            </w:r>
          </w:p>
        </w:tc>
        <w:tc>
          <w:tcPr>
            <w:tcW w:w="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118</w:t>
            </w:r>
            <w:r>
              <w:rPr>
                <w:rFonts w:ascii="Arial" w:cs="Arial" w:eastAsia="Arial" w:hAnsi="Arial"/>
                <w:sz w:val="15"/>
                <w:szCs w:val="15"/>
                <w:color w:val="auto"/>
              </w:rPr>
              <w:t>(a)</w:t>
            </w:r>
          </w:p>
        </w:tc>
        <w:tc>
          <w:tcPr>
            <w:tcW w:w="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12,138</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648</w:t>
            </w:r>
          </w:p>
        </w:tc>
        <w:tc>
          <w:tcPr>
            <w:tcW w:w="2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(255)</w:t>
            </w:r>
          </w:p>
        </w:tc>
        <w:tc>
          <w:tcPr>
            <w:tcW w:w="3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12,531</w:t>
            </w:r>
          </w:p>
        </w:tc>
        <w:tc>
          <w:tcPr>
            <w:tcW w:w="0" w:type="dxa"/>
            <w:vAlign w:val="bottom"/>
          </w:tcPr>
          <w:p>
            <w:pPr>
              <w:spacing w:after="0"/>
              <w:rPr>
                <w:sz w:val="1"/>
                <w:szCs w:val="1"/>
                <w:color w:val="auto"/>
              </w:rPr>
            </w:pPr>
          </w:p>
        </w:tc>
      </w:tr>
      <w:tr>
        <w:trPr>
          <w:trHeight w:val="67"/>
        </w:trPr>
        <w:tc>
          <w:tcPr>
            <w:tcW w:w="2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20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43,351</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6,061</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49,711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18,126</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(313)</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67,524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34290</wp:posOffset>
            </wp:positionV>
            <wp:extent cx="565340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3405" cy="17145"/>
                    </a:xfrm>
                    <a:prstGeom prst="rect">
                      <a:avLst/>
                    </a:prstGeom>
                    <a:noFill/>
                  </pic:spPr>
                </pic:pic>
              </a:graphicData>
            </a:graphic>
          </wp:anchor>
        </w:drawing>
      </w:r>
    </w:p>
    <w:p>
      <w:pPr>
        <w:spacing w:after="0" w:line="120"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Includes goodwill of $5.5 billion related to ZeniMax. See Note 8 – Business Combinations for further information</w:t>
      </w:r>
      <w:r>
        <w:rPr>
          <w:rFonts w:ascii="Arial" w:cs="Arial" w:eastAsia="Arial" w:hAnsi="Arial"/>
          <w:sz w:val="21"/>
          <w:szCs w:val="21"/>
          <w:color w:val="auto"/>
        </w:rPr>
        <w:t>.</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Includes goodwill of $16.3 billion related to Nuance. See Note 8 – Business Combinations for further information.</w:t>
      </w:r>
    </w:p>
    <w:p>
      <w:pPr>
        <w:spacing w:after="0" w:line="157"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49"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179"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We test goodwill for impairment annually on May 1 at the reporting unit level, primarily using a discounted cash flow methodology with a peer-based, risk-adjusted weighted average cost of capital. We believe use of a discounted cash flow approach is the most reliable indicator of the fair values of the businesses.</w:t>
      </w:r>
    </w:p>
    <w:p>
      <w:pPr>
        <w:spacing w:after="0" w:line="149" w:lineRule="exact"/>
        <w:rPr>
          <w:sz w:val="20"/>
          <w:szCs w:val="20"/>
          <w:color w:val="auto"/>
        </w:rPr>
      </w:pPr>
    </w:p>
    <w:p>
      <w:pPr>
        <w:jc w:val="both"/>
        <w:ind w:right="80"/>
        <w:spacing w:after="0" w:line="245" w:lineRule="auto"/>
        <w:rPr>
          <w:sz w:val="20"/>
          <w:szCs w:val="20"/>
          <w:color w:val="auto"/>
        </w:rPr>
      </w:pPr>
      <w:r>
        <w:rPr>
          <w:rFonts w:ascii="Arial" w:cs="Arial" w:eastAsia="Arial" w:hAnsi="Arial"/>
          <w:sz w:val="18"/>
          <w:szCs w:val="18"/>
          <w:color w:val="auto"/>
        </w:rPr>
        <w:t>No instances of impairment were identified in our May 1, 2022, May 1, 2021, or May 1, 2020 tests. As of June 30, 2022 and 2021, accumulated goodwill impairment was $11.3 billion.</w:t>
      </w:r>
    </w:p>
    <w:p>
      <w:pPr>
        <w:spacing w:after="0" w:line="210"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NOTE 10 — INTANGIBLE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Gross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Net Carrying</w:t>
            </w:r>
          </w:p>
        </w:tc>
        <w:tc>
          <w:tcPr>
            <w:tcW w:w="360" w:type="dxa"/>
            <w:vAlign w:val="bottom"/>
          </w:tcPr>
          <w:p>
            <w:pPr>
              <w:spacing w:after="0"/>
              <w:rPr>
                <w:sz w:val="12"/>
                <w:szCs w:val="12"/>
                <w:color w:val="auto"/>
              </w:rPr>
            </w:pPr>
          </w:p>
        </w:tc>
        <w:tc>
          <w:tcPr>
            <w:tcW w:w="108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2"/>
                <w:szCs w:val="12"/>
                <w:color w:val="auto"/>
              </w:rPr>
            </w:pPr>
          </w:p>
        </w:tc>
        <w:tc>
          <w:tcPr>
            <w:tcW w:w="114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2"/>
                <w:szCs w:val="12"/>
                <w:color w:val="auto"/>
              </w:rPr>
            </w:pPr>
          </w:p>
        </w:tc>
        <w:tc>
          <w:tcPr>
            <w:tcW w:w="96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Net Carrying</w:t>
            </w:r>
          </w:p>
        </w:tc>
      </w:tr>
      <w:tr>
        <w:trPr>
          <w:trHeight w:val="178"/>
        </w:trPr>
        <w:tc>
          <w:tcPr>
            <w:tcW w:w="32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36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r>
      <w:tr>
        <w:trPr>
          <w:trHeight w:val="54"/>
        </w:trPr>
        <w:tc>
          <w:tcPr>
            <w:tcW w:w="3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9"/>
                <w:szCs w:val="19"/>
                <w:color w:val="auto"/>
              </w:rPr>
            </w:pPr>
          </w:p>
        </w:tc>
      </w:tr>
      <w:tr>
        <w:trPr>
          <w:trHeight w:val="54"/>
        </w:trPr>
        <w:tc>
          <w:tcPr>
            <w:tcW w:w="3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3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11,277</w:t>
            </w:r>
          </w:p>
        </w:tc>
        <w:tc>
          <w:tcPr>
            <w:tcW w:w="3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(6,958)</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4,319</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9,779</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(7,007)</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2,772</w:t>
            </w:r>
          </w:p>
        </w:tc>
        <w:tc>
          <w:tcPr>
            <w:tcW w:w="60" w:type="dxa"/>
            <w:vAlign w:val="bottom"/>
            <w:shd w:val="clear" w:color="auto" w:fill="E5E5E5"/>
          </w:tcPr>
          <w:p>
            <w:pPr>
              <w:spacing w:after="0"/>
              <w:rPr>
                <w:sz w:val="16"/>
                <w:szCs w:val="16"/>
                <w:color w:val="auto"/>
              </w:rPr>
            </w:pPr>
          </w:p>
        </w:tc>
      </w:tr>
      <w:tr>
        <w:trPr>
          <w:trHeight w:val="189"/>
        </w:trPr>
        <w:tc>
          <w:tcPr>
            <w:tcW w:w="328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3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7,342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(3,171)</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4,171</w:t>
            </w:r>
          </w:p>
        </w:tc>
        <w:tc>
          <w:tcPr>
            <w:tcW w:w="360" w:type="dxa"/>
            <w:vAlign w:val="bottom"/>
          </w:tcPr>
          <w:p>
            <w:pPr>
              <w:spacing w:after="0"/>
              <w:rPr>
                <w:sz w:val="16"/>
                <w:szCs w:val="16"/>
                <w:color w:val="auto"/>
              </w:rPr>
            </w:pPr>
          </w:p>
        </w:tc>
        <w:tc>
          <w:tcPr>
            <w:tcW w:w="108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4,958</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(2,859)</w:t>
            </w:r>
          </w:p>
        </w:tc>
        <w:tc>
          <w:tcPr>
            <w:tcW w:w="2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2,099</w:t>
            </w:r>
          </w:p>
        </w:tc>
        <w:tc>
          <w:tcPr>
            <w:tcW w:w="60" w:type="dxa"/>
            <w:vAlign w:val="bottom"/>
          </w:tcPr>
          <w:p>
            <w:pPr>
              <w:spacing w:after="0"/>
              <w:rPr>
                <w:sz w:val="16"/>
                <w:szCs w:val="16"/>
                <w:color w:val="auto"/>
              </w:rPr>
            </w:pPr>
          </w:p>
        </w:tc>
      </w:tr>
      <w:tr>
        <w:trPr>
          <w:trHeight w:val="189"/>
        </w:trPr>
        <w:tc>
          <w:tcPr>
            <w:tcW w:w="3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4,942</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(2,143)</w:t>
            </w:r>
          </w:p>
        </w:tc>
        <w:tc>
          <w:tcPr>
            <w:tcW w:w="2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2,799</w:t>
            </w:r>
          </w:p>
        </w:tc>
        <w:tc>
          <w:tcPr>
            <w:tcW w:w="3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4,792</w:t>
            </w:r>
          </w:p>
        </w:tc>
        <w:tc>
          <w:tcPr>
            <w:tcW w:w="1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(1,878)</w:t>
            </w:r>
          </w:p>
        </w:tc>
        <w:tc>
          <w:tcPr>
            <w:tcW w:w="22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2,914</w:t>
            </w:r>
          </w:p>
        </w:tc>
        <w:tc>
          <w:tcPr>
            <w:tcW w:w="60" w:type="dxa"/>
            <w:vAlign w:val="bottom"/>
            <w:shd w:val="clear" w:color="auto" w:fill="E5E5E5"/>
          </w:tcPr>
          <w:p>
            <w:pPr>
              <w:spacing w:after="0"/>
              <w:rPr>
                <w:sz w:val="16"/>
                <w:szCs w:val="16"/>
                <w:color w:val="auto"/>
              </w:rPr>
            </w:pPr>
          </w:p>
        </w:tc>
      </w:tr>
      <w:tr>
        <w:trPr>
          <w:trHeight w:val="249"/>
        </w:trPr>
        <w:tc>
          <w:tcPr>
            <w:tcW w:w="3280" w:type="dxa"/>
            <w:vAlign w:val="bottom"/>
          </w:tcPr>
          <w:p>
            <w:pPr>
              <w:spacing w:after="0"/>
              <w:rPr>
                <w:sz w:val="20"/>
                <w:szCs w:val="20"/>
                <w:color w:val="auto"/>
              </w:rPr>
            </w:pPr>
            <w:r>
              <w:rPr>
                <w:rFonts w:ascii="Arial" w:cs="Arial" w:eastAsia="Arial" w:hAnsi="Arial"/>
                <w:sz w:val="18"/>
                <w:szCs w:val="18"/>
                <w:color w:val="auto"/>
              </w:rPr>
              <w:t>Contract-based</w:t>
            </w:r>
          </w:p>
        </w:tc>
        <w:tc>
          <w:tcPr>
            <w:tcW w:w="3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w:t>
            </w:r>
          </w:p>
        </w:tc>
        <w:tc>
          <w:tcPr>
            <w:tcW w:w="36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67"/>
        </w:trPr>
        <w:tc>
          <w:tcPr>
            <w:tcW w:w="328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32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4"/>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23,577</w:t>
            </w:r>
            <w:r>
              <w:rPr>
                <w:rFonts w:ascii="Arial" w:cs="Arial" w:eastAsia="Arial" w:hAnsi="Arial"/>
                <w:sz w:val="15"/>
                <w:szCs w:val="15"/>
                <w:b w:val="1"/>
                <w:bCs w:val="1"/>
                <w:color w:val="auto"/>
              </w:rPr>
              <w:t>(a)</w:t>
            </w:r>
            <w:r>
              <w:rPr>
                <w:rFonts w:ascii="Arial" w:cs="Arial" w:eastAsia="Arial" w:hAnsi="Arial"/>
                <w:sz w:val="18"/>
                <w:szCs w:val="18"/>
                <w:b w:val="1"/>
                <w:bCs w:val="1"/>
                <w:color w:val="auto"/>
              </w:rPr>
              <w:t xml:space="preserve"> $</w:t>
            </w: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(12,279)</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11,298</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ind w:left="240"/>
              <w:spacing w:after="0" w:line="189" w:lineRule="exact"/>
              <w:rPr>
                <w:sz w:val="20"/>
                <w:szCs w:val="20"/>
                <w:color w:val="auto"/>
              </w:rPr>
            </w:pPr>
            <w:r>
              <w:rPr>
                <w:rFonts w:ascii="Arial" w:cs="Arial" w:eastAsia="Arial" w:hAnsi="Arial"/>
                <w:sz w:val="18"/>
                <w:szCs w:val="18"/>
                <w:color w:val="auto"/>
              </w:rPr>
              <w:t>19,975</w:t>
            </w:r>
            <w:r>
              <w:rPr>
                <w:rFonts w:ascii="Arial" w:cs="Arial" w:eastAsia="Arial" w:hAnsi="Arial"/>
                <w:sz w:val="15"/>
                <w:szCs w:val="15"/>
                <w:color w:val="auto"/>
              </w:rPr>
              <w:t>(b)</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(12,175)</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7,800</w:t>
            </w:r>
          </w:p>
        </w:tc>
        <w:tc>
          <w:tcPr>
            <w:tcW w:w="60" w:type="dxa"/>
            <w:vAlign w:val="bottom"/>
            <w:shd w:val="clear" w:color="auto" w:fill="E5E5E5"/>
          </w:tcPr>
          <w:p>
            <w:pPr>
              <w:spacing w:after="0"/>
              <w:rPr>
                <w:sz w:val="16"/>
                <w:szCs w:val="16"/>
                <w:color w:val="auto"/>
              </w:rPr>
            </w:pPr>
          </w:p>
        </w:tc>
      </w:tr>
      <w:tr>
        <w:trPr>
          <w:trHeight w:val="74"/>
        </w:trPr>
        <w:tc>
          <w:tcPr>
            <w:tcW w:w="32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62"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Includes intangible assets of $4.4 billion related to Nuance. See Note 8 – Business Combinations for further information.</w:t>
      </w:r>
    </w:p>
    <w:p>
      <w:pPr>
        <w:spacing w:after="0" w:line="27" w:lineRule="exact"/>
        <w:rPr>
          <w:rFonts w:ascii="Arial" w:cs="Arial" w:eastAsia="Arial" w:hAnsi="Arial"/>
          <w:sz w:val="18"/>
          <w:szCs w:val="18"/>
          <w:color w:val="auto"/>
        </w:rPr>
      </w:pPr>
    </w:p>
    <w:p>
      <w:pPr>
        <w:ind w:left="540" w:hanging="532"/>
        <w:spacing w:after="0" w:line="23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Includes intangible assets of $2.0 billion related to ZeniMax. See Note 8 – Business Combinations for further information</w:t>
      </w:r>
      <w:r>
        <w:rPr>
          <w:rFonts w:ascii="Arial" w:cs="Arial" w:eastAsia="Arial" w:hAnsi="Arial"/>
          <w:sz w:val="21"/>
          <w:szCs w:val="21"/>
          <w:color w:val="auto"/>
        </w:rPr>
        <w:t>.</w:t>
      </w:r>
    </w:p>
    <w:p>
      <w:pPr>
        <w:spacing w:after="0" w:line="15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No material impairments of intangible assets were identified during fiscal years 2022, 2021, or 2020. We estimate that we have no significant residual value related to our intangible assets.</w:t>
      </w: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137" w:right="279" w:bottom="1440" w:gutter="0" w:footer="0" w:header="0"/>
          <w:type w:val="continuous"/>
        </w:sectPr>
      </w:pPr>
    </w:p>
    <w:bookmarkStart w:id="79" w:name="page80"/>
    <w:bookmarkEnd w:id="7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acquired during the periods presented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137"/>
              <w:spacing w:after="0"/>
              <w:rPr>
                <w:sz w:val="20"/>
                <w:szCs w:val="20"/>
                <w:color w:val="auto"/>
              </w:rPr>
            </w:pPr>
            <w:r>
              <w:rPr>
                <w:rFonts w:ascii="Arial" w:cs="Arial" w:eastAsia="Arial" w:hAnsi="Arial"/>
                <w:sz w:val="13"/>
                <w:szCs w:val="13"/>
                <w:b w:val="1"/>
                <w:bCs w:val="1"/>
                <w:color w:val="auto"/>
              </w:rPr>
              <w:t>Weighted</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r>
      <w:tr>
        <w:trPr>
          <w:trHeight w:val="178"/>
        </w:trPr>
        <w:tc>
          <w:tcPr>
            <w:tcW w:w="39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c>
          <w:tcPr>
            <w:tcW w:w="1240" w:type="dxa"/>
            <w:vAlign w:val="bottom"/>
          </w:tcPr>
          <w:p>
            <w:pPr>
              <w:jc w:val="right"/>
              <w:ind w:right="137"/>
              <w:spacing w:after="0"/>
              <w:rPr>
                <w:sz w:val="20"/>
                <w:szCs w:val="20"/>
                <w:color w:val="auto"/>
              </w:rPr>
            </w:pPr>
            <w:r>
              <w:rPr>
                <w:rFonts w:ascii="Arial" w:cs="Arial" w:eastAsia="Arial" w:hAnsi="Arial"/>
                <w:sz w:val="13"/>
                <w:szCs w:val="13"/>
                <w:b w:val="1"/>
                <w:bCs w:val="1"/>
                <w:color w:val="auto"/>
              </w:rPr>
              <w:t>Average Life</w:t>
            </w:r>
          </w:p>
        </w:tc>
        <w:tc>
          <w:tcPr>
            <w:tcW w:w="3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r>
      <w:tr>
        <w:trPr>
          <w:trHeight w:val="54"/>
        </w:trPr>
        <w:tc>
          <w:tcPr>
            <w:tcW w:w="394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
        </w:trPr>
        <w:tc>
          <w:tcPr>
            <w:tcW w:w="39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28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2,611</w:t>
            </w:r>
          </w:p>
        </w:tc>
        <w:tc>
          <w:tcPr>
            <w:tcW w:w="1240" w:type="dxa"/>
            <w:vAlign w:val="bottom"/>
            <w:shd w:val="clear" w:color="auto" w:fill="E5E5E5"/>
          </w:tcPr>
          <w:p>
            <w:pPr>
              <w:jc w:val="right"/>
              <w:ind w:right="137"/>
              <w:spacing w:after="0" w:line="189" w:lineRule="exact"/>
              <w:rPr>
                <w:sz w:val="20"/>
                <w:szCs w:val="20"/>
                <w:color w:val="auto"/>
              </w:rPr>
            </w:pPr>
            <w:r>
              <w:rPr>
                <w:rFonts w:ascii="Arial" w:cs="Arial" w:eastAsia="Arial" w:hAnsi="Arial"/>
                <w:sz w:val="18"/>
                <w:szCs w:val="18"/>
                <w:b w:val="1"/>
                <w:bCs w:val="1"/>
                <w:color w:val="auto"/>
              </w:rPr>
              <w:t>4 years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1,628</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 years</w:t>
            </w: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2,837</w:t>
            </w:r>
          </w:p>
        </w:tc>
        <w:tc>
          <w:tcPr>
            <w:tcW w:w="1240" w:type="dxa"/>
            <w:vAlign w:val="bottom"/>
          </w:tcPr>
          <w:p>
            <w:pPr>
              <w:jc w:val="right"/>
              <w:ind w:right="137"/>
              <w:spacing w:after="0" w:line="189" w:lineRule="exact"/>
              <w:rPr>
                <w:sz w:val="20"/>
                <w:szCs w:val="20"/>
                <w:color w:val="auto"/>
              </w:rPr>
            </w:pPr>
            <w:r>
              <w:rPr>
                <w:rFonts w:ascii="Arial" w:cs="Arial" w:eastAsia="Arial" w:hAnsi="Arial"/>
                <w:sz w:val="18"/>
                <w:szCs w:val="18"/>
                <w:b w:val="1"/>
                <w:bCs w:val="1"/>
                <w:color w:val="auto"/>
              </w:rPr>
              <w:t>9 years</w:t>
            </w:r>
          </w:p>
        </w:tc>
        <w:tc>
          <w:tcPr>
            <w:tcW w:w="30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96</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 years</w:t>
            </w:r>
          </w:p>
        </w:tc>
      </w:tr>
      <w:tr>
        <w:trPr>
          <w:trHeight w:val="189"/>
        </w:trPr>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25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233</w:t>
            </w:r>
          </w:p>
        </w:tc>
        <w:tc>
          <w:tcPr>
            <w:tcW w:w="1240" w:type="dxa"/>
            <w:vAlign w:val="bottom"/>
            <w:shd w:val="clear" w:color="auto" w:fill="E5E5E5"/>
          </w:tcPr>
          <w:p>
            <w:pPr>
              <w:jc w:val="right"/>
              <w:ind w:right="137"/>
              <w:spacing w:after="0" w:line="189" w:lineRule="exact"/>
              <w:rPr>
                <w:sz w:val="20"/>
                <w:szCs w:val="20"/>
                <w:color w:val="auto"/>
              </w:rPr>
            </w:pPr>
            <w:r>
              <w:rPr>
                <w:rFonts w:ascii="Arial" w:cs="Arial" w:eastAsia="Arial" w:hAnsi="Arial"/>
                <w:sz w:val="18"/>
                <w:szCs w:val="18"/>
                <w:b w:val="1"/>
                <w:bCs w:val="1"/>
                <w:color w:val="auto"/>
              </w:rPr>
              <w:t>4 years</w:t>
            </w: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625</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 years</w:t>
            </w:r>
          </w:p>
        </w:tc>
      </w:tr>
      <w:tr>
        <w:trPr>
          <w:trHeight w:val="249"/>
        </w:trPr>
        <w:tc>
          <w:tcPr>
            <w:tcW w:w="3940" w:type="dxa"/>
            <w:vAlign w:val="bottom"/>
          </w:tcPr>
          <w:p>
            <w:pPr>
              <w:spacing w:after="0"/>
              <w:rPr>
                <w:sz w:val="20"/>
                <w:szCs w:val="20"/>
                <w:color w:val="auto"/>
              </w:rPr>
            </w:pPr>
            <w:r>
              <w:rPr>
                <w:rFonts w:ascii="Arial" w:cs="Arial" w:eastAsia="Arial" w:hAnsi="Arial"/>
                <w:sz w:val="18"/>
                <w:szCs w:val="18"/>
                <w:color w:val="auto"/>
              </w:rPr>
              <w:t>Contract-based</w:t>
            </w:r>
          </w:p>
        </w:tc>
        <w:tc>
          <w:tcPr>
            <w:tcW w:w="2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1240" w:type="dxa"/>
            <w:vAlign w:val="bottom"/>
          </w:tcPr>
          <w:p>
            <w:pPr>
              <w:jc w:val="right"/>
              <w:ind w:right="137"/>
              <w:spacing w:after="0"/>
              <w:rPr>
                <w:sz w:val="20"/>
                <w:szCs w:val="20"/>
                <w:color w:val="auto"/>
              </w:rPr>
            </w:pPr>
            <w:r>
              <w:rPr>
                <w:rFonts w:ascii="Arial" w:cs="Arial" w:eastAsia="Arial" w:hAnsi="Arial"/>
                <w:sz w:val="18"/>
                <w:szCs w:val="18"/>
                <w:b w:val="1"/>
                <w:bCs w:val="1"/>
                <w:color w:val="auto"/>
              </w:rPr>
              <w:t>0 years</w:t>
            </w:r>
          </w:p>
        </w:tc>
        <w:tc>
          <w:tcPr>
            <w:tcW w:w="3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 years</w:t>
            </w:r>
          </w:p>
        </w:tc>
      </w:tr>
      <w:tr>
        <w:trPr>
          <w:trHeight w:val="67"/>
        </w:trPr>
        <w:tc>
          <w:tcPr>
            <w:tcW w:w="3940" w:type="dxa"/>
            <w:vAlign w:val="bottom"/>
            <w:tcBorders>
              <w:top w:val="single" w:sz="8" w:color="auto"/>
            </w:tcBorders>
          </w:tcPr>
          <w:p>
            <w:pPr>
              <w:spacing w:after="0"/>
              <w:rPr>
                <w:sz w:val="5"/>
                <w:szCs w:val="5"/>
                <w:color w:val="auto"/>
              </w:rPr>
            </w:pPr>
          </w:p>
        </w:tc>
        <w:tc>
          <w:tcPr>
            <w:tcW w:w="25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39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5,681</w:t>
            </w:r>
          </w:p>
        </w:tc>
        <w:tc>
          <w:tcPr>
            <w:tcW w:w="1240" w:type="dxa"/>
            <w:vAlign w:val="bottom"/>
            <w:shd w:val="clear" w:color="auto" w:fill="E5E5E5"/>
          </w:tcPr>
          <w:p>
            <w:pPr>
              <w:jc w:val="right"/>
              <w:ind w:right="137"/>
              <w:spacing w:after="0" w:line="189" w:lineRule="exact"/>
              <w:rPr>
                <w:sz w:val="20"/>
                <w:szCs w:val="20"/>
                <w:color w:val="auto"/>
              </w:rPr>
            </w:pPr>
            <w:r>
              <w:rPr>
                <w:rFonts w:ascii="Arial" w:cs="Arial" w:eastAsia="Arial" w:hAnsi="Arial"/>
                <w:sz w:val="18"/>
                <w:szCs w:val="18"/>
                <w:b w:val="1"/>
                <w:bCs w:val="1"/>
                <w:color w:val="auto"/>
              </w:rPr>
              <w:t>7 years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2,359</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 years</w:t>
            </w:r>
          </w:p>
        </w:tc>
      </w:tr>
      <w:tr>
        <w:trPr>
          <w:trHeight w:val="74"/>
        </w:trPr>
        <w:tc>
          <w:tcPr>
            <w:tcW w:w="39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amortization expense was $2.0 billion, $1.6 billion, and $1.6 billion for fiscal years 2022, 2021, and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June 30, 2022:</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5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5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6560" w:type="dxa"/>
            <w:vAlign w:val="bottom"/>
            <w:gridSpan w:val="2"/>
            <w:shd w:val="clear" w:color="auto" w:fill="E5E5E5"/>
          </w:tcPr>
          <w:p>
            <w:pPr>
              <w:jc w:val="right"/>
              <w:ind w:right="580"/>
              <w:spacing w:after="0" w:line="189"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2,654</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5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2,385</w:t>
            </w: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58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1,631</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2026</w:t>
            </w:r>
          </w:p>
        </w:tc>
        <w:tc>
          <w:tcPr>
            <w:tcW w:w="5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1,227</w:t>
            </w: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2027</w:t>
            </w:r>
          </w:p>
        </w:tc>
        <w:tc>
          <w:tcPr>
            <w:tcW w:w="58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809</w:t>
            </w: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5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2,592</w:t>
            </w:r>
          </w:p>
        </w:tc>
        <w:tc>
          <w:tcPr>
            <w:tcW w:w="0" w:type="dxa"/>
            <w:vAlign w:val="bottom"/>
          </w:tcPr>
          <w:p>
            <w:pPr>
              <w:spacing w:after="0"/>
              <w:rPr>
                <w:sz w:val="1"/>
                <w:szCs w:val="1"/>
                <w:color w:val="auto"/>
              </w:rPr>
            </w:pPr>
          </w:p>
        </w:tc>
      </w:tr>
      <w:tr>
        <w:trPr>
          <w:trHeight w:val="67"/>
        </w:trPr>
        <w:tc>
          <w:tcPr>
            <w:tcW w:w="3460" w:type="dxa"/>
            <w:vAlign w:val="bottom"/>
            <w:tcBorders>
              <w:top w:val="single" w:sz="8" w:color="auto"/>
            </w:tcBorders>
          </w:tcPr>
          <w:p>
            <w:pPr>
              <w:spacing w:after="0"/>
              <w:rPr>
                <w:sz w:val="5"/>
                <w:szCs w:val="5"/>
                <w:color w:val="auto"/>
              </w:rPr>
            </w:pPr>
          </w:p>
        </w:tc>
        <w:tc>
          <w:tcPr>
            <w:tcW w:w="588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6560" w:type="dxa"/>
            <w:vAlign w:val="bottom"/>
            <w:gridSpan w:val="2"/>
            <w:shd w:val="clear" w:color="auto" w:fill="E5E5E5"/>
          </w:tcPr>
          <w:p>
            <w:pPr>
              <w:jc w:val="right"/>
              <w:ind w:right="580"/>
              <w:spacing w:after="0" w:line="189"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11,298</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5880" w:type="dxa"/>
            <w:vAlign w:val="bottom"/>
            <w:vMerge w:val="restart"/>
          </w:tcPr>
          <w:p>
            <w:pPr>
              <w:jc w:val="right"/>
              <w:ind w:right="3556"/>
              <w:spacing w:after="0"/>
              <w:rPr>
                <w:sz w:val="20"/>
                <w:szCs w:val="20"/>
                <w:color w:val="auto"/>
              </w:rPr>
            </w:pPr>
            <w:r>
              <w:rPr>
                <w:rFonts w:ascii="Arial" w:cs="Arial" w:eastAsia="Arial" w:hAnsi="Arial"/>
                <w:sz w:val="14"/>
                <w:szCs w:val="14"/>
                <w:color w:val="auto"/>
              </w:rPr>
              <w:t>80</w:t>
            </w:r>
          </w:p>
        </w:tc>
        <w:tc>
          <w:tcPr>
            <w:tcW w:w="6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4"/>
        </w:trPr>
        <w:tc>
          <w:tcPr>
            <w:tcW w:w="34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60" w:type="dxa"/>
            <w:vAlign w:val="bottom"/>
            <w:tcBorders>
              <w:bottom w:val="single" w:sz="8" w:color="9A9A9A"/>
            </w:tcBorders>
          </w:tcPr>
          <w:p>
            <w:pPr>
              <w:spacing w:after="0"/>
              <w:rPr>
                <w:sz w:val="8"/>
                <w:szCs w:val="8"/>
                <w:color w:val="auto"/>
              </w:rPr>
            </w:pPr>
          </w:p>
        </w:tc>
        <w:tc>
          <w:tcPr>
            <w:tcW w:w="58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0" w:name="page81"/>
    <w:bookmarkEnd w:id="8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620" w:type="dxa"/>
            <w:vAlign w:val="bottom"/>
          </w:tcPr>
          <w:p>
            <w:pPr>
              <w:jc w:val="right"/>
              <w:ind w:right="514"/>
              <w:spacing w:after="0"/>
              <w:rPr>
                <w:sz w:val="20"/>
                <w:szCs w:val="20"/>
                <w:color w:val="auto"/>
              </w:rPr>
            </w:pPr>
            <w:r>
              <w:rPr>
                <w:rFonts w:ascii="Arial" w:cs="Arial" w:eastAsia="Arial" w:hAnsi="Arial"/>
                <w:sz w:val="13"/>
                <w:szCs w:val="13"/>
                <w:b w:val="1"/>
                <w:bCs w:val="1"/>
                <w:color w:val="auto"/>
              </w:rPr>
              <w:t>Maturities</w:t>
            </w:r>
          </w:p>
        </w:tc>
        <w:tc>
          <w:tcPr>
            <w:tcW w:w="1720" w:type="dxa"/>
            <w:vAlign w:val="bottom"/>
          </w:tcPr>
          <w:p>
            <w:pPr>
              <w:jc w:val="right"/>
              <w:ind w:right="414"/>
              <w:spacing w:after="0"/>
              <w:rPr>
                <w:sz w:val="20"/>
                <w:szCs w:val="20"/>
                <w:color w:val="auto"/>
              </w:rPr>
            </w:pPr>
            <w:r>
              <w:rPr>
                <w:rFonts w:ascii="Arial" w:cs="Arial" w:eastAsia="Arial" w:hAnsi="Arial"/>
                <w:sz w:val="13"/>
                <w:szCs w:val="13"/>
                <w:b w:val="1"/>
                <w:bCs w:val="1"/>
                <w:color w:val="auto"/>
              </w:rPr>
              <w:t>Stated Interest</w:t>
            </w:r>
          </w:p>
        </w:tc>
        <w:tc>
          <w:tcPr>
            <w:tcW w:w="1620" w:type="dxa"/>
            <w:vAlign w:val="bottom"/>
          </w:tcPr>
          <w:p>
            <w:pPr>
              <w:jc w:val="right"/>
              <w:ind w:right="154"/>
              <w:spacing w:after="0"/>
              <w:rPr>
                <w:sz w:val="20"/>
                <w:szCs w:val="20"/>
                <w:color w:val="auto"/>
              </w:rPr>
            </w:pPr>
            <w:r>
              <w:rPr>
                <w:rFonts w:ascii="Arial" w:cs="Arial" w:eastAsia="Arial" w:hAnsi="Arial"/>
                <w:sz w:val="13"/>
                <w:szCs w:val="13"/>
                <w:b w:val="1"/>
                <w:bCs w:val="1"/>
                <w:color w:val="auto"/>
              </w:rPr>
              <w:t>Effective Interest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620" w:type="dxa"/>
            <w:vAlign w:val="bottom"/>
          </w:tcPr>
          <w:p>
            <w:pPr>
              <w:jc w:val="right"/>
              <w:ind w:right="354"/>
              <w:spacing w:after="0"/>
              <w:rPr>
                <w:sz w:val="20"/>
                <w:szCs w:val="20"/>
                <w:color w:val="auto"/>
              </w:rPr>
            </w:pPr>
            <w:r>
              <w:rPr>
                <w:rFonts w:ascii="Arial" w:cs="Arial" w:eastAsia="Arial" w:hAnsi="Arial"/>
                <w:sz w:val="13"/>
                <w:szCs w:val="13"/>
                <w:b w:val="1"/>
                <w:bCs w:val="1"/>
                <w:color w:val="auto"/>
              </w:rPr>
              <w:t>(calendar year)</w:t>
            </w:r>
          </w:p>
        </w:tc>
        <w:tc>
          <w:tcPr>
            <w:tcW w:w="1720" w:type="dxa"/>
            <w:vAlign w:val="bottom"/>
          </w:tcPr>
          <w:p>
            <w:pPr>
              <w:jc w:val="right"/>
              <w:ind w:right="734"/>
              <w:spacing w:after="0"/>
              <w:rPr>
                <w:sz w:val="20"/>
                <w:szCs w:val="20"/>
                <w:color w:val="auto"/>
              </w:rPr>
            </w:pPr>
            <w:r>
              <w:rPr>
                <w:rFonts w:ascii="Arial" w:cs="Arial" w:eastAsia="Arial" w:hAnsi="Arial"/>
                <w:sz w:val="13"/>
                <w:szCs w:val="13"/>
                <w:b w:val="1"/>
                <w:bCs w:val="1"/>
                <w:color w:val="auto"/>
              </w:rPr>
              <w:t>Rate</w:t>
            </w:r>
          </w:p>
        </w:tc>
        <w:tc>
          <w:tcPr>
            <w:tcW w:w="1620" w:type="dxa"/>
            <w:vAlign w:val="bottom"/>
          </w:tcPr>
          <w:p>
            <w:pPr>
              <w:jc w:val="right"/>
              <w:ind w:right="554"/>
              <w:spacing w:after="0"/>
              <w:rPr>
                <w:sz w:val="20"/>
                <w:szCs w:val="20"/>
                <w:color w:val="auto"/>
              </w:rPr>
            </w:pPr>
            <w:r>
              <w:rPr>
                <w:rFonts w:ascii="Arial" w:cs="Arial" w:eastAsia="Arial" w:hAnsi="Arial"/>
                <w:sz w:val="13"/>
                <w:szCs w:val="13"/>
                <w:b w:val="1"/>
                <w:bCs w:val="1"/>
                <w:color w:val="auto"/>
              </w:rPr>
              <w:t>Rate</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r>
      <w:tr>
        <w:trPr>
          <w:trHeight w:val="54"/>
        </w:trPr>
        <w:tc>
          <w:tcPr>
            <w:tcW w:w="35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61"/>
        </w:trPr>
        <w:tc>
          <w:tcPr>
            <w:tcW w:w="35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2009 issuance of $3.8 billion </w:t>
            </w:r>
            <w:r>
              <w:rPr>
                <w:rFonts w:ascii="Arial" w:cs="Arial" w:eastAsia="Arial" w:hAnsi="Arial"/>
                <w:sz w:val="15"/>
                <w:szCs w:val="15"/>
                <w:color w:val="auto"/>
              </w:rPr>
              <w:t>(a)</w:t>
            </w:r>
          </w:p>
        </w:tc>
        <w:tc>
          <w:tcPr>
            <w:tcW w:w="162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2039</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5.20%</w:t>
            </w:r>
          </w:p>
        </w:tc>
        <w:tc>
          <w:tcPr>
            <w:tcW w:w="162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5.24%</w:t>
            </w:r>
          </w:p>
        </w:tc>
        <w:tc>
          <w:tcPr>
            <w:tcW w:w="5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520</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520</w:t>
            </w:r>
          </w:p>
        </w:tc>
        <w:tc>
          <w:tcPr>
            <w:tcW w:w="8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2010 issuance of $4.8 billion </w:t>
            </w:r>
            <w:r>
              <w:rPr>
                <w:rFonts w:ascii="Arial" w:cs="Arial" w:eastAsia="Arial" w:hAnsi="Arial"/>
                <w:sz w:val="15"/>
                <w:szCs w:val="15"/>
                <w:color w:val="auto"/>
              </w:rPr>
              <w:t>(a)</w:t>
            </w:r>
          </w:p>
        </w:tc>
        <w:tc>
          <w:tcPr>
            <w:tcW w:w="162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2040</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4.50%</w:t>
            </w:r>
          </w:p>
        </w:tc>
        <w:tc>
          <w:tcPr>
            <w:tcW w:w="162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4.57%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486</w:t>
            </w:r>
          </w:p>
        </w:tc>
        <w:tc>
          <w:tcPr>
            <w:tcW w:w="3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486</w:t>
            </w:r>
          </w:p>
        </w:tc>
        <w:tc>
          <w:tcPr>
            <w:tcW w:w="8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2011 issuance of $2.3 billion </w:t>
            </w:r>
            <w:r>
              <w:rPr>
                <w:rFonts w:ascii="Arial" w:cs="Arial" w:eastAsia="Arial" w:hAnsi="Arial"/>
                <w:sz w:val="15"/>
                <w:szCs w:val="15"/>
                <w:color w:val="auto"/>
              </w:rPr>
              <w:t>(a)</w:t>
            </w:r>
          </w:p>
        </w:tc>
        <w:tc>
          <w:tcPr>
            <w:tcW w:w="162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2041</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5.30%</w:t>
            </w:r>
          </w:p>
        </w:tc>
        <w:tc>
          <w:tcPr>
            <w:tcW w:w="162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5.36%</w:t>
            </w: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718</w:t>
            </w:r>
          </w:p>
        </w:tc>
        <w:tc>
          <w:tcPr>
            <w:tcW w:w="3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718</w:t>
            </w:r>
          </w:p>
        </w:tc>
        <w:tc>
          <w:tcPr>
            <w:tcW w:w="8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2012 issuance of $2.3 billion </w:t>
            </w:r>
            <w:r>
              <w:rPr>
                <w:rFonts w:ascii="Arial" w:cs="Arial" w:eastAsia="Arial" w:hAnsi="Arial"/>
                <w:sz w:val="15"/>
                <w:szCs w:val="15"/>
                <w:color w:val="auto"/>
              </w:rPr>
              <w:t>(a)</w:t>
            </w:r>
          </w:p>
        </w:tc>
        <w:tc>
          <w:tcPr>
            <w:tcW w:w="162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2022 – 2042</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2.13% – 3.50%</w:t>
            </w:r>
          </w:p>
        </w:tc>
        <w:tc>
          <w:tcPr>
            <w:tcW w:w="162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2.24% – 3.57%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1,204</w:t>
            </w:r>
          </w:p>
        </w:tc>
        <w:tc>
          <w:tcPr>
            <w:tcW w:w="3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1,204</w:t>
            </w:r>
          </w:p>
        </w:tc>
        <w:tc>
          <w:tcPr>
            <w:tcW w:w="8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2013 issuance of $5.2 billion </w:t>
            </w:r>
            <w:r>
              <w:rPr>
                <w:rFonts w:ascii="Arial" w:cs="Arial" w:eastAsia="Arial" w:hAnsi="Arial"/>
                <w:sz w:val="15"/>
                <w:szCs w:val="15"/>
                <w:color w:val="auto"/>
              </w:rPr>
              <w:t>(a)</w:t>
            </w:r>
          </w:p>
        </w:tc>
        <w:tc>
          <w:tcPr>
            <w:tcW w:w="162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2023 – 2043</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2.38% – 4.88%</w:t>
            </w:r>
          </w:p>
        </w:tc>
        <w:tc>
          <w:tcPr>
            <w:tcW w:w="162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2.47% – 4.92%</w:t>
            </w: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2,814</w:t>
            </w:r>
          </w:p>
        </w:tc>
        <w:tc>
          <w:tcPr>
            <w:tcW w:w="3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2,814</w:t>
            </w:r>
          </w:p>
        </w:tc>
        <w:tc>
          <w:tcPr>
            <w:tcW w:w="8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2013 issuance of €4.1 billion</w:t>
            </w:r>
          </w:p>
        </w:tc>
        <w:tc>
          <w:tcPr>
            <w:tcW w:w="162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2028 – 2033</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2.63% – 3.13%</w:t>
            </w:r>
          </w:p>
        </w:tc>
        <w:tc>
          <w:tcPr>
            <w:tcW w:w="162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2.69% – 3.22%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2,404</w:t>
            </w:r>
          </w:p>
        </w:tc>
        <w:tc>
          <w:tcPr>
            <w:tcW w:w="3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4,803</w:t>
            </w:r>
          </w:p>
        </w:tc>
        <w:tc>
          <w:tcPr>
            <w:tcW w:w="8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2015 issuance of $23.8 billion </w:t>
            </w:r>
            <w:r>
              <w:rPr>
                <w:rFonts w:ascii="Arial" w:cs="Arial" w:eastAsia="Arial" w:hAnsi="Arial"/>
                <w:sz w:val="15"/>
                <w:szCs w:val="15"/>
                <w:color w:val="auto"/>
              </w:rPr>
              <w:t>(a)</w:t>
            </w:r>
          </w:p>
        </w:tc>
        <w:tc>
          <w:tcPr>
            <w:tcW w:w="162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2022 – 2055</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2.65% – 4.75%</w:t>
            </w:r>
          </w:p>
        </w:tc>
        <w:tc>
          <w:tcPr>
            <w:tcW w:w="162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2.72% – 4.78%</w:t>
            </w: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10,805</w:t>
            </w:r>
          </w:p>
        </w:tc>
        <w:tc>
          <w:tcPr>
            <w:tcW w:w="3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12,305</w:t>
            </w:r>
          </w:p>
        </w:tc>
        <w:tc>
          <w:tcPr>
            <w:tcW w:w="8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2016 issuance of $19.8 billion </w:t>
            </w:r>
            <w:r>
              <w:rPr>
                <w:rFonts w:ascii="Arial" w:cs="Arial" w:eastAsia="Arial" w:hAnsi="Arial"/>
                <w:sz w:val="15"/>
                <w:szCs w:val="15"/>
                <w:color w:val="auto"/>
              </w:rPr>
              <w:t>(a)</w:t>
            </w:r>
          </w:p>
        </w:tc>
        <w:tc>
          <w:tcPr>
            <w:tcW w:w="162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2023 – 2056</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2.00% – 3.95%</w:t>
            </w:r>
          </w:p>
        </w:tc>
        <w:tc>
          <w:tcPr>
            <w:tcW w:w="162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2.10% – 4.03%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9,430</w:t>
            </w:r>
          </w:p>
        </w:tc>
        <w:tc>
          <w:tcPr>
            <w:tcW w:w="3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12,180</w:t>
            </w:r>
          </w:p>
        </w:tc>
        <w:tc>
          <w:tcPr>
            <w:tcW w:w="8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2017 issuance of $17.0 billion </w:t>
            </w:r>
            <w:r>
              <w:rPr>
                <w:rFonts w:ascii="Arial" w:cs="Arial" w:eastAsia="Arial" w:hAnsi="Arial"/>
                <w:sz w:val="15"/>
                <w:szCs w:val="15"/>
                <w:color w:val="auto"/>
              </w:rPr>
              <w:t>(a)</w:t>
            </w:r>
          </w:p>
        </w:tc>
        <w:tc>
          <w:tcPr>
            <w:tcW w:w="162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2024 – 2057</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2.88% – 4.50%</w:t>
            </w:r>
          </w:p>
        </w:tc>
        <w:tc>
          <w:tcPr>
            <w:tcW w:w="162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3.04% – 4.53%</w:t>
            </w: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8,945</w:t>
            </w:r>
          </w:p>
        </w:tc>
        <w:tc>
          <w:tcPr>
            <w:tcW w:w="3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10,695</w:t>
            </w:r>
          </w:p>
        </w:tc>
        <w:tc>
          <w:tcPr>
            <w:tcW w:w="8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2020 issuance of $10.0 billion </w:t>
            </w:r>
            <w:r>
              <w:rPr>
                <w:rFonts w:ascii="Arial" w:cs="Arial" w:eastAsia="Arial" w:hAnsi="Arial"/>
                <w:sz w:val="15"/>
                <w:szCs w:val="15"/>
                <w:color w:val="auto"/>
              </w:rPr>
              <w:t>(a)</w:t>
            </w:r>
          </w:p>
        </w:tc>
        <w:tc>
          <w:tcPr>
            <w:tcW w:w="162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2050 – 2060</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2.53% – 2.68%</w:t>
            </w:r>
          </w:p>
        </w:tc>
        <w:tc>
          <w:tcPr>
            <w:tcW w:w="162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2.53% – 2.68%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10,000</w:t>
            </w:r>
          </w:p>
        </w:tc>
        <w:tc>
          <w:tcPr>
            <w:tcW w:w="3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10,000</w:t>
            </w:r>
          </w:p>
        </w:tc>
        <w:tc>
          <w:tcPr>
            <w:tcW w:w="8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2021 issuance of $8.2 billion </w:t>
            </w:r>
            <w:r>
              <w:rPr>
                <w:rFonts w:ascii="Arial" w:cs="Arial" w:eastAsia="Arial" w:hAnsi="Arial"/>
                <w:sz w:val="15"/>
                <w:szCs w:val="15"/>
                <w:color w:val="auto"/>
              </w:rPr>
              <w:t>(a)</w:t>
            </w:r>
          </w:p>
        </w:tc>
        <w:tc>
          <w:tcPr>
            <w:tcW w:w="162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2052 – 2062</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2.92% – 3.04%</w:t>
            </w:r>
          </w:p>
        </w:tc>
        <w:tc>
          <w:tcPr>
            <w:tcW w:w="162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2.92% – 3.04%</w:t>
            </w: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8,185</w:t>
            </w:r>
          </w:p>
        </w:tc>
        <w:tc>
          <w:tcPr>
            <w:tcW w:w="3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8,185</w:t>
            </w:r>
          </w:p>
        </w:tc>
        <w:tc>
          <w:tcPr>
            <w:tcW w:w="80" w:type="dxa"/>
            <w:vAlign w:val="bottom"/>
            <w:shd w:val="clear" w:color="auto" w:fill="E5E5E5"/>
          </w:tcPr>
          <w:p>
            <w:pPr>
              <w:spacing w:after="0"/>
              <w:rPr>
                <w:sz w:val="16"/>
                <w:szCs w:val="16"/>
                <w:color w:val="auto"/>
              </w:rPr>
            </w:pPr>
          </w:p>
        </w:tc>
      </w:tr>
      <w:tr>
        <w:trPr>
          <w:trHeight w:val="67"/>
        </w:trPr>
        <w:tc>
          <w:tcPr>
            <w:tcW w:w="35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49"/>
        </w:trPr>
        <w:tc>
          <w:tcPr>
            <w:tcW w:w="3540" w:type="dxa"/>
            <w:vAlign w:val="bottom"/>
          </w:tcPr>
          <w:p>
            <w:pPr>
              <w:ind w:left="220"/>
              <w:spacing w:after="0"/>
              <w:rPr>
                <w:sz w:val="20"/>
                <w:szCs w:val="20"/>
                <w:color w:val="auto"/>
              </w:rPr>
            </w:pPr>
            <w:r>
              <w:rPr>
                <w:rFonts w:ascii="Arial" w:cs="Arial" w:eastAsia="Arial" w:hAnsi="Arial"/>
                <w:sz w:val="18"/>
                <w:szCs w:val="18"/>
                <w:color w:val="auto"/>
              </w:rPr>
              <w:t>Total face value</w:t>
            </w:r>
          </w:p>
        </w:tc>
        <w:tc>
          <w:tcPr>
            <w:tcW w:w="16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55,511</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63,910</w:t>
            </w:r>
          </w:p>
        </w:tc>
        <w:tc>
          <w:tcPr>
            <w:tcW w:w="80" w:type="dxa"/>
            <w:vAlign w:val="bottom"/>
          </w:tcPr>
          <w:p>
            <w:pPr>
              <w:spacing w:after="0"/>
              <w:rPr>
                <w:sz w:val="21"/>
                <w:szCs w:val="2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Unamortized discount and issuance costs</w:t>
            </w:r>
          </w:p>
        </w:tc>
        <w:tc>
          <w:tcPr>
            <w:tcW w:w="162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(471)</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(511)</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(b)</w:t>
            </w:r>
          </w:p>
        </w:tc>
        <w:tc>
          <w:tcPr>
            <w:tcW w:w="16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(68)</w:t>
            </w:r>
          </w:p>
        </w:tc>
        <w:tc>
          <w:tcPr>
            <w:tcW w:w="3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40</w:t>
            </w:r>
          </w:p>
        </w:tc>
        <w:tc>
          <w:tcPr>
            <w:tcW w:w="8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Premium on debt exchange </w:t>
            </w:r>
            <w:r>
              <w:rPr>
                <w:rFonts w:ascii="Arial" w:cs="Arial" w:eastAsia="Arial" w:hAnsi="Arial"/>
                <w:sz w:val="15"/>
                <w:szCs w:val="15"/>
                <w:color w:val="auto"/>
              </w:rPr>
              <w:t>(a)</w:t>
            </w:r>
          </w:p>
        </w:tc>
        <w:tc>
          <w:tcPr>
            <w:tcW w:w="162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(5,191)</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(5,293)</w:t>
            </w:r>
          </w:p>
        </w:tc>
      </w:tr>
      <w:tr>
        <w:trPr>
          <w:trHeight w:val="67"/>
        </w:trPr>
        <w:tc>
          <w:tcPr>
            <w:tcW w:w="35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49"/>
        </w:trPr>
        <w:tc>
          <w:tcPr>
            <w:tcW w:w="354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6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49,781</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58,146</w:t>
            </w:r>
          </w:p>
        </w:tc>
        <w:tc>
          <w:tcPr>
            <w:tcW w:w="80" w:type="dxa"/>
            <w:vAlign w:val="bottom"/>
          </w:tcPr>
          <w:p>
            <w:pPr>
              <w:spacing w:after="0"/>
              <w:rPr>
                <w:sz w:val="21"/>
                <w:szCs w:val="2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62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(2,749)</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(8,072)</w:t>
            </w:r>
          </w:p>
        </w:tc>
      </w:tr>
      <w:tr>
        <w:trPr>
          <w:trHeight w:val="67"/>
        </w:trPr>
        <w:tc>
          <w:tcPr>
            <w:tcW w:w="35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63"/>
        </w:trPr>
        <w:tc>
          <w:tcPr>
            <w:tcW w:w="354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47,032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50,074</w:t>
            </w:r>
          </w:p>
        </w:tc>
        <w:tc>
          <w:tcPr>
            <w:tcW w:w="80" w:type="dxa"/>
            <w:vAlign w:val="bottom"/>
          </w:tcPr>
          <w:p>
            <w:pPr>
              <w:spacing w:after="0"/>
              <w:rPr>
                <w:sz w:val="22"/>
                <w:szCs w:val="22"/>
                <w:color w:val="auto"/>
              </w:rPr>
            </w:pPr>
          </w:p>
        </w:tc>
      </w:tr>
      <w:tr>
        <w:trPr>
          <w:trHeight w:val="61"/>
        </w:trPr>
        <w:tc>
          <w:tcPr>
            <w:tcW w:w="35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183" w:lineRule="exact"/>
        <w:rPr>
          <w:sz w:val="20"/>
          <w:szCs w:val="20"/>
          <w:color w:val="auto"/>
        </w:rPr>
      </w:pPr>
    </w:p>
    <w:p>
      <w:pPr>
        <w:ind w:left="540" w:hanging="532"/>
        <w:spacing w:after="0" w:line="24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 March 2021 and June 2020, we exchanged a portion of our existing debt at a premium for cash and new debt with longer maturities. The premiums are amortized over the terms of the new debt.</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June 30, 2022 and 2021, the estimated fair value of long-term debt, including the current portion, was $50.9 billion and $70.0 billion, respectively. The estimated fair values are based on Level 2 inputs.</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 Cash paid for interest on our debt for fiscal years 2022, 2021, and 2020 was $1.9 billion, $2.0 billion, and $2.4 billion,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June 30, 2022:</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54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5548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6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6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666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2,750</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6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5,250</w:t>
            </w: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6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2,250</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2026</w:t>
            </w:r>
          </w:p>
        </w:tc>
        <w:tc>
          <w:tcPr>
            <w:tcW w:w="6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2027</w:t>
            </w:r>
          </w:p>
        </w:tc>
        <w:tc>
          <w:tcPr>
            <w:tcW w:w="6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8,000</w:t>
            </w: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6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34,261</w:t>
            </w:r>
          </w:p>
        </w:tc>
        <w:tc>
          <w:tcPr>
            <w:tcW w:w="0" w:type="dxa"/>
            <w:vAlign w:val="bottom"/>
          </w:tcPr>
          <w:p>
            <w:pPr>
              <w:spacing w:after="0"/>
              <w:rPr>
                <w:sz w:val="1"/>
                <w:szCs w:val="1"/>
                <w:color w:val="auto"/>
              </w:rPr>
            </w:pPr>
          </w:p>
        </w:tc>
      </w:tr>
      <w:tr>
        <w:trPr>
          <w:trHeight w:val="67"/>
        </w:trPr>
        <w:tc>
          <w:tcPr>
            <w:tcW w:w="3460" w:type="dxa"/>
            <w:vAlign w:val="bottom"/>
            <w:tcBorders>
              <w:top w:val="single" w:sz="8" w:color="auto"/>
            </w:tcBorders>
          </w:tcPr>
          <w:p>
            <w:pPr>
              <w:spacing w:after="0"/>
              <w:rPr>
                <w:sz w:val="5"/>
                <w:szCs w:val="5"/>
                <w:color w:val="auto"/>
              </w:rPr>
            </w:pPr>
          </w:p>
        </w:tc>
        <w:tc>
          <w:tcPr>
            <w:tcW w:w="6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666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55,511</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6100" w:type="dxa"/>
            <w:vAlign w:val="bottom"/>
            <w:vMerge w:val="restart"/>
          </w:tcPr>
          <w:p>
            <w:pPr>
              <w:jc w:val="right"/>
              <w:ind w:right="3776"/>
              <w:spacing w:after="0"/>
              <w:rPr>
                <w:sz w:val="20"/>
                <w:szCs w:val="20"/>
                <w:color w:val="auto"/>
              </w:rPr>
            </w:pPr>
            <w:r>
              <w:rPr>
                <w:rFonts w:ascii="Arial" w:cs="Arial" w:eastAsia="Arial" w:hAnsi="Arial"/>
                <w:sz w:val="14"/>
                <w:szCs w:val="14"/>
                <w:color w:val="auto"/>
              </w:rPr>
              <w:t>81</w:t>
            </w: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4"/>
        </w:trPr>
        <w:tc>
          <w:tcPr>
            <w:tcW w:w="346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60" w:type="dxa"/>
            <w:vAlign w:val="bottom"/>
            <w:tcBorders>
              <w:bottom w:val="single" w:sz="8" w:color="9A9A9A"/>
            </w:tcBorders>
          </w:tcPr>
          <w:p>
            <w:pPr>
              <w:spacing w:after="0"/>
              <w:rPr>
                <w:sz w:val="8"/>
                <w:szCs w:val="8"/>
                <w:color w:val="auto"/>
              </w:rPr>
            </w:pPr>
          </w:p>
        </w:tc>
        <w:tc>
          <w:tcPr>
            <w:tcW w:w="6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1" w:name="page82"/>
    <w:bookmarkEnd w:id="8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were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5"/>
        </w:trPr>
        <w:tc>
          <w:tcPr>
            <w:tcW w:w="7660" w:type="dxa"/>
            <w:vAlign w:val="bottom"/>
          </w:tcPr>
          <w:p>
            <w:pPr>
              <w:spacing w:after="0"/>
              <w:rPr>
                <w:sz w:val="20"/>
                <w:szCs w:val="20"/>
                <w:color w:val="auto"/>
              </w:rPr>
            </w:pPr>
            <w:r>
              <w:rPr>
                <w:rFonts w:ascii="Arial" w:cs="Arial" w:eastAsia="Arial" w:hAnsi="Arial"/>
                <w:sz w:val="13"/>
                <w:szCs w:val="13"/>
                <w:b w:val="1"/>
                <w:bCs w:val="1"/>
                <w:color w:val="auto"/>
              </w:rPr>
              <w:t>Current Taxes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8,329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3,285</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189"/>
        </w:trPr>
        <w:tc>
          <w:tcPr>
            <w:tcW w:w="766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28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1,679</w:t>
            </w:r>
          </w:p>
        </w:tc>
        <w:tc>
          <w:tcPr>
            <w:tcW w:w="28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1,229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189"/>
        </w:trPr>
        <w:tc>
          <w:tcPr>
            <w:tcW w:w="7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6,672</w:t>
            </w: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5,467</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67"/>
        </w:trPr>
        <w:tc>
          <w:tcPr>
            <w:tcW w:w="76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660" w:type="dxa"/>
            <w:vAlign w:val="bottom"/>
          </w:tcPr>
          <w:p>
            <w:pPr>
              <w:ind w:left="220"/>
              <w:spacing w:after="0"/>
              <w:rPr>
                <w:sz w:val="20"/>
                <w:szCs w:val="20"/>
                <w:color w:val="auto"/>
              </w:rPr>
            </w:pPr>
            <w:r>
              <w:rPr>
                <w:rFonts w:ascii="Arial" w:cs="Arial" w:eastAsia="Arial" w:hAnsi="Arial"/>
                <w:sz w:val="18"/>
                <w:szCs w:val="18"/>
                <w:color w:val="auto"/>
              </w:rPr>
              <w:t>Current taxes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16,680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9,981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15"/>
        </w:trPr>
        <w:tc>
          <w:tcPr>
            <w:tcW w:w="7660" w:type="dxa"/>
            <w:vAlign w:val="bottom"/>
          </w:tcPr>
          <w:p>
            <w:pPr>
              <w:spacing w:after="0"/>
              <w:rPr>
                <w:sz w:val="20"/>
                <w:szCs w:val="20"/>
                <w:color w:val="auto"/>
              </w:rPr>
            </w:pPr>
            <w:r>
              <w:rPr>
                <w:rFonts w:ascii="Arial" w:cs="Arial" w:eastAsia="Arial" w:hAnsi="Arial"/>
                <w:sz w:val="13"/>
                <w:szCs w:val="13"/>
                <w:b w:val="1"/>
                <w:bCs w:val="1"/>
                <w:color w:val="auto"/>
              </w:rPr>
              <w:t>Deferred Taxes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(4,815)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25</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9"/>
        </w:trPr>
        <w:tc>
          <w:tcPr>
            <w:tcW w:w="766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280" w:type="dxa"/>
            <w:vAlign w:val="bottom"/>
          </w:tcPr>
          <w:p>
            <w:pPr>
              <w:spacing w:after="0"/>
              <w:rPr>
                <w:sz w:val="16"/>
                <w:szCs w:val="16"/>
                <w:color w:val="auto"/>
              </w:rPr>
            </w:pP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(1,062)</w:t>
            </w:r>
          </w:p>
        </w:tc>
        <w:tc>
          <w:tcPr>
            <w:tcW w:w="28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9"/>
        </w:trPr>
        <w:tc>
          <w:tcPr>
            <w:tcW w:w="7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175</w:t>
            </w: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29</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7"/>
        </w:trPr>
        <w:tc>
          <w:tcPr>
            <w:tcW w:w="76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66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(5,702)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54"/>
        </w:trPr>
        <w:tc>
          <w:tcPr>
            <w:tcW w:w="7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10,978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9,831</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74"/>
        </w:trPr>
        <w:tc>
          <w:tcPr>
            <w:tcW w:w="7660" w:type="dxa"/>
            <w:vAlign w:val="bottom"/>
            <w:vMerge w:val="restart"/>
          </w:tcPr>
          <w:p>
            <w:pPr>
              <w:spacing w:after="0"/>
              <w:rPr>
                <w:sz w:val="20"/>
                <w:szCs w:val="20"/>
                <w:color w:val="auto"/>
              </w:rPr>
            </w:pPr>
            <w:r>
              <w:rPr>
                <w:rFonts w:ascii="Arial" w:cs="Arial" w:eastAsia="Arial" w:hAnsi="Arial"/>
                <w:sz w:val="18"/>
                <w:szCs w:val="18"/>
                <w:color w:val="auto"/>
              </w:rPr>
              <w:t>U.S. and foreign components of income before income taxes were as follows:</w:t>
            </w: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7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6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34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47,837</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34,972</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24,116</w:t>
            </w:r>
          </w:p>
        </w:tc>
        <w:tc>
          <w:tcPr>
            <w:tcW w:w="0" w:type="dxa"/>
            <w:vAlign w:val="bottom"/>
          </w:tcPr>
          <w:p>
            <w:pPr>
              <w:spacing w:after="0"/>
              <w:rPr>
                <w:sz w:val="1"/>
                <w:szCs w:val="1"/>
                <w:color w:val="auto"/>
              </w:rPr>
            </w:pPr>
          </w:p>
        </w:tc>
      </w:tr>
      <w:tr>
        <w:trPr>
          <w:trHeight w:val="249"/>
        </w:trPr>
        <w:tc>
          <w:tcPr>
            <w:tcW w:w="7660" w:type="dxa"/>
            <w:vAlign w:val="bottom"/>
          </w:tcPr>
          <w:p>
            <w:pPr>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35,879</w:t>
            </w:r>
          </w:p>
        </w:tc>
        <w:tc>
          <w:tcPr>
            <w:tcW w:w="2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36,130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28,920</w:t>
            </w:r>
          </w:p>
        </w:tc>
        <w:tc>
          <w:tcPr>
            <w:tcW w:w="0" w:type="dxa"/>
            <w:vAlign w:val="bottom"/>
          </w:tcPr>
          <w:p>
            <w:pPr>
              <w:spacing w:after="0"/>
              <w:rPr>
                <w:sz w:val="1"/>
                <w:szCs w:val="1"/>
                <w:color w:val="auto"/>
              </w:rPr>
            </w:pPr>
          </w:p>
        </w:tc>
      </w:tr>
      <w:tr>
        <w:trPr>
          <w:trHeight w:val="67"/>
        </w:trPr>
        <w:tc>
          <w:tcPr>
            <w:tcW w:w="76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83,716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71,102</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53,036</w:t>
            </w: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items accounting for the difference between income taxes computed at the U.S. federal statutory rate and our effective rate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0129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2940"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2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2022</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2020</w:t>
            </w:r>
          </w:p>
        </w:tc>
      </w:tr>
      <w:tr>
        <w:trPr>
          <w:trHeight w:val="54"/>
        </w:trPr>
        <w:tc>
          <w:tcPr>
            <w:tcW w:w="7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Federal statutory rate</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21.0%</w:t>
            </w:r>
          </w:p>
        </w:tc>
        <w:tc>
          <w:tcPr>
            <w:tcW w:w="1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21.0%</w:t>
            </w:r>
          </w:p>
        </w:tc>
        <w:tc>
          <w:tcPr>
            <w:tcW w:w="11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21.0%</w:t>
            </w: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Effect of:</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76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Foreign earnings taxed at lower rates</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w:t>
            </w:r>
          </w:p>
        </w:tc>
        <w:tc>
          <w:tcPr>
            <w:tcW w:w="1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(2.7)%</w:t>
            </w:r>
          </w:p>
        </w:tc>
        <w:tc>
          <w:tcPr>
            <w:tcW w:w="11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(3.7)%</w:t>
            </w:r>
          </w:p>
        </w:tc>
      </w:tr>
      <w:tr>
        <w:trPr>
          <w:trHeight w:val="189"/>
        </w:trPr>
        <w:tc>
          <w:tcPr>
            <w:tcW w:w="7680" w:type="dxa"/>
            <w:vAlign w:val="bottom"/>
          </w:tcPr>
          <w:p>
            <w:pPr>
              <w:ind w:left="220"/>
              <w:spacing w:after="0" w:line="189" w:lineRule="exact"/>
              <w:rPr>
                <w:sz w:val="20"/>
                <w:szCs w:val="20"/>
                <w:color w:val="auto"/>
              </w:rPr>
            </w:pPr>
            <w:r>
              <w:rPr>
                <w:rFonts w:ascii="Arial" w:cs="Arial" w:eastAsia="Arial" w:hAnsi="Arial"/>
                <w:sz w:val="18"/>
                <w:szCs w:val="18"/>
                <w:color w:val="auto"/>
              </w:rPr>
              <w:t>Impact of intangible property transfers</w:t>
            </w:r>
          </w:p>
        </w:tc>
        <w:tc>
          <w:tcPr>
            <w:tcW w:w="12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(3.9)%</w:t>
            </w:r>
          </w:p>
        </w:tc>
        <w:tc>
          <w:tcPr>
            <w:tcW w:w="12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0%</w:t>
            </w:r>
          </w:p>
        </w:tc>
      </w:tr>
      <w:tr>
        <w:trPr>
          <w:trHeight w:val="189"/>
        </w:trPr>
        <w:tc>
          <w:tcPr>
            <w:tcW w:w="76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Foreign-derived intangible income deduction</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w:t>
            </w:r>
          </w:p>
        </w:tc>
        <w:tc>
          <w:tcPr>
            <w:tcW w:w="1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(1.3)%</w:t>
            </w:r>
          </w:p>
        </w:tc>
        <w:tc>
          <w:tcPr>
            <w:tcW w:w="11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w:t>
            </w:r>
          </w:p>
        </w:tc>
      </w:tr>
      <w:tr>
        <w:trPr>
          <w:trHeight w:val="189"/>
        </w:trPr>
        <w:tc>
          <w:tcPr>
            <w:tcW w:w="7680" w:type="dxa"/>
            <w:vAlign w:val="bottom"/>
          </w:tcPr>
          <w:p>
            <w:pPr>
              <w:ind w:left="220"/>
              <w:spacing w:after="0" w:line="189" w:lineRule="exact"/>
              <w:rPr>
                <w:sz w:val="20"/>
                <w:szCs w:val="20"/>
                <w:color w:val="auto"/>
              </w:rPr>
            </w:pPr>
            <w:r>
              <w:rPr>
                <w:rFonts w:ascii="Arial" w:cs="Arial" w:eastAsia="Arial" w:hAnsi="Arial"/>
                <w:sz w:val="18"/>
                <w:szCs w:val="18"/>
                <w:color w:val="auto"/>
              </w:rPr>
              <w:t>State income taxes, net of federal benefit</w:t>
            </w:r>
          </w:p>
        </w:tc>
        <w:tc>
          <w:tcPr>
            <w:tcW w:w="12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1.4%</w:t>
            </w:r>
          </w:p>
        </w:tc>
        <w:tc>
          <w:tcPr>
            <w:tcW w:w="12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1.4%</w:t>
            </w:r>
          </w:p>
        </w:tc>
        <w:tc>
          <w:tcPr>
            <w:tcW w:w="11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1.3%</w:t>
            </w:r>
          </w:p>
        </w:tc>
      </w:tr>
      <w:tr>
        <w:trPr>
          <w:trHeight w:val="189"/>
        </w:trPr>
        <w:tc>
          <w:tcPr>
            <w:tcW w:w="76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Research and development credit</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(0.9)%</w:t>
            </w:r>
          </w:p>
        </w:tc>
        <w:tc>
          <w:tcPr>
            <w:tcW w:w="1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(0.9)%</w:t>
            </w:r>
          </w:p>
        </w:tc>
        <w:tc>
          <w:tcPr>
            <w:tcW w:w="11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w:t>
            </w:r>
          </w:p>
        </w:tc>
      </w:tr>
      <w:tr>
        <w:trPr>
          <w:trHeight w:val="189"/>
        </w:trPr>
        <w:tc>
          <w:tcPr>
            <w:tcW w:w="7680" w:type="dxa"/>
            <w:vAlign w:val="bottom"/>
          </w:tcPr>
          <w:p>
            <w:pPr>
              <w:ind w:left="220"/>
              <w:spacing w:after="0" w:line="189" w:lineRule="exact"/>
              <w:rPr>
                <w:sz w:val="20"/>
                <w:szCs w:val="20"/>
                <w:color w:val="auto"/>
              </w:rPr>
            </w:pPr>
            <w:r>
              <w:rPr>
                <w:rFonts w:ascii="Arial" w:cs="Arial" w:eastAsia="Arial" w:hAnsi="Arial"/>
                <w:sz w:val="18"/>
                <w:szCs w:val="18"/>
                <w:color w:val="auto"/>
              </w:rPr>
              <w:t>Excess tax benefits relating to stock-based compensation</w:t>
            </w:r>
          </w:p>
        </w:tc>
        <w:tc>
          <w:tcPr>
            <w:tcW w:w="12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(1.9)%</w:t>
            </w:r>
          </w:p>
        </w:tc>
        <w:tc>
          <w:tcPr>
            <w:tcW w:w="12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(2.4)%</w:t>
            </w:r>
          </w:p>
        </w:tc>
        <w:tc>
          <w:tcPr>
            <w:tcW w:w="11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(2.2)%</w:t>
            </w:r>
          </w:p>
        </w:tc>
      </w:tr>
      <w:tr>
        <w:trPr>
          <w:trHeight w:val="189"/>
        </w:trPr>
        <w:tc>
          <w:tcPr>
            <w:tcW w:w="76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Interest, net</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0.5%</w:t>
            </w:r>
          </w:p>
        </w:tc>
        <w:tc>
          <w:tcPr>
            <w:tcW w:w="1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0.5%</w:t>
            </w:r>
          </w:p>
        </w:tc>
        <w:tc>
          <w:tcPr>
            <w:tcW w:w="11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1.0%</w:t>
            </w:r>
          </w:p>
        </w:tc>
      </w:tr>
      <w:tr>
        <w:trPr>
          <w:trHeight w:val="249"/>
        </w:trPr>
        <w:tc>
          <w:tcPr>
            <w:tcW w:w="7680" w:type="dxa"/>
            <w:vAlign w:val="bottom"/>
          </w:tcPr>
          <w:p>
            <w:pPr>
              <w:ind w:left="220"/>
              <w:spacing w:after="0"/>
              <w:rPr>
                <w:sz w:val="20"/>
                <w:szCs w:val="20"/>
                <w:color w:val="auto"/>
              </w:rPr>
            </w:pPr>
            <w:r>
              <w:rPr>
                <w:rFonts w:ascii="Arial" w:cs="Arial" w:eastAsia="Arial" w:hAnsi="Arial"/>
                <w:sz w:val="18"/>
                <w:szCs w:val="18"/>
                <w:color w:val="auto"/>
              </w:rPr>
              <w:t>Other reconciling items, net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67"/>
        </w:trPr>
        <w:tc>
          <w:tcPr>
            <w:tcW w:w="76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r>
      <w:tr>
        <w:trPr>
          <w:trHeight w:val="189"/>
        </w:trPr>
        <w:tc>
          <w:tcPr>
            <w:tcW w:w="76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Effective rate</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13.1%</w:t>
            </w:r>
          </w:p>
        </w:tc>
        <w:tc>
          <w:tcPr>
            <w:tcW w:w="1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13.8%</w:t>
            </w:r>
          </w:p>
        </w:tc>
        <w:tc>
          <w:tcPr>
            <w:tcW w:w="11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16.5%</w:t>
            </w:r>
          </w:p>
        </w:tc>
      </w:tr>
      <w:tr>
        <w:trPr>
          <w:trHeight w:val="74"/>
        </w:trPr>
        <w:tc>
          <w:tcPr>
            <w:tcW w:w="768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exceeds the current tax liability from the U.S. global intangible low-taxed income (“GILTI”) tax.</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2" w:name="page83"/>
    <w:bookmarkEnd w:id="8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historically paid India withholding taxes on software sales through distributor withholding and tax audit assessments in India. In March 2021, the India Supreme Court ruled favorably in the case of Engineering Analysis Centre of Excellence Private Limited vs The Commissioner of Income Tax for companies in 86 separate appeals, some dating back to 2012, holding that software sales are not subject to India withholding taxes. Although we were not a party to the appeals, our software sales in India were determined to be not subject to withholding taxes. Therefore, we recorded a net income tax benefit of $ 620 million in the third quarter of fiscal year 2021 to reflect the results of the India Supreme Court decision impacting fiscal year 1996 through fiscal year 2016.</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decrease from the federal statutory rate in fiscal year 2022 is primarily due to the net income tax benefit related to the transfer of intangible properties, earnings taxed at lower rates in foreign jurisdictions resulting from producing and distributing our products and services through our foreign regional operations center in Ireland, and tax benefits relating to stock-based compensation. The decrease from the federal statutory rate in fiscal year 2021 is primarily due to earnings taxed at lower rates in foreign jurisdictions resulting from producing and distributing our products and services through our foreign regional operations centers in Ireland and Puerto Rico, tax benefits relating to stock-based compensation, and tax benefits from the India Supreme Court decision on withholding taxes. The decrease from the federal statutory rate in fiscal year 2020 is primarily due to earnings taxed at lower rates in foreign jurisdictions resulting from producing and distributing our products and services through our foreign regional operations centers in Ireland and Puerto Rico, and tax benefits relating to stock-based compensation. In fiscal years 2022, 2021, and 2020, our foreign regional operating centers in Ireland and Puerto Rico, which are taxed at rates lower than the U.S. rate, generated 71%, 82%, and 86% of our foreign income before tax. Other reconciling items, net consists primarily of tax credits and GILTI tax, and in fiscal year 2021, includes tax benefits from the India Supreme Court decision on withholding taxes. In fiscal years 2022, 2021, and 2020, there were no individually significant other reconciling items.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decrease in our effective tax rate for fiscal year 2022 compared to fiscal year 2021 was primarily due to a $3.3 billion net income tax benefit in the first quarter of fiscal year 2022 related to the transfer of intangible properties, offset in part by changes in the mix of our income before income taxes between the U.S. and foreign countries, as well as tax benefits in the prior year from the India Supreme Court decision on withholding taxes, an agreement between the U.S. and India tax authorities related to transfer pricing, and final Tax Cuts and Jobs Act (“TCJA”) regulations. The decrease in our effective tax rate for fiscal year 2021 compared to fiscal year 2020 was primarily due to tax benefits from the India Supreme Court decision on withholding taxes, an agreement between the U.S. and India tax authorities related to transfer pricing, final TCJA regulations, and an increase in tax benefits relating to stock-based compensation.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3" w:name="page84"/>
    <w:bookmarkEnd w:id="8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income tax assets and liabilities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0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3"/>
                <w:szCs w:val="13"/>
                <w:b w:val="1"/>
                <w:bCs w:val="1"/>
                <w:color w:val="auto"/>
              </w:rPr>
              <w:t>Deferred Income Tax Assets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601</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502</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Accruals, reserves, and other expenses</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2,874</w:t>
            </w:r>
          </w:p>
        </w:tc>
        <w:tc>
          <w:tcPr>
            <w:tcW w:w="24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2,960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Loss and credit carryforwards</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1,546</w:t>
            </w: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1,090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10,656</w:t>
            </w:r>
          </w:p>
        </w:tc>
        <w:tc>
          <w:tcPr>
            <w:tcW w:w="24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6,346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Leasing liabilities</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4,557</w:t>
            </w: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4,060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Unearned revenue</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2,876</w:t>
            </w:r>
          </w:p>
        </w:tc>
        <w:tc>
          <w:tcPr>
            <w:tcW w:w="24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2,659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461</w:t>
            </w: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319</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8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900" w:type="dxa"/>
            <w:vAlign w:val="bottom"/>
          </w:tcPr>
          <w:p>
            <w:pPr>
              <w:ind w:left="220"/>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23,571</w:t>
            </w:r>
          </w:p>
        </w:tc>
        <w:tc>
          <w:tcPr>
            <w:tcW w:w="24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17,936</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Less valuation allowance</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(1,012)</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67"/>
        </w:trPr>
        <w:tc>
          <w:tcPr>
            <w:tcW w:w="8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900" w:type="dxa"/>
            <w:vAlign w:val="bottom"/>
          </w:tcPr>
          <w:p>
            <w:pPr>
              <w:ind w:left="220"/>
              <w:spacing w:after="0"/>
              <w:rPr>
                <w:sz w:val="20"/>
                <w:szCs w:val="20"/>
                <w:color w:val="auto"/>
              </w:rPr>
            </w:pPr>
            <w:r>
              <w:rPr>
                <w:rFonts w:ascii="Arial" w:cs="Arial" w:eastAsia="Arial" w:hAnsi="Arial"/>
                <w:sz w:val="18"/>
                <w:szCs w:val="18"/>
                <w:color w:val="auto"/>
              </w:rPr>
              <w:t>Deferred income tax assets, net of valuation allowance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22,559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54"/>
        </w:trPr>
        <w:tc>
          <w:tcPr>
            <w:tcW w:w="8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3"/>
                <w:szCs w:val="13"/>
                <w:b w:val="1"/>
                <w:bCs w:val="1"/>
                <w:color w:val="auto"/>
              </w:rPr>
              <w:t>Deferred Income Tax Liabilities</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Book/tax basis differences in investments and debt</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(174)</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Leasing assets</w:t>
            </w:r>
          </w:p>
        </w:tc>
        <w:tc>
          <w:tcPr>
            <w:tcW w:w="280" w:type="dxa"/>
            <w:vAlign w:val="bottom"/>
          </w:tcPr>
          <w:p>
            <w:pPr>
              <w:spacing w:after="0"/>
              <w:rPr>
                <w:sz w:val="16"/>
                <w:szCs w:val="16"/>
                <w:color w:val="auto"/>
              </w:rPr>
            </w:pPr>
          </w:p>
        </w:tc>
        <w:tc>
          <w:tcPr>
            <w:tcW w:w="9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(4,291)</w:t>
            </w:r>
          </w:p>
        </w:tc>
        <w:tc>
          <w:tcPr>
            <w:tcW w:w="240" w:type="dxa"/>
            <w:vAlign w:val="bottom"/>
          </w:tcPr>
          <w:p>
            <w:pPr>
              <w:spacing w:after="0"/>
              <w:rPr>
                <w:sz w:val="16"/>
                <w:szCs w:val="16"/>
                <w:color w:val="auto"/>
              </w:rPr>
            </w:pPr>
          </w:p>
        </w:tc>
        <w:tc>
          <w:tcPr>
            <w:tcW w:w="86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Depreciation</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(1,602)</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Deferred tax on foreign earnings</w:t>
            </w:r>
          </w:p>
        </w:tc>
        <w:tc>
          <w:tcPr>
            <w:tcW w:w="280" w:type="dxa"/>
            <w:vAlign w:val="bottom"/>
          </w:tcPr>
          <w:p>
            <w:pPr>
              <w:spacing w:after="0"/>
              <w:rPr>
                <w:sz w:val="16"/>
                <w:szCs w:val="16"/>
                <w:color w:val="auto"/>
              </w:rPr>
            </w:pPr>
          </w:p>
        </w:tc>
        <w:tc>
          <w:tcPr>
            <w:tcW w:w="9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(3,104)</w:t>
            </w:r>
          </w:p>
        </w:tc>
        <w:tc>
          <w:tcPr>
            <w:tcW w:w="240" w:type="dxa"/>
            <w:vAlign w:val="bottom"/>
          </w:tcPr>
          <w:p>
            <w:pPr>
              <w:spacing w:after="0"/>
              <w:rPr>
                <w:sz w:val="16"/>
                <w:szCs w:val="16"/>
                <w:color w:val="auto"/>
              </w:rPr>
            </w:pPr>
          </w:p>
        </w:tc>
        <w:tc>
          <w:tcPr>
            <w:tcW w:w="86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(103)</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67"/>
        </w:trPr>
        <w:tc>
          <w:tcPr>
            <w:tcW w:w="8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900" w:type="dxa"/>
            <w:vAlign w:val="bottom"/>
          </w:tcPr>
          <w:p>
            <w:pPr>
              <w:ind w:left="220"/>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54"/>
        </w:trPr>
        <w:tc>
          <w:tcPr>
            <w:tcW w:w="8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Net deferred income tax assets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13,285</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6,983</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0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9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7,181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deferred income tax liabilities</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(230)</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67"/>
        </w:trPr>
        <w:tc>
          <w:tcPr>
            <w:tcW w:w="8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900" w:type="dxa"/>
            <w:vAlign w:val="bottom"/>
          </w:tcPr>
          <w:p>
            <w:pPr>
              <w:ind w:left="440"/>
              <w:spacing w:after="0"/>
              <w:rPr>
                <w:sz w:val="20"/>
                <w:szCs w:val="20"/>
                <w:color w:val="auto"/>
              </w:rPr>
            </w:pPr>
            <w:r>
              <w:rPr>
                <w:rFonts w:ascii="Arial" w:cs="Arial" w:eastAsia="Arial" w:hAnsi="Arial"/>
                <w:sz w:val="18"/>
                <w:szCs w:val="18"/>
                <w:color w:val="auto"/>
              </w:rPr>
              <w:t>Net deferred income tax assets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6,983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9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June 30, 2022, we had federal, state, and foreign net operating loss carryforwards of $318 million, $ 1.3 billion, and $2.1 billion, respectively. The federal and state net operating loss carryforwards will expire in various years from fiscal 2023 through 2042, if not utilized. The majority of our foreign net operating loss carryforwards do not expire. Certain acquired net operating loss carryforwards are subject to an annual limitation but are expected to be realized with the exception of those which have a valuation allowance. As of June 30, 2022, we had $1.3 billion federal capital loss carryforwards for U.S. tax purposes from our acquisition of Nuance. The federal capital loss carryforwards are subject to an annual limitation and will expire in various years from fiscal 2023 through 2025.</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valuation allowance disclosed in the table above relates to the foreign net operating loss carryforwards, federal capital loss carryforwards, and other net deferred tax assets that may not be realized.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were $16.0 billion, $13.4 billion, and $12.5 billion in fiscal years 2022,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unrecognized tax benefits related to uncertain tax positions as of June 30, 2022, 2021, and 2020, were $15.6 billion, $14.6 billion, and $13.8 billion, respectively, which were primarily included in long-term income taxes in our consolidated balance sheets. If recognized, the resulting tax benefit would affect our effective tax rates for fiscal years 2022, 2021, and 2020 by $13.3 billion, $12.5 billion, and $12.1 billion,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4" w:name="page85"/>
    <w:bookmarkEnd w:id="8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June 30, 2022, 2021, and 2020, we had accrued interest expense related to uncertain tax positions of $4.3 billion, $4.3 billion, and $4.0 billion, respectively, net of income tax benefits. The provision for income taxes for fiscal years 2022, 2021, and 2020 included interest expense related to uncertain tax positions of $36 million, $274 million, and $579 million, respectively, net of income tax benefits.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changes in the gross unrecognized tax benefits related to uncertain tax positions were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r>
      <w:tr>
        <w:trPr>
          <w:trHeight w:val="54"/>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7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Beginning unrecognized tax benefits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14,550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13,792</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13,146</w:t>
            </w:r>
          </w:p>
        </w:tc>
      </w:tr>
      <w:tr>
        <w:trPr>
          <w:trHeight w:val="189"/>
        </w:trPr>
        <w:tc>
          <w:tcPr>
            <w:tcW w:w="7660" w:type="dxa"/>
            <w:vAlign w:val="bottom"/>
          </w:tcPr>
          <w:p>
            <w:pPr>
              <w:ind w:left="220"/>
              <w:spacing w:after="0" w:line="189" w:lineRule="exact"/>
              <w:rPr>
                <w:sz w:val="20"/>
                <w:szCs w:val="20"/>
                <w:color w:val="auto"/>
              </w:rPr>
            </w:pPr>
            <w:r>
              <w:rPr>
                <w:rFonts w:ascii="Arial" w:cs="Arial" w:eastAsia="Arial" w:hAnsi="Arial"/>
                <w:sz w:val="18"/>
                <w:szCs w:val="18"/>
                <w:color w:val="auto"/>
              </w:rPr>
              <w:t>Decreases related to settlements</w:t>
            </w:r>
          </w:p>
        </w:tc>
        <w:tc>
          <w:tcPr>
            <w:tcW w:w="280" w:type="dxa"/>
            <w:vAlign w:val="bottom"/>
          </w:tcPr>
          <w:p>
            <w:pPr>
              <w:spacing w:after="0"/>
              <w:rPr>
                <w:sz w:val="16"/>
                <w:szCs w:val="16"/>
                <w:color w:val="auto"/>
              </w:rPr>
            </w:pP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(317)</w:t>
            </w:r>
          </w:p>
        </w:tc>
        <w:tc>
          <w:tcPr>
            <w:tcW w:w="28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(195)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(31)</w:t>
            </w:r>
          </w:p>
        </w:tc>
      </w:tr>
      <w:tr>
        <w:trPr>
          <w:trHeight w:val="189"/>
        </w:trPr>
        <w:tc>
          <w:tcPr>
            <w:tcW w:w="7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Increases for tax positions related to the current year</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1,145</w:t>
            </w: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790</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647</w:t>
            </w:r>
          </w:p>
        </w:tc>
      </w:tr>
      <w:tr>
        <w:trPr>
          <w:trHeight w:val="189"/>
        </w:trPr>
        <w:tc>
          <w:tcPr>
            <w:tcW w:w="7660" w:type="dxa"/>
            <w:vAlign w:val="bottom"/>
          </w:tcPr>
          <w:p>
            <w:pPr>
              <w:ind w:left="220"/>
              <w:spacing w:after="0" w:line="189" w:lineRule="exact"/>
              <w:rPr>
                <w:sz w:val="20"/>
                <w:szCs w:val="20"/>
                <w:color w:val="auto"/>
              </w:rPr>
            </w:pPr>
            <w:r>
              <w:rPr>
                <w:rFonts w:ascii="Arial" w:cs="Arial" w:eastAsia="Arial" w:hAnsi="Arial"/>
                <w:sz w:val="18"/>
                <w:szCs w:val="18"/>
                <w:color w:val="auto"/>
              </w:rPr>
              <w:t>Increases for tax positions related to prior years</w:t>
            </w:r>
          </w:p>
        </w:tc>
        <w:tc>
          <w:tcPr>
            <w:tcW w:w="28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461</w:t>
            </w:r>
          </w:p>
        </w:tc>
        <w:tc>
          <w:tcPr>
            <w:tcW w:w="28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461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366</w:t>
            </w:r>
          </w:p>
        </w:tc>
      </w:tr>
      <w:tr>
        <w:trPr>
          <w:trHeight w:val="189"/>
        </w:trPr>
        <w:tc>
          <w:tcPr>
            <w:tcW w:w="7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Decreases for tax positions related to prior years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(246)</w:t>
            </w: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(297)</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(331)</w:t>
            </w:r>
          </w:p>
        </w:tc>
      </w:tr>
      <w:tr>
        <w:trPr>
          <w:trHeight w:val="249"/>
        </w:trPr>
        <w:tc>
          <w:tcPr>
            <w:tcW w:w="7660" w:type="dxa"/>
            <w:vAlign w:val="bottom"/>
          </w:tcPr>
          <w:p>
            <w:pPr>
              <w:ind w:left="220"/>
              <w:spacing w:after="0"/>
              <w:rPr>
                <w:sz w:val="20"/>
                <w:szCs w:val="20"/>
                <w:color w:val="auto"/>
              </w:rPr>
            </w:pPr>
            <w:r>
              <w:rPr>
                <w:rFonts w:ascii="Arial" w:cs="Arial" w:eastAsia="Arial" w:hAnsi="Arial"/>
                <w:sz w:val="18"/>
                <w:szCs w:val="18"/>
                <w:color w:val="auto"/>
              </w:rPr>
              <w:t>Decreases due to lapsed statutes of limitations</w:t>
            </w:r>
          </w:p>
        </w:tc>
        <w:tc>
          <w:tcPr>
            <w:tcW w:w="2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67"/>
        </w:trPr>
        <w:tc>
          <w:tcPr>
            <w:tcW w:w="76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7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Ending unrecognized tax benefits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15,593</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14,550</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13,792</w:t>
            </w:r>
          </w:p>
        </w:tc>
      </w:tr>
      <w:tr>
        <w:trPr>
          <w:trHeight w:val="74"/>
        </w:trPr>
        <w:tc>
          <w:tcPr>
            <w:tcW w:w="76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June 30, 2022,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2021, some of which are currently under audit by local tax authorities. The resolution of each of these audits is not expected to be material to our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UNEARNED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4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4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4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3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24,558</w:t>
            </w:r>
          </w:p>
        </w:tc>
        <w:tc>
          <w:tcPr>
            <w:tcW w:w="38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19,371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17,710</w:t>
            </w:r>
          </w:p>
        </w:tc>
        <w:tc>
          <w:tcPr>
            <w:tcW w:w="0" w:type="dxa"/>
            <w:vAlign w:val="bottom"/>
          </w:tcPr>
          <w:p>
            <w:pPr>
              <w:spacing w:after="0"/>
              <w:rPr>
                <w:sz w:val="1"/>
                <w:szCs w:val="1"/>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0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4,479</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67"/>
        </w:trPr>
        <w:tc>
          <w:tcPr>
            <w:tcW w:w="464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640" w:type="dxa"/>
            <w:vAlign w:val="bottom"/>
          </w:tcPr>
          <w:p>
            <w:pPr>
              <w:ind w:left="220"/>
              <w:spacing w:after="0"/>
              <w:rPr>
                <w:sz w:val="20"/>
                <w:szCs w:val="20"/>
                <w:color w:val="auto"/>
              </w:rPr>
            </w:pPr>
            <w:r>
              <w:rPr>
                <w:rFonts w:ascii="Arial" w:cs="Arial" w:eastAsia="Arial" w:hAnsi="Arial"/>
                <w:sz w:val="18"/>
                <w:szCs w:val="18"/>
                <w:color w:val="auto"/>
              </w:rPr>
              <w:t>Total</w:t>
            </w:r>
          </w:p>
        </w:tc>
        <w:tc>
          <w:tcPr>
            <w:tcW w:w="4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48,408</w:t>
            </w: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44,141</w:t>
            </w:r>
          </w:p>
        </w:tc>
        <w:tc>
          <w:tcPr>
            <w:tcW w:w="0" w:type="dxa"/>
            <w:vAlign w:val="bottom"/>
          </w:tcPr>
          <w:p>
            <w:pPr>
              <w:spacing w:after="0"/>
              <w:rPr>
                <w:sz w:val="1"/>
                <w:szCs w:val="1"/>
                <w:color w:val="auto"/>
              </w:rPr>
            </w:pPr>
          </w:p>
        </w:tc>
      </w:tr>
      <w:tr>
        <w:trPr>
          <w:trHeight w:val="61"/>
        </w:trPr>
        <w:tc>
          <w:tcPr>
            <w:tcW w:w="4640" w:type="dxa"/>
            <w:vAlign w:val="bottom"/>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40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4640" w:type="dxa"/>
            <w:vAlign w:val="bottom"/>
            <w:vMerge w:val="continue"/>
          </w:tcPr>
          <w:p>
            <w:pPr>
              <w:spacing w:after="0"/>
              <w:rPr>
                <w:sz w:val="24"/>
                <w:szCs w:val="24"/>
                <w:color w:val="auto"/>
              </w:rPr>
            </w:pPr>
          </w:p>
        </w:tc>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4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640" w:type="dxa"/>
            <w:vAlign w:val="bottom"/>
          </w:tcPr>
          <w:p>
            <w:pPr>
              <w:spacing w:after="0"/>
              <w:rPr>
                <w:sz w:val="20"/>
                <w:szCs w:val="20"/>
                <w:color w:val="auto"/>
              </w:rPr>
            </w:pPr>
            <w:r>
              <w:rPr>
                <w:rFonts w:ascii="Arial" w:cs="Arial" w:eastAsia="Arial" w:hAnsi="Arial"/>
                <w:sz w:val="13"/>
                <w:szCs w:val="13"/>
                <w:b w:val="1"/>
                <w:bCs w:val="1"/>
                <w:color w:val="auto"/>
              </w:rPr>
              <w:t>Year Ended June 30, 2022</w:t>
            </w:r>
          </w:p>
        </w:tc>
        <w:tc>
          <w:tcPr>
            <w:tcW w:w="4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4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0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44,141</w:t>
            </w:r>
          </w:p>
        </w:tc>
        <w:tc>
          <w:tcPr>
            <w:tcW w:w="0" w:type="dxa"/>
            <w:vAlign w:val="bottom"/>
          </w:tcPr>
          <w:p>
            <w:pPr>
              <w:spacing w:after="0"/>
              <w:rPr>
                <w:sz w:val="1"/>
                <w:szCs w:val="1"/>
                <w:color w:val="auto"/>
              </w:rPr>
            </w:pPr>
          </w:p>
        </w:tc>
      </w:tr>
      <w:tr>
        <w:trPr>
          <w:trHeight w:val="189"/>
        </w:trPr>
        <w:tc>
          <w:tcPr>
            <w:tcW w:w="4640" w:type="dxa"/>
            <w:vAlign w:val="bottom"/>
          </w:tcPr>
          <w:p>
            <w:pPr>
              <w:ind w:left="220"/>
              <w:spacing w:after="0" w:line="189" w:lineRule="exact"/>
              <w:rPr>
                <w:sz w:val="20"/>
                <w:szCs w:val="20"/>
                <w:color w:val="auto"/>
              </w:rPr>
            </w:pPr>
            <w:r>
              <w:rPr>
                <w:rFonts w:ascii="Arial" w:cs="Arial" w:eastAsia="Arial" w:hAnsi="Arial"/>
                <w:sz w:val="18"/>
                <w:szCs w:val="18"/>
                <w:color w:val="auto"/>
              </w:rPr>
              <w:t>Deferral of revenue</w:t>
            </w:r>
          </w:p>
        </w:tc>
        <w:tc>
          <w:tcPr>
            <w:tcW w:w="4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110,455</w:t>
            </w:r>
          </w:p>
        </w:tc>
        <w:tc>
          <w:tcPr>
            <w:tcW w:w="0" w:type="dxa"/>
            <w:vAlign w:val="bottom"/>
          </w:tcPr>
          <w:p>
            <w:pPr>
              <w:spacing w:after="0"/>
              <w:rPr>
                <w:sz w:val="1"/>
                <w:szCs w:val="1"/>
                <w:color w:val="auto"/>
              </w:rPr>
            </w:pPr>
          </w:p>
        </w:tc>
      </w:tr>
      <w:tr>
        <w:trPr>
          <w:trHeight w:val="189"/>
        </w:trPr>
        <w:tc>
          <w:tcPr>
            <w:tcW w:w="46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Recognition of unearned revenue</w:t>
            </w:r>
          </w:p>
        </w:tc>
        <w:tc>
          <w:tcPr>
            <w:tcW w:w="40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(106,188)</w:t>
            </w:r>
          </w:p>
        </w:tc>
        <w:tc>
          <w:tcPr>
            <w:tcW w:w="0" w:type="dxa"/>
            <w:vAlign w:val="bottom"/>
          </w:tcPr>
          <w:p>
            <w:pPr>
              <w:spacing w:after="0"/>
              <w:rPr>
                <w:sz w:val="1"/>
                <w:szCs w:val="1"/>
                <w:color w:val="auto"/>
              </w:rPr>
            </w:pPr>
          </w:p>
        </w:tc>
      </w:tr>
      <w:tr>
        <w:trPr>
          <w:trHeight w:val="67"/>
        </w:trPr>
        <w:tc>
          <w:tcPr>
            <w:tcW w:w="464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3"/>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0"/>
                <w:szCs w:val="20"/>
                <w:color w:val="auto"/>
              </w:rPr>
            </w:pPr>
            <w:r>
              <w:rPr>
                <w:rFonts w:ascii="Arial" w:cs="Arial" w:eastAsia="Arial" w:hAnsi="Arial"/>
                <w:sz w:val="18"/>
                <w:szCs w:val="18"/>
                <w:color w:val="auto"/>
              </w:rPr>
              <w:t>Balance, end of period</w:t>
            </w:r>
          </w:p>
        </w:tc>
        <w:tc>
          <w:tcPr>
            <w:tcW w:w="4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48,408</w:t>
            </w:r>
          </w:p>
        </w:tc>
        <w:tc>
          <w:tcPr>
            <w:tcW w:w="0" w:type="dxa"/>
            <w:vAlign w:val="bottom"/>
          </w:tcPr>
          <w:p>
            <w:pPr>
              <w:spacing w:after="0"/>
              <w:rPr>
                <w:sz w:val="1"/>
                <w:szCs w:val="1"/>
                <w:color w:val="auto"/>
              </w:rPr>
            </w:pPr>
          </w:p>
        </w:tc>
      </w:tr>
      <w:tr>
        <w:trPr>
          <w:trHeight w:val="61"/>
        </w:trPr>
        <w:tc>
          <w:tcPr>
            <w:tcW w:w="4640" w:type="dxa"/>
            <w:vAlign w:val="bottom"/>
          </w:tcPr>
          <w:p>
            <w:pPr>
              <w:spacing w:after="0"/>
              <w:rPr>
                <w:sz w:val="5"/>
                <w:szCs w:val="5"/>
                <w:color w:val="auto"/>
              </w:rPr>
            </w:pPr>
          </w:p>
        </w:tc>
        <w:tc>
          <w:tcPr>
            <w:tcW w:w="4020" w:type="dxa"/>
            <w:vAlign w:val="bottom"/>
            <w:vMerge w:val="restart"/>
          </w:tcPr>
          <w:p>
            <w:pPr>
              <w:jc w:val="right"/>
              <w:ind w:right="2876"/>
              <w:spacing w:after="0"/>
              <w:rPr>
                <w:sz w:val="20"/>
                <w:szCs w:val="20"/>
                <w:color w:val="auto"/>
              </w:rPr>
            </w:pPr>
            <w:r>
              <w:rPr>
                <w:rFonts w:ascii="Arial" w:cs="Arial" w:eastAsia="Arial" w:hAnsi="Arial"/>
                <w:sz w:val="14"/>
                <w:szCs w:val="14"/>
                <w:color w:val="auto"/>
              </w:rPr>
              <w:t>85</w:t>
            </w: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46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64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5" w:name="page86"/>
    <w:bookmarkEnd w:id="8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$ 193 billion as of June 30, 2022, of which $189 billion is related to the commercial portion of revenue. We expect to recognize approximately 45% of this revenue over the next 12 months and the remainder thereafter.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LEASES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1 year to 19 years, some of which include options to extend the leases for up to 5 years, and some of which include options to terminate the leases within 1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8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2,461</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2,127</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74"/>
        </w:trPr>
        <w:tc>
          <w:tcPr>
            <w:tcW w:w="838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83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380" w:type="dxa"/>
            <w:vAlign w:val="bottom"/>
            <w:shd w:val="clear" w:color="auto" w:fill="E5E5E5"/>
          </w:tcPr>
          <w:p>
            <w:pPr>
              <w:ind w:left="280"/>
              <w:spacing w:after="0" w:line="189" w:lineRule="exact"/>
              <w:rPr>
                <w:sz w:val="20"/>
                <w:szCs w:val="20"/>
                <w:color w:val="auto"/>
              </w:rPr>
            </w:pPr>
            <w:r>
              <w:rPr>
                <w:rFonts w:ascii="Arial" w:cs="Arial" w:eastAsia="Arial" w:hAnsi="Arial"/>
                <w:sz w:val="18"/>
                <w:szCs w:val="18"/>
                <w:color w:val="auto"/>
              </w:rPr>
              <w:t>Amortization of right-of-use assets</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980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921</w:t>
            </w: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9"/>
        </w:trPr>
        <w:tc>
          <w:tcPr>
            <w:tcW w:w="838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2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429</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67"/>
        </w:trPr>
        <w:tc>
          <w:tcPr>
            <w:tcW w:w="83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380" w:type="dxa"/>
            <w:vAlign w:val="bottom"/>
            <w:shd w:val="clear" w:color="auto" w:fill="E5E5E5"/>
          </w:tcPr>
          <w:p>
            <w:pPr>
              <w:ind w:left="280"/>
              <w:spacing w:after="0" w:line="189" w:lineRule="exact"/>
              <w:rPr>
                <w:sz w:val="20"/>
                <w:szCs w:val="20"/>
                <w:color w:val="auto"/>
              </w:rPr>
            </w:pPr>
            <w:r>
              <w:rPr>
                <w:rFonts w:ascii="Arial" w:cs="Arial" w:eastAsia="Arial" w:hAnsi="Arial"/>
                <w:sz w:val="18"/>
                <w:szCs w:val="18"/>
                <w:color w:val="auto"/>
              </w:rPr>
              <w:t>Total finance lease cost</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1,409</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1,307</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74"/>
        </w:trPr>
        <w:tc>
          <w:tcPr>
            <w:tcW w:w="838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7"/>
        </w:trPr>
        <w:tc>
          <w:tcPr>
            <w:tcW w:w="8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3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8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80" w:type="dxa"/>
            <w:vAlign w:val="bottom"/>
          </w:tcPr>
          <w:p>
            <w:pPr>
              <w:ind w:left="2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2,368</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2,052</w:t>
            </w: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189"/>
        </w:trPr>
        <w:tc>
          <w:tcPr>
            <w:tcW w:w="83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cash flows from finance leases</w:t>
            </w:r>
          </w:p>
        </w:tc>
        <w:tc>
          <w:tcPr>
            <w:tcW w:w="22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429</w:t>
            </w:r>
          </w:p>
        </w:tc>
        <w:tc>
          <w:tcPr>
            <w:tcW w:w="22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386</w:t>
            </w: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7"/>
        </w:trPr>
        <w:tc>
          <w:tcPr>
            <w:tcW w:w="838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896</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197"/>
        </w:trPr>
        <w:tc>
          <w:tcPr>
            <w:tcW w:w="8380" w:type="dxa"/>
            <w:vAlign w:val="bottom"/>
            <w:shd w:val="clear" w:color="auto" w:fill="E5E5E5"/>
          </w:tcPr>
          <w:p>
            <w:pPr>
              <w:spacing w:after="0" w:line="197" w:lineRule="exact"/>
              <w:rPr>
                <w:sz w:val="20"/>
                <w:szCs w:val="20"/>
                <w:color w:val="auto"/>
              </w:rPr>
            </w:pPr>
            <w:r>
              <w:rPr>
                <w:rFonts w:ascii="Arial" w:cs="Arial" w:eastAsia="Arial" w:hAnsi="Arial"/>
                <w:sz w:val="18"/>
                <w:szCs w:val="18"/>
                <w:color w:val="auto"/>
              </w:rPr>
              <w:t>Right-of-use assets obtained in exchange for lease obligations:</w:t>
            </w:r>
          </w:p>
        </w:tc>
        <w:tc>
          <w:tcPr>
            <w:tcW w:w="2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380" w:type="dxa"/>
            <w:vAlign w:val="bottom"/>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6"/>
                <w:szCs w:val="16"/>
                <w:color w:val="auto"/>
              </w:rPr>
            </w:pP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5,268</w:t>
            </w:r>
          </w:p>
        </w:tc>
        <w:tc>
          <w:tcPr>
            <w:tcW w:w="22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4,380</w:t>
            </w:r>
          </w:p>
        </w:tc>
        <w:tc>
          <w:tcPr>
            <w:tcW w:w="20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189"/>
        </w:trPr>
        <w:tc>
          <w:tcPr>
            <w:tcW w:w="83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Finance leases</w:t>
            </w:r>
          </w:p>
        </w:tc>
        <w:tc>
          <w:tcPr>
            <w:tcW w:w="22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4,234</w:t>
            </w:r>
          </w:p>
        </w:tc>
        <w:tc>
          <w:tcPr>
            <w:tcW w:w="2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3,290</w:t>
            </w:r>
          </w:p>
        </w:tc>
        <w:tc>
          <w:tcPr>
            <w:tcW w:w="20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67"/>
        </w:trPr>
        <w:tc>
          <w:tcPr>
            <w:tcW w:w="8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8"/>
        </w:trPr>
        <w:tc>
          <w:tcPr>
            <w:tcW w:w="8380" w:type="dxa"/>
            <w:vAlign w:val="bottom"/>
          </w:tcPr>
          <w:p>
            <w:pPr>
              <w:ind w:left="5540"/>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8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6" w:name="page87"/>
    <w:bookmarkEnd w:id="8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9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0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13,148</w:t>
            </w:r>
          </w:p>
        </w:tc>
        <w:tc>
          <w:tcPr>
            <w:tcW w:w="14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11,088</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3"/>
        </w:trPr>
        <w:tc>
          <w:tcPr>
            <w:tcW w:w="89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2,228</w:t>
            </w:r>
          </w:p>
        </w:tc>
        <w:tc>
          <w:tcPr>
            <w:tcW w:w="140" w:type="dxa"/>
            <w:vAlign w:val="bottom"/>
          </w:tcPr>
          <w:p>
            <w:pPr>
              <w:spacing w:after="0"/>
              <w:rPr>
                <w:sz w:val="24"/>
                <w:szCs w:val="2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11,489</w:t>
            </w: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9,629</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8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9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13,717</w:t>
            </w:r>
          </w:p>
        </w:tc>
        <w:tc>
          <w:tcPr>
            <w:tcW w:w="1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11,591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900" w:type="dxa"/>
            <w:vAlign w:val="bottom"/>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17,388</w:t>
            </w:r>
          </w:p>
        </w:tc>
        <w:tc>
          <w:tcPr>
            <w:tcW w:w="14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14,107</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9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(3,285)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67"/>
        </w:trPr>
        <w:tc>
          <w:tcPr>
            <w:tcW w:w="89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Property and equipment, net</w:t>
            </w:r>
          </w:p>
        </w:tc>
        <w:tc>
          <w:tcPr>
            <w:tcW w:w="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14,103</w:t>
            </w:r>
          </w:p>
        </w:tc>
        <w:tc>
          <w:tcPr>
            <w:tcW w:w="14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11,801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3"/>
        </w:trPr>
        <w:tc>
          <w:tcPr>
            <w:tcW w:w="89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1,060</w:t>
            </w:r>
          </w:p>
        </w:tc>
        <w:tc>
          <w:tcPr>
            <w:tcW w:w="140" w:type="dxa"/>
            <w:vAlign w:val="bottom"/>
          </w:tcPr>
          <w:p>
            <w:pPr>
              <w:spacing w:after="0"/>
              <w:rPr>
                <w:sz w:val="24"/>
                <w:szCs w:val="2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13,842</w:t>
            </w: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11,750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8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90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14,902</w:t>
            </w:r>
          </w:p>
        </w:tc>
        <w:tc>
          <w:tcPr>
            <w:tcW w:w="1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12,541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900" w:type="dxa"/>
            <w:vAlign w:val="bottom"/>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 years</w:t>
            </w: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38"/>
        </w:trPr>
        <w:tc>
          <w:tcPr>
            <w:tcW w:w="89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179"/>
        </w:trPr>
        <w:tc>
          <w:tcPr>
            <w:tcW w:w="890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2.2%</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9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8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 outlines maturities of our lease liabilities as of June 30, 2022:</w:t>
            </w: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9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8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Operating</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Finance</w:t>
            </w:r>
          </w:p>
        </w:tc>
        <w:tc>
          <w:tcPr>
            <w:tcW w:w="0" w:type="dxa"/>
            <w:vAlign w:val="bottom"/>
          </w:tcPr>
          <w:p>
            <w:pPr>
              <w:spacing w:after="0"/>
              <w:rPr>
                <w:sz w:val="1"/>
                <w:szCs w:val="1"/>
                <w:color w:val="auto"/>
              </w:rPr>
            </w:pPr>
          </w:p>
        </w:tc>
      </w:tr>
      <w:tr>
        <w:trPr>
          <w:trHeight w:val="178"/>
        </w:trPr>
        <w:tc>
          <w:tcPr>
            <w:tcW w:w="89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Leases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Leases</w:t>
            </w: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2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2,456</w:t>
            </w:r>
          </w:p>
        </w:tc>
        <w:tc>
          <w:tcPr>
            <w:tcW w:w="2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1,477</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2,278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1,487</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1,985</w:t>
            </w: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1,801</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2026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1,625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1,483</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2027</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1,328</w:t>
            </w: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1,489</w:t>
            </w:r>
          </w:p>
        </w:tc>
        <w:tc>
          <w:tcPr>
            <w:tcW w:w="0" w:type="dxa"/>
            <w:vAlign w:val="bottom"/>
          </w:tcPr>
          <w:p>
            <w:pPr>
              <w:spacing w:after="0"/>
              <w:rPr>
                <w:sz w:val="1"/>
                <w:szCs w:val="1"/>
                <w:color w:val="auto"/>
              </w:rPr>
            </w:pPr>
          </w:p>
        </w:tc>
      </w:tr>
      <w:tr>
        <w:trPr>
          <w:trHeight w:val="249"/>
        </w:trPr>
        <w:tc>
          <w:tcPr>
            <w:tcW w:w="890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5,332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9,931</w:t>
            </w:r>
          </w:p>
        </w:tc>
        <w:tc>
          <w:tcPr>
            <w:tcW w:w="0" w:type="dxa"/>
            <w:vAlign w:val="bottom"/>
          </w:tcPr>
          <w:p>
            <w:pPr>
              <w:spacing w:after="0"/>
              <w:rPr>
                <w:sz w:val="1"/>
                <w:szCs w:val="1"/>
                <w:color w:val="auto"/>
              </w:rPr>
            </w:pPr>
          </w:p>
        </w:tc>
      </w:tr>
      <w:tr>
        <w:trPr>
          <w:trHeight w:val="67"/>
        </w:trPr>
        <w:tc>
          <w:tcPr>
            <w:tcW w:w="89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lease payments</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15,004</w:t>
            </w: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17,668</w:t>
            </w:r>
          </w:p>
        </w:tc>
        <w:tc>
          <w:tcPr>
            <w:tcW w:w="0" w:type="dxa"/>
            <w:vAlign w:val="bottom"/>
          </w:tcPr>
          <w:p>
            <w:pPr>
              <w:spacing w:after="0"/>
              <w:rPr>
                <w:sz w:val="1"/>
                <w:szCs w:val="1"/>
                <w:color w:val="auto"/>
              </w:rPr>
            </w:pPr>
          </w:p>
        </w:tc>
      </w:tr>
      <w:tr>
        <w:trPr>
          <w:trHeight w:val="249"/>
        </w:trPr>
        <w:tc>
          <w:tcPr>
            <w:tcW w:w="8900" w:type="dxa"/>
            <w:vAlign w:val="bottom"/>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(1,287)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(2,766)</w:t>
            </w:r>
          </w:p>
        </w:tc>
        <w:tc>
          <w:tcPr>
            <w:tcW w:w="0" w:type="dxa"/>
            <w:vAlign w:val="bottom"/>
          </w:tcPr>
          <w:p>
            <w:pPr>
              <w:spacing w:after="0"/>
              <w:rPr>
                <w:sz w:val="1"/>
                <w:szCs w:val="1"/>
                <w:color w:val="auto"/>
              </w:rPr>
            </w:pPr>
          </w:p>
        </w:tc>
      </w:tr>
      <w:tr>
        <w:trPr>
          <w:trHeight w:val="67"/>
        </w:trPr>
        <w:tc>
          <w:tcPr>
            <w:tcW w:w="89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13,717</w:t>
            </w:r>
          </w:p>
        </w:tc>
        <w:tc>
          <w:tcPr>
            <w:tcW w:w="2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14,902</w:t>
            </w:r>
          </w:p>
        </w:tc>
        <w:tc>
          <w:tcPr>
            <w:tcW w:w="0" w:type="dxa"/>
            <w:vAlign w:val="bottom"/>
          </w:tcPr>
          <w:p>
            <w:pPr>
              <w:spacing w:after="0"/>
              <w:rPr>
                <w:sz w:val="1"/>
                <w:szCs w:val="1"/>
                <w:color w:val="auto"/>
              </w:rPr>
            </w:pPr>
          </w:p>
        </w:tc>
      </w:tr>
      <w:tr>
        <w:trPr>
          <w:trHeight w:val="74"/>
        </w:trPr>
        <w:tc>
          <w:tcPr>
            <w:tcW w:w="8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June 30, 2022, we have additional operating and finance leases, primarily for datacenters, that have not yet commenced of $7.2 billion and $ 8.8 billion, respectively. These operating and finance leases will commence between fiscal year 2023 and fiscal year 2028 with lease terms of 1 year to 18 years.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7" w:name="page88"/>
    <w:bookmarkEnd w:id="8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Litigation and Claims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Market Regulation Investigatio</w:t>
      </w:r>
      <w:r>
        <w:rPr>
          <w:rFonts w:ascii="Arial" w:cs="Arial" w:eastAsia="Arial" w:hAnsi="Arial"/>
          <w:sz w:val="18"/>
          <w:szCs w:val="18"/>
          <w:b w:val="1"/>
          <w:bCs w:val="1"/>
          <w:color w:val="auto"/>
        </w:rPr>
        <w:t>n</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Anti-Monopoly Law, and the SAMR conducted onsite inspections of Microsoft offices in Beijing, Shanghai, Guangzhou, and Chengdu. In 2019, the SAMR presented preliminary views as to certain possible violations of China’s Anti-Monopoly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 In August 2018, the trial court issued an order striking portions of the plaintiffs’ expert reports. A hearing on general causation is scheduled for September of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2022, we accrued aggregate legal liabilities of $364 million. While we intend to defend these matters vigorously, adverse outcomes that we estimate could reach approximately $600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8" w:name="page89"/>
    <w:bookmarkEnd w:id="8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16 —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were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2021</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54"/>
        </w:trPr>
        <w:tc>
          <w:tcPr>
            <w:tcW w:w="8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8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year</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7,519</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7,571</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7,643</w:t>
            </w:r>
          </w:p>
        </w:tc>
        <w:tc>
          <w:tcPr>
            <w:tcW w:w="100" w:type="dxa"/>
            <w:vAlign w:val="bottom"/>
            <w:shd w:val="clear" w:color="auto" w:fill="E5E5E5"/>
          </w:tcPr>
          <w:p>
            <w:pPr>
              <w:spacing w:after="0"/>
              <w:rPr>
                <w:sz w:val="16"/>
                <w:szCs w:val="16"/>
                <w:color w:val="auto"/>
              </w:rPr>
            </w:pPr>
          </w:p>
        </w:tc>
      </w:tr>
      <w:tr>
        <w:trPr>
          <w:trHeight w:val="189"/>
        </w:trPr>
        <w:tc>
          <w:tcPr>
            <w:tcW w:w="8460" w:type="dxa"/>
            <w:vAlign w:val="bottom"/>
          </w:tcPr>
          <w:p>
            <w:pPr>
              <w:ind w:left="220"/>
              <w:spacing w:after="0" w:line="189" w:lineRule="exact"/>
              <w:rPr>
                <w:sz w:val="20"/>
                <w:szCs w:val="20"/>
                <w:color w:val="auto"/>
              </w:rPr>
            </w:pPr>
            <w:r>
              <w:rPr>
                <w:rFonts w:ascii="Arial" w:cs="Arial" w:eastAsia="Arial" w:hAnsi="Arial"/>
                <w:sz w:val="18"/>
                <w:szCs w:val="18"/>
                <w:color w:val="auto"/>
              </w:rPr>
              <w:t>Issued</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b w:val="1"/>
                <w:bCs w:val="1"/>
                <w:color w:val="auto"/>
              </w:rPr>
              <w:t>40</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49</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6"/>
                <w:szCs w:val="16"/>
                <w:color w:val="auto"/>
              </w:rPr>
            </w:pPr>
          </w:p>
        </w:tc>
      </w:tr>
      <w:tr>
        <w:trPr>
          <w:trHeight w:val="189"/>
        </w:trPr>
        <w:tc>
          <w:tcPr>
            <w:tcW w:w="84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Repurchased</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(95)</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(101)</w:t>
            </w: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(126)</w:t>
            </w:r>
          </w:p>
        </w:tc>
      </w:tr>
      <w:tr>
        <w:trPr>
          <w:trHeight w:val="67"/>
        </w:trPr>
        <w:tc>
          <w:tcPr>
            <w:tcW w:w="8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8460" w:type="dxa"/>
            <w:vAlign w:val="bottom"/>
          </w:tcPr>
          <w:p>
            <w:pPr>
              <w:spacing w:after="0"/>
              <w:rPr>
                <w:sz w:val="20"/>
                <w:szCs w:val="20"/>
                <w:color w:val="auto"/>
              </w:rPr>
            </w:pPr>
            <w:r>
              <w:rPr>
                <w:rFonts w:ascii="Arial" w:cs="Arial" w:eastAsia="Arial" w:hAnsi="Arial"/>
                <w:sz w:val="18"/>
                <w:szCs w:val="18"/>
                <w:color w:val="auto"/>
              </w:rPr>
              <w:t>Balance, end of year</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7,464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7,519</w:t>
            </w:r>
          </w:p>
        </w:tc>
        <w:tc>
          <w:tcPr>
            <w:tcW w:w="680" w:type="dxa"/>
            <w:vAlign w:val="bottom"/>
          </w:tcPr>
          <w:p>
            <w:pPr>
              <w:jc w:val="right"/>
              <w:spacing w:after="0"/>
              <w:rPr>
                <w:sz w:val="20"/>
                <w:szCs w:val="20"/>
                <w:color w:val="auto"/>
              </w:rPr>
            </w:pPr>
            <w:r>
              <w:rPr>
                <w:rFonts w:ascii="Arial" w:cs="Arial" w:eastAsia="Arial" w:hAnsi="Arial"/>
                <w:sz w:val="18"/>
                <w:szCs w:val="18"/>
                <w:color w:val="auto"/>
              </w:rPr>
              <w:t>7,571</w:t>
            </w:r>
          </w:p>
        </w:tc>
        <w:tc>
          <w:tcPr>
            <w:tcW w:w="100" w:type="dxa"/>
            <w:vAlign w:val="bottom"/>
          </w:tcPr>
          <w:p>
            <w:pPr>
              <w:spacing w:after="0"/>
              <w:rPr>
                <w:sz w:val="22"/>
                <w:szCs w:val="22"/>
                <w:color w:val="auto"/>
              </w:rPr>
            </w:pPr>
          </w:p>
        </w:tc>
      </w:tr>
      <w:tr>
        <w:trPr>
          <w:trHeight w:val="61"/>
        </w:trPr>
        <w:tc>
          <w:tcPr>
            <w:tcW w:w="84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September 20, 2016, our Board of Directors approved a share repurchase program authorizing up to $40.0 billion in share repurchases.</w:t>
      </w:r>
    </w:p>
    <w:p>
      <w:pPr>
        <w:spacing w:after="0"/>
        <w:rPr>
          <w:sz w:val="20"/>
          <w:szCs w:val="20"/>
          <w:color w:val="auto"/>
        </w:rPr>
      </w:pPr>
      <w:r>
        <w:rPr>
          <w:rFonts w:ascii="Arial" w:cs="Arial" w:eastAsia="Arial" w:hAnsi="Arial"/>
          <w:sz w:val="18"/>
          <w:szCs w:val="18"/>
          <w:color w:val="auto"/>
        </w:rPr>
        <w:t>This share repurchase program commenced in December 2016 and was completed in February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w:t>
      </w:r>
    </w:p>
    <w:p>
      <w:pPr>
        <w:spacing w:after="0"/>
        <w:rPr>
          <w:sz w:val="20"/>
          <w:szCs w:val="20"/>
          <w:color w:val="auto"/>
        </w:rPr>
      </w:pPr>
      <w:r>
        <w:rPr>
          <w:rFonts w:ascii="Arial" w:cs="Arial" w:eastAsia="Arial" w:hAnsi="Arial"/>
          <w:sz w:val="18"/>
          <w:szCs w:val="18"/>
          <w:color w:val="auto"/>
        </w:rPr>
        <w:t>This share repurchase program commenced in February 2020 and was completed in November 2021.</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commenced in November 2021, following completion of the program approved on September 18, 2019, has no expiration date, and may be terminated at any time. As of June 30, 2022, $40.7 billion remained of this $60.0 billion share repurchase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90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54"/>
        </w:trPr>
        <w:tc>
          <w:tcPr>
            <w:tcW w:w="4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49"/>
        </w:trPr>
        <w:tc>
          <w:tcPr>
            <w:tcW w:w="47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2022</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2021</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1"/>
                <w:szCs w:val="21"/>
                <w:color w:val="auto"/>
              </w:rPr>
            </w:pPr>
          </w:p>
        </w:tc>
      </w:tr>
      <w:tr>
        <w:trPr>
          <w:trHeight w:val="54"/>
        </w:trPr>
        <w:tc>
          <w:tcPr>
            <w:tcW w:w="4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21</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6,200</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5,270</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29</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4,000</w:t>
            </w:r>
          </w:p>
        </w:tc>
        <w:tc>
          <w:tcPr>
            <w:tcW w:w="100" w:type="dxa"/>
            <w:vAlign w:val="bottom"/>
            <w:shd w:val="clear" w:color="auto" w:fill="E5E5E5"/>
          </w:tcPr>
          <w:p>
            <w:pPr>
              <w:spacing w:after="0"/>
              <w:rPr>
                <w:sz w:val="16"/>
                <w:szCs w:val="16"/>
                <w:color w:val="auto"/>
              </w:rPr>
            </w:pP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8"/>
                <w:szCs w:val="18"/>
                <w:color w:val="auto"/>
              </w:rPr>
              <w:t>Second Quarter</w:t>
            </w: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b w:val="1"/>
                <w:bCs w:val="1"/>
                <w:color w:val="auto"/>
              </w:rPr>
              <w:t>6,233</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5,750</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4,600</w:t>
            </w:r>
          </w:p>
        </w:tc>
        <w:tc>
          <w:tcPr>
            <w:tcW w:w="100" w:type="dxa"/>
            <w:vAlign w:val="bottom"/>
          </w:tcPr>
          <w:p>
            <w:pPr>
              <w:spacing w:after="0"/>
              <w:rPr>
                <w:sz w:val="16"/>
                <w:szCs w:val="16"/>
                <w:color w:val="auto"/>
              </w:rPr>
            </w:pPr>
          </w:p>
        </w:tc>
      </w:tr>
      <w:tr>
        <w:trPr>
          <w:trHeight w:val="189"/>
        </w:trPr>
        <w:tc>
          <w:tcPr>
            <w:tcW w:w="4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Third Quarter</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7,800</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5,750</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37</w:t>
            </w:r>
          </w:p>
        </w:tc>
        <w:tc>
          <w:tcPr>
            <w:tcW w:w="22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6,000</w:t>
            </w:r>
          </w:p>
        </w:tc>
        <w:tc>
          <w:tcPr>
            <w:tcW w:w="100" w:type="dxa"/>
            <w:vAlign w:val="bottom"/>
            <w:shd w:val="clear" w:color="auto" w:fill="E5E5E5"/>
          </w:tcPr>
          <w:p>
            <w:pPr>
              <w:spacing w:after="0"/>
              <w:rPr>
                <w:sz w:val="16"/>
                <w:szCs w:val="16"/>
                <w:color w:val="auto"/>
              </w:rPr>
            </w:pPr>
          </w:p>
        </w:tc>
      </w:tr>
      <w:tr>
        <w:trPr>
          <w:trHeight w:val="249"/>
        </w:trPr>
        <w:tc>
          <w:tcPr>
            <w:tcW w:w="4760" w:type="dxa"/>
            <w:vAlign w:val="bottom"/>
          </w:tcPr>
          <w:p>
            <w:pPr>
              <w:spacing w:after="0"/>
              <w:rPr>
                <w:sz w:val="20"/>
                <w:szCs w:val="20"/>
                <w:color w:val="auto"/>
              </w:rPr>
            </w:pPr>
            <w:r>
              <w:rPr>
                <w:rFonts w:ascii="Arial" w:cs="Arial" w:eastAsia="Arial" w:hAnsi="Arial"/>
                <w:sz w:val="18"/>
                <w:szCs w:val="18"/>
                <w:color w:val="auto"/>
              </w:rPr>
              <w:t>Fourth Quarter</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7,800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6,200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1"/>
                <w:szCs w:val="21"/>
                <w:color w:val="auto"/>
              </w:rPr>
            </w:pPr>
          </w:p>
        </w:tc>
      </w:tr>
      <w:tr>
        <w:trPr>
          <w:trHeight w:val="67"/>
        </w:trPr>
        <w:tc>
          <w:tcPr>
            <w:tcW w:w="47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7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95</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28,033</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101</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22,970</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126</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19,688</w:t>
            </w:r>
          </w:p>
        </w:tc>
      </w:tr>
      <w:tr>
        <w:trPr>
          <w:trHeight w:val="74"/>
        </w:trPr>
        <w:tc>
          <w:tcPr>
            <w:tcW w:w="476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repurchases were made using cash resources. Shares repurchased during the fourth and third quarters of fiscal year 2022 were under the share repurchase program approved on September 14, 2021. Shares repurchased during the second quarter of fiscal year 2022 were under the share repurchase programs approved on both September 14, 2021 and September 18, 2019. Shares repurchased during the first quarter of fiscal year 2022, fiscal year 2021, and the fourth quarter of fiscal year 2020 were under the share repurchase program approved on September 18, 2019. Shares repurchased during the third quarter of fiscal year 2020 were under the share repurchase programs approved on both September 20, 2016 and September 18, 2019. All other shares repurchased were under the share repurchase program approved on September 20, 2016. The above table excludes shares repurchased to settle employee tax withholding related to the vesting of stock awards of $4.7 billion, $4.4 billion, and $3.3 billion for fiscal years 2022, 2021, and 2020,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9" w:name="page90"/>
    <w:bookmarkEnd w:id="8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Dividend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44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2880" w:type="dxa"/>
            <w:vAlign w:val="bottom"/>
          </w:tcPr>
          <w:p>
            <w:pPr>
              <w:jc w:val="right"/>
              <w:ind w:right="433"/>
              <w:spacing w:after="0"/>
              <w:rPr>
                <w:sz w:val="20"/>
                <w:szCs w:val="20"/>
                <w:color w:val="auto"/>
              </w:rPr>
            </w:pPr>
            <w:r>
              <w:rPr>
                <w:rFonts w:ascii="Arial" w:cs="Arial" w:eastAsia="Arial" w:hAnsi="Arial"/>
                <w:sz w:val="13"/>
                <w:szCs w:val="13"/>
                <w:b w:val="1"/>
                <w:bCs w:val="1"/>
                <w:color w:val="auto"/>
              </w:rPr>
              <w:t>Record Date</w:t>
            </w:r>
          </w:p>
        </w:tc>
        <w:tc>
          <w:tcPr>
            <w:tcW w:w="2340" w:type="dxa"/>
            <w:vAlign w:val="bottom"/>
          </w:tcPr>
          <w:p>
            <w:pPr>
              <w:jc w:val="right"/>
              <w:ind w:right="153"/>
              <w:spacing w:after="0"/>
              <w:rPr>
                <w:sz w:val="20"/>
                <w:szCs w:val="20"/>
                <w:color w:val="auto"/>
              </w:rPr>
            </w:pPr>
            <w:r>
              <w:rPr>
                <w:rFonts w:ascii="Arial" w:cs="Arial" w:eastAsia="Arial" w:hAnsi="Arial"/>
                <w:sz w:val="13"/>
                <w:szCs w:val="13"/>
                <w:b w:val="1"/>
                <w:bCs w:val="1"/>
                <w:color w:val="auto"/>
              </w:rPr>
              <w:t>Payment Date</w:t>
            </w:r>
          </w:p>
        </w:tc>
        <w:tc>
          <w:tcPr>
            <w:tcW w:w="56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4"/>
        </w:trPr>
        <w:tc>
          <w:tcPr>
            <w:tcW w:w="24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3"/>
                <w:szCs w:val="13"/>
                <w:b w:val="1"/>
                <w:bCs w:val="1"/>
                <w:color w:val="auto"/>
              </w:rPr>
              <w:t>Fiscal Year 2022</w:t>
            </w:r>
          </w:p>
        </w:tc>
        <w:tc>
          <w:tcPr>
            <w:tcW w:w="2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14, 2021</w:t>
            </w:r>
          </w:p>
        </w:tc>
        <w:tc>
          <w:tcPr>
            <w:tcW w:w="2880" w:type="dxa"/>
            <w:vAlign w:val="bottom"/>
            <w:shd w:val="clear" w:color="auto" w:fill="E5E5E5"/>
          </w:tcPr>
          <w:p>
            <w:pPr>
              <w:jc w:val="right"/>
              <w:ind w:right="433"/>
              <w:spacing w:after="0" w:line="189" w:lineRule="exact"/>
              <w:rPr>
                <w:sz w:val="20"/>
                <w:szCs w:val="20"/>
                <w:color w:val="auto"/>
              </w:rPr>
            </w:pPr>
            <w:r>
              <w:rPr>
                <w:rFonts w:ascii="Arial" w:cs="Arial" w:eastAsia="Arial" w:hAnsi="Arial"/>
                <w:sz w:val="18"/>
                <w:szCs w:val="18"/>
                <w:b w:val="1"/>
                <w:bCs w:val="1"/>
                <w:color w:val="auto"/>
              </w:rPr>
              <w:t>November 18, 2021</w:t>
            </w:r>
          </w:p>
        </w:tc>
        <w:tc>
          <w:tcPr>
            <w:tcW w:w="23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b w:val="1"/>
                <w:bCs w:val="1"/>
                <w:color w:val="auto"/>
              </w:rPr>
              <w:t>December 9, 2021</w:t>
            </w: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0.62</w:t>
            </w:r>
          </w:p>
        </w:tc>
        <w:tc>
          <w:tcPr>
            <w:tcW w:w="5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4,652</w:t>
            </w:r>
          </w:p>
        </w:tc>
        <w:tc>
          <w:tcPr>
            <w:tcW w:w="0" w:type="dxa"/>
            <w:vAlign w:val="bottom"/>
          </w:tcPr>
          <w:p>
            <w:pPr>
              <w:spacing w:after="0"/>
              <w:rPr>
                <w:sz w:val="1"/>
                <w:szCs w:val="1"/>
                <w:color w:val="auto"/>
              </w:rPr>
            </w:pPr>
          </w:p>
        </w:tc>
      </w:tr>
      <w:tr>
        <w:trPr>
          <w:trHeight w:val="189"/>
        </w:trPr>
        <w:tc>
          <w:tcPr>
            <w:tcW w:w="2440" w:type="dxa"/>
            <w:vAlign w:val="bottom"/>
          </w:tcPr>
          <w:p>
            <w:pPr>
              <w:spacing w:after="0" w:line="189" w:lineRule="exact"/>
              <w:rPr>
                <w:sz w:val="20"/>
                <w:szCs w:val="20"/>
                <w:color w:val="auto"/>
              </w:rPr>
            </w:pPr>
            <w:r>
              <w:rPr>
                <w:rFonts w:ascii="Arial" w:cs="Arial" w:eastAsia="Arial" w:hAnsi="Arial"/>
                <w:sz w:val="18"/>
                <w:szCs w:val="18"/>
                <w:b w:val="1"/>
                <w:bCs w:val="1"/>
                <w:color w:val="auto"/>
              </w:rPr>
              <w:t>December 7, 2021</w:t>
            </w:r>
          </w:p>
        </w:tc>
        <w:tc>
          <w:tcPr>
            <w:tcW w:w="2880" w:type="dxa"/>
            <w:vAlign w:val="bottom"/>
          </w:tcPr>
          <w:p>
            <w:pPr>
              <w:jc w:val="right"/>
              <w:ind w:right="433"/>
              <w:spacing w:after="0" w:line="189" w:lineRule="exact"/>
              <w:rPr>
                <w:sz w:val="20"/>
                <w:szCs w:val="20"/>
                <w:color w:val="auto"/>
              </w:rPr>
            </w:pPr>
            <w:r>
              <w:rPr>
                <w:rFonts w:ascii="Arial" w:cs="Arial" w:eastAsia="Arial" w:hAnsi="Arial"/>
                <w:sz w:val="18"/>
                <w:szCs w:val="18"/>
                <w:b w:val="1"/>
                <w:bCs w:val="1"/>
                <w:color w:val="auto"/>
              </w:rPr>
              <w:t>February 17, 2022</w:t>
            </w:r>
          </w:p>
        </w:tc>
        <w:tc>
          <w:tcPr>
            <w:tcW w:w="2340" w:type="dxa"/>
            <w:vAlign w:val="bottom"/>
          </w:tcPr>
          <w:p>
            <w:pPr>
              <w:jc w:val="right"/>
              <w:ind w:right="153"/>
              <w:spacing w:after="0" w:line="189" w:lineRule="exact"/>
              <w:rPr>
                <w:sz w:val="20"/>
                <w:szCs w:val="20"/>
                <w:color w:val="auto"/>
              </w:rPr>
            </w:pPr>
            <w:r>
              <w:rPr>
                <w:rFonts w:ascii="Arial" w:cs="Arial" w:eastAsia="Arial" w:hAnsi="Arial"/>
                <w:sz w:val="18"/>
                <w:szCs w:val="18"/>
                <w:b w:val="1"/>
                <w:bCs w:val="1"/>
                <w:color w:val="auto"/>
              </w:rPr>
              <w:t>March 10, 2022</w:t>
            </w:r>
          </w:p>
        </w:tc>
        <w:tc>
          <w:tcPr>
            <w:tcW w:w="560" w:type="dxa"/>
            <w:vAlign w:val="bottom"/>
          </w:tcPr>
          <w:p>
            <w:pPr>
              <w:spacing w:after="0"/>
              <w:rPr>
                <w:sz w:val="16"/>
                <w:szCs w:val="16"/>
                <w:color w:val="auto"/>
              </w:rPr>
            </w:pPr>
          </w:p>
        </w:tc>
        <w:tc>
          <w:tcPr>
            <w:tcW w:w="12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4,645</w:t>
            </w:r>
          </w:p>
        </w:tc>
        <w:tc>
          <w:tcPr>
            <w:tcW w:w="0" w:type="dxa"/>
            <w:vAlign w:val="bottom"/>
          </w:tcPr>
          <w:p>
            <w:pPr>
              <w:spacing w:after="0"/>
              <w:rPr>
                <w:sz w:val="1"/>
                <w:szCs w:val="1"/>
                <w:color w:val="auto"/>
              </w:rPr>
            </w:pPr>
          </w:p>
        </w:tc>
      </w:tr>
      <w:tr>
        <w:trPr>
          <w:trHeight w:val="189"/>
        </w:trPr>
        <w:tc>
          <w:tcPr>
            <w:tcW w:w="24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14, 2022</w:t>
            </w:r>
          </w:p>
        </w:tc>
        <w:tc>
          <w:tcPr>
            <w:tcW w:w="2880" w:type="dxa"/>
            <w:vAlign w:val="bottom"/>
            <w:shd w:val="clear" w:color="auto" w:fill="E5E5E5"/>
          </w:tcPr>
          <w:p>
            <w:pPr>
              <w:jc w:val="right"/>
              <w:ind w:right="433"/>
              <w:spacing w:after="0" w:line="189" w:lineRule="exact"/>
              <w:rPr>
                <w:sz w:val="20"/>
                <w:szCs w:val="20"/>
                <w:color w:val="auto"/>
              </w:rPr>
            </w:pPr>
            <w:r>
              <w:rPr>
                <w:rFonts w:ascii="Arial" w:cs="Arial" w:eastAsia="Arial" w:hAnsi="Arial"/>
                <w:sz w:val="18"/>
                <w:szCs w:val="18"/>
                <w:b w:val="1"/>
                <w:bCs w:val="1"/>
                <w:color w:val="auto"/>
              </w:rPr>
              <w:t>May 19, 2022</w:t>
            </w:r>
          </w:p>
        </w:tc>
        <w:tc>
          <w:tcPr>
            <w:tcW w:w="23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b w:val="1"/>
                <w:bCs w:val="1"/>
                <w:color w:val="auto"/>
              </w:rPr>
              <w:t>June 9, 2022</w:t>
            </w:r>
          </w:p>
        </w:tc>
        <w:tc>
          <w:tcPr>
            <w:tcW w:w="56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4,632</w:t>
            </w:r>
          </w:p>
        </w:tc>
        <w:tc>
          <w:tcPr>
            <w:tcW w:w="0" w:type="dxa"/>
            <w:vAlign w:val="bottom"/>
          </w:tcPr>
          <w:p>
            <w:pPr>
              <w:spacing w:after="0"/>
              <w:rPr>
                <w:sz w:val="1"/>
                <w:szCs w:val="1"/>
                <w:color w:val="auto"/>
              </w:rPr>
            </w:pPr>
          </w:p>
        </w:tc>
      </w:tr>
      <w:tr>
        <w:trPr>
          <w:trHeight w:val="249"/>
        </w:trPr>
        <w:tc>
          <w:tcPr>
            <w:tcW w:w="2440" w:type="dxa"/>
            <w:vAlign w:val="bottom"/>
          </w:tcPr>
          <w:p>
            <w:pPr>
              <w:spacing w:after="0"/>
              <w:rPr>
                <w:sz w:val="20"/>
                <w:szCs w:val="20"/>
                <w:color w:val="auto"/>
              </w:rPr>
            </w:pPr>
            <w:r>
              <w:rPr>
                <w:rFonts w:ascii="Arial" w:cs="Arial" w:eastAsia="Arial" w:hAnsi="Arial"/>
                <w:sz w:val="18"/>
                <w:szCs w:val="18"/>
                <w:b w:val="1"/>
                <w:bCs w:val="1"/>
                <w:color w:val="auto"/>
              </w:rPr>
              <w:t>June 14, 2022</w:t>
            </w:r>
          </w:p>
        </w:tc>
        <w:tc>
          <w:tcPr>
            <w:tcW w:w="2880" w:type="dxa"/>
            <w:vAlign w:val="bottom"/>
          </w:tcPr>
          <w:p>
            <w:pPr>
              <w:jc w:val="right"/>
              <w:ind w:right="433"/>
              <w:spacing w:after="0"/>
              <w:rPr>
                <w:sz w:val="20"/>
                <w:szCs w:val="20"/>
                <w:color w:val="auto"/>
              </w:rPr>
            </w:pPr>
            <w:r>
              <w:rPr>
                <w:rFonts w:ascii="Arial" w:cs="Arial" w:eastAsia="Arial" w:hAnsi="Arial"/>
                <w:sz w:val="18"/>
                <w:szCs w:val="18"/>
                <w:b w:val="1"/>
                <w:bCs w:val="1"/>
                <w:color w:val="auto"/>
              </w:rPr>
              <w:t>August 18, 2022</w:t>
            </w:r>
          </w:p>
        </w:tc>
        <w:tc>
          <w:tcPr>
            <w:tcW w:w="2340" w:type="dxa"/>
            <w:vAlign w:val="bottom"/>
          </w:tcPr>
          <w:p>
            <w:pPr>
              <w:jc w:val="right"/>
              <w:ind w:right="153"/>
              <w:spacing w:after="0"/>
              <w:rPr>
                <w:sz w:val="20"/>
                <w:szCs w:val="20"/>
                <w:color w:val="auto"/>
              </w:rPr>
            </w:pPr>
            <w:r>
              <w:rPr>
                <w:rFonts w:ascii="Arial" w:cs="Arial" w:eastAsia="Arial" w:hAnsi="Arial"/>
                <w:sz w:val="18"/>
                <w:szCs w:val="18"/>
                <w:b w:val="1"/>
                <w:bCs w:val="1"/>
                <w:color w:val="auto"/>
              </w:rPr>
              <w:t>September 8, 2022</w:t>
            </w:r>
          </w:p>
        </w:tc>
        <w:tc>
          <w:tcPr>
            <w:tcW w:w="5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4,627</w:t>
            </w:r>
          </w:p>
        </w:tc>
        <w:tc>
          <w:tcPr>
            <w:tcW w:w="0" w:type="dxa"/>
            <w:vAlign w:val="bottom"/>
          </w:tcPr>
          <w:p>
            <w:pPr>
              <w:spacing w:after="0"/>
              <w:rPr>
                <w:sz w:val="1"/>
                <w:szCs w:val="1"/>
                <w:color w:val="auto"/>
              </w:rPr>
            </w:pPr>
          </w:p>
        </w:tc>
      </w:tr>
      <w:tr>
        <w:trPr>
          <w:trHeight w:val="67"/>
        </w:trPr>
        <w:tc>
          <w:tcPr>
            <w:tcW w:w="2440" w:type="dxa"/>
            <w:vAlign w:val="bottom"/>
            <w:tcBorders>
              <w:top w:val="single" w:sz="8" w:color="auto"/>
            </w:tcBorders>
          </w:tcPr>
          <w:p>
            <w:pPr>
              <w:spacing w:after="0"/>
              <w:rPr>
                <w:sz w:val="5"/>
                <w:szCs w:val="5"/>
                <w:color w:val="auto"/>
              </w:rPr>
            </w:pPr>
          </w:p>
        </w:tc>
        <w:tc>
          <w:tcPr>
            <w:tcW w:w="2880" w:type="dxa"/>
            <w:vAlign w:val="bottom"/>
            <w:tcBorders>
              <w:top w:val="single" w:sz="8" w:color="auto"/>
            </w:tcBorders>
          </w:tcPr>
          <w:p>
            <w:pPr>
              <w:spacing w:after="0"/>
              <w:rPr>
                <w:sz w:val="5"/>
                <w:szCs w:val="5"/>
                <w:color w:val="auto"/>
              </w:rPr>
            </w:pPr>
          </w:p>
        </w:tc>
        <w:tc>
          <w:tcPr>
            <w:tcW w:w="23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b w:val="1"/>
                <w:bCs w:val="1"/>
                <w:color w:val="auto"/>
              </w:rPr>
              <w:t>Total</w:t>
            </w:r>
          </w:p>
        </w:tc>
        <w:tc>
          <w:tcPr>
            <w:tcW w:w="2880" w:type="dxa"/>
            <w:vAlign w:val="bottom"/>
            <w:shd w:val="clear" w:color="auto" w:fill="E5E5E5"/>
          </w:tcPr>
          <w:p>
            <w:pPr>
              <w:spacing w:after="0"/>
              <w:rPr>
                <w:sz w:val="16"/>
                <w:szCs w:val="16"/>
                <w:color w:val="auto"/>
              </w:rPr>
            </w:pPr>
          </w:p>
        </w:tc>
        <w:tc>
          <w:tcPr>
            <w:tcW w:w="2340" w:type="dxa"/>
            <w:vAlign w:val="bottom"/>
            <w:shd w:val="clear" w:color="auto" w:fill="E5E5E5"/>
          </w:tcPr>
          <w:p>
            <w:pPr>
              <w:spacing w:after="0"/>
              <w:rPr>
                <w:sz w:val="16"/>
                <w:szCs w:val="16"/>
                <w:color w:val="auto"/>
              </w:rPr>
            </w:pP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2.48</w:t>
            </w:r>
          </w:p>
        </w:tc>
        <w:tc>
          <w:tcPr>
            <w:tcW w:w="5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18,556</w:t>
            </w:r>
          </w:p>
        </w:tc>
        <w:tc>
          <w:tcPr>
            <w:tcW w:w="0" w:type="dxa"/>
            <w:vAlign w:val="bottom"/>
          </w:tcPr>
          <w:p>
            <w:pPr>
              <w:spacing w:after="0"/>
              <w:rPr>
                <w:sz w:val="1"/>
                <w:szCs w:val="1"/>
                <w:color w:val="auto"/>
              </w:rPr>
            </w:pPr>
          </w:p>
        </w:tc>
      </w:tr>
      <w:tr>
        <w:trPr>
          <w:trHeight w:val="74"/>
        </w:trPr>
        <w:tc>
          <w:tcPr>
            <w:tcW w:w="2440" w:type="dxa"/>
            <w:vAlign w:val="bottom"/>
            <w:vMerge w:val="restart"/>
          </w:tcPr>
          <w:p>
            <w:pPr>
              <w:spacing w:after="0"/>
              <w:rPr>
                <w:sz w:val="20"/>
                <w:szCs w:val="20"/>
                <w:color w:val="auto"/>
              </w:rPr>
            </w:pPr>
            <w:r>
              <w:rPr>
                <w:rFonts w:ascii="Arial" w:cs="Arial" w:eastAsia="Arial" w:hAnsi="Arial"/>
                <w:sz w:val="13"/>
                <w:szCs w:val="13"/>
                <w:b w:val="1"/>
                <w:bCs w:val="1"/>
                <w:color w:val="auto"/>
              </w:rPr>
              <w:t>Fiscal Year 2021</w:t>
            </w:r>
          </w:p>
        </w:tc>
        <w:tc>
          <w:tcPr>
            <w:tcW w:w="28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40" w:type="dxa"/>
            <w:vAlign w:val="bottom"/>
            <w:vMerge w:val="continue"/>
          </w:tcPr>
          <w:p>
            <w:pPr>
              <w:spacing w:after="0"/>
              <w:rPr>
                <w:sz w:val="19"/>
                <w:szCs w:val="19"/>
                <w:color w:val="auto"/>
              </w:rPr>
            </w:pPr>
          </w:p>
        </w:tc>
        <w:tc>
          <w:tcPr>
            <w:tcW w:w="2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15, 2020</w:t>
            </w:r>
          </w:p>
        </w:tc>
        <w:tc>
          <w:tcPr>
            <w:tcW w:w="2880" w:type="dxa"/>
            <w:vAlign w:val="bottom"/>
            <w:shd w:val="clear" w:color="auto" w:fill="E5E5E5"/>
          </w:tcPr>
          <w:p>
            <w:pPr>
              <w:jc w:val="right"/>
              <w:ind w:right="433"/>
              <w:spacing w:after="0" w:line="189" w:lineRule="exact"/>
              <w:rPr>
                <w:sz w:val="20"/>
                <w:szCs w:val="20"/>
                <w:color w:val="auto"/>
              </w:rPr>
            </w:pPr>
            <w:r>
              <w:rPr>
                <w:rFonts w:ascii="Arial" w:cs="Arial" w:eastAsia="Arial" w:hAnsi="Arial"/>
                <w:sz w:val="18"/>
                <w:szCs w:val="18"/>
                <w:color w:val="auto"/>
              </w:rPr>
              <w:t>November 19, 2020</w:t>
            </w:r>
          </w:p>
        </w:tc>
        <w:tc>
          <w:tcPr>
            <w:tcW w:w="23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December 10, 2020</w:t>
            </w: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0.56</w:t>
            </w:r>
          </w:p>
        </w:tc>
        <w:tc>
          <w:tcPr>
            <w:tcW w:w="5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189"/>
        </w:trPr>
        <w:tc>
          <w:tcPr>
            <w:tcW w:w="2440" w:type="dxa"/>
            <w:vAlign w:val="bottom"/>
          </w:tcPr>
          <w:p>
            <w:pPr>
              <w:spacing w:after="0" w:line="189" w:lineRule="exact"/>
              <w:rPr>
                <w:sz w:val="20"/>
                <w:szCs w:val="20"/>
                <w:color w:val="auto"/>
              </w:rPr>
            </w:pPr>
            <w:r>
              <w:rPr>
                <w:rFonts w:ascii="Arial" w:cs="Arial" w:eastAsia="Arial" w:hAnsi="Arial"/>
                <w:sz w:val="18"/>
                <w:szCs w:val="18"/>
                <w:color w:val="auto"/>
              </w:rPr>
              <w:t>December 2, 2020</w:t>
            </w:r>
          </w:p>
        </w:tc>
        <w:tc>
          <w:tcPr>
            <w:tcW w:w="2880" w:type="dxa"/>
            <w:vAlign w:val="bottom"/>
          </w:tcPr>
          <w:p>
            <w:pPr>
              <w:jc w:val="right"/>
              <w:ind w:right="433"/>
              <w:spacing w:after="0" w:line="189" w:lineRule="exact"/>
              <w:rPr>
                <w:sz w:val="20"/>
                <w:szCs w:val="20"/>
                <w:color w:val="auto"/>
              </w:rPr>
            </w:pPr>
            <w:r>
              <w:rPr>
                <w:rFonts w:ascii="Arial" w:cs="Arial" w:eastAsia="Arial" w:hAnsi="Arial"/>
                <w:sz w:val="18"/>
                <w:szCs w:val="18"/>
                <w:color w:val="auto"/>
              </w:rPr>
              <w:t>February 18, 2021</w:t>
            </w:r>
          </w:p>
        </w:tc>
        <w:tc>
          <w:tcPr>
            <w:tcW w:w="2340" w:type="dxa"/>
            <w:vAlign w:val="bottom"/>
          </w:tcPr>
          <w:p>
            <w:pPr>
              <w:jc w:val="right"/>
              <w:ind w:right="153"/>
              <w:spacing w:after="0" w:line="189" w:lineRule="exact"/>
              <w:rPr>
                <w:sz w:val="20"/>
                <w:szCs w:val="20"/>
                <w:color w:val="auto"/>
              </w:rPr>
            </w:pPr>
            <w:r>
              <w:rPr>
                <w:rFonts w:ascii="Arial" w:cs="Arial" w:eastAsia="Arial" w:hAnsi="Arial"/>
                <w:sz w:val="18"/>
                <w:szCs w:val="18"/>
                <w:color w:val="auto"/>
              </w:rPr>
              <w:t>March 11, 2021</w:t>
            </w:r>
          </w:p>
        </w:tc>
        <w:tc>
          <w:tcPr>
            <w:tcW w:w="560" w:type="dxa"/>
            <w:vAlign w:val="bottom"/>
          </w:tcPr>
          <w:p>
            <w:pPr>
              <w:spacing w:after="0"/>
              <w:rPr>
                <w:sz w:val="16"/>
                <w:szCs w:val="16"/>
                <w:color w:val="auto"/>
              </w:rPr>
            </w:pPr>
          </w:p>
        </w:tc>
        <w:tc>
          <w:tcPr>
            <w:tcW w:w="12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0.56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189"/>
        </w:trPr>
        <w:tc>
          <w:tcPr>
            <w:tcW w:w="2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16, 2021</w:t>
            </w:r>
          </w:p>
        </w:tc>
        <w:tc>
          <w:tcPr>
            <w:tcW w:w="2880" w:type="dxa"/>
            <w:vAlign w:val="bottom"/>
            <w:shd w:val="clear" w:color="auto" w:fill="E5E5E5"/>
          </w:tcPr>
          <w:p>
            <w:pPr>
              <w:jc w:val="right"/>
              <w:ind w:right="433"/>
              <w:spacing w:after="0" w:line="189" w:lineRule="exact"/>
              <w:rPr>
                <w:sz w:val="20"/>
                <w:szCs w:val="20"/>
                <w:color w:val="auto"/>
              </w:rPr>
            </w:pPr>
            <w:r>
              <w:rPr>
                <w:rFonts w:ascii="Arial" w:cs="Arial" w:eastAsia="Arial" w:hAnsi="Arial"/>
                <w:sz w:val="18"/>
                <w:szCs w:val="18"/>
                <w:color w:val="auto"/>
              </w:rPr>
              <w:t>May 20, 2021</w:t>
            </w:r>
          </w:p>
        </w:tc>
        <w:tc>
          <w:tcPr>
            <w:tcW w:w="234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June 10, 2021</w:t>
            </w:r>
          </w:p>
        </w:tc>
        <w:tc>
          <w:tcPr>
            <w:tcW w:w="56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0.56</w:t>
            </w:r>
          </w:p>
        </w:tc>
        <w:tc>
          <w:tcPr>
            <w:tcW w:w="1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June 16, 2021</w:t>
            </w:r>
          </w:p>
        </w:tc>
        <w:tc>
          <w:tcPr>
            <w:tcW w:w="2880" w:type="dxa"/>
            <w:vAlign w:val="bottom"/>
          </w:tcPr>
          <w:p>
            <w:pPr>
              <w:jc w:val="right"/>
              <w:ind w:right="433"/>
              <w:spacing w:after="0"/>
              <w:rPr>
                <w:sz w:val="20"/>
                <w:szCs w:val="20"/>
                <w:color w:val="auto"/>
              </w:rPr>
            </w:pPr>
            <w:r>
              <w:rPr>
                <w:rFonts w:ascii="Arial" w:cs="Arial" w:eastAsia="Arial" w:hAnsi="Arial"/>
                <w:sz w:val="18"/>
                <w:szCs w:val="18"/>
                <w:color w:val="auto"/>
              </w:rPr>
              <w:t>August 19, 2021</w:t>
            </w:r>
          </w:p>
        </w:tc>
        <w:tc>
          <w:tcPr>
            <w:tcW w:w="2340" w:type="dxa"/>
            <w:vAlign w:val="bottom"/>
          </w:tcPr>
          <w:p>
            <w:pPr>
              <w:jc w:val="right"/>
              <w:ind w:right="153"/>
              <w:spacing w:after="0"/>
              <w:rPr>
                <w:sz w:val="20"/>
                <w:szCs w:val="20"/>
                <w:color w:val="auto"/>
              </w:rPr>
            </w:pPr>
            <w:r>
              <w:rPr>
                <w:rFonts w:ascii="Arial" w:cs="Arial" w:eastAsia="Arial" w:hAnsi="Arial"/>
                <w:sz w:val="18"/>
                <w:szCs w:val="18"/>
                <w:color w:val="auto"/>
              </w:rPr>
              <w:t>September 9, 2021</w:t>
            </w:r>
          </w:p>
        </w:tc>
        <w:tc>
          <w:tcPr>
            <w:tcW w:w="5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39"/>
        </w:trPr>
        <w:tc>
          <w:tcPr>
            <w:tcW w:w="24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4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880" w:type="dxa"/>
            <w:vAlign w:val="bottom"/>
            <w:shd w:val="clear" w:color="auto" w:fill="E5E5E5"/>
          </w:tcPr>
          <w:p>
            <w:pPr>
              <w:spacing w:after="0"/>
              <w:rPr>
                <w:sz w:val="16"/>
                <w:szCs w:val="16"/>
                <w:color w:val="auto"/>
              </w:rPr>
            </w:pPr>
          </w:p>
        </w:tc>
        <w:tc>
          <w:tcPr>
            <w:tcW w:w="2340" w:type="dxa"/>
            <w:vAlign w:val="bottom"/>
            <w:shd w:val="clear" w:color="auto" w:fill="E5E5E5"/>
          </w:tcPr>
          <w:p>
            <w:pPr>
              <w:spacing w:after="0"/>
              <w:rPr>
                <w:sz w:val="16"/>
                <w:szCs w:val="16"/>
                <w:color w:val="auto"/>
              </w:rPr>
            </w:pP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2.24</w:t>
            </w:r>
          </w:p>
        </w:tc>
        <w:tc>
          <w:tcPr>
            <w:tcW w:w="5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16,871</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June 14, 2022 was included in other current liabilities as of June 30, 2022.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0" w:name="page91"/>
    <w:bookmarkEnd w:id="9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80"/>
        <w:spacing w:after="0"/>
        <w:rPr>
          <w:sz w:val="20"/>
          <w:szCs w:val="20"/>
          <w:color w:val="auto"/>
        </w:rPr>
      </w:pPr>
      <w:r>
        <w:rPr>
          <w:rFonts w:ascii="Arial" w:cs="Arial" w:eastAsia="Arial" w:hAnsi="Arial"/>
          <w:sz w:val="18"/>
          <w:szCs w:val="18"/>
          <w:u w:val="single" w:color="auto"/>
          <w:color w:val="auto"/>
        </w:rPr>
        <w:t>NOTE 17 — ACCUMULATED OTHER COMPREHENSIVE INCOME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49"/>
        </w:trPr>
        <w:tc>
          <w:tcPr>
            <w:tcW w:w="7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8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(19)</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$(15)</w:t>
            </w:r>
            <w:r>
              <w:rPr>
                <w:rFonts w:ascii="Arial" w:cs="Arial" w:eastAsia="Arial" w:hAnsi="Arial"/>
                <w:sz w:val="18"/>
                <w:szCs w:val="18"/>
                <w:color w:val="auto"/>
              </w:rPr>
              <w:t>, $ 9, and $(10)</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6"/>
                <w:szCs w:val="16"/>
                <w:color w:val="auto"/>
              </w:rPr>
            </w:pPr>
          </w:p>
        </w:tc>
        <w:tc>
          <w:tcPr>
            <w:tcW w:w="76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(38)</w:t>
            </w:r>
          </w:p>
        </w:tc>
      </w:tr>
      <w:tr>
        <w:trPr>
          <w:trHeight w:val="189"/>
        </w:trPr>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losses included in other income (expense), net</w:t>
            </w:r>
          </w:p>
        </w:tc>
        <w:tc>
          <w:tcPr>
            <w:tcW w:w="5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(17)</w:t>
            </w:r>
          </w:p>
        </w:tc>
        <w:tc>
          <w:tcPr>
            <w:tcW w:w="24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r>
      <w:tr>
        <w:trPr>
          <w:trHeight w:val="249"/>
        </w:trPr>
        <w:tc>
          <w:tcPr>
            <w:tcW w:w="744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r>
      <w:tr>
        <w:trPr>
          <w:trHeight w:val="67"/>
        </w:trPr>
        <w:tc>
          <w:tcPr>
            <w:tcW w:w="74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89"/>
        </w:trPr>
        <w:tc>
          <w:tcPr>
            <w:tcW w:w="74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5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(15)</w:t>
            </w:r>
          </w:p>
        </w:tc>
        <w:tc>
          <w:tcPr>
            <w:tcW w:w="24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r>
      <w:tr>
        <w:trPr>
          <w:trHeight w:val="67"/>
        </w:trPr>
        <w:tc>
          <w:tcPr>
            <w:tcW w:w="74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r>
      <w:tr>
        <w:trPr>
          <w:trHeight w:val="263"/>
        </w:trPr>
        <w:tc>
          <w:tcPr>
            <w:tcW w:w="744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$1</w:t>
            </w:r>
            <w:r>
              <w:rPr>
                <w:rFonts w:ascii="Arial" w:cs="Arial" w:eastAsia="Arial" w:hAnsi="Arial"/>
                <w:sz w:val="18"/>
                <w:szCs w:val="18"/>
                <w:color w:val="auto"/>
              </w:rPr>
              <w:t>, $7, and $(10)</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2"/>
                <w:szCs w:val="22"/>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r>
      <w:tr>
        <w:trPr>
          <w:trHeight w:val="54"/>
        </w:trPr>
        <w:tc>
          <w:tcPr>
            <w:tcW w:w="7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61"/>
        </w:trPr>
        <w:tc>
          <w:tcPr>
            <w:tcW w:w="7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89"/>
        </w:trPr>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8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(19)</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(38)</w:t>
            </w:r>
          </w:p>
        </w:tc>
      </w:tr>
      <w:tr>
        <w:trPr>
          <w:trHeight w:val="67"/>
        </w:trPr>
        <w:tc>
          <w:tcPr>
            <w:tcW w:w="74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49"/>
        </w:trPr>
        <w:tc>
          <w:tcPr>
            <w:tcW w:w="7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8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3,222</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5,478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1,488</w:t>
            </w:r>
          </w:p>
        </w:tc>
        <w:tc>
          <w:tcPr>
            <w:tcW w:w="80" w:type="dxa"/>
            <w:vAlign w:val="bottom"/>
            <w:shd w:val="clear" w:color="auto" w:fill="E5E5E5"/>
          </w:tcPr>
          <w:p>
            <w:pPr>
              <w:spacing w:after="0"/>
              <w:rPr>
                <w:sz w:val="16"/>
                <w:szCs w:val="16"/>
                <w:color w:val="auto"/>
              </w:rPr>
            </w:pP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$(1,440)</w:t>
            </w:r>
            <w:r>
              <w:rPr>
                <w:rFonts w:ascii="Arial" w:cs="Arial" w:eastAsia="Arial" w:hAnsi="Arial"/>
                <w:sz w:val="18"/>
                <w:szCs w:val="18"/>
                <w:color w:val="auto"/>
              </w:rPr>
              <w:t>, $(589), and $1,057</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(5,405)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(2,216)</w:t>
            </w:r>
          </w:p>
        </w:tc>
        <w:tc>
          <w:tcPr>
            <w:tcW w:w="24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3,987</w:t>
            </w:r>
          </w:p>
        </w:tc>
        <w:tc>
          <w:tcPr>
            <w:tcW w:w="80" w:type="dxa"/>
            <w:vAlign w:val="bottom"/>
          </w:tcPr>
          <w:p>
            <w:pPr>
              <w:spacing w:after="0"/>
              <w:rPr>
                <w:sz w:val="16"/>
                <w:szCs w:val="16"/>
                <w:color w:val="auto"/>
              </w:rPr>
            </w:pPr>
          </w:p>
        </w:tc>
      </w:tr>
      <w:tr>
        <w:trPr>
          <w:trHeight w:val="189"/>
        </w:trPr>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losses included in other income (expense), net</w:t>
            </w:r>
          </w:p>
        </w:tc>
        <w:tc>
          <w:tcPr>
            <w:tcW w:w="5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(63)</w:t>
            </w:r>
          </w:p>
        </w:tc>
        <w:tc>
          <w:tcPr>
            <w:tcW w:w="24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4</w:t>
            </w:r>
          </w:p>
        </w:tc>
        <w:tc>
          <w:tcPr>
            <w:tcW w:w="80" w:type="dxa"/>
            <w:vAlign w:val="bottom"/>
            <w:shd w:val="clear" w:color="auto" w:fill="E5E5E5"/>
          </w:tcPr>
          <w:p>
            <w:pPr>
              <w:spacing w:after="0"/>
              <w:rPr>
                <w:sz w:val="16"/>
                <w:szCs w:val="16"/>
                <w:color w:val="auto"/>
              </w:rPr>
            </w:pPr>
          </w:p>
        </w:tc>
      </w:tr>
      <w:tr>
        <w:trPr>
          <w:trHeight w:val="249"/>
        </w:trPr>
        <w:tc>
          <w:tcPr>
            <w:tcW w:w="744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67"/>
        </w:trPr>
        <w:tc>
          <w:tcPr>
            <w:tcW w:w="74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89"/>
        </w:trPr>
        <w:tc>
          <w:tcPr>
            <w:tcW w:w="74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5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(50)</w:t>
            </w:r>
          </w:p>
        </w:tc>
        <w:tc>
          <w:tcPr>
            <w:tcW w:w="24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w:t>
            </w:r>
          </w:p>
        </w:tc>
        <w:tc>
          <w:tcPr>
            <w:tcW w:w="80" w:type="dxa"/>
            <w:vAlign w:val="bottom"/>
            <w:shd w:val="clear" w:color="auto" w:fill="E5E5E5"/>
          </w:tcPr>
          <w:p>
            <w:pPr>
              <w:spacing w:after="0"/>
              <w:rPr>
                <w:sz w:val="16"/>
                <w:szCs w:val="16"/>
                <w:color w:val="auto"/>
              </w:rPr>
            </w:pPr>
          </w:p>
        </w:tc>
      </w:tr>
      <w:tr>
        <w:trPr>
          <w:trHeight w:val="67"/>
        </w:trPr>
        <w:tc>
          <w:tcPr>
            <w:tcW w:w="74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49"/>
        </w:trPr>
        <w:tc>
          <w:tcPr>
            <w:tcW w:w="744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$(1,428)</w:t>
            </w:r>
            <w:r>
              <w:rPr>
                <w:rFonts w:ascii="Arial" w:cs="Arial" w:eastAsia="Arial" w:hAnsi="Arial"/>
                <w:sz w:val="18"/>
                <w:szCs w:val="18"/>
                <w:color w:val="auto"/>
              </w:rPr>
              <w:t>, $(602), and $1,058</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(2,266)</w:t>
            </w:r>
          </w:p>
        </w:tc>
        <w:tc>
          <w:tcPr>
            <w:tcW w:w="2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3,990</w:t>
            </w:r>
          </w:p>
        </w:tc>
        <w:tc>
          <w:tcPr>
            <w:tcW w:w="80" w:type="dxa"/>
            <w:vAlign w:val="bottom"/>
          </w:tcPr>
          <w:p>
            <w:pPr>
              <w:spacing w:after="0"/>
              <w:rPr>
                <w:sz w:val="21"/>
                <w:szCs w:val="21"/>
                <w:color w:val="auto"/>
              </w:rPr>
            </w:pPr>
          </w:p>
        </w:tc>
      </w:tr>
      <w:tr>
        <w:trPr>
          <w:trHeight w:val="189"/>
        </w:trPr>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5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w:t>
            </w:r>
          </w:p>
        </w:tc>
        <w:tc>
          <w:tcPr>
            <w:tcW w:w="24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r>
      <w:tr>
        <w:trPr>
          <w:trHeight w:val="67"/>
        </w:trPr>
        <w:tc>
          <w:tcPr>
            <w:tcW w:w="7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63"/>
        </w:trPr>
        <w:tc>
          <w:tcPr>
            <w:tcW w:w="7440" w:type="dxa"/>
            <w:vAlign w:val="bottom"/>
          </w:tcPr>
          <w:p>
            <w:pPr>
              <w:spacing w:after="0"/>
              <w:rPr>
                <w:sz w:val="20"/>
                <w:szCs w:val="20"/>
                <w:color w:val="auto"/>
              </w:rPr>
            </w:pPr>
            <w:r>
              <w:rPr>
                <w:rFonts w:ascii="Arial" w:cs="Arial" w:eastAsia="Arial" w:hAnsi="Arial"/>
                <w:sz w:val="18"/>
                <w:szCs w:val="18"/>
                <w:color w:val="auto"/>
              </w:rPr>
              <w:t>Balance, end of period</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5,478</w:t>
            </w:r>
          </w:p>
        </w:tc>
        <w:tc>
          <w:tcPr>
            <w:tcW w:w="80" w:type="dxa"/>
            <w:vAlign w:val="bottom"/>
          </w:tcPr>
          <w:p>
            <w:pPr>
              <w:spacing w:after="0"/>
              <w:rPr>
                <w:sz w:val="22"/>
                <w:szCs w:val="22"/>
                <w:color w:val="auto"/>
              </w:rPr>
            </w:pPr>
          </w:p>
        </w:tc>
      </w:tr>
      <w:tr>
        <w:trPr>
          <w:trHeight w:val="54"/>
        </w:trPr>
        <w:tc>
          <w:tcPr>
            <w:tcW w:w="7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49"/>
        </w:trPr>
        <w:tc>
          <w:tcPr>
            <w:tcW w:w="7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8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(1,381)</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(2,254)</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(1,828)</w:t>
            </w:r>
          </w:p>
        </w:tc>
      </w:tr>
      <w:tr>
        <w:trPr>
          <w:trHeight w:val="249"/>
        </w:trPr>
        <w:tc>
          <w:tcPr>
            <w:tcW w:w="744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 $(9), and $1</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(426)</w:t>
            </w:r>
          </w:p>
        </w:tc>
      </w:tr>
      <w:tr>
        <w:trPr>
          <w:trHeight w:val="67"/>
        </w:trPr>
        <w:tc>
          <w:tcPr>
            <w:tcW w:w="74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89"/>
        </w:trPr>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8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(2,527)</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(1,381)</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(2,254)</w:t>
            </w:r>
          </w:p>
        </w:tc>
      </w:tr>
      <w:tr>
        <w:trPr>
          <w:trHeight w:val="67"/>
        </w:trPr>
        <w:tc>
          <w:tcPr>
            <w:tcW w:w="7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63"/>
        </w:trPr>
        <w:tc>
          <w:tcPr>
            <w:tcW w:w="7440" w:type="dxa"/>
            <w:vAlign w:val="bottom"/>
          </w:tcPr>
          <w:p>
            <w:pPr>
              <w:spacing w:after="0"/>
              <w:rPr>
                <w:sz w:val="20"/>
                <w:szCs w:val="20"/>
                <w:color w:val="auto"/>
              </w:rPr>
            </w:pPr>
            <w:r>
              <w:rPr>
                <w:rFonts w:ascii="Arial" w:cs="Arial" w:eastAsia="Arial" w:hAnsi="Arial"/>
                <w:sz w:val="18"/>
                <w:szCs w:val="18"/>
                <w:color w:val="auto"/>
              </w:rPr>
              <w:t>Accumulated other comprehensive income (loss), end of period</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(4,678)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3,186</w:t>
            </w:r>
          </w:p>
        </w:tc>
        <w:tc>
          <w:tcPr>
            <w:tcW w:w="80" w:type="dxa"/>
            <w:vAlign w:val="bottom"/>
          </w:tcPr>
          <w:p>
            <w:pPr>
              <w:spacing w:after="0"/>
              <w:rPr>
                <w:sz w:val="22"/>
                <w:szCs w:val="22"/>
                <w:color w:val="auto"/>
              </w:rPr>
            </w:pPr>
          </w:p>
        </w:tc>
      </w:tr>
      <w:tr>
        <w:trPr>
          <w:trHeight w:val="61"/>
        </w:trPr>
        <w:tc>
          <w:tcPr>
            <w:tcW w:w="7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18 — EMPLOYEE STOCK AND SAVINGS PLANS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grant stock-based compensation to employees and directors. Awards that expire or are canceled without delivery of shares generally become available for issuance under the plans. We issue new shares of Microsoft common stock to satisfy vesting of awards granted under our stock plans. We also have an ESPP for all eligible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income tax benefits were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000" w:type="dxa"/>
            <w:vAlign w:val="bottom"/>
          </w:tcPr>
          <w:p>
            <w:pPr>
              <w:spacing w:after="0"/>
              <w:rPr>
                <w:sz w:val="15"/>
                <w:szCs w:val="15"/>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5"/>
                <w:szCs w:val="15"/>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54"/>
        </w:trPr>
        <w:tc>
          <w:tcPr>
            <w:tcW w:w="6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6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200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b w:val="1"/>
                <w:bCs w:val="1"/>
                <w:color w:val="auto"/>
              </w:rPr>
              <w:t>7,502</w:t>
            </w:r>
          </w:p>
        </w:tc>
        <w:tc>
          <w:tcPr>
            <w:tcW w:w="3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color w:val="auto"/>
              </w:rPr>
              <w:t>6,118</w:t>
            </w:r>
          </w:p>
        </w:tc>
        <w:tc>
          <w:tcPr>
            <w:tcW w:w="3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5,289</w:t>
            </w:r>
          </w:p>
        </w:tc>
        <w:tc>
          <w:tcPr>
            <w:tcW w:w="100" w:type="dxa"/>
            <w:vAlign w:val="bottom"/>
            <w:shd w:val="clear" w:color="auto" w:fill="E5E5E5"/>
          </w:tcPr>
          <w:p>
            <w:pPr>
              <w:spacing w:after="0"/>
              <w:rPr>
                <w:sz w:val="16"/>
                <w:szCs w:val="16"/>
                <w:color w:val="auto"/>
              </w:rPr>
            </w:pPr>
          </w:p>
        </w:tc>
      </w:tr>
      <w:tr>
        <w:trPr>
          <w:trHeight w:val="249"/>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benefits related to stock-based compensation</w:t>
            </w:r>
          </w:p>
        </w:tc>
        <w:tc>
          <w:tcPr>
            <w:tcW w:w="20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1,293</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1,065</w:t>
            </w: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Stock awards entitle the holder to receive shares of Microsoft common stock as the award vests. Stock awards generally vest over a service period of four years or five years.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1" w:name="page92"/>
    <w:bookmarkEnd w:id="9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Executive Incentive Plan, the Compensation Committee approves stock awards to executive officers and certain senior executives. RSUs generally vest ratably over a service period of four years. PSUs generally vest over a performance period of three years. The number of shares the PSU holder receives is based on the extent to which the corresponding performance goals have been achieved.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for All Stock Plans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was estimated on the date of grant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0986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60" w:type="dxa"/>
            <w:vAlign w:val="bottom"/>
          </w:tcPr>
          <w:p>
            <w:pPr>
              <w:spacing w:after="0"/>
              <w:rPr>
                <w:sz w:val="15"/>
                <w:szCs w:val="15"/>
                <w:color w:val="auto"/>
              </w:rPr>
            </w:pPr>
          </w:p>
        </w:tc>
        <w:tc>
          <w:tcPr>
            <w:tcW w:w="1640" w:type="dxa"/>
            <w:vAlign w:val="bottom"/>
          </w:tcPr>
          <w:p>
            <w:pPr>
              <w:jc w:val="right"/>
              <w:ind w:right="538"/>
              <w:spacing w:after="0"/>
              <w:rPr>
                <w:sz w:val="20"/>
                <w:szCs w:val="20"/>
                <w:color w:val="auto"/>
              </w:rPr>
            </w:pPr>
            <w:r>
              <w:rPr>
                <w:rFonts w:ascii="Arial" w:cs="Arial" w:eastAsia="Arial" w:hAnsi="Arial"/>
                <w:sz w:val="13"/>
                <w:szCs w:val="13"/>
                <w:b w:val="1"/>
                <w:bCs w:val="1"/>
                <w:color w:val="auto"/>
              </w:rPr>
              <w:t>2022</w:t>
            </w:r>
          </w:p>
        </w:tc>
        <w:tc>
          <w:tcPr>
            <w:tcW w:w="1120" w:type="dxa"/>
            <w:vAlign w:val="bottom"/>
          </w:tcPr>
          <w:p>
            <w:pPr>
              <w:jc w:val="right"/>
              <w:ind w:right="77"/>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54"/>
        </w:trPr>
        <w:tc>
          <w:tcPr>
            <w:tcW w:w="6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6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Dividends per share (quarterly amounts)</w:t>
            </w:r>
          </w:p>
        </w:tc>
        <w:tc>
          <w:tcPr>
            <w:tcW w:w="4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b w:val="1"/>
                <w:bCs w:val="1"/>
                <w:color w:val="auto"/>
              </w:rPr>
              <w:t xml:space="preserve">0.56–0.62   </w:t>
            </w:r>
            <w:r>
              <w:rPr>
                <w:rFonts w:ascii="Arial" w:cs="Arial" w:eastAsia="Arial" w:hAnsi="Arial"/>
                <w:sz w:val="18"/>
                <w:szCs w:val="18"/>
                <w:color w:val="auto"/>
              </w:rPr>
              <w:t>$</w:t>
            </w:r>
          </w:p>
        </w:tc>
        <w:tc>
          <w:tcPr>
            <w:tcW w:w="12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0.51–0.56</w:t>
            </w:r>
          </w:p>
        </w:tc>
        <w:tc>
          <w:tcPr>
            <w:tcW w:w="260" w:type="dxa"/>
            <w:vAlign w:val="bottom"/>
            <w:gridSpan w:val="2"/>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E5E5E5"/>
          </w:tcPr>
          <w:p>
            <w:pPr>
              <w:jc w:val="center"/>
              <w:ind w:right="140"/>
              <w:spacing w:after="0" w:line="189" w:lineRule="exact"/>
              <w:rPr>
                <w:sz w:val="20"/>
                <w:szCs w:val="20"/>
                <w:color w:val="auto"/>
              </w:rPr>
            </w:pPr>
            <w:r>
              <w:rPr>
                <w:rFonts w:ascii="Arial" w:cs="Arial" w:eastAsia="Arial" w:hAnsi="Arial"/>
                <w:sz w:val="18"/>
                <w:szCs w:val="18"/>
                <w:color w:val="auto"/>
                <w:w w:val="99"/>
              </w:rPr>
              <w:t>0.46–0.51</w:t>
            </w:r>
          </w:p>
        </w:tc>
      </w:tr>
      <w:tr>
        <w:trPr>
          <w:trHeight w:val="249"/>
        </w:trPr>
        <w:tc>
          <w:tcPr>
            <w:tcW w:w="6400" w:type="dxa"/>
            <w:vAlign w:val="bottom"/>
          </w:tcPr>
          <w:p>
            <w:pPr>
              <w:spacing w:after="0"/>
              <w:rPr>
                <w:sz w:val="20"/>
                <w:szCs w:val="20"/>
                <w:color w:val="auto"/>
              </w:rPr>
            </w:pPr>
            <w:r>
              <w:rPr>
                <w:rFonts w:ascii="Arial" w:cs="Arial" w:eastAsia="Arial" w:hAnsi="Arial"/>
                <w:sz w:val="18"/>
                <w:szCs w:val="18"/>
                <w:color w:val="auto"/>
              </w:rPr>
              <w:t>Interest rates</w:t>
            </w:r>
          </w:p>
        </w:tc>
        <w:tc>
          <w:tcPr>
            <w:tcW w:w="460" w:type="dxa"/>
            <w:vAlign w:val="bottom"/>
          </w:tcPr>
          <w:p>
            <w:pPr>
              <w:spacing w:after="0"/>
              <w:rPr>
                <w:sz w:val="21"/>
                <w:szCs w:val="21"/>
                <w:color w:val="auto"/>
              </w:rPr>
            </w:pPr>
          </w:p>
        </w:tc>
        <w:tc>
          <w:tcPr>
            <w:tcW w:w="1640" w:type="dxa"/>
            <w:vAlign w:val="bottom"/>
          </w:tcPr>
          <w:p>
            <w:pPr>
              <w:ind w:left="80"/>
              <w:spacing w:after="0"/>
              <w:rPr>
                <w:sz w:val="20"/>
                <w:szCs w:val="20"/>
                <w:color w:val="auto"/>
              </w:rPr>
            </w:pPr>
            <w:r>
              <w:rPr>
                <w:rFonts w:ascii="Arial" w:cs="Arial" w:eastAsia="Arial" w:hAnsi="Arial"/>
                <w:sz w:val="18"/>
                <w:szCs w:val="18"/>
                <w:b w:val="1"/>
                <w:bCs w:val="1"/>
                <w:color w:val="auto"/>
              </w:rPr>
              <w:t>0.03%–3.6%</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0.01%–1.5%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0.1%–2.2%</w:t>
            </w:r>
          </w:p>
        </w:tc>
      </w:tr>
      <w:tr>
        <w:trPr>
          <w:trHeight w:val="418"/>
        </w:trPr>
        <w:tc>
          <w:tcPr>
            <w:tcW w:w="6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During fiscal year 2022, the following activity occurred under our stock plans:</w:t>
            </w:r>
          </w:p>
        </w:tc>
        <w:tc>
          <w:tcPr>
            <w:tcW w:w="4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6"/>
        </w:trPr>
        <w:tc>
          <w:tcPr>
            <w:tcW w:w="6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Weighted Average</w:t>
            </w:r>
          </w:p>
        </w:tc>
      </w:tr>
      <w:tr>
        <w:trPr>
          <w:trHeight w:val="148"/>
        </w:trPr>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220"/>
              <w:spacing w:after="0" w:line="148" w:lineRule="exact"/>
              <w:rPr>
                <w:sz w:val="20"/>
                <w:szCs w:val="20"/>
                <w:color w:val="auto"/>
              </w:rPr>
            </w:pPr>
            <w:r>
              <w:rPr>
                <w:rFonts w:ascii="Arial" w:cs="Arial" w:eastAsia="Arial" w:hAnsi="Arial"/>
                <w:sz w:val="13"/>
                <w:szCs w:val="13"/>
                <w:b w:val="1"/>
                <w:bCs w:val="1"/>
                <w:color w:val="auto"/>
              </w:rPr>
              <w:t>Grant-Date Fair</w:t>
            </w:r>
          </w:p>
        </w:tc>
      </w:tr>
      <w:tr>
        <w:trPr>
          <w:trHeight w:val="178"/>
        </w:trPr>
        <w:tc>
          <w:tcPr>
            <w:tcW w:w="6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Value</w:t>
            </w:r>
          </w:p>
        </w:tc>
      </w:tr>
      <w:tr>
        <w:trPr>
          <w:trHeight w:val="54"/>
        </w:trPr>
        <w:tc>
          <w:tcPr>
            <w:tcW w:w="64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2"/>
        </w:trPr>
        <w:tc>
          <w:tcPr>
            <w:tcW w:w="6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6400" w:type="dxa"/>
            <w:vAlign w:val="bottom"/>
          </w:tcPr>
          <w:p>
            <w:pPr>
              <w:spacing w:after="0"/>
              <w:rPr>
                <w:sz w:val="20"/>
                <w:szCs w:val="20"/>
                <w:color w:val="auto"/>
              </w:rPr>
            </w:pPr>
            <w:r>
              <w:rPr>
                <w:rFonts w:ascii="Arial" w:cs="Arial" w:eastAsia="Arial" w:hAnsi="Arial"/>
                <w:sz w:val="13"/>
                <w:szCs w:val="13"/>
                <w:b w:val="1"/>
                <w:bCs w:val="1"/>
                <w:color w:val="auto"/>
              </w:rPr>
              <w:t>Stock Awards</w:t>
            </w: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4"/>
        </w:trPr>
        <w:tc>
          <w:tcPr>
            <w:tcW w:w="6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6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Nonvested balance, beginning of year</w:t>
            </w:r>
          </w:p>
        </w:tc>
        <w:tc>
          <w:tcPr>
            <w:tcW w:w="46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152.51</w:t>
            </w:r>
          </w:p>
        </w:tc>
        <w:tc>
          <w:tcPr>
            <w:tcW w:w="60" w:type="dxa"/>
            <w:vAlign w:val="bottom"/>
            <w:shd w:val="clear" w:color="auto" w:fill="E5E5E5"/>
          </w:tcPr>
          <w:p>
            <w:pPr>
              <w:spacing w:after="0"/>
              <w:rPr>
                <w:sz w:val="16"/>
                <w:szCs w:val="16"/>
                <w:color w:val="auto"/>
              </w:rPr>
            </w:pPr>
          </w:p>
        </w:tc>
      </w:tr>
      <w:tr>
        <w:trPr>
          <w:trHeight w:val="189"/>
        </w:trPr>
        <w:tc>
          <w:tcPr>
            <w:tcW w:w="640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15"/>
                <w:szCs w:val="15"/>
                <w:color w:val="auto"/>
              </w:rPr>
              <w:t>(a)</w:t>
            </w: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291.22</w:t>
            </w:r>
          </w:p>
        </w:tc>
        <w:tc>
          <w:tcPr>
            <w:tcW w:w="60" w:type="dxa"/>
            <w:vAlign w:val="bottom"/>
          </w:tcPr>
          <w:p>
            <w:pPr>
              <w:spacing w:after="0"/>
              <w:rPr>
                <w:sz w:val="16"/>
                <w:szCs w:val="16"/>
                <w:color w:val="auto"/>
              </w:rPr>
            </w:pPr>
          </w:p>
        </w:tc>
      </w:tr>
      <w:tr>
        <w:trPr>
          <w:trHeight w:val="189"/>
        </w:trPr>
        <w:tc>
          <w:tcPr>
            <w:tcW w:w="64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Vested</w:t>
            </w:r>
          </w:p>
        </w:tc>
        <w:tc>
          <w:tcPr>
            <w:tcW w:w="46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143.10</w:t>
            </w:r>
          </w:p>
        </w:tc>
        <w:tc>
          <w:tcPr>
            <w:tcW w:w="60" w:type="dxa"/>
            <w:vAlign w:val="bottom"/>
            <w:shd w:val="clear" w:color="auto" w:fill="E5E5E5"/>
          </w:tcPr>
          <w:p>
            <w:pPr>
              <w:spacing w:after="0"/>
              <w:rPr>
                <w:sz w:val="16"/>
                <w:szCs w:val="16"/>
                <w:color w:val="auto"/>
              </w:rPr>
            </w:pPr>
          </w:p>
        </w:tc>
      </w:tr>
      <w:tr>
        <w:trPr>
          <w:trHeight w:val="249"/>
        </w:trPr>
        <w:tc>
          <w:tcPr>
            <w:tcW w:w="640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189.88</w:t>
            </w:r>
          </w:p>
        </w:tc>
        <w:tc>
          <w:tcPr>
            <w:tcW w:w="60" w:type="dxa"/>
            <w:vAlign w:val="bottom"/>
          </w:tcPr>
          <w:p>
            <w:pPr>
              <w:spacing w:after="0"/>
              <w:rPr>
                <w:sz w:val="21"/>
                <w:szCs w:val="21"/>
                <w:color w:val="auto"/>
              </w:rPr>
            </w:pPr>
          </w:p>
        </w:tc>
      </w:tr>
      <w:tr>
        <w:trPr>
          <w:trHeight w:val="67"/>
        </w:trPr>
        <w:tc>
          <w:tcPr>
            <w:tcW w:w="64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6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6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Nonvested balance, end of year</w:t>
            </w:r>
          </w:p>
        </w:tc>
        <w:tc>
          <w:tcPr>
            <w:tcW w:w="46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93</w:t>
            </w:r>
          </w:p>
        </w:tc>
        <w:tc>
          <w:tcPr>
            <w:tcW w:w="26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227.59</w:t>
            </w:r>
          </w:p>
        </w:tc>
        <w:tc>
          <w:tcPr>
            <w:tcW w:w="60" w:type="dxa"/>
            <w:vAlign w:val="bottom"/>
            <w:shd w:val="clear" w:color="auto" w:fill="E5E5E5"/>
          </w:tcPr>
          <w:p>
            <w:pPr>
              <w:spacing w:after="0"/>
              <w:rPr>
                <w:sz w:val="16"/>
                <w:szCs w:val="16"/>
                <w:color w:val="auto"/>
              </w:rPr>
            </w:pPr>
          </w:p>
        </w:tc>
      </w:tr>
      <w:tr>
        <w:trPr>
          <w:trHeight w:val="74"/>
        </w:trPr>
        <w:tc>
          <w:tcPr>
            <w:tcW w:w="6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62" w:lineRule="exact"/>
        <w:rPr>
          <w:sz w:val="20"/>
          <w:szCs w:val="20"/>
          <w:color w:val="auto"/>
        </w:rPr>
      </w:pPr>
    </w:p>
    <w:p>
      <w:pPr>
        <w:ind w:left="540" w:right="20" w:hanging="532"/>
        <w:spacing w:after="0" w:line="266"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Includes 1 million, 2 million, and 2 million of PSUs granted at target and performance adjustments above target levels for fiscal years 2022, 2021, and 2020, respectively.</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June 30, 2022, there was approximately $16.7 billion of total unrecognized compensation costs related to stock awards. These costs are expected to be recognized over a weighted average period of three years. The weighted average grant-date fair value of stock awards granted was $291.22, $221.13, and $ 140.49 for fiscal years 2022, 2021, and 2020, respectively. The fair value of stock awards vested was $14.1 billion, $13.4 billion, and $10.1 billion, for fiscal years 2022, 2021, and 2020, respectively. As of June 30, 2022, an aggregate of 211 million shares were authorized for future grant under our stock plans.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an ESPP for all eligible employees. Shares of our common stock may be purchased by employees at three-month intervals at 90% of the fair market value on the last trading day of each three-month period. Employees may purchase shares having a value not exceeding 15% of their gross compensation during an offering period. Under the terms of the ESPP that were approved in 2012, the plan was set to terminate on December 31, 2022. At our 2021 Annual Shareholders Meeting, our shareholders approved a successor ESPP with a January 1, 2022 effective date and ten-year expiration of December 31, 2031. No additional shares were requested at this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Employees purchased the following shares during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060" w:type="dxa"/>
            <w:vAlign w:val="bottom"/>
          </w:tcPr>
          <w:p>
            <w:pPr>
              <w:jc w:val="right"/>
              <w:ind w:right="18"/>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5"/>
                <w:szCs w:val="15"/>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54"/>
        </w:trPr>
        <w:tc>
          <w:tcPr>
            <w:tcW w:w="49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Shares purchased</w:t>
            </w:r>
          </w:p>
        </w:tc>
        <w:tc>
          <w:tcPr>
            <w:tcW w:w="406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b w:val="1"/>
                <w:bCs w:val="1"/>
                <w:color w:val="auto"/>
              </w:rPr>
              <w:t>7</w:t>
            </w: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color w:val="auto"/>
              </w:rPr>
              <w:t>8</w:t>
            </w:r>
          </w:p>
        </w:tc>
        <w:tc>
          <w:tcPr>
            <w:tcW w:w="32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w:t>
            </w:r>
          </w:p>
        </w:tc>
        <w:tc>
          <w:tcPr>
            <w:tcW w:w="100" w:type="dxa"/>
            <w:vAlign w:val="bottom"/>
            <w:shd w:val="clear" w:color="auto" w:fill="E5E5E5"/>
          </w:tcPr>
          <w:p>
            <w:pPr>
              <w:spacing w:after="0"/>
              <w:rPr>
                <w:sz w:val="16"/>
                <w:szCs w:val="16"/>
                <w:color w:val="auto"/>
              </w:rPr>
            </w:pPr>
          </w:p>
        </w:tc>
      </w:tr>
      <w:tr>
        <w:trPr>
          <w:trHeight w:val="249"/>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price per share</w:t>
            </w:r>
          </w:p>
        </w:tc>
        <w:tc>
          <w:tcPr>
            <w:tcW w:w="4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   259.55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207.88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142.22</w:t>
            </w:r>
          </w:p>
        </w:tc>
        <w:tc>
          <w:tcPr>
            <w:tcW w:w="100" w:type="dxa"/>
            <w:vAlign w:val="bottom"/>
          </w:tcPr>
          <w:p>
            <w:pPr>
              <w:spacing w:after="0"/>
              <w:rPr>
                <w:sz w:val="21"/>
                <w:szCs w:val="21"/>
                <w:color w:val="auto"/>
              </w:rPr>
            </w:pPr>
          </w:p>
        </w:tc>
      </w:tr>
    </w:tbl>
    <w:p>
      <w:pPr>
        <w:spacing w:after="0" w:line="188" w:lineRule="exact"/>
        <w:rPr>
          <w:sz w:val="20"/>
          <w:szCs w:val="20"/>
          <w:color w:val="auto"/>
        </w:rPr>
      </w:pPr>
    </w:p>
    <w:p>
      <w:pPr>
        <w:ind w:left="5540" w:right="2240" w:hanging="5535"/>
        <w:spacing w:after="0" w:line="449" w:lineRule="auto"/>
        <w:rPr>
          <w:sz w:val="20"/>
          <w:szCs w:val="20"/>
          <w:color w:val="auto"/>
        </w:rPr>
      </w:pPr>
      <w:r>
        <w:rPr>
          <w:rFonts w:ascii="Arial" w:cs="Arial" w:eastAsia="Arial" w:hAnsi="Arial"/>
          <w:sz w:val="18"/>
          <w:szCs w:val="18"/>
          <w:color w:val="auto"/>
        </w:rPr>
        <w:t xml:space="preserve">As of June 30, 2022, 81 million shares of our common stock were reserved for future issuance through the ESPP. </w:t>
      </w: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2" w:name="page93"/>
    <w:bookmarkEnd w:id="9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savings plans in the U.S. that qualify under Section 401(k) of the Internal Revenue Code, and a number of savings plans in international locations. Eligible U.S. employees may contribute a portion of their salary into the savings plans, subject to certain limitations. We match a portion of each dollar a participant contributes into the plans. Employer-funded retirement benefits for all plans were $1.4 billion, $1.2 billion, and $1.0 billion in fiscal years 2022, 2021, and 2020, respectively, and were expensed as contributed.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19 — SEGMENT INFORMATION AND GEOGRAPHIC DATA</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7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9" w:lineRule="exact"/>
        <w:rPr>
          <w:sz w:val="20"/>
          <w:szCs w:val="20"/>
          <w:color w:val="auto"/>
        </w:rPr>
      </w:pPr>
    </w:p>
    <w:p>
      <w:pPr>
        <w:jc w:val="both"/>
        <w:ind w:left="1060" w:hanging="392"/>
        <w:spacing w:after="0" w:line="23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and Microsoft Viva.</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Office licensed on-premises, and other Office services.</w:t>
      </w:r>
    </w:p>
    <w:p>
      <w:pPr>
        <w:spacing w:after="0" w:line="62" w:lineRule="exact"/>
        <w:rPr>
          <w:rFonts w:ascii="Arial" w:cs="Arial" w:eastAsia="Arial" w:hAnsi="Arial"/>
          <w:sz w:val="18"/>
          <w:szCs w:val="18"/>
          <w:color w:val="auto"/>
        </w:rPr>
      </w:pPr>
    </w:p>
    <w:p>
      <w:pPr>
        <w:ind w:left="1060" w:hanging="392"/>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62" w:lineRule="exact"/>
        <w:rPr>
          <w:rFonts w:ascii="Arial" w:cs="Arial" w:eastAsia="Arial" w:hAnsi="Arial"/>
          <w:sz w:val="18"/>
          <w:szCs w:val="18"/>
          <w:color w:val="auto"/>
        </w:rPr>
      </w:pPr>
    </w:p>
    <w:p>
      <w:pPr>
        <w:ind w:left="1060" w:hanging="392"/>
        <w:spacing w:after="0" w:line="245"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Customer Insights, Power Apps, and Power Automate; and on-premises ERP and CRM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62" w:lineRule="exact"/>
        <w:rPr>
          <w:sz w:val="20"/>
          <w:szCs w:val="20"/>
          <w:color w:val="auto"/>
        </w:rPr>
      </w:pPr>
    </w:p>
    <w:p>
      <w:pPr>
        <w:ind w:left="1060" w:hanging="392"/>
        <w:spacing w:after="0" w:line="245"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and other cloud services; SQL Server, Windows Server, Visual Studio, System Center, and related Client Access Licenses (“CALs”); and Nuance and GitHub.</w:t>
      </w:r>
    </w:p>
    <w:p>
      <w:pPr>
        <w:spacing w:after="0" w:line="48" w:lineRule="exact"/>
        <w:rPr>
          <w:rFonts w:ascii="Arial" w:cs="Arial" w:eastAsia="Arial" w:hAnsi="Arial"/>
          <w:sz w:val="18"/>
          <w:szCs w:val="18"/>
          <w:color w:val="auto"/>
        </w:rPr>
      </w:pPr>
    </w:p>
    <w:p>
      <w:pPr>
        <w:ind w:left="1060" w:hanging="392"/>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Enterprise Services, including Enterprise Support Services, Microsoft Consulting Services, and Nuance professional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7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49" w:lineRule="exact"/>
        <w:rPr>
          <w:sz w:val="20"/>
          <w:szCs w:val="20"/>
          <w:color w:val="auto"/>
        </w:rPr>
      </w:pPr>
    </w:p>
    <w:p>
      <w:pPr>
        <w:jc w:val="both"/>
        <w:ind w:left="1060" w:hanging="392"/>
        <w:spacing w:after="0" w:line="239"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62" w:lineRule="exact"/>
        <w:rPr>
          <w:rFonts w:ascii="Arial" w:cs="Arial" w:eastAsia="Arial" w:hAnsi="Arial"/>
          <w:sz w:val="18"/>
          <w:szCs w:val="18"/>
          <w:color w:val="auto"/>
        </w:rPr>
      </w:pPr>
    </w:p>
    <w:p>
      <w:pPr>
        <w:jc w:val="both"/>
        <w:ind w:left="1060" w:hanging="392"/>
        <w:spacing w:after="0" w:line="239"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first- and third-party content (including games and in-game content), Xbox Game Pass and other subscriptions, Xbox Cloud Gaming, third-party disc royalties, advertising, and other cloud services.</w:t>
      </w:r>
    </w:p>
    <w:p>
      <w:pPr>
        <w:spacing w:after="0" w:line="55" w:lineRule="exact"/>
        <w:rPr>
          <w:rFonts w:ascii="Arial" w:cs="Arial" w:eastAsia="Arial" w:hAnsi="Arial"/>
          <w:sz w:val="18"/>
          <w:szCs w:val="18"/>
          <w:color w:val="auto"/>
        </w:rPr>
      </w:pPr>
    </w:p>
    <w:p>
      <w:pPr>
        <w:ind w:left="1060" w:hanging="392"/>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Search and news advertising.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3" w:name="page94"/>
    <w:bookmarkEnd w:id="9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3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63,364</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53,915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46,398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75,251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60,080</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48,366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59,655</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54,093</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48,251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198,270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168,088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143,015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32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29,687</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24,351</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18,724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32,721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26,126</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18,324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20,975</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19,439</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15,911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83,383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69,916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52,959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3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fiscal years 2022, 2021, or 2020. Revenue, classified by the major geographic areas in which our customers were located, was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54"/>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100,218</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83,953</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73,160</w:t>
            </w:r>
          </w:p>
        </w:tc>
      </w:tr>
      <w:tr>
        <w:trPr>
          <w:trHeight w:val="249"/>
        </w:trPr>
        <w:tc>
          <w:tcPr>
            <w:tcW w:w="7320" w:type="dxa"/>
            <w:vAlign w:val="bottom"/>
          </w:tcPr>
          <w:p>
            <w:pPr>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84,135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69,855</w:t>
            </w:r>
          </w:p>
        </w:tc>
      </w:tr>
      <w:tr>
        <w:trPr>
          <w:trHeight w:val="67"/>
        </w:trPr>
        <w:tc>
          <w:tcPr>
            <w:tcW w:w="73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73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198,270</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168,088</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143,015</w:t>
            </w:r>
          </w:p>
        </w:tc>
      </w:tr>
      <w:tr>
        <w:trPr>
          <w:trHeight w:val="74"/>
        </w:trPr>
        <w:tc>
          <w:tcPr>
            <w:tcW w:w="73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62" w:lineRule="exact"/>
        <w:rPr>
          <w:sz w:val="20"/>
          <w:szCs w:val="20"/>
          <w:color w:val="auto"/>
        </w:rPr>
      </w:pPr>
    </w:p>
    <w:p>
      <w:pPr>
        <w:ind w:left="540" w:right="20" w:hanging="532"/>
        <w:spacing w:after="0" w:line="26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4" w:name="page95"/>
    <w:bookmarkEnd w:id="9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Revenue, classified by significant product and service offerings, was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54"/>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67,321</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52,589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41,379</w:t>
            </w: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44,862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39,872</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35,316</w:t>
            </w: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24,761</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22,488</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21,510</w:t>
            </w: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16,230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15,370</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11,575</w:t>
            </w: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LinkedIn</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13,816</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10,289</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8,077</w:t>
            </w:r>
          </w:p>
        </w:tc>
        <w:tc>
          <w:tcPr>
            <w:tcW w:w="100" w:type="dxa"/>
            <w:vAlign w:val="bottom"/>
            <w:shd w:val="clear" w:color="auto" w:fill="E5E5E5"/>
          </w:tcPr>
          <w:p>
            <w:pPr>
              <w:spacing w:after="0"/>
              <w:rPr>
                <w:sz w:val="16"/>
                <w:szCs w:val="16"/>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Search and news advertising</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11,591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9,267</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8,524</w:t>
            </w:r>
          </w:p>
        </w:tc>
        <w:tc>
          <w:tcPr>
            <w:tcW w:w="100" w:type="dxa"/>
            <w:vAlign w:val="bottom"/>
          </w:tcPr>
          <w:p>
            <w:pPr>
              <w:spacing w:after="0"/>
              <w:rPr>
                <w:sz w:val="16"/>
                <w:szCs w:val="16"/>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Enterprise Services</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7,407</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6,943</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6,409</w:t>
            </w:r>
          </w:p>
        </w:tc>
        <w:tc>
          <w:tcPr>
            <w:tcW w:w="100" w:type="dxa"/>
            <w:vAlign w:val="bottom"/>
            <w:shd w:val="clear" w:color="auto" w:fill="E5E5E5"/>
          </w:tcPr>
          <w:p>
            <w:pPr>
              <w:spacing w:after="0"/>
              <w:rPr>
                <w:sz w:val="16"/>
                <w:szCs w:val="16"/>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Devices</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6,991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6,791</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6,457</w:t>
            </w:r>
          </w:p>
        </w:tc>
        <w:tc>
          <w:tcPr>
            <w:tcW w:w="100" w:type="dxa"/>
            <w:vAlign w:val="bottom"/>
          </w:tcPr>
          <w:p>
            <w:pPr>
              <w:spacing w:after="0"/>
              <w:rPr>
                <w:sz w:val="16"/>
                <w:szCs w:val="16"/>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5,291</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4,479</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3,768</w:t>
            </w:r>
          </w:p>
        </w:tc>
        <w:tc>
          <w:tcPr>
            <w:tcW w:w="100" w:type="dxa"/>
            <w:vAlign w:val="bottom"/>
            <w:shd w:val="clear" w:color="auto" w:fill="E5E5E5"/>
          </w:tcPr>
          <w:p>
            <w:pPr>
              <w:spacing w:after="0"/>
              <w:rPr>
                <w:sz w:val="16"/>
                <w:szCs w:val="16"/>
                <w:color w:val="auto"/>
              </w:rPr>
            </w:pPr>
          </w:p>
        </w:tc>
      </w:tr>
      <w:tr>
        <w:trPr>
          <w:trHeight w:val="67"/>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73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198,270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168,088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143,015</w:t>
            </w:r>
          </w:p>
        </w:tc>
        <w:tc>
          <w:tcPr>
            <w:tcW w:w="100" w:type="dxa"/>
            <w:vAlign w:val="bottom"/>
          </w:tcPr>
          <w:p>
            <w:pPr>
              <w:spacing w:after="0"/>
              <w:rPr>
                <w:sz w:val="22"/>
                <w:szCs w:val="22"/>
                <w:color w:val="auto"/>
              </w:rPr>
            </w:pPr>
          </w:p>
        </w:tc>
      </w:tr>
      <w:tr>
        <w:trPr>
          <w:trHeight w:val="61"/>
        </w:trPr>
        <w:tc>
          <w:tcPr>
            <w:tcW w:w="73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recast certain previously reported amounts in the table above to conform to the way we internally manage and monitor our business.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Microsoft Cloud (formerly commercial cloud) revenue, which includes Azure and other cloud services, Office 365 Commercial, the commercial portion of LinkedIn, Dynamics 365, and other commercial cloud properties, was $ 91.2 billion, $ 69.1 billion and $51.7 billion in fiscal years 2022, 2021, and 2020, respectively. These amounts are primarily included in Server products and cloud services, Office products and cloud services, and LinkedIn in the table above.</w:t>
      </w:r>
    </w:p>
    <w:p>
      <w:pPr>
        <w:spacing w:after="0" w:line="14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Long-lived assets, excluding financial instruments and tax assets, classified by the location of the controlling statutory company and with countries over 10% of the total shown separately, were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43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3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United States</w:t>
            </w:r>
          </w:p>
        </w:tc>
        <w:tc>
          <w:tcPr>
            <w:tcW w:w="42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106,430</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76,153</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60,789</w:t>
            </w:r>
          </w:p>
        </w:tc>
        <w:tc>
          <w:tcPr>
            <w:tcW w:w="0" w:type="dxa"/>
            <w:vAlign w:val="bottom"/>
          </w:tcPr>
          <w:p>
            <w:pPr>
              <w:spacing w:after="0"/>
              <w:rPr>
                <w:sz w:val="1"/>
                <w:szCs w:val="1"/>
                <w:color w:val="auto"/>
              </w:rPr>
            </w:pP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8"/>
                <w:szCs w:val="18"/>
                <w:color w:val="auto"/>
              </w:rPr>
              <w:t>Ireland</w:t>
            </w:r>
          </w:p>
        </w:tc>
        <w:tc>
          <w:tcPr>
            <w:tcW w:w="3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15,505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13,303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12,734</w:t>
            </w:r>
          </w:p>
        </w:tc>
        <w:tc>
          <w:tcPr>
            <w:tcW w:w="0" w:type="dxa"/>
            <w:vAlign w:val="bottom"/>
          </w:tcPr>
          <w:p>
            <w:pPr>
              <w:spacing w:after="0"/>
              <w:rPr>
                <w:sz w:val="1"/>
                <w:szCs w:val="1"/>
                <w:color w:val="auto"/>
              </w:rPr>
            </w:pPr>
          </w:p>
        </w:tc>
      </w:tr>
      <w:tr>
        <w:trPr>
          <w:trHeight w:val="189"/>
        </w:trPr>
        <w:tc>
          <w:tcPr>
            <w:tcW w:w="3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countries</w:t>
            </w:r>
          </w:p>
        </w:tc>
        <w:tc>
          <w:tcPr>
            <w:tcW w:w="39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44,433</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38,858</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29,770</w:t>
            </w:r>
          </w:p>
        </w:tc>
        <w:tc>
          <w:tcPr>
            <w:tcW w:w="0" w:type="dxa"/>
            <w:vAlign w:val="bottom"/>
          </w:tcPr>
          <w:p>
            <w:pPr>
              <w:spacing w:after="0"/>
              <w:rPr>
                <w:sz w:val="1"/>
                <w:szCs w:val="1"/>
                <w:color w:val="auto"/>
              </w:rPr>
            </w:pPr>
          </w:p>
        </w:tc>
      </w:tr>
      <w:tr>
        <w:trPr>
          <w:trHeight w:val="67"/>
        </w:trPr>
        <w:tc>
          <w:tcPr>
            <w:tcW w:w="338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220"/>
              <w:spacing w:after="0"/>
              <w:rPr>
                <w:sz w:val="20"/>
                <w:szCs w:val="20"/>
                <w:color w:val="auto"/>
              </w:rPr>
            </w:pPr>
            <w:r>
              <w:rPr>
                <w:rFonts w:ascii="Arial" w:cs="Arial" w:eastAsia="Arial" w:hAnsi="Arial"/>
                <w:sz w:val="18"/>
                <w:szCs w:val="18"/>
                <w:color w:val="auto"/>
              </w:rPr>
              <w:t>Total</w:t>
            </w:r>
          </w:p>
        </w:tc>
        <w:tc>
          <w:tcPr>
            <w:tcW w:w="4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166,368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128,314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103,293</w:t>
            </w:r>
          </w:p>
        </w:tc>
        <w:tc>
          <w:tcPr>
            <w:tcW w:w="0" w:type="dxa"/>
            <w:vAlign w:val="bottom"/>
          </w:tcPr>
          <w:p>
            <w:pPr>
              <w:spacing w:after="0"/>
              <w:rPr>
                <w:sz w:val="1"/>
                <w:szCs w:val="1"/>
                <w:color w:val="auto"/>
              </w:rPr>
            </w:pPr>
          </w:p>
        </w:tc>
      </w:tr>
      <w:tr>
        <w:trPr>
          <w:trHeight w:val="61"/>
        </w:trPr>
        <w:tc>
          <w:tcPr>
            <w:tcW w:w="3380" w:type="dxa"/>
            <w:vAlign w:val="bottom"/>
          </w:tcPr>
          <w:p>
            <w:pPr>
              <w:spacing w:after="0"/>
              <w:rPr>
                <w:sz w:val="5"/>
                <w:szCs w:val="5"/>
                <w:color w:val="auto"/>
              </w:rPr>
            </w:pPr>
          </w:p>
        </w:tc>
        <w:tc>
          <w:tcPr>
            <w:tcW w:w="3940" w:type="dxa"/>
            <w:vAlign w:val="bottom"/>
            <w:vMerge w:val="restart"/>
          </w:tcPr>
          <w:p>
            <w:pPr>
              <w:jc w:val="right"/>
              <w:ind w:right="1536"/>
              <w:spacing w:after="0"/>
              <w:rPr>
                <w:sz w:val="20"/>
                <w:szCs w:val="20"/>
                <w:color w:val="auto"/>
              </w:rPr>
            </w:pPr>
            <w:r>
              <w:rPr>
                <w:rFonts w:ascii="Arial" w:cs="Arial" w:eastAsia="Arial" w:hAnsi="Arial"/>
                <w:sz w:val="14"/>
                <w:szCs w:val="14"/>
                <w:color w:val="auto"/>
              </w:rPr>
              <w:t>95</w:t>
            </w: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33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38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5" w:name="page96"/>
    <w:bookmarkEnd w:id="95"/>
    <w:p>
      <w:pPr>
        <w:ind w:left="5200"/>
        <w:spacing w:after="0"/>
        <w:rPr>
          <w:sz w:val="20"/>
          <w:szCs w:val="20"/>
          <w:color w:val="auto"/>
        </w:rPr>
      </w:pPr>
      <w:r>
        <w:rPr>
          <w:rFonts w:ascii="Arial" w:cs="Arial" w:eastAsia="Arial" w:hAnsi="Arial"/>
          <w:sz w:val="13"/>
          <w:szCs w:val="13"/>
          <w:u w:val="single" w:color="auto"/>
          <w:color w:val="auto"/>
        </w:rPr>
        <w:t>PART II</w:t>
      </w:r>
    </w:p>
    <w:p>
      <w:pPr>
        <w:ind w:left="52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369" w:lineRule="exact"/>
        <w:rPr>
          <w:sz w:val="20"/>
          <w:szCs w:val="20"/>
          <w:color w:val="auto"/>
        </w:rPr>
      </w:pPr>
    </w:p>
    <w:p>
      <w:pPr>
        <w:ind w:right="4620"/>
        <w:spacing w:after="0" w:line="43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the Financial Statements</w:t>
      </w: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Microsoft Corporation and subsidiaries (the "Company") as of June 30, 2022 and 2021, the related consolidated statements of income, comprehensive income, cash flows, and stockholders' equity, for each of the three years in the period ended June 30, 2022, and the related notes (collectively referred to as the "financial statements"). In our opinion, the financial statements present fairly, in all material respects, the financial position of the Company as of June 30, 2022 and 2021, and the results of its operations and its cash flows for each of the three years in the period ended June 30, 2022, in conformity with accounting principles generally accepted in the United States of America.</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June 30, 2022,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and our report</w:t>
      </w:r>
      <w:r>
        <w:rPr>
          <w:rFonts w:ascii="Arial" w:cs="Arial" w:eastAsia="Arial" w:hAnsi="Arial"/>
          <w:sz w:val="18"/>
          <w:szCs w:val="18"/>
          <w:i w:val="1"/>
          <w:iCs w:val="1"/>
          <w:color w:val="auto"/>
        </w:rPr>
        <w:t xml:space="preserve"> </w:t>
      </w:r>
      <w:r>
        <w:rPr>
          <w:rFonts w:ascii="Arial" w:cs="Arial" w:eastAsia="Arial" w:hAnsi="Arial"/>
          <w:sz w:val="18"/>
          <w:szCs w:val="18"/>
          <w:color w:val="auto"/>
        </w:rPr>
        <w:t>dated July 28, 2022, expressed an unqualified opinion on the Company's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53340</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0"/>
          </w:cols>
          <w:pgMar w:left="520" w:top="137" w:right="679" w:bottom="1440" w:gutter="0" w:footer="0" w:header="0"/>
        </w:sectPr>
      </w:pPr>
    </w:p>
    <w:bookmarkStart w:id="96" w:name="page97"/>
    <w:bookmarkEnd w:id="96"/>
    <w:p>
      <w:pPr>
        <w:ind w:left="5200"/>
        <w:spacing w:after="0"/>
        <w:rPr>
          <w:sz w:val="20"/>
          <w:szCs w:val="20"/>
          <w:color w:val="auto"/>
        </w:rPr>
      </w:pPr>
      <w:r>
        <w:rPr>
          <w:rFonts w:ascii="Arial" w:cs="Arial" w:eastAsia="Arial" w:hAnsi="Arial"/>
          <w:sz w:val="13"/>
          <w:szCs w:val="13"/>
          <w:u w:val="single" w:color="auto"/>
          <w:color w:val="auto"/>
        </w:rPr>
        <w:t>PART II</w:t>
      </w:r>
    </w:p>
    <w:p>
      <w:pPr>
        <w:ind w:left="52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369" w:lineRule="exact"/>
        <w:rPr>
          <w:sz w:val="20"/>
          <w:szCs w:val="20"/>
          <w:color w:val="auto"/>
        </w:rPr>
      </w:pPr>
    </w:p>
    <w:p>
      <w:pPr>
        <w:ind w:right="5060"/>
        <w:spacing w:after="0" w:line="434" w:lineRule="auto"/>
        <w:rPr>
          <w:sz w:val="20"/>
          <w:szCs w:val="20"/>
          <w:color w:val="auto"/>
        </w:rPr>
      </w:pPr>
      <w:r>
        <w:rPr>
          <w:rFonts w:ascii="Arial" w:cs="Arial" w:eastAsia="Arial" w:hAnsi="Arial"/>
          <w:sz w:val="18"/>
          <w:szCs w:val="18"/>
          <w:b w:val="1"/>
          <w:bCs w:val="1"/>
          <w:i w:val="1"/>
          <w:iCs w:val="1"/>
          <w:color w:val="auto"/>
        </w:rPr>
        <w:t xml:space="preserve">Revenue Recognition – 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recognizes revenue upon transfer of control of promised products or services to customers in an amount that reflects the consideration the Company expects to receive in exchange for those products or services. The Company offers customers the ability to acquire multiple licenses of software products and services, including cloud-based services, in its customer agreements through its volume licensing programs.</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Significant judgment is exercised by the Company in determining revenue recognition for these customer agreements, and includes the following:</w:t>
      </w:r>
    </w:p>
    <w:p>
      <w:pPr>
        <w:spacing w:after="0" w:line="143" w:lineRule="exact"/>
        <w:rPr>
          <w:sz w:val="20"/>
          <w:szCs w:val="20"/>
          <w:color w:val="auto"/>
        </w:rPr>
      </w:pPr>
    </w:p>
    <w:p>
      <w:pPr>
        <w:ind w:left="380" w:hanging="370"/>
        <w:spacing w:after="0" w:line="245"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Determination of whether products and services are considered distinct performance obligations that should be accounted for separately versus together, such as software licenses and related services that are sold with cloud-based services.</w:t>
      </w:r>
    </w:p>
    <w:p>
      <w:pPr>
        <w:spacing w:after="0" w:line="143" w:lineRule="exact"/>
        <w:rPr>
          <w:rFonts w:ascii="Arial" w:cs="Arial" w:eastAsia="Arial" w:hAnsi="Arial"/>
          <w:sz w:val="18"/>
          <w:szCs w:val="18"/>
          <w:color w:val="auto"/>
        </w:rPr>
      </w:pPr>
    </w:p>
    <w:p>
      <w:pPr>
        <w:ind w:left="380" w:hanging="370"/>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pattern of delivery (i.e., timing of when revenue is recognized) for each distinct performance obligation.</w:t>
      </w:r>
    </w:p>
    <w:p>
      <w:pPr>
        <w:spacing w:after="0" w:line="197" w:lineRule="exact"/>
        <w:rPr>
          <w:rFonts w:ascii="Arial" w:cs="Arial" w:eastAsia="Arial" w:hAnsi="Arial"/>
          <w:sz w:val="18"/>
          <w:szCs w:val="18"/>
          <w:color w:val="auto"/>
        </w:rPr>
      </w:pPr>
    </w:p>
    <w:p>
      <w:pPr>
        <w:ind w:left="380" w:hanging="370"/>
        <w:spacing w:after="0" w:line="245"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Identification and treatment of contract terms that may impact the timing and amount of revenue recognized (e.g., variable consideration, optional purchases, and free services).</w:t>
      </w:r>
    </w:p>
    <w:p>
      <w:pPr>
        <w:spacing w:after="0" w:line="143" w:lineRule="exact"/>
        <w:rPr>
          <w:rFonts w:ascii="Arial" w:cs="Arial" w:eastAsia="Arial" w:hAnsi="Arial"/>
          <w:sz w:val="18"/>
          <w:szCs w:val="18"/>
          <w:color w:val="auto"/>
        </w:rPr>
      </w:pPr>
    </w:p>
    <w:p>
      <w:pPr>
        <w:ind w:left="380" w:hanging="370"/>
        <w:spacing w:after="0" w:line="245"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Determination of stand-alone selling prices for each distinct performance obligation and for products and services that are not sold separately.</w:t>
      </w:r>
    </w:p>
    <w:p>
      <w:pPr>
        <w:spacing w:after="0" w:line="14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Given these factors and due to the volume of transactions, the related audit effort in evaluating management's judgments in determining revenue recognition for these customer agreements was extensive and required a high degree of auditor judgment.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related to the Company's revenue recognition for these customer agreements included the following:</w:t>
      </w:r>
    </w:p>
    <w:p>
      <w:pPr>
        <w:spacing w:after="0" w:line="157" w:lineRule="exact"/>
        <w:rPr>
          <w:sz w:val="20"/>
          <w:szCs w:val="20"/>
          <w:color w:val="auto"/>
        </w:rPr>
      </w:pPr>
    </w:p>
    <w:p>
      <w:pPr>
        <w:ind w:left="380" w:hanging="370"/>
        <w:spacing w:after="0" w:line="24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the identification of distinct performance obligations, the determination of the timing of revenue recognition, and the estimation of variable consideration.</w:t>
      </w:r>
    </w:p>
    <w:p>
      <w:pPr>
        <w:spacing w:after="0" w:line="143" w:lineRule="exact"/>
        <w:rPr>
          <w:rFonts w:ascii="Arial" w:cs="Arial" w:eastAsia="Arial" w:hAnsi="Arial"/>
          <w:sz w:val="18"/>
          <w:szCs w:val="18"/>
          <w:color w:val="auto"/>
        </w:rPr>
      </w:pPr>
    </w:p>
    <w:p>
      <w:pPr>
        <w:ind w:left="380" w:hanging="370"/>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evaluated management's significant accounting policies related to these customer agreements for reasonableness.</w:t>
      </w:r>
    </w:p>
    <w:p>
      <w:pPr>
        <w:spacing w:after="0" w:line="197" w:lineRule="exact"/>
        <w:rPr>
          <w:rFonts w:ascii="Arial" w:cs="Arial" w:eastAsia="Arial" w:hAnsi="Arial"/>
          <w:sz w:val="18"/>
          <w:szCs w:val="18"/>
          <w:color w:val="auto"/>
        </w:rPr>
      </w:pPr>
    </w:p>
    <w:p>
      <w:pPr>
        <w:ind w:left="380" w:hanging="370"/>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selected a sample of customer agreements and performed the following procedures:</w:t>
      </w:r>
    </w:p>
    <w:p>
      <w:pPr>
        <w:spacing w:after="0" w:line="197" w:lineRule="exact"/>
        <w:rPr>
          <w:sz w:val="20"/>
          <w:szCs w:val="20"/>
          <w:color w:val="auto"/>
        </w:rPr>
      </w:pPr>
    </w:p>
    <w:p>
      <w:pPr>
        <w:ind w:left="380" w:hanging="370"/>
        <w:spacing w:after="0" w:line="245"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Obtained and read contract source documents for each selection, including master agreements, and other documents that were part of the agreement.</w:t>
      </w:r>
    </w:p>
    <w:p>
      <w:pPr>
        <w:spacing w:after="0" w:line="143" w:lineRule="exact"/>
        <w:rPr>
          <w:rFonts w:ascii="Arial" w:cs="Arial" w:eastAsia="Arial" w:hAnsi="Arial"/>
          <w:sz w:val="18"/>
          <w:szCs w:val="18"/>
          <w:color w:val="auto"/>
        </w:rPr>
      </w:pPr>
    </w:p>
    <w:p>
      <w:pPr>
        <w:ind w:left="380" w:hanging="370"/>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Tested management's identification and treatment of contract terms.</w:t>
      </w:r>
    </w:p>
    <w:p>
      <w:pPr>
        <w:spacing w:after="0" w:line="156" w:lineRule="exact"/>
        <w:rPr>
          <w:rFonts w:ascii="Arial" w:cs="Arial" w:eastAsia="Arial" w:hAnsi="Arial"/>
          <w:sz w:val="18"/>
          <w:szCs w:val="18"/>
          <w:color w:val="auto"/>
        </w:rPr>
      </w:pPr>
    </w:p>
    <w:p>
      <w:pPr>
        <w:ind w:left="380" w:hanging="370"/>
        <w:spacing w:after="0" w:line="245"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Assessed the terms in the customer agreement and evaluated the appropriateness of management's application of their accounting policies, along with their use of estimates, in the determination of revenue recognition conclusions.</w:t>
      </w:r>
    </w:p>
    <w:p>
      <w:pPr>
        <w:spacing w:after="0" w:line="143" w:lineRule="exact"/>
        <w:rPr>
          <w:sz w:val="20"/>
          <w:szCs w:val="20"/>
          <w:color w:val="auto"/>
        </w:rPr>
      </w:pPr>
    </w:p>
    <w:p>
      <w:pPr>
        <w:ind w:left="380" w:hanging="370"/>
        <w:spacing w:after="0" w:line="245"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evaluated the reasonableness of management's estimate of stand-alone selling prices for products and services that are not sold separately.</w:t>
      </w:r>
    </w:p>
    <w:p>
      <w:pPr>
        <w:spacing w:after="0" w:line="143" w:lineRule="exact"/>
        <w:rPr>
          <w:rFonts w:ascii="Arial" w:cs="Arial" w:eastAsia="Arial" w:hAnsi="Arial"/>
          <w:sz w:val="18"/>
          <w:szCs w:val="18"/>
          <w:color w:val="auto"/>
        </w:rPr>
      </w:pPr>
    </w:p>
    <w:p>
      <w:pPr>
        <w:ind w:left="380" w:hanging="370"/>
        <w:spacing w:after="0" w:line="245"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calculations of revenue and the associated timing of revenue recognized in the financial statements.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53340</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0"/>
          </w:cols>
          <w:pgMar w:left="520" w:top="137" w:right="679" w:bottom="1440" w:gutter="0" w:footer="0" w:header="0"/>
        </w:sectPr>
      </w:pPr>
    </w:p>
    <w:bookmarkStart w:id="97" w:name="page98"/>
    <w:bookmarkEnd w:id="97"/>
    <w:p>
      <w:pPr>
        <w:ind w:left="5200"/>
        <w:spacing w:after="0"/>
        <w:rPr>
          <w:sz w:val="20"/>
          <w:szCs w:val="20"/>
          <w:color w:val="auto"/>
        </w:rPr>
      </w:pPr>
      <w:r>
        <w:rPr>
          <w:rFonts w:ascii="Arial" w:cs="Arial" w:eastAsia="Arial" w:hAnsi="Arial"/>
          <w:sz w:val="13"/>
          <w:szCs w:val="13"/>
          <w:u w:val="single" w:color="auto"/>
          <w:color w:val="auto"/>
        </w:rPr>
        <w:t>PART II</w:t>
      </w:r>
    </w:p>
    <w:p>
      <w:pPr>
        <w:ind w:left="52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369" w:lineRule="exact"/>
        <w:rPr>
          <w:sz w:val="20"/>
          <w:szCs w:val="20"/>
          <w:color w:val="auto"/>
        </w:rPr>
      </w:pPr>
    </w:p>
    <w:p>
      <w:pPr>
        <w:ind w:right="3380"/>
        <w:spacing w:after="0" w:line="434" w:lineRule="auto"/>
        <w:rPr>
          <w:sz w:val="20"/>
          <w:szCs w:val="20"/>
          <w:color w:val="auto"/>
        </w:rPr>
      </w:pPr>
      <w:r>
        <w:rPr>
          <w:rFonts w:ascii="Arial" w:cs="Arial" w:eastAsia="Arial" w:hAnsi="Arial"/>
          <w:sz w:val="18"/>
          <w:szCs w:val="18"/>
          <w:b w:val="1"/>
          <w:bCs w:val="1"/>
          <w:i w:val="1"/>
          <w:iCs w:val="1"/>
          <w:color w:val="auto"/>
        </w:rPr>
        <w:t xml:space="preserve">Income Taxes – Uncertain Tax Positions – Refer to Note 12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Company's long-term income taxes liability includes uncertain tax positions related to transfer pricing issues that remain unresolved with the Internal Revenue Service ("IRS"). The Company remains under IRS audit, or subject to IRS audit, for tax years subsequent to 2003. While the Company has settled a portion of the IRS audits, resolution of the remaining matters could have a material impact on the Company's financial statements.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Conclusions on recognizing and measuring uncertain tax positions involve significant estimates and management judgment and include complex considerations of the Internal Revenue Code, related regulations, tax case laws, and prior-year audit settlements. Given the complexity and the subjective nature of the transfer pricing issues that remain unresolved with the IRS, evaluating management's estimates relating to their determination of uncertain tax positions required extensive audit effort and a high degree of auditor judgment, including involvement of our tax specialists.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principal audit procedures to evaluate management's estimates of uncertain tax positions related to unresolved transfer pricing issues included the following:</w:t>
      </w:r>
    </w:p>
    <w:p>
      <w:pPr>
        <w:spacing w:after="0" w:line="143" w:lineRule="exact"/>
        <w:rPr>
          <w:sz w:val="20"/>
          <w:szCs w:val="20"/>
          <w:color w:val="auto"/>
        </w:rPr>
      </w:pPr>
    </w:p>
    <w:p>
      <w:pPr>
        <w:jc w:val="both"/>
        <w:ind w:left="380" w:hanging="370"/>
        <w:spacing w:after="0" w:line="239"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management's methods and assumptions used in the identification, recognition, measurement, and disclosure of uncertain tax positions, which included testing the effectiveness of the related internal controls.</w:t>
      </w:r>
    </w:p>
    <w:p>
      <w:pPr>
        <w:spacing w:after="0" w:line="149" w:lineRule="exact"/>
        <w:rPr>
          <w:rFonts w:ascii="Arial" w:cs="Arial" w:eastAsia="Arial" w:hAnsi="Arial"/>
          <w:sz w:val="18"/>
          <w:szCs w:val="18"/>
          <w:color w:val="auto"/>
        </w:rPr>
      </w:pPr>
    </w:p>
    <w:p>
      <w:pPr>
        <w:ind w:left="380" w:hanging="370"/>
        <w:spacing w:after="0" w:line="245"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read and evaluated management's documentation, including relevant accounting policies and information obtained by management from outside tax specialists, that detailed the basis of the uncertain tax positions.</w:t>
      </w:r>
    </w:p>
    <w:p>
      <w:pPr>
        <w:spacing w:after="0" w:line="143" w:lineRule="exact"/>
        <w:rPr>
          <w:rFonts w:ascii="Arial" w:cs="Arial" w:eastAsia="Arial" w:hAnsi="Arial"/>
          <w:sz w:val="18"/>
          <w:szCs w:val="18"/>
          <w:color w:val="auto"/>
        </w:rPr>
      </w:pPr>
    </w:p>
    <w:p>
      <w:pPr>
        <w:ind w:left="380" w:hanging="370"/>
        <w:spacing w:after="0" w:line="245"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tested the reasonableness of management's judgments regarding the future resolution of the uncertain tax positions, including an evaluation of the technical merits of the uncertain tax positions.</w:t>
      </w:r>
    </w:p>
    <w:p>
      <w:pPr>
        <w:spacing w:after="0" w:line="143" w:lineRule="exact"/>
        <w:rPr>
          <w:rFonts w:ascii="Arial" w:cs="Arial" w:eastAsia="Arial" w:hAnsi="Arial"/>
          <w:sz w:val="18"/>
          <w:szCs w:val="18"/>
          <w:color w:val="auto"/>
        </w:rPr>
      </w:pPr>
    </w:p>
    <w:p>
      <w:pPr>
        <w:jc w:val="both"/>
        <w:ind w:left="380" w:hanging="370"/>
        <w:spacing w:after="0" w:line="239"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those uncertain tax positions that had not been effectively settled, we evaluated whether management had appropriately considered new information that could significantly change the recognition, measurement or disclosure of the uncertain tax positions.</w:t>
      </w:r>
    </w:p>
    <w:p>
      <w:pPr>
        <w:spacing w:after="0" w:line="149" w:lineRule="exact"/>
        <w:rPr>
          <w:rFonts w:ascii="Arial" w:cs="Arial" w:eastAsia="Arial" w:hAnsi="Arial"/>
          <w:sz w:val="18"/>
          <w:szCs w:val="18"/>
          <w:color w:val="auto"/>
        </w:rPr>
      </w:pPr>
    </w:p>
    <w:p>
      <w:pPr>
        <w:ind w:left="380" w:hanging="370"/>
        <w:spacing w:after="0" w:line="245"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evaluated the reasonableness of management's estimates by considering how tax law, including statutes, regulations and case law, impacted management's judgments.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28,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53340</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0"/>
          </w:cols>
          <w:pgMar w:left="520" w:top="137" w:right="679" w:bottom="1440" w:gutter="0" w:footer="0" w:header="0"/>
        </w:sectPr>
      </w:pPr>
    </w:p>
    <w:bookmarkStart w:id="98" w:name="page99"/>
    <w:bookmarkEnd w:id="98"/>
    <w:p>
      <w:pPr>
        <w:jc w:val="center"/>
        <w:spacing w:after="0"/>
        <w:rPr>
          <w:sz w:val="20"/>
          <w:szCs w:val="20"/>
          <w:color w:val="auto"/>
        </w:rPr>
      </w:pPr>
      <w:r>
        <w:rPr>
          <w:rFonts w:ascii="Arial" w:cs="Arial" w:eastAsia="Arial" w:hAnsi="Arial"/>
          <w:sz w:val="13"/>
          <w:szCs w:val="13"/>
          <w:u w:val="single" w:color="auto"/>
          <w:color w:val="auto"/>
        </w:rPr>
        <w:t>PART II</w:t>
      </w:r>
    </w:p>
    <w:p>
      <w:pPr>
        <w:jc w:val="center"/>
        <w:spacing w:after="0"/>
        <w:rPr>
          <w:sz w:val="20"/>
          <w:szCs w:val="20"/>
          <w:color w:val="auto"/>
        </w:rPr>
      </w:pPr>
      <w:r>
        <w:rPr>
          <w:rFonts w:ascii="Arial" w:cs="Arial" w:eastAsia="Arial" w:hAnsi="Arial"/>
          <w:sz w:val="13"/>
          <w:szCs w:val="13"/>
          <w:color w:val="auto"/>
        </w:rPr>
        <w:t>Item 9, 9A</w:t>
      </w:r>
    </w:p>
    <w:p>
      <w:pPr>
        <w:spacing w:after="0" w:line="398" w:lineRule="exact"/>
        <w:rPr>
          <w:sz w:val="20"/>
          <w:szCs w:val="20"/>
          <w:color w:val="auto"/>
        </w:rPr>
      </w:pPr>
    </w:p>
    <w:p>
      <w:pPr>
        <w:jc w:val="center"/>
        <w:spacing w:after="0" w:line="260"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9A. CONTROLS AND PROCEDURES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management concluded that the Company’s internal control over financial reporting was effective as of June 30, 2022. There were no changes in our internal control over financial reporting during the quarter ended June 30, 2022 that have materially affected, or are reasonably likely to materially affect, our internal control over financial reporting. Deloitte &amp; Touche LLP has audited our internal control over financial reporting as of June 30, 2022; their report is included in Item 9A.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9" w:name="page100"/>
    <w:bookmarkEnd w:id="99"/>
    <w:p>
      <w:pPr>
        <w:ind w:left="5200"/>
        <w:spacing w:after="0"/>
        <w:rPr>
          <w:sz w:val="20"/>
          <w:szCs w:val="20"/>
          <w:color w:val="auto"/>
        </w:rPr>
      </w:pPr>
      <w:r>
        <w:rPr>
          <w:rFonts w:ascii="Arial" w:cs="Arial" w:eastAsia="Arial" w:hAnsi="Arial"/>
          <w:sz w:val="13"/>
          <w:szCs w:val="13"/>
          <w:u w:val="single" w:color="auto"/>
          <w:color w:val="auto"/>
        </w:rPr>
        <w:t>PART II</w:t>
      </w:r>
    </w:p>
    <w:p>
      <w:pPr>
        <w:ind w:left="5200"/>
        <w:spacing w:after="0"/>
        <w:rPr>
          <w:sz w:val="20"/>
          <w:szCs w:val="20"/>
          <w:color w:val="auto"/>
        </w:rPr>
      </w:pPr>
      <w:r>
        <w:rPr>
          <w:rFonts w:ascii="Arial" w:cs="Arial" w:eastAsia="Arial" w:hAnsi="Arial"/>
          <w:sz w:val="13"/>
          <w:szCs w:val="13"/>
          <w:color w:val="auto"/>
        </w:rPr>
        <w:t>Item 9A</w:t>
      </w:r>
    </w:p>
    <w:p>
      <w:pPr>
        <w:spacing w:after="0" w:line="200" w:lineRule="exact"/>
        <w:rPr>
          <w:sz w:val="20"/>
          <w:szCs w:val="20"/>
          <w:color w:val="auto"/>
        </w:rPr>
      </w:pPr>
    </w:p>
    <w:p>
      <w:pPr>
        <w:spacing w:after="0" w:line="207" w:lineRule="exact"/>
        <w:rPr>
          <w:sz w:val="20"/>
          <w:szCs w:val="20"/>
          <w:color w:val="auto"/>
        </w:rPr>
      </w:pPr>
    </w:p>
    <w:p>
      <w:pPr>
        <w:ind w:right="4620"/>
        <w:spacing w:after="0" w:line="43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Internal Control over Financial Reporting</w:t>
      </w:r>
    </w:p>
    <w:p>
      <w:pPr>
        <w:jc w:val="both"/>
        <w:ind w:right="20"/>
        <w:spacing w:after="0" w:line="237" w:lineRule="auto"/>
        <w:rPr>
          <w:sz w:val="20"/>
          <w:szCs w:val="20"/>
          <w:color w:val="auto"/>
        </w:rPr>
      </w:pPr>
      <w:r>
        <w:rPr>
          <w:rFonts w:ascii="Arial" w:cs="Arial" w:eastAsia="Arial" w:hAnsi="Arial"/>
          <w:sz w:val="18"/>
          <w:szCs w:val="18"/>
          <w:color w:val="auto"/>
        </w:rPr>
        <w:t xml:space="preserve">We have audited the internal control over financial reporting of Microsoft Corporation and subsidiaries (the "Company") as of June 30,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June 30, 2022, of the Company and our report dated July 28, 2022, expressed an unqualified opinion on those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53340</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0"/>
          </w:cols>
          <w:pgMar w:left="520" w:top="138" w:right="6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3"/>
          <w:szCs w:val="13"/>
          <w:u w:val="single" w:color="auto"/>
          <w:color w:val="auto"/>
        </w:rPr>
        <w:t>PART II, III</w:t>
      </w:r>
    </w:p>
    <w:p>
      <w:pPr>
        <w:jc w:val="center"/>
        <w:spacing w:after="0"/>
        <w:rPr>
          <w:sz w:val="20"/>
          <w:szCs w:val="20"/>
          <w:color w:val="auto"/>
        </w:rPr>
      </w:pPr>
      <w:r>
        <w:rPr>
          <w:rFonts w:ascii="Arial" w:cs="Arial" w:eastAsia="Arial" w:hAnsi="Arial"/>
          <w:sz w:val="13"/>
          <w:szCs w:val="13"/>
          <w:color w:val="auto"/>
        </w:rPr>
        <w:t>Item 9B, 9C, 10, 11, 12, 13, 14</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9B. OTHER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list of our executive officers and biographical information appears in Part I, Item 1 of this Form 10-K. Information about our directors may be found under the caption “Our Director Nominees” in our Proxy Statement for the Annual Meeting of Shareholders to be held December 13, 2022 (the “Proxy Statement”). Information about our Audit Committee may be found under the caption “Board Committees” in the Proxy Statement. That information is incorporated herein by reference.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adopted the Microsoft Finance Code of Professional Conduct (the “finance code of ethics”), a code of ethics that applies to our Chief Executive Officer, Chief Financial Officer, Chief Accounting Officer, and other finance organization employees. The finance code of ethics is publicly available on our website at https://aka.ms/FinanceCodeProfessionalConduct. If we make any substantive amendments to the finance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11. EXECUTIVE COMPENSATION</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information in the Proxy Statement set forth under the captions “Director Compensation,” “Named Executive Officer Compensation,” “Compensation Committee Report,” and, if required, “Compensation Committee Interlocks and Insider Participation,” is incorporated herein by reference.</w:t>
      </w:r>
    </w:p>
    <w:p>
      <w:pPr>
        <w:spacing w:after="0" w:line="185" w:lineRule="exact"/>
        <w:rPr>
          <w:sz w:val="20"/>
          <w:szCs w:val="20"/>
          <w:color w:val="auto"/>
        </w:rPr>
      </w:pPr>
    </w:p>
    <w:p>
      <w:pPr>
        <w:jc w:val="center"/>
        <w:ind w:left="340" w:right="160"/>
        <w:spacing w:after="0" w:line="260"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information in the Proxy Statement set forth under the captions “Stock Ownership Information,” “Principal Shareholders” and “Equity Compensation Plan Information” is incorporated herein by reference.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83"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information set forth in the Proxy Statement under the captions “Director Independence Guidelines” and “Certain Relationships and Related Transactions” is incorporated herein by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Information concerning fees and services provided by our principal accountant, Deloitte &amp; Touche LLP (PCAOB ID No. 34), appears in the Proxy Statement under the headings “Fees Billed by Deloitte &amp; Touche” and “Policy on Audit Committee Pre-Approval of Audit and Permissible Non-Audit Services of Independent Auditor” and is incorporated herein by reference.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1" w:name="page102"/>
    <w:bookmarkEnd w:id="101"/>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161"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Schedules</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financial statements are set forth under Part II, Item 8 of this Form 10-K, as indexed below. Financial statement schedules have been omitted since they either are not required, not applicable, or the information is otherwise included.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rPr>
              <w:t>Index to Financial Statements</w:t>
            </w:r>
          </w:p>
        </w:tc>
        <w:tc>
          <w:tcPr>
            <w:tcW w:w="6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Page</w:t>
            </w:r>
          </w:p>
        </w:tc>
      </w:tr>
      <w:tr>
        <w:trPr>
          <w:trHeight w:val="155"/>
        </w:trPr>
        <w:tc>
          <w:tcPr>
            <w:tcW w:w="1560" w:type="dxa"/>
            <w:vAlign w:val="bottom"/>
            <w:tcBorders>
              <w:bottom w:val="single" w:sz="8" w:color="0000EE"/>
            </w:tcBorders>
            <w:gridSpan w:val="2"/>
          </w:tcPr>
          <w:p>
            <w:pPr>
              <w:spacing w:after="0" w:line="155" w:lineRule="exact"/>
              <w:rPr>
                <w:rFonts w:ascii="Arial" w:cs="Arial" w:eastAsia="Arial" w:hAnsi="Arial"/>
                <w:sz w:val="17"/>
                <w:szCs w:val="17"/>
                <w:color w:val="0000EE"/>
              </w:rPr>
            </w:pPr>
            <w:hyperlink w:anchor="page57">
              <w:r>
                <w:rPr>
                  <w:rFonts w:ascii="Arial" w:cs="Arial" w:eastAsia="Arial" w:hAnsi="Arial"/>
                  <w:sz w:val="17"/>
                  <w:szCs w:val="17"/>
                  <w:color w:val="0000EE"/>
                </w:rPr>
                <w:t>Income Statements</w:t>
              </w:r>
            </w:hyperlink>
          </w:p>
        </w:tc>
        <w:tc>
          <w:tcPr>
            <w:tcW w:w="3040" w:type="dxa"/>
            <w:vAlign w:val="bottom"/>
            <w:gridSpan w:val="5"/>
          </w:tcPr>
          <w:p>
            <w:pPr>
              <w:spacing w:after="0"/>
              <w:rPr>
                <w:sz w:val="13"/>
                <w:szCs w:val="13"/>
                <w:color w:val="auto"/>
              </w:rPr>
            </w:pPr>
          </w:p>
        </w:tc>
        <w:tc>
          <w:tcPr>
            <w:tcW w:w="6580" w:type="dxa"/>
            <w:vAlign w:val="bottom"/>
          </w:tcPr>
          <w:p>
            <w:pPr>
              <w:jc w:val="right"/>
              <w:spacing w:after="0" w:line="155" w:lineRule="exact"/>
              <w:rPr>
                <w:sz w:val="20"/>
                <w:szCs w:val="20"/>
                <w:color w:val="auto"/>
              </w:rPr>
            </w:pPr>
            <w:r>
              <w:rPr>
                <w:rFonts w:ascii="Arial" w:cs="Arial" w:eastAsia="Arial" w:hAnsi="Arial"/>
                <w:sz w:val="17"/>
                <w:szCs w:val="17"/>
                <w:color w:val="auto"/>
              </w:rPr>
              <w:t>57</w:t>
            </w:r>
          </w:p>
        </w:tc>
      </w:tr>
      <w:tr>
        <w:trPr>
          <w:trHeight w:val="249"/>
        </w:trPr>
        <w:tc>
          <w:tcPr>
            <w:tcW w:w="460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Comprehensive Income Statements</w:t>
              </w:r>
            </w:hyperlink>
          </w:p>
        </w:tc>
        <w:tc>
          <w:tcPr>
            <w:tcW w:w="6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6"/>
        </w:trPr>
        <w:tc>
          <w:tcPr>
            <w:tcW w:w="2860" w:type="dxa"/>
            <w:vAlign w:val="bottom"/>
            <w:tcBorders>
              <w:top w:val="single" w:sz="8" w:color="0000EE"/>
            </w:tcBorders>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Balance Sheets</w:t>
              </w:r>
            </w:hyperlink>
          </w:p>
        </w:tc>
        <w:tc>
          <w:tcPr>
            <w:tcW w:w="1740" w:type="dxa"/>
            <w:vAlign w:val="bottom"/>
          </w:tcPr>
          <w:p>
            <w:pPr>
              <w:spacing w:after="0"/>
              <w:rPr>
                <w:sz w:val="20"/>
                <w:szCs w:val="20"/>
                <w:color w:val="auto"/>
              </w:rPr>
            </w:pPr>
          </w:p>
        </w:tc>
        <w:tc>
          <w:tcPr>
            <w:tcW w:w="6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2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36"/>
        </w:trPr>
        <w:tc>
          <w:tcPr>
            <w:tcW w:w="460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Cash Flows Statements</w:t>
              </w:r>
            </w:hyperlink>
          </w:p>
        </w:tc>
        <w:tc>
          <w:tcPr>
            <w:tcW w:w="6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36"/>
        </w:trPr>
        <w:tc>
          <w:tcPr>
            <w:tcW w:w="26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Stockholders’ Equity Statements</w:t>
              </w:r>
            </w:hyperlink>
          </w:p>
        </w:tc>
        <w:tc>
          <w:tcPr>
            <w:tcW w:w="2000" w:type="dxa"/>
            <w:vAlign w:val="bottom"/>
            <w:gridSpan w:val="2"/>
          </w:tcPr>
          <w:p>
            <w:pPr>
              <w:spacing w:after="0"/>
              <w:rPr>
                <w:sz w:val="20"/>
                <w:szCs w:val="20"/>
                <w:color w:val="auto"/>
              </w:rPr>
            </w:pPr>
          </w:p>
        </w:tc>
        <w:tc>
          <w:tcPr>
            <w:tcW w:w="6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6"/>
        </w:trPr>
        <w:tc>
          <w:tcPr>
            <w:tcW w:w="460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Notes to Financial Statements</w:t>
              </w:r>
            </w:hyperlink>
          </w:p>
        </w:tc>
        <w:tc>
          <w:tcPr>
            <w:tcW w:w="6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36"/>
        </w:trPr>
        <w:tc>
          <w:tcPr>
            <w:tcW w:w="46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96">
              <w:r>
                <w:rPr>
                  <w:rFonts w:ascii="Arial" w:cs="Arial" w:eastAsia="Arial" w:hAnsi="Arial"/>
                  <w:sz w:val="18"/>
                  <w:szCs w:val="18"/>
                  <w:color w:val="0000EE"/>
                  <w:w w:val="99"/>
                </w:rPr>
                <w:t>Report of Independent Registered Public Accounting Firm</w:t>
              </w:r>
            </w:hyperlink>
          </w:p>
        </w:tc>
        <w:tc>
          <w:tcPr>
            <w:tcW w:w="658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60"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Exhibit Listing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80" w:type="dxa"/>
            <w:vAlign w:val="bottom"/>
          </w:tcPr>
          <w:p>
            <w:pPr>
              <w:jc w:val="right"/>
              <w:ind w:right="193"/>
              <w:spacing w:after="0" w:line="125" w:lineRule="exact"/>
              <w:rPr>
                <w:sz w:val="20"/>
                <w:szCs w:val="20"/>
                <w:color w:val="auto"/>
              </w:rPr>
            </w:pPr>
            <w:r>
              <w:rPr>
                <w:rFonts w:ascii="Arial" w:cs="Arial" w:eastAsia="Arial" w:hAnsi="Arial"/>
                <w:sz w:val="13"/>
                <w:szCs w:val="13"/>
                <w:b w:val="1"/>
                <w:bCs w:val="1"/>
                <w:color w:val="auto"/>
              </w:rPr>
              <w:t>Period</w:t>
            </w:r>
          </w:p>
        </w:tc>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160" w:type="dxa"/>
            <w:vAlign w:val="bottom"/>
            <w:tcBorders>
              <w:bottom w:val="single" w:sz="8" w:color="auto"/>
            </w:tcBorders>
            <w:gridSpan w:val="15"/>
          </w:tcPr>
          <w:p>
            <w:pPr>
              <w:spacing w:after="0"/>
              <w:rPr>
                <w:sz w:val="20"/>
                <w:szCs w:val="20"/>
                <w:color w:val="auto"/>
              </w:rPr>
            </w:pPr>
            <w:r>
              <w:rPr>
                <w:rFonts w:ascii="Arial" w:cs="Arial" w:eastAsia="Arial" w:hAnsi="Arial"/>
                <w:sz w:val="13"/>
                <w:szCs w:val="13"/>
                <w:b w:val="1"/>
                <w:bCs w:val="1"/>
                <w:color w:val="auto"/>
              </w:rPr>
              <w:t>Exhibit Description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Form</w:t>
            </w: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Ending</w:t>
            </w: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4020" w:type="dxa"/>
            <w:vAlign w:val="bottom"/>
            <w:tcBorders>
              <w:bottom w:val="single" w:sz="8" w:color="0000EE"/>
            </w:tcBorders>
            <w:gridSpan w:val="14"/>
          </w:tcPr>
          <w:p>
            <w:pPr>
              <w:spacing w:after="0"/>
              <w:rPr>
                <w:rFonts w:ascii="Arial" w:cs="Arial" w:eastAsia="Arial" w:hAnsi="Arial"/>
                <w:sz w:val="18"/>
                <w:szCs w:val="18"/>
                <w:color w:val="0000EE"/>
                <w:w w:val="99"/>
              </w:rPr>
            </w:pPr>
            <w:hyperlink r:id="rId168">
              <w:r>
                <w:rPr>
                  <w:rFonts w:ascii="Arial" w:cs="Arial" w:eastAsia="Arial" w:hAnsi="Arial"/>
                  <w:sz w:val="18"/>
                  <w:szCs w:val="18"/>
                  <w:color w:val="0000EE"/>
                  <w:w w:val="99"/>
                </w:rPr>
                <w:t>Amended and Restated Articles of Incorporation of</w:t>
              </w:r>
            </w:hyperlink>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jc w:val="right"/>
              <w:ind w:right="254"/>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3.1</w:t>
            </w:r>
          </w:p>
        </w:tc>
        <w:tc>
          <w:tcPr>
            <w:tcW w:w="1180" w:type="dxa"/>
            <w:vAlign w:val="bottom"/>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5"/>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Microsoft Corporation</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4160" w:type="dxa"/>
            <w:vAlign w:val="bottom"/>
            <w:gridSpan w:val="15"/>
          </w:tcPr>
          <w:p>
            <w:pPr>
              <w:spacing w:after="0"/>
              <w:rPr>
                <w:rFonts w:ascii="Arial" w:cs="Arial" w:eastAsia="Arial" w:hAnsi="Arial"/>
                <w:sz w:val="18"/>
                <w:szCs w:val="18"/>
                <w:color w:val="0000EE"/>
              </w:rPr>
            </w:pPr>
            <w:hyperlink r:id="rId169">
              <w:r>
                <w:rPr>
                  <w:rFonts w:ascii="Arial" w:cs="Arial" w:eastAsia="Arial" w:hAnsi="Arial"/>
                  <w:sz w:val="18"/>
                  <w:szCs w:val="18"/>
                  <w:color w:val="0000EE"/>
                </w:rPr>
                <w:t>Bylaws of Microsoft Corporation</w:t>
              </w:r>
            </w:hyperlink>
          </w:p>
        </w:tc>
        <w:tc>
          <w:tcPr>
            <w:tcW w:w="840" w:type="dxa"/>
            <w:vAlign w:val="bottom"/>
          </w:tcPr>
          <w:p>
            <w:pPr>
              <w:spacing w:after="0"/>
              <w:rPr>
                <w:sz w:val="24"/>
                <w:szCs w:val="24"/>
                <w:color w:val="auto"/>
              </w:rPr>
            </w:pPr>
          </w:p>
        </w:tc>
        <w:tc>
          <w:tcPr>
            <w:tcW w:w="1320" w:type="dxa"/>
            <w:vAlign w:val="bottom"/>
          </w:tcPr>
          <w:p>
            <w:pPr>
              <w:jc w:val="right"/>
              <w:ind w:right="254"/>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3.2</w:t>
            </w:r>
          </w:p>
        </w:tc>
        <w:tc>
          <w:tcPr>
            <w:tcW w:w="1180" w:type="dxa"/>
            <w:vAlign w:val="bottom"/>
          </w:tcPr>
          <w:p>
            <w:pPr>
              <w:jc w:val="right"/>
              <w:spacing w:after="0"/>
              <w:rPr>
                <w:sz w:val="20"/>
                <w:szCs w:val="20"/>
                <w:color w:val="auto"/>
              </w:rPr>
            </w:pPr>
            <w:r>
              <w:rPr>
                <w:rFonts w:ascii="Arial" w:cs="Arial" w:eastAsia="Arial" w:hAnsi="Arial"/>
                <w:sz w:val="18"/>
                <w:szCs w:val="18"/>
                <w:color w:val="auto"/>
              </w:rPr>
              <w:t>6/14/17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20" w:type="dxa"/>
            <w:vAlign w:val="bottom"/>
          </w:tcPr>
          <w:p>
            <w:pPr>
              <w:spacing w:after="0"/>
              <w:rPr>
                <w:sz w:val="20"/>
                <w:szCs w:val="20"/>
                <w:color w:val="auto"/>
              </w:rPr>
            </w:pPr>
            <w:r>
              <w:rPr>
                <w:rFonts w:ascii="Arial" w:cs="Arial" w:eastAsia="Arial" w:hAnsi="Arial"/>
                <w:sz w:val="18"/>
                <w:szCs w:val="18"/>
                <w:color w:val="auto"/>
              </w:rPr>
              <w:t>4.1</w:t>
            </w:r>
          </w:p>
        </w:tc>
        <w:tc>
          <w:tcPr>
            <w:tcW w:w="3660" w:type="dxa"/>
            <w:vAlign w:val="bottom"/>
            <w:tcBorders>
              <w:bottom w:val="single" w:sz="8" w:color="0000EE"/>
            </w:tcBorders>
            <w:gridSpan w:val="7"/>
          </w:tcPr>
          <w:p>
            <w:pPr>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Indenture, dated as of May 18, 2009, between</w:t>
              </w:r>
            </w:hyperlink>
          </w:p>
        </w:tc>
        <w:tc>
          <w:tcPr>
            <w:tcW w:w="50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jc w:val="right"/>
              <w:ind w:right="254"/>
              <w:spacing w:after="0"/>
              <w:rPr>
                <w:sz w:val="20"/>
                <w:szCs w:val="20"/>
                <w:color w:val="auto"/>
              </w:rPr>
            </w:pPr>
            <w:r>
              <w:rPr>
                <w:rFonts w:ascii="Arial" w:cs="Arial" w:eastAsia="Arial" w:hAnsi="Arial"/>
                <w:sz w:val="18"/>
                <w:szCs w:val="18"/>
                <w:color w:val="auto"/>
              </w:rPr>
              <w:t>S-3ASR</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10/29/15</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5"/>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Microsoft Corporation and The Bank of New York</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Mellon Trust Company, N.A., as Trustee (“Base</w:t>
              </w:r>
            </w:hyperlink>
          </w:p>
        </w:tc>
        <w:tc>
          <w:tcPr>
            <w:tcW w:w="2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8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70">
              <w:r>
                <w:rPr>
                  <w:rFonts w:ascii="Arial" w:cs="Arial" w:eastAsia="Arial" w:hAnsi="Arial"/>
                  <w:sz w:val="18"/>
                  <w:szCs w:val="18"/>
                  <w:color w:val="0000EE"/>
                  <w:w w:val="97"/>
                </w:rPr>
                <w:t>Indenture”)</w:t>
              </w:r>
            </w:hyperlink>
          </w:p>
        </w:tc>
        <w:tc>
          <w:tcPr>
            <w:tcW w:w="2860" w:type="dxa"/>
            <w:vAlign w:val="bottom"/>
            <w:tcBorders>
              <w:top w:val="single" w:sz="8" w:color="0000EE"/>
            </w:tcBorders>
            <w:gridSpan w:val="7"/>
          </w:tcPr>
          <w:p>
            <w:pPr>
              <w:spacing w:after="0"/>
              <w:rPr>
                <w:sz w:val="15"/>
                <w:szCs w:val="15"/>
                <w:color w:val="auto"/>
              </w:rPr>
            </w:pPr>
          </w:p>
        </w:tc>
        <w:tc>
          <w:tcPr>
            <w:tcW w:w="420" w:type="dxa"/>
            <w:vAlign w:val="bottom"/>
            <w:gridSpan w:val="7"/>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4.2</w:t>
            </w:r>
          </w:p>
        </w:tc>
        <w:tc>
          <w:tcPr>
            <w:tcW w:w="4160" w:type="dxa"/>
            <w:vAlign w:val="bottom"/>
            <w:gridSpan w:val="15"/>
          </w:tcPr>
          <w:p>
            <w:pPr>
              <w:spacing w:after="0"/>
              <w:rPr>
                <w:rFonts w:ascii="Arial" w:cs="Arial" w:eastAsia="Arial" w:hAnsi="Arial"/>
                <w:sz w:val="18"/>
                <w:szCs w:val="18"/>
                <w:color w:val="0000EE"/>
              </w:rPr>
            </w:pPr>
            <w:hyperlink r:id="rId171">
              <w:r>
                <w:rPr>
                  <w:rFonts w:ascii="Arial" w:cs="Arial" w:eastAsia="Arial" w:hAnsi="Arial"/>
                  <w:sz w:val="18"/>
                  <w:szCs w:val="18"/>
                  <w:color w:val="0000EE"/>
                </w:rPr>
                <w:t>Form of First Supplemental Indenture for 2.95%</w:t>
              </w:r>
            </w:hyperlink>
          </w:p>
        </w:tc>
        <w:tc>
          <w:tcPr>
            <w:tcW w:w="840" w:type="dxa"/>
            <w:vAlign w:val="bottom"/>
          </w:tcPr>
          <w:p>
            <w:pPr>
              <w:spacing w:after="0"/>
              <w:rPr>
                <w:sz w:val="24"/>
                <w:szCs w:val="24"/>
                <w:color w:val="auto"/>
              </w:rPr>
            </w:pPr>
          </w:p>
        </w:tc>
        <w:tc>
          <w:tcPr>
            <w:tcW w:w="1320" w:type="dxa"/>
            <w:vAlign w:val="bottom"/>
          </w:tcPr>
          <w:p>
            <w:pPr>
              <w:jc w:val="right"/>
              <w:ind w:right="254"/>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5/15/09</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Notes due 2014, 4.20% Notes due 2019, and</w:t>
              </w:r>
            </w:hyperlink>
          </w:p>
        </w:tc>
        <w:tc>
          <w:tcPr>
            <w:tcW w:w="38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171">
              <w:r>
                <w:rPr>
                  <w:rFonts w:ascii="Arial" w:cs="Arial" w:eastAsia="Arial" w:hAnsi="Arial"/>
                  <w:sz w:val="18"/>
                  <w:szCs w:val="18"/>
                  <w:color w:val="0000EE"/>
                  <w:w w:val="99"/>
                </w:rPr>
                <w:t>5.</w:t>
              </w:r>
              <w:r>
                <w:rPr>
                  <w:rFonts w:ascii="Arial" w:cs="Arial" w:eastAsia="Arial" w:hAnsi="Arial"/>
                  <w:sz w:val="18"/>
                  <w:szCs w:val="18"/>
                  <w:u w:val="single" w:color="auto"/>
                  <w:color w:val="0000EE"/>
                  <w:w w:val="99"/>
                </w:rPr>
                <w:t>20%</w:t>
              </w:r>
              <w:r>
                <w:rPr>
                  <w:rFonts w:ascii="Arial" w:cs="Arial" w:eastAsia="Arial" w:hAnsi="Arial"/>
                  <w:sz w:val="18"/>
                  <w:szCs w:val="18"/>
                  <w:color w:val="0000EE"/>
                  <w:w w:val="99"/>
                </w:rPr>
                <w:t xml:space="preserve"> Notes due 2039, dated as of May 18, 2009,</w:t>
              </w:r>
            </w:hyperlink>
          </w:p>
        </w:tc>
        <w:tc>
          <w:tcPr>
            <w:tcW w:w="1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5"/>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between Microsoft Corporation and The Bank of</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5"/>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New York Mellon Trust Company, N.A., as Trustee,</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to the Base Indenture</w:t>
              </w:r>
            </w:hyperlink>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4.5</w:t>
            </w:r>
          </w:p>
        </w:tc>
        <w:tc>
          <w:tcPr>
            <w:tcW w:w="4160" w:type="dxa"/>
            <w:vAlign w:val="bottom"/>
            <w:gridSpan w:val="15"/>
          </w:tcPr>
          <w:p>
            <w:pPr>
              <w:spacing w:after="0"/>
              <w:rPr>
                <w:rFonts w:ascii="Arial" w:cs="Arial" w:eastAsia="Arial" w:hAnsi="Arial"/>
                <w:sz w:val="18"/>
                <w:szCs w:val="18"/>
                <w:color w:val="0000EE"/>
              </w:rPr>
            </w:pPr>
            <w:hyperlink r:id="rId172">
              <w:r>
                <w:rPr>
                  <w:rFonts w:ascii="Arial" w:cs="Arial" w:eastAsia="Arial" w:hAnsi="Arial"/>
                  <w:sz w:val="18"/>
                  <w:szCs w:val="18"/>
                  <w:color w:val="0000EE"/>
                </w:rPr>
                <w:t>Form of Second Supplemental Indenture for</w:t>
              </w:r>
            </w:hyperlink>
          </w:p>
        </w:tc>
        <w:tc>
          <w:tcPr>
            <w:tcW w:w="840" w:type="dxa"/>
            <w:vAlign w:val="bottom"/>
          </w:tcPr>
          <w:p>
            <w:pPr>
              <w:spacing w:after="0"/>
              <w:rPr>
                <w:sz w:val="24"/>
                <w:szCs w:val="24"/>
                <w:color w:val="auto"/>
              </w:rPr>
            </w:pPr>
          </w:p>
        </w:tc>
        <w:tc>
          <w:tcPr>
            <w:tcW w:w="1320" w:type="dxa"/>
            <w:vAlign w:val="bottom"/>
          </w:tcPr>
          <w:p>
            <w:pPr>
              <w:jc w:val="right"/>
              <w:ind w:right="254"/>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9/27/10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172">
              <w:r>
                <w:rPr>
                  <w:rFonts w:ascii="Arial" w:cs="Arial" w:eastAsia="Arial" w:hAnsi="Arial"/>
                  <w:sz w:val="18"/>
                  <w:szCs w:val="18"/>
                  <w:color w:val="0000EE"/>
                  <w:w w:val="99"/>
                </w:rPr>
                <w:t>0.</w:t>
              </w:r>
              <w:r>
                <w:rPr>
                  <w:rFonts w:ascii="Arial" w:cs="Arial" w:eastAsia="Arial" w:hAnsi="Arial"/>
                  <w:sz w:val="18"/>
                  <w:szCs w:val="18"/>
                  <w:u w:val="single" w:color="auto"/>
                  <w:color w:val="0000EE"/>
                  <w:w w:val="99"/>
                </w:rPr>
                <w:t>875%</w:t>
              </w:r>
              <w:r>
                <w:rPr>
                  <w:rFonts w:ascii="Arial" w:cs="Arial" w:eastAsia="Arial" w:hAnsi="Arial"/>
                  <w:sz w:val="18"/>
                  <w:szCs w:val="18"/>
                  <w:color w:val="0000EE"/>
                  <w:w w:val="99"/>
                </w:rPr>
                <w:t xml:space="preserve"> Notes due 2013, 1.625% Notes due 2015,</w:t>
              </w:r>
            </w:hyperlink>
          </w:p>
        </w:tc>
        <w:tc>
          <w:tcPr>
            <w:tcW w:w="1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5"/>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3.</w:t>
              </w:r>
              <w:r>
                <w:rPr>
                  <w:rFonts w:ascii="Arial" w:cs="Arial" w:eastAsia="Arial" w:hAnsi="Arial"/>
                  <w:sz w:val="18"/>
                  <w:szCs w:val="18"/>
                  <w:u w:val="single" w:color="auto"/>
                  <w:color w:val="0000EE"/>
                </w:rPr>
                <w:t>00%</w:t>
              </w:r>
              <w:r>
                <w:rPr>
                  <w:rFonts w:ascii="Arial" w:cs="Arial" w:eastAsia="Arial" w:hAnsi="Arial"/>
                  <w:sz w:val="18"/>
                  <w:szCs w:val="18"/>
                  <w:color w:val="0000EE"/>
                </w:rPr>
                <w:t xml:space="preserve"> Notes due 2020, and 4.50% Notes due</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40" w:type="dxa"/>
            <w:vAlign w:val="bottom"/>
            <w:gridSpan w:val="6"/>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8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72">
              <w:r>
                <w:rPr>
                  <w:rFonts w:ascii="Arial" w:cs="Arial" w:eastAsia="Arial" w:hAnsi="Arial"/>
                  <w:sz w:val="18"/>
                  <w:szCs w:val="18"/>
                  <w:color w:val="0000EE"/>
                  <w:w w:val="99"/>
                </w:rPr>
                <w:t>2040, dated as of September 27, 2010, between</w:t>
              </w:r>
            </w:hyperlink>
          </w:p>
        </w:tc>
        <w:tc>
          <w:tcPr>
            <w:tcW w:w="32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120"/>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Microsoft Corporation and The Bank of New York</w:t>
        </w:r>
      </w:hyperlink>
    </w:p>
    <w:p>
      <w:pPr>
        <w:ind w:left="1120"/>
        <w:spacing w:after="0" w:line="234" w:lineRule="auto"/>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Mellon Trust Company, N.A., as Trustee, to the</w:t>
        </w:r>
      </w:hyperlink>
    </w:p>
    <w:p>
      <w:pPr>
        <w:ind w:left="1120"/>
        <w:spacing w:after="0" w:line="234" w:lineRule="auto"/>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Indenture, dated as of May 18, 2009, between</w:t>
        </w:r>
      </w:hyperlink>
    </w:p>
    <w:p>
      <w:pPr>
        <w:ind w:left="1120"/>
        <w:spacing w:after="0" w:line="234" w:lineRule="auto"/>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Microsoft Corporation and The Bank of New York</w:t>
        </w:r>
      </w:hyperlink>
    </w:p>
    <w:p>
      <w:pPr>
        <w:spacing w:after="0" w:line="1" w:lineRule="exact"/>
        <w:rPr>
          <w:sz w:val="20"/>
          <w:szCs w:val="20"/>
          <w:color w:val="auto"/>
        </w:rPr>
      </w:pPr>
    </w:p>
    <w:p>
      <w:pPr>
        <w:ind w:left="1120"/>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Mellon Trust Company, N.A., as Trustee</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2" w:name="page103"/>
    <w:bookmarkEnd w:id="102"/>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3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80" w:type="dxa"/>
            <w:vAlign w:val="bottom"/>
          </w:tcPr>
          <w:p>
            <w:pPr>
              <w:jc w:val="right"/>
              <w:ind w:right="193"/>
              <w:spacing w:after="0" w:line="125" w:lineRule="exact"/>
              <w:rPr>
                <w:sz w:val="20"/>
                <w:szCs w:val="20"/>
                <w:color w:val="auto"/>
              </w:rPr>
            </w:pPr>
            <w:r>
              <w:rPr>
                <w:rFonts w:ascii="Arial" w:cs="Arial" w:eastAsia="Arial" w:hAnsi="Arial"/>
                <w:sz w:val="13"/>
                <w:szCs w:val="13"/>
                <w:b w:val="1"/>
                <w:bCs w:val="1"/>
                <w:color w:val="auto"/>
              </w:rPr>
              <w:t>Period</w:t>
            </w:r>
          </w:p>
        </w:tc>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160" w:type="dxa"/>
            <w:vAlign w:val="bottom"/>
            <w:tcBorders>
              <w:bottom w:val="single" w:sz="8" w:color="auto"/>
            </w:tcBorders>
            <w:gridSpan w:val="18"/>
          </w:tcPr>
          <w:p>
            <w:pPr>
              <w:spacing w:after="0"/>
              <w:rPr>
                <w:sz w:val="20"/>
                <w:szCs w:val="20"/>
                <w:color w:val="auto"/>
              </w:rPr>
            </w:pPr>
            <w:r>
              <w:rPr>
                <w:rFonts w:ascii="Arial" w:cs="Arial" w:eastAsia="Arial" w:hAnsi="Arial"/>
                <w:sz w:val="13"/>
                <w:szCs w:val="13"/>
                <w:b w:val="1"/>
                <w:bCs w:val="1"/>
                <w:color w:val="auto"/>
              </w:rPr>
              <w:t>Exhibit Description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Form</w:t>
            </w: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Ending</w:t>
            </w: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4.6</w:t>
            </w:r>
          </w:p>
        </w:tc>
        <w:tc>
          <w:tcPr>
            <w:tcW w:w="3780" w:type="dxa"/>
            <w:vAlign w:val="bottom"/>
            <w:tcBorders>
              <w:bottom w:val="single" w:sz="8" w:color="0000EE"/>
            </w:tcBorders>
            <w:gridSpan w:val="9"/>
          </w:tcPr>
          <w:p>
            <w:pPr>
              <w:spacing w:after="0"/>
              <w:rPr>
                <w:rFonts w:ascii="Arial" w:cs="Arial" w:eastAsia="Arial" w:hAnsi="Arial"/>
                <w:sz w:val="18"/>
                <w:szCs w:val="18"/>
                <w:color w:val="0000EE"/>
                <w:w w:val="98"/>
              </w:rPr>
            </w:pPr>
            <w:hyperlink r:id="rId174">
              <w:r>
                <w:rPr>
                  <w:rFonts w:ascii="Arial" w:cs="Arial" w:eastAsia="Arial" w:hAnsi="Arial"/>
                  <w:sz w:val="18"/>
                  <w:szCs w:val="18"/>
                  <w:color w:val="0000EE"/>
                  <w:w w:val="98"/>
                </w:rPr>
                <w:t>Third Supplemental Indenture for 2.500% Notes</w:t>
              </w:r>
            </w:hyperlink>
          </w:p>
        </w:tc>
        <w:tc>
          <w:tcPr>
            <w:tcW w:w="38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74">
              <w:r>
                <w:rPr>
                  <w:rFonts w:ascii="Arial" w:cs="Arial" w:eastAsia="Arial" w:hAnsi="Arial"/>
                  <w:sz w:val="18"/>
                  <w:szCs w:val="18"/>
                  <w:color w:val="0000EE"/>
                  <w:w w:val="99"/>
                </w:rPr>
                <w:t>due 2016, 4.000% Notes due 2021, and 5.300%</w:t>
              </w:r>
            </w:hyperlink>
          </w:p>
        </w:tc>
        <w:tc>
          <w:tcPr>
            <w:tcW w:w="320" w:type="dxa"/>
            <w:vAlign w:val="bottom"/>
            <w:gridSpan w:val="7"/>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74">
              <w:r>
                <w:rPr>
                  <w:rFonts w:ascii="Arial" w:cs="Arial" w:eastAsia="Arial" w:hAnsi="Arial"/>
                  <w:sz w:val="18"/>
                  <w:szCs w:val="18"/>
                  <w:color w:val="0000EE"/>
                  <w:w w:val="99"/>
                </w:rPr>
                <w:t>Notes due 2041, dated as of February 8, 2011,</w:t>
              </w:r>
            </w:hyperlink>
          </w:p>
        </w:tc>
        <w:tc>
          <w:tcPr>
            <w:tcW w:w="440" w:type="dxa"/>
            <w:vAlign w:val="bottom"/>
            <w:gridSpan w:val="11"/>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between Microsoft Corporation and The Bank of</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New York Mellon Trust Company, N.A., as Trustee,</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to the Indenture, dated as of May 18, 2009,</w:t>
              </w:r>
            </w:hyperlink>
          </w:p>
        </w:tc>
        <w:tc>
          <w:tcPr>
            <w:tcW w:w="1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between Microsoft Corporation and The Bank of</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98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74">
              <w:r>
                <w:rPr>
                  <w:rFonts w:ascii="Arial" w:cs="Arial" w:eastAsia="Arial" w:hAnsi="Arial"/>
                  <w:sz w:val="18"/>
                  <w:szCs w:val="18"/>
                  <w:color w:val="0000EE"/>
                  <w:w w:val="97"/>
                </w:rPr>
                <w:t>New York Mellon Trust Company, N.A., as Trustee</w:t>
              </w:r>
            </w:hyperlink>
          </w:p>
        </w:tc>
        <w:tc>
          <w:tcPr>
            <w:tcW w:w="1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4.7</w:t>
            </w:r>
          </w:p>
        </w:tc>
        <w:tc>
          <w:tcPr>
            <w:tcW w:w="4160" w:type="dxa"/>
            <w:vAlign w:val="bottom"/>
            <w:gridSpan w:val="18"/>
          </w:tcPr>
          <w:p>
            <w:pPr>
              <w:spacing w:after="0"/>
              <w:rPr>
                <w:rFonts w:ascii="Arial" w:cs="Arial" w:eastAsia="Arial" w:hAnsi="Arial"/>
                <w:sz w:val="18"/>
                <w:szCs w:val="18"/>
                <w:color w:val="0000EE"/>
              </w:rPr>
            </w:pPr>
            <w:hyperlink r:id="rId175">
              <w:r>
                <w:rPr>
                  <w:rFonts w:ascii="Arial" w:cs="Arial" w:eastAsia="Arial" w:hAnsi="Arial"/>
                  <w:sz w:val="18"/>
                  <w:szCs w:val="18"/>
                  <w:color w:val="0000EE"/>
                </w:rPr>
                <w:t>Fourth Supplemental Indenture for 0.875% Notes</w:t>
              </w:r>
            </w:hyperlink>
          </w:p>
        </w:tc>
        <w:tc>
          <w:tcPr>
            <w:tcW w:w="84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due 2017, 2.125% Notes due 2022, and 3.500%</w:t>
              </w:r>
            </w:hyperlink>
          </w:p>
        </w:tc>
        <w:tc>
          <w:tcPr>
            <w:tcW w:w="60" w:type="dxa"/>
            <w:vAlign w:val="bottom"/>
            <w:tcBorders>
              <w:top w:val="single" w:sz="8" w:color="0000EE"/>
            </w:tcBorders>
            <w:gridSpan w:val="3"/>
          </w:tcPr>
          <w:p>
            <w:pPr>
              <w:spacing w:after="0"/>
              <w:rPr>
                <w:sz w:val="15"/>
                <w:szCs w:val="15"/>
                <w:color w:val="auto"/>
              </w:rPr>
            </w:pPr>
          </w:p>
        </w:tc>
        <w:tc>
          <w:tcPr>
            <w:tcW w:w="26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Notes due 2042, dated as of November 7, 2012,</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top w:val="single" w:sz="8" w:color="0000EE"/>
            </w:tcBorders>
            <w:gridSpan w:val="10"/>
          </w:tcPr>
          <w:p>
            <w:pPr>
              <w:spacing w:after="0" w:line="182"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between Microsoft Corporation and The Bank of</w:t>
              </w:r>
            </w:hyperlink>
          </w:p>
        </w:tc>
        <w:tc>
          <w:tcPr>
            <w:tcW w:w="340" w:type="dxa"/>
            <w:vAlign w:val="bottom"/>
            <w:gridSpan w:val="8"/>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New York Mellon Trust Company, N.A., as Trustee,</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to the Indenture, dated as of May 18, 2009,</w:t>
              </w:r>
            </w:hyperlink>
          </w:p>
        </w:tc>
        <w:tc>
          <w:tcPr>
            <w:tcW w:w="1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between Microsoft Corporation and The Bank of</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98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75">
              <w:r>
                <w:rPr>
                  <w:rFonts w:ascii="Arial" w:cs="Arial" w:eastAsia="Arial" w:hAnsi="Arial"/>
                  <w:sz w:val="18"/>
                  <w:szCs w:val="18"/>
                  <w:color w:val="0000EE"/>
                  <w:w w:val="97"/>
                </w:rPr>
                <w:t>New York Mellon Trust Company, N.A., as Trustee</w:t>
              </w:r>
            </w:hyperlink>
          </w:p>
        </w:tc>
        <w:tc>
          <w:tcPr>
            <w:tcW w:w="1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4.8</w:t>
            </w:r>
          </w:p>
        </w:tc>
        <w:tc>
          <w:tcPr>
            <w:tcW w:w="3740" w:type="dxa"/>
            <w:vAlign w:val="bottom"/>
            <w:tcBorders>
              <w:bottom w:val="single" w:sz="8" w:color="0000EE"/>
            </w:tcBorders>
            <w:gridSpan w:val="8"/>
          </w:tcPr>
          <w:p>
            <w:pPr>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Fifth Supplemental Indenture for 2.625% Notes</w:t>
              </w:r>
            </w:hyperlink>
          </w:p>
        </w:tc>
        <w:tc>
          <w:tcPr>
            <w:tcW w:w="42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due 2033, dated as of May 2, 2013, between</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Microsoft Corporation and The Bank of New York</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r:id="rId176">
              <w:r>
                <w:rPr>
                  <w:rFonts w:ascii="Arial" w:cs="Arial" w:eastAsia="Arial" w:hAnsi="Arial"/>
                  <w:sz w:val="18"/>
                  <w:szCs w:val="18"/>
                  <w:color w:val="0000EE"/>
                  <w:w w:val="98"/>
                </w:rPr>
                <w:t>Mellon Trust Company, N.A., as Trustee, to the</w:t>
              </w:r>
            </w:hyperlink>
          </w:p>
        </w:tc>
        <w:tc>
          <w:tcPr>
            <w:tcW w:w="160" w:type="dxa"/>
            <w:vAlign w:val="bottom"/>
            <w:tcBorders>
              <w:top w:val="single" w:sz="8" w:color="0000EE"/>
            </w:tcBorders>
            <w:gridSpan w:val="6"/>
          </w:tcPr>
          <w:p>
            <w:pPr>
              <w:spacing w:after="0"/>
              <w:rPr>
                <w:sz w:val="15"/>
                <w:szCs w:val="15"/>
                <w:color w:val="auto"/>
              </w:rPr>
            </w:pPr>
          </w:p>
        </w:tc>
        <w:tc>
          <w:tcPr>
            <w:tcW w:w="28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Indenture, dated as of May 18, 2009, between</w:t>
              </w:r>
            </w:hyperlink>
          </w:p>
        </w:tc>
        <w:tc>
          <w:tcPr>
            <w:tcW w:w="48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Microsoft Corporation and The Bank of New York</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Mellon Trust Company, N.A., as Trustee</w:t>
              </w:r>
            </w:hyperlink>
          </w:p>
        </w:tc>
        <w:tc>
          <w:tcPr>
            <w:tcW w:w="28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4.9</w:t>
            </w:r>
          </w:p>
        </w:tc>
        <w:tc>
          <w:tcPr>
            <w:tcW w:w="4160" w:type="dxa"/>
            <w:vAlign w:val="bottom"/>
            <w:gridSpan w:val="18"/>
          </w:tcPr>
          <w:p>
            <w:pPr>
              <w:spacing w:after="0"/>
              <w:rPr>
                <w:rFonts w:ascii="Arial" w:cs="Arial" w:eastAsia="Arial" w:hAnsi="Arial"/>
                <w:sz w:val="18"/>
                <w:szCs w:val="18"/>
                <w:color w:val="0000EE"/>
              </w:rPr>
            </w:pPr>
            <w:hyperlink r:id="rId177">
              <w:r>
                <w:rPr>
                  <w:rFonts w:ascii="Arial" w:cs="Arial" w:eastAsia="Arial" w:hAnsi="Arial"/>
                  <w:sz w:val="18"/>
                  <w:szCs w:val="18"/>
                  <w:color w:val="0000EE"/>
                </w:rPr>
                <w:t>Sixth Supplemental Indenture for 1.000% Notes</w:t>
              </w:r>
            </w:hyperlink>
          </w:p>
        </w:tc>
        <w:tc>
          <w:tcPr>
            <w:tcW w:w="84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8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77">
              <w:r>
                <w:rPr>
                  <w:rFonts w:ascii="Arial" w:cs="Arial" w:eastAsia="Arial" w:hAnsi="Arial"/>
                  <w:sz w:val="18"/>
                  <w:szCs w:val="18"/>
                  <w:color w:val="0000EE"/>
                  <w:w w:val="99"/>
                </w:rPr>
                <w:t>due 2018, 2.375% Notes due 2023, and 3.750%</w:t>
              </w:r>
            </w:hyperlink>
          </w:p>
        </w:tc>
        <w:tc>
          <w:tcPr>
            <w:tcW w:w="320" w:type="dxa"/>
            <w:vAlign w:val="bottom"/>
            <w:gridSpan w:val="7"/>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3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77">
              <w:r>
                <w:rPr>
                  <w:rFonts w:ascii="Arial" w:cs="Arial" w:eastAsia="Arial" w:hAnsi="Arial"/>
                  <w:sz w:val="18"/>
                  <w:szCs w:val="18"/>
                  <w:color w:val="0000EE"/>
                  <w:w w:val="99"/>
                </w:rPr>
                <w:t>Notes due 2043, dated as of May 2, 2013,</w:t>
              </w:r>
            </w:hyperlink>
          </w:p>
        </w:tc>
        <w:tc>
          <w:tcPr>
            <w:tcW w:w="820" w:type="dxa"/>
            <w:vAlign w:val="bottom"/>
            <w:gridSpan w:val="15"/>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between Microsoft Corporation and The Bank of</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New York Mellon Trust Company, N.A., as Trustee,</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to the Indenture, dated as of May 18, 2009,</w:t>
              </w:r>
            </w:hyperlink>
          </w:p>
        </w:tc>
        <w:tc>
          <w:tcPr>
            <w:tcW w:w="1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between Microsoft Corporation and The Bank of</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98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77">
              <w:r>
                <w:rPr>
                  <w:rFonts w:ascii="Arial" w:cs="Arial" w:eastAsia="Arial" w:hAnsi="Arial"/>
                  <w:sz w:val="18"/>
                  <w:szCs w:val="18"/>
                  <w:color w:val="0000EE"/>
                  <w:w w:val="97"/>
                </w:rPr>
                <w:t>New York Mellon Trust Company, N.A., as Trustee</w:t>
              </w:r>
            </w:hyperlink>
          </w:p>
        </w:tc>
        <w:tc>
          <w:tcPr>
            <w:tcW w:w="1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4.10</w:t>
            </w:r>
          </w:p>
        </w:tc>
        <w:tc>
          <w:tcPr>
            <w:tcW w:w="4160" w:type="dxa"/>
            <w:vAlign w:val="bottom"/>
            <w:gridSpan w:val="18"/>
          </w:tcPr>
          <w:p>
            <w:pPr>
              <w:spacing w:after="0"/>
              <w:rPr>
                <w:rFonts w:ascii="Arial" w:cs="Arial" w:eastAsia="Arial" w:hAnsi="Arial"/>
                <w:sz w:val="18"/>
                <w:szCs w:val="18"/>
                <w:color w:val="0000EE"/>
              </w:rPr>
            </w:pPr>
            <w:hyperlink r:id="rId178">
              <w:r>
                <w:rPr>
                  <w:rFonts w:ascii="Arial" w:cs="Arial" w:eastAsia="Arial" w:hAnsi="Arial"/>
                  <w:sz w:val="18"/>
                  <w:szCs w:val="18"/>
                  <w:color w:val="0000EE"/>
                </w:rPr>
                <w:t>Seventh Supplemental Indenture for 2.125% Notes</w:t>
              </w:r>
            </w:hyperlink>
          </w:p>
        </w:tc>
        <w:tc>
          <w:tcPr>
            <w:tcW w:w="84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78">
              <w:r>
                <w:rPr>
                  <w:rFonts w:ascii="Arial" w:cs="Arial" w:eastAsia="Arial" w:hAnsi="Arial"/>
                  <w:sz w:val="18"/>
                  <w:szCs w:val="18"/>
                  <w:color w:val="0000EE"/>
                  <w:w w:val="99"/>
                </w:rPr>
                <w:t>due 2021 and 3.125% Notes due 2028, dated as</w:t>
              </w:r>
            </w:hyperlink>
          </w:p>
        </w:tc>
        <w:tc>
          <w:tcPr>
            <w:tcW w:w="180" w:type="dxa"/>
            <w:vAlign w:val="bottom"/>
            <w:tcBorders>
              <w:top w:val="single" w:sz="8" w:color="0000EE"/>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of December 6, 2013, between Microsoft</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8"/>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Corporation and The Bank of New York Mellon</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120"/>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Trust Company, N.A., as Trustee, to the Indenture,</w:t>
        </w:r>
      </w:hyperlink>
    </w:p>
    <w:p>
      <w:pPr>
        <w:ind w:left="1120"/>
        <w:spacing w:after="0" w:line="234"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dated as of May 18, 2009, between Microsoft</w:t>
        </w:r>
      </w:hyperlink>
    </w:p>
    <w:p>
      <w:pPr>
        <w:ind w:left="1120"/>
        <w:spacing w:after="0" w:line="234"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Corporation and The Bank of New York Mellon</w:t>
        </w:r>
      </w:hyperlink>
    </w:p>
    <w:p>
      <w:pPr>
        <w:ind w:left="1120"/>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Trust Company, N.A., as Trustee</w:t>
        </w:r>
      </w:hyperlink>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8" w:right="399" w:bottom="1440" w:gutter="0" w:footer="0" w:header="0"/>
        </w:sectPr>
      </w:pPr>
    </w:p>
    <w:bookmarkStart w:id="103" w:name="page104"/>
    <w:bookmarkEnd w:id="103"/>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415"/>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80" w:type="dxa"/>
            <w:vAlign w:val="bottom"/>
          </w:tcPr>
          <w:p>
            <w:pPr>
              <w:jc w:val="right"/>
              <w:ind w:right="193"/>
              <w:spacing w:after="0" w:line="125" w:lineRule="exact"/>
              <w:rPr>
                <w:sz w:val="20"/>
                <w:szCs w:val="20"/>
                <w:color w:val="auto"/>
              </w:rPr>
            </w:pPr>
            <w:r>
              <w:rPr>
                <w:rFonts w:ascii="Arial" w:cs="Arial" w:eastAsia="Arial" w:hAnsi="Arial"/>
                <w:sz w:val="13"/>
                <w:szCs w:val="13"/>
                <w:b w:val="1"/>
                <w:bCs w:val="1"/>
                <w:color w:val="auto"/>
              </w:rPr>
              <w:t>Period</w:t>
            </w:r>
          </w:p>
        </w:tc>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160" w:type="dxa"/>
            <w:vAlign w:val="bottom"/>
            <w:tcBorders>
              <w:bottom w:val="single" w:sz="8" w:color="auto"/>
            </w:tcBorders>
            <w:gridSpan w:val="19"/>
          </w:tcPr>
          <w:p>
            <w:pPr>
              <w:spacing w:after="0"/>
              <w:rPr>
                <w:sz w:val="20"/>
                <w:szCs w:val="20"/>
                <w:color w:val="auto"/>
              </w:rPr>
            </w:pPr>
            <w:r>
              <w:rPr>
                <w:rFonts w:ascii="Arial" w:cs="Arial" w:eastAsia="Arial" w:hAnsi="Arial"/>
                <w:sz w:val="13"/>
                <w:szCs w:val="13"/>
                <w:b w:val="1"/>
                <w:bCs w:val="1"/>
                <w:color w:val="auto"/>
              </w:rPr>
              <w:t>Exhibit Description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Form</w:t>
            </w: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Ending</w:t>
            </w: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4.11</w:t>
            </w:r>
          </w:p>
        </w:tc>
        <w:tc>
          <w:tcPr>
            <w:tcW w:w="3900" w:type="dxa"/>
            <w:vAlign w:val="bottom"/>
            <w:tcBorders>
              <w:bottom w:val="single" w:sz="8" w:color="0000EE"/>
            </w:tcBorders>
            <w:gridSpan w:val="13"/>
          </w:tcPr>
          <w:p>
            <w:pPr>
              <w:spacing w:after="0"/>
              <w:rPr>
                <w:rFonts w:ascii="Arial" w:cs="Arial" w:eastAsia="Arial" w:hAnsi="Arial"/>
                <w:sz w:val="18"/>
                <w:szCs w:val="18"/>
                <w:color w:val="0000EE"/>
                <w:w w:val="99"/>
              </w:rPr>
            </w:pPr>
            <w:hyperlink r:id="rId180">
              <w:r>
                <w:rPr>
                  <w:rFonts w:ascii="Arial" w:cs="Arial" w:eastAsia="Arial" w:hAnsi="Arial"/>
                  <w:sz w:val="18"/>
                  <w:szCs w:val="18"/>
                  <w:color w:val="0000EE"/>
                  <w:w w:val="99"/>
                </w:rPr>
                <w:t>Eighth Supplemental Indenture for 1.625% Notes</w:t>
              </w:r>
            </w:hyperlink>
          </w:p>
        </w:tc>
        <w:tc>
          <w:tcPr>
            <w:tcW w:w="26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5"/>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80">
              <w:r>
                <w:rPr>
                  <w:rFonts w:ascii="Arial" w:cs="Arial" w:eastAsia="Arial" w:hAnsi="Arial"/>
                  <w:sz w:val="18"/>
                  <w:szCs w:val="18"/>
                  <w:color w:val="0000EE"/>
                  <w:w w:val="99"/>
                </w:rPr>
                <w:t>due 2018, 3.625% Notes due 2023, and 4.875%</w:t>
              </w:r>
            </w:hyperlink>
          </w:p>
        </w:tc>
        <w:tc>
          <w:tcPr>
            <w:tcW w:w="32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9"/>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Notes due 2043, dated as of December 6, 2013,</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top w:val="single" w:sz="8" w:color="0000EE"/>
            </w:tcBorders>
            <w:gridSpan w:val="9"/>
          </w:tcPr>
          <w:p>
            <w:pPr>
              <w:spacing w:after="0" w:line="182" w:lineRule="exact"/>
              <w:rPr>
                <w:rFonts w:ascii="Arial" w:cs="Arial" w:eastAsia="Arial" w:hAnsi="Arial"/>
                <w:sz w:val="18"/>
                <w:szCs w:val="18"/>
                <w:color w:val="0000EE"/>
                <w:w w:val="99"/>
              </w:rPr>
            </w:pPr>
            <w:hyperlink r:id="rId180">
              <w:r>
                <w:rPr>
                  <w:rFonts w:ascii="Arial" w:cs="Arial" w:eastAsia="Arial" w:hAnsi="Arial"/>
                  <w:sz w:val="18"/>
                  <w:szCs w:val="18"/>
                  <w:color w:val="0000EE"/>
                  <w:w w:val="99"/>
                </w:rPr>
                <w:t>between Microsoft Corporation and The Bank of</w:t>
              </w:r>
            </w:hyperlink>
          </w:p>
        </w:tc>
        <w:tc>
          <w:tcPr>
            <w:tcW w:w="34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9"/>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New York Mellon Trust Company, N.A., as Trustee,</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to the Indenture, dated as of May 18, 2009,</w:t>
              </w:r>
            </w:hyperlink>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9"/>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between Microsoft Corporation and The Bank of</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98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r:id="rId180">
              <w:r>
                <w:rPr>
                  <w:rFonts w:ascii="Arial" w:cs="Arial" w:eastAsia="Arial" w:hAnsi="Arial"/>
                  <w:sz w:val="18"/>
                  <w:szCs w:val="18"/>
                  <w:color w:val="0000EE"/>
                  <w:w w:val="97"/>
                </w:rPr>
                <w:t>New York Mellon Trust Company, N.A., as Trustee</w:t>
              </w:r>
            </w:hyperlink>
          </w:p>
        </w:tc>
        <w:tc>
          <w:tcPr>
            <w:tcW w:w="1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4.12</w:t>
            </w:r>
          </w:p>
        </w:tc>
        <w:tc>
          <w:tcPr>
            <w:tcW w:w="4160" w:type="dxa"/>
            <w:vAlign w:val="bottom"/>
            <w:gridSpan w:val="19"/>
          </w:tcPr>
          <w:p>
            <w:pPr>
              <w:spacing w:after="0"/>
              <w:rPr>
                <w:rFonts w:ascii="Arial" w:cs="Arial" w:eastAsia="Arial" w:hAnsi="Arial"/>
                <w:sz w:val="18"/>
                <w:szCs w:val="18"/>
                <w:color w:val="0000EE"/>
              </w:rPr>
            </w:pPr>
            <w:hyperlink r:id="rId181">
              <w:r>
                <w:rPr>
                  <w:rFonts w:ascii="Arial" w:cs="Arial" w:eastAsia="Arial" w:hAnsi="Arial"/>
                  <w:sz w:val="18"/>
                  <w:szCs w:val="18"/>
                  <w:color w:val="0000EE"/>
                </w:rPr>
                <w:t>Ninth Supplemental Indenture for 1.850% Notes</w:t>
              </w:r>
            </w:hyperlink>
          </w:p>
        </w:tc>
        <w:tc>
          <w:tcPr>
            <w:tcW w:w="84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5"/>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2/12/15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due 2020, 2.375% Notes due 2022, 2.700% Notes</w:t>
              </w:r>
            </w:hyperlink>
          </w:p>
        </w:tc>
        <w:tc>
          <w:tcPr>
            <w:tcW w:w="1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due 2025, 3.500% Notes due 2035, 3.750% Notes</w:t>
              </w:r>
            </w:hyperlink>
          </w:p>
        </w:tc>
        <w:tc>
          <w:tcPr>
            <w:tcW w:w="1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9"/>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due 2045, and 4.000% Notes due 2055, dated as</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of February 12, 2015, between Microsoft</w:t>
              </w:r>
            </w:hyperlink>
          </w:p>
        </w:tc>
        <w:tc>
          <w:tcPr>
            <w:tcW w:w="680" w:type="dxa"/>
            <w:vAlign w:val="bottom"/>
            <w:tcBorders>
              <w:top w:val="single" w:sz="8" w:color="0000EE"/>
            </w:tcBorders>
            <w:gridSpan w:val="10"/>
          </w:tcPr>
          <w:p>
            <w:pPr>
              <w:spacing w:after="0"/>
              <w:rPr>
                <w:sz w:val="15"/>
                <w:szCs w:val="15"/>
                <w:color w:val="auto"/>
              </w:rPr>
            </w:pPr>
          </w:p>
        </w:tc>
        <w:tc>
          <w:tcPr>
            <w:tcW w:w="26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9"/>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Corporation and U.S. Bank National Association,</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9"/>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as Trustee, to the Indenture, dated as of May 18,</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2009, between Microsoft Corporation and The</w:t>
              </w:r>
            </w:hyperlink>
          </w:p>
        </w:tc>
        <w:tc>
          <w:tcPr>
            <w:tcW w:w="300" w:type="dxa"/>
            <w:vAlign w:val="bottom"/>
            <w:gridSpan w:val="8"/>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9"/>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Bank of New York Mellon Trust Company, N.A., as</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trustee</w:t>
              </w:r>
            </w:hyperlink>
          </w:p>
        </w:tc>
        <w:tc>
          <w:tcPr>
            <w:tcW w:w="1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4.13</w:t>
            </w:r>
          </w:p>
        </w:tc>
        <w:tc>
          <w:tcPr>
            <w:tcW w:w="3800" w:type="dxa"/>
            <w:vAlign w:val="bottom"/>
            <w:tcBorders>
              <w:bottom w:val="single" w:sz="8" w:color="0000EE"/>
            </w:tcBorders>
            <w:gridSpan w:val="8"/>
          </w:tcPr>
          <w:p>
            <w:pPr>
              <w:spacing w:after="0"/>
              <w:rPr>
                <w:rFonts w:ascii="Arial" w:cs="Arial" w:eastAsia="Arial" w:hAnsi="Arial"/>
                <w:sz w:val="18"/>
                <w:szCs w:val="18"/>
                <w:color w:val="0000EE"/>
                <w:w w:val="97"/>
              </w:rPr>
            </w:pPr>
            <w:hyperlink r:id="rId182">
              <w:r>
                <w:rPr>
                  <w:rFonts w:ascii="Arial" w:cs="Arial" w:eastAsia="Arial" w:hAnsi="Arial"/>
                  <w:sz w:val="18"/>
                  <w:szCs w:val="18"/>
                  <w:color w:val="0000EE"/>
                  <w:w w:val="97"/>
                </w:rPr>
                <w:t>Tenth Supplemental Indenture for 1.300% Notes</w:t>
              </w:r>
            </w:hyperlink>
          </w:p>
        </w:tc>
        <w:tc>
          <w:tcPr>
            <w:tcW w:w="36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5"/>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4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82">
              <w:r>
                <w:rPr>
                  <w:rFonts w:ascii="Arial" w:cs="Arial" w:eastAsia="Arial" w:hAnsi="Arial"/>
                  <w:sz w:val="18"/>
                  <w:szCs w:val="18"/>
                  <w:color w:val="0000EE"/>
                  <w:w w:val="97"/>
                </w:rPr>
                <w:t>due 2018, 2.000% Notes due 2020, 2.650% Notes</w:t>
              </w:r>
            </w:hyperlink>
          </w:p>
        </w:tc>
        <w:tc>
          <w:tcPr>
            <w:tcW w:w="22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2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r:id="rId182">
              <w:r>
                <w:rPr>
                  <w:rFonts w:ascii="Arial" w:cs="Arial" w:eastAsia="Arial" w:hAnsi="Arial"/>
                  <w:sz w:val="18"/>
                  <w:szCs w:val="18"/>
                  <w:color w:val="0000EE"/>
                  <w:w w:val="97"/>
                </w:rPr>
                <w:t>due 2022, 3.125% Notes due 2025, 4.200% Notes</w:t>
              </w:r>
            </w:hyperlink>
          </w:p>
        </w:tc>
        <w:tc>
          <w:tcPr>
            <w:tcW w:w="24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r:id="rId182">
              <w:r>
                <w:rPr>
                  <w:rFonts w:ascii="Arial" w:cs="Arial" w:eastAsia="Arial" w:hAnsi="Arial"/>
                  <w:sz w:val="18"/>
                  <w:szCs w:val="18"/>
                  <w:color w:val="0000EE"/>
                  <w:w w:val="97"/>
                </w:rPr>
                <w:t>due 2035, 4.450% Notes due 2045, and 4.750%</w:t>
              </w:r>
            </w:hyperlink>
          </w:p>
        </w:tc>
        <w:tc>
          <w:tcPr>
            <w:tcW w:w="360" w:type="dxa"/>
            <w:vAlign w:val="bottom"/>
            <w:gridSpan w:val="11"/>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9"/>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Notes due 2055, dated as of November 3, 2015,</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between Microsoft Corporation and U.S. Bank</w:t>
              </w:r>
            </w:hyperlink>
          </w:p>
        </w:tc>
        <w:tc>
          <w:tcPr>
            <w:tcW w:w="42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880" w:type="dxa"/>
            <w:vAlign w:val="bottom"/>
            <w:tcBorders>
              <w:bottom w:val="single" w:sz="8" w:color="0000EE"/>
            </w:tcBorders>
            <w:gridSpan w:val="12"/>
          </w:tcPr>
          <w:p>
            <w:pPr>
              <w:spacing w:after="0" w:line="182" w:lineRule="exact"/>
              <w:rPr>
                <w:rFonts w:ascii="Arial" w:cs="Arial" w:eastAsia="Arial" w:hAnsi="Arial"/>
                <w:sz w:val="18"/>
                <w:szCs w:val="18"/>
                <w:color w:val="0000EE"/>
                <w:w w:val="96"/>
              </w:rPr>
            </w:pPr>
            <w:hyperlink r:id="rId182">
              <w:r>
                <w:rPr>
                  <w:rFonts w:ascii="Arial" w:cs="Arial" w:eastAsia="Arial" w:hAnsi="Arial"/>
                  <w:sz w:val="18"/>
                  <w:szCs w:val="18"/>
                  <w:color w:val="0000EE"/>
                  <w:w w:val="96"/>
                </w:rPr>
                <w:t>National Association, as Trustee, to the Indenture,</w:t>
              </w:r>
            </w:hyperlink>
          </w:p>
        </w:tc>
        <w:tc>
          <w:tcPr>
            <w:tcW w:w="280" w:type="dxa"/>
            <w:vAlign w:val="bottom"/>
            <w:gridSpan w:val="7"/>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56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r:id="rId182">
              <w:r>
                <w:rPr>
                  <w:rFonts w:ascii="Arial" w:cs="Arial" w:eastAsia="Arial" w:hAnsi="Arial"/>
                  <w:sz w:val="18"/>
                  <w:szCs w:val="18"/>
                  <w:color w:val="0000EE"/>
                  <w:w w:val="97"/>
                </w:rPr>
                <w:t>dated as of May 18, 2009, between Microsoft</w:t>
              </w:r>
            </w:hyperlink>
          </w:p>
        </w:tc>
        <w:tc>
          <w:tcPr>
            <w:tcW w:w="600" w:type="dxa"/>
            <w:vAlign w:val="bottom"/>
            <w:gridSpan w:val="14"/>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4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r:id="rId182">
              <w:r>
                <w:rPr>
                  <w:rFonts w:ascii="Arial" w:cs="Arial" w:eastAsia="Arial" w:hAnsi="Arial"/>
                  <w:sz w:val="18"/>
                  <w:szCs w:val="18"/>
                  <w:color w:val="0000EE"/>
                  <w:w w:val="96"/>
                </w:rPr>
                <w:t>Corporation and The Bank of New York Mellon</w:t>
              </w:r>
            </w:hyperlink>
          </w:p>
        </w:tc>
        <w:tc>
          <w:tcPr>
            <w:tcW w:w="520" w:type="dxa"/>
            <w:vAlign w:val="bottom"/>
            <w:gridSpan w:val="13"/>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19"/>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Trust Company, N.A., as trustee</w:t>
              </w:r>
            </w:hyperlink>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520" w:type="dxa"/>
            <w:vAlign w:val="bottom"/>
            <w:gridSpan w:val="1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4.14</w:t>
            </w:r>
          </w:p>
        </w:tc>
        <w:tc>
          <w:tcPr>
            <w:tcW w:w="4000" w:type="dxa"/>
            <w:vAlign w:val="bottom"/>
            <w:tcBorders>
              <w:bottom w:val="single" w:sz="8" w:color="0000EE"/>
            </w:tcBorders>
            <w:gridSpan w:val="17"/>
          </w:tcPr>
          <w:p>
            <w:pPr>
              <w:spacing w:after="0"/>
              <w:rPr>
                <w:rFonts w:ascii="Arial" w:cs="Arial" w:eastAsia="Arial" w:hAnsi="Arial"/>
                <w:sz w:val="18"/>
                <w:szCs w:val="18"/>
                <w:color w:val="0000EE"/>
                <w:w w:val="97"/>
              </w:rPr>
            </w:pPr>
            <w:hyperlink r:id="rId183">
              <w:r>
                <w:rPr>
                  <w:rFonts w:ascii="Arial" w:cs="Arial" w:eastAsia="Arial" w:hAnsi="Arial"/>
                  <w:sz w:val="18"/>
                  <w:szCs w:val="18"/>
                  <w:color w:val="0000EE"/>
                  <w:w w:val="97"/>
                </w:rPr>
                <w:t>Eleventh Supplemental Indenture for 1.100% Notes</w:t>
              </w:r>
            </w:hyperlink>
          </w:p>
        </w:tc>
        <w:tc>
          <w:tcPr>
            <w:tcW w:w="16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380" w:type="dxa"/>
            <w:vAlign w:val="bottom"/>
          </w:tcPr>
          <w:p>
            <w:pPr>
              <w:jc w:val="right"/>
              <w:ind w:right="555"/>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4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83">
              <w:r>
                <w:rPr>
                  <w:rFonts w:ascii="Arial" w:cs="Arial" w:eastAsia="Arial" w:hAnsi="Arial"/>
                  <w:sz w:val="18"/>
                  <w:szCs w:val="18"/>
                  <w:color w:val="0000EE"/>
                  <w:w w:val="97"/>
                </w:rPr>
                <w:t>due 2019, 1.550% Notes due 2021, 2.000% Notes</w:t>
              </w:r>
            </w:hyperlink>
          </w:p>
        </w:tc>
        <w:tc>
          <w:tcPr>
            <w:tcW w:w="22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4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83">
              <w:r>
                <w:rPr>
                  <w:rFonts w:ascii="Arial" w:cs="Arial" w:eastAsia="Arial" w:hAnsi="Arial"/>
                  <w:sz w:val="18"/>
                  <w:szCs w:val="18"/>
                  <w:color w:val="0000EE"/>
                  <w:w w:val="97"/>
                </w:rPr>
                <w:t>due 2023, 2.400% Notes due 2026, 3.450% Notes</w:t>
              </w:r>
            </w:hyperlink>
          </w:p>
        </w:tc>
        <w:tc>
          <w:tcPr>
            <w:tcW w:w="22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120"/>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due 2036, 3.700% Notes due 2046, and</w:t>
        </w:r>
      </w:hyperlink>
    </w:p>
    <w:p>
      <w:pPr>
        <w:ind w:left="1120"/>
        <w:spacing w:after="0" w:line="234"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3.950% Notes due 2056, dated as of August 8,</w:t>
        </w:r>
      </w:hyperlink>
    </w:p>
    <w:p>
      <w:pPr>
        <w:ind w:left="1120"/>
        <w:spacing w:after="0" w:line="234"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2016, between Microsoft Corporation and U.S.</w:t>
        </w:r>
      </w:hyperlink>
    </w:p>
    <w:p>
      <w:pPr>
        <w:ind w:left="1120"/>
        <w:spacing w:after="0" w:line="234"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Bank, National Association, as Trustee, to the</w:t>
        </w:r>
      </w:hyperlink>
    </w:p>
    <w:p>
      <w:pPr>
        <w:ind w:left="1120"/>
        <w:spacing w:after="0" w:line="234"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Indenture, dated as of May 18, 2009, between</w:t>
        </w:r>
      </w:hyperlink>
    </w:p>
    <w:p>
      <w:pPr>
        <w:ind w:left="1120"/>
        <w:spacing w:after="0" w:line="235"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Microsoft Corporation and The Bank of New York</w:t>
        </w:r>
      </w:hyperlink>
    </w:p>
    <w:p>
      <w:pPr>
        <w:ind w:left="1120"/>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Mellon Trust Company, N.A., as trustee</w:t>
        </w:r>
      </w:hyperlink>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7" w:right="399" w:bottom="1440" w:gutter="0" w:footer="0" w:header="0"/>
        </w:sectPr>
      </w:pPr>
    </w:p>
    <w:bookmarkStart w:id="104" w:name="page105"/>
    <w:bookmarkEnd w:id="104"/>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jc w:val="right"/>
              <w:ind w:right="77"/>
              <w:spacing w:after="0" w:line="125" w:lineRule="exact"/>
              <w:rPr>
                <w:sz w:val="20"/>
                <w:szCs w:val="20"/>
                <w:color w:val="auto"/>
              </w:rPr>
            </w:pPr>
            <w:r>
              <w:rPr>
                <w:rFonts w:ascii="Arial" w:cs="Arial" w:eastAsia="Arial" w:hAnsi="Arial"/>
                <w:sz w:val="13"/>
                <w:szCs w:val="13"/>
                <w:b w:val="1"/>
                <w:bCs w:val="1"/>
                <w:color w:val="auto"/>
              </w:rPr>
              <w:t>Period</w:t>
            </w:r>
          </w:p>
        </w:tc>
        <w:tc>
          <w:tcPr>
            <w:tcW w:w="1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160" w:type="dxa"/>
            <w:vAlign w:val="bottom"/>
            <w:tcBorders>
              <w:bottom w:val="single" w:sz="8" w:color="auto"/>
            </w:tcBorders>
            <w:gridSpan w:val="29"/>
          </w:tcPr>
          <w:p>
            <w:pPr>
              <w:spacing w:after="0"/>
              <w:rPr>
                <w:sz w:val="20"/>
                <w:szCs w:val="20"/>
                <w:color w:val="auto"/>
              </w:rPr>
            </w:pPr>
            <w:r>
              <w:rPr>
                <w:rFonts w:ascii="Arial" w:cs="Arial" w:eastAsia="Arial" w:hAnsi="Arial"/>
                <w:sz w:val="13"/>
                <w:szCs w:val="13"/>
                <w:b w:val="1"/>
                <w:bCs w:val="1"/>
                <w:color w:val="auto"/>
              </w:rPr>
              <w:t>Exhibit Description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Form</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Ending</w:t>
            </w:r>
          </w:p>
        </w:tc>
        <w:tc>
          <w:tcPr>
            <w:tcW w:w="1480" w:type="dxa"/>
            <w:vAlign w:val="bottom"/>
            <w:tcBorders>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4.15</w:t>
            </w:r>
          </w:p>
        </w:tc>
        <w:tc>
          <w:tcPr>
            <w:tcW w:w="3880" w:type="dxa"/>
            <w:vAlign w:val="bottom"/>
            <w:tcBorders>
              <w:bottom w:val="single" w:sz="8" w:color="0000EE"/>
            </w:tcBorders>
            <w:gridSpan w:val="21"/>
          </w:tcPr>
          <w:p>
            <w:pPr>
              <w:spacing w:after="0"/>
              <w:rPr>
                <w:rFonts w:ascii="Arial" w:cs="Arial" w:eastAsia="Arial" w:hAnsi="Arial"/>
                <w:sz w:val="18"/>
                <w:szCs w:val="18"/>
                <w:color w:val="0000EE"/>
                <w:w w:val="96"/>
              </w:rPr>
            </w:pPr>
            <w:hyperlink r:id="rId185">
              <w:r>
                <w:rPr>
                  <w:rFonts w:ascii="Arial" w:cs="Arial" w:eastAsia="Arial" w:hAnsi="Arial"/>
                  <w:sz w:val="18"/>
                  <w:szCs w:val="18"/>
                  <w:color w:val="0000EE"/>
                  <w:w w:val="96"/>
                </w:rPr>
                <w:t>Twelfth Supplemental Indenture for 1.850% Notes</w:t>
              </w:r>
            </w:hyperlink>
          </w:p>
        </w:tc>
        <w:tc>
          <w:tcPr>
            <w:tcW w:w="28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4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r:id="rId185">
              <w:r>
                <w:rPr>
                  <w:rFonts w:ascii="Arial" w:cs="Arial" w:eastAsia="Arial" w:hAnsi="Arial"/>
                  <w:sz w:val="18"/>
                  <w:szCs w:val="18"/>
                  <w:color w:val="0000EE"/>
                  <w:w w:val="97"/>
                </w:rPr>
                <w:t>due 2020, 2.400% Notes due 2022, 2.875% Notes</w:t>
              </w:r>
            </w:hyperlink>
          </w:p>
        </w:tc>
        <w:tc>
          <w:tcPr>
            <w:tcW w:w="22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2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r:id="rId185">
              <w:r>
                <w:rPr>
                  <w:rFonts w:ascii="Arial" w:cs="Arial" w:eastAsia="Arial" w:hAnsi="Arial"/>
                  <w:sz w:val="18"/>
                  <w:szCs w:val="18"/>
                  <w:color w:val="0000EE"/>
                  <w:w w:val="97"/>
                </w:rPr>
                <w:t>due 2024, 3.300% Notes due 2027, 4.100% Notes</w:t>
              </w:r>
            </w:hyperlink>
          </w:p>
        </w:tc>
        <w:tc>
          <w:tcPr>
            <w:tcW w:w="24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6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r:id="rId185">
              <w:r>
                <w:rPr>
                  <w:rFonts w:ascii="Arial" w:cs="Arial" w:eastAsia="Arial" w:hAnsi="Arial"/>
                  <w:sz w:val="18"/>
                  <w:szCs w:val="18"/>
                  <w:color w:val="0000EE"/>
                  <w:w w:val="97"/>
                </w:rPr>
                <w:t>due 2037, 4.250% Notes due 2047, and 4.500%</w:t>
              </w:r>
            </w:hyperlink>
          </w:p>
        </w:tc>
        <w:tc>
          <w:tcPr>
            <w:tcW w:w="400" w:type="dxa"/>
            <w:vAlign w:val="bottom"/>
            <w:gridSpan w:val="11"/>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6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r:id="rId185">
              <w:r>
                <w:rPr>
                  <w:rFonts w:ascii="Arial" w:cs="Arial" w:eastAsia="Arial" w:hAnsi="Arial"/>
                  <w:sz w:val="18"/>
                  <w:szCs w:val="18"/>
                  <w:color w:val="0000EE"/>
                  <w:w w:val="97"/>
                </w:rPr>
                <w:t>Notes due 2057, dated as of February 6, 2017,</w:t>
              </w:r>
            </w:hyperlink>
          </w:p>
        </w:tc>
        <w:tc>
          <w:tcPr>
            <w:tcW w:w="500" w:type="dxa"/>
            <w:vAlign w:val="bottom"/>
            <w:gridSpan w:val="16"/>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r:id="rId185">
              <w:r>
                <w:rPr>
                  <w:rFonts w:ascii="Arial" w:cs="Arial" w:eastAsia="Arial" w:hAnsi="Arial"/>
                  <w:sz w:val="18"/>
                  <w:szCs w:val="18"/>
                  <w:color w:val="0000EE"/>
                  <w:w w:val="97"/>
                </w:rPr>
                <w:t>between Microsoft Corporation and The Bank of</w:t>
              </w:r>
            </w:hyperlink>
          </w:p>
        </w:tc>
        <w:tc>
          <w:tcPr>
            <w:tcW w:w="42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29"/>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New York Mellon Trust Company, N.A., as Trustee,</w:t>
              </w:r>
            </w:hyperlink>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4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to the Indenture, dated as of May 18, 2009,</w:t>
              </w:r>
            </w:hyperlink>
          </w:p>
        </w:tc>
        <w:tc>
          <w:tcPr>
            <w:tcW w:w="22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r:id="rId185">
              <w:r>
                <w:rPr>
                  <w:rFonts w:ascii="Arial" w:cs="Arial" w:eastAsia="Arial" w:hAnsi="Arial"/>
                  <w:sz w:val="18"/>
                  <w:szCs w:val="18"/>
                  <w:color w:val="0000EE"/>
                  <w:w w:val="97"/>
                </w:rPr>
                <w:t>between Microsoft Corporation and The Bank of</w:t>
              </w:r>
            </w:hyperlink>
          </w:p>
        </w:tc>
        <w:tc>
          <w:tcPr>
            <w:tcW w:w="42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29"/>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New York Mellon Trust Company, N.A., as trustee</w:t>
              </w:r>
            </w:hyperlink>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4.16</w:t>
            </w:r>
          </w:p>
        </w:tc>
        <w:tc>
          <w:tcPr>
            <w:tcW w:w="36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6"/>
              </w:rPr>
            </w:pPr>
            <w:hyperlink r:id="rId186">
              <w:r>
                <w:rPr>
                  <w:rFonts w:ascii="Arial" w:cs="Arial" w:eastAsia="Arial" w:hAnsi="Arial"/>
                  <w:sz w:val="18"/>
                  <w:szCs w:val="18"/>
                  <w:color w:val="0000EE"/>
                  <w:w w:val="96"/>
                </w:rPr>
                <w:t>Thirteenth Supplemental Indenture for 2.525%</w:t>
              </w:r>
            </w:hyperlink>
          </w:p>
        </w:tc>
        <w:tc>
          <w:tcPr>
            <w:tcW w:w="240" w:type="dxa"/>
            <w:vAlign w:val="bottom"/>
            <w:tcBorders>
              <w:top w:val="single" w:sz="8" w:color="0000EE"/>
            </w:tcBorders>
            <w:gridSpan w:val="8"/>
          </w:tcPr>
          <w:p>
            <w:pPr>
              <w:spacing w:after="0"/>
              <w:rPr>
                <w:sz w:val="24"/>
                <w:szCs w:val="24"/>
                <w:color w:val="auto"/>
              </w:rPr>
            </w:pPr>
          </w:p>
        </w:tc>
        <w:tc>
          <w:tcPr>
            <w:tcW w:w="32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29"/>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Notes due 2050 and 2.675% Notes due 2060,</w:t>
              </w:r>
            </w:hyperlink>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560" w:type="dxa"/>
            <w:vAlign w:val="bottom"/>
            <w:tcBorders>
              <w:top w:val="single" w:sz="8" w:color="0000EE"/>
            </w:tcBorders>
            <w:gridSpan w:val="9"/>
          </w:tcPr>
          <w:p>
            <w:pPr>
              <w:spacing w:after="0" w:line="182" w:lineRule="exact"/>
              <w:rPr>
                <w:rFonts w:ascii="Arial" w:cs="Arial" w:eastAsia="Arial" w:hAnsi="Arial"/>
                <w:sz w:val="18"/>
                <w:szCs w:val="18"/>
                <w:color w:val="0000EE"/>
                <w:w w:val="99"/>
              </w:rPr>
            </w:pPr>
            <w:hyperlink r:id="rId186">
              <w:r>
                <w:rPr>
                  <w:rFonts w:ascii="Arial" w:cs="Arial" w:eastAsia="Arial" w:hAnsi="Arial"/>
                  <w:sz w:val="18"/>
                  <w:szCs w:val="18"/>
                  <w:color w:val="0000EE"/>
                  <w:w w:val="99"/>
                </w:rPr>
                <w:t>dated as of June 1, 2020, between Microsoft</w:t>
              </w:r>
            </w:hyperlink>
          </w:p>
        </w:tc>
        <w:tc>
          <w:tcPr>
            <w:tcW w:w="600" w:type="dxa"/>
            <w:vAlign w:val="bottom"/>
            <w:gridSpan w:val="20"/>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02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Corporation and U.S. Bank National Association, as</w:t>
              </w:r>
            </w:hyperlink>
          </w:p>
        </w:tc>
        <w:tc>
          <w:tcPr>
            <w:tcW w:w="14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6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Trustee, to the Indenture, dated as of May 18, 2009,</w:t>
              </w:r>
            </w:hyperlink>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between Microsoft Corporation and The Bank of</w:t>
              </w:r>
            </w:hyperlink>
          </w:p>
        </w:tc>
        <w:tc>
          <w:tcPr>
            <w:tcW w:w="42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29"/>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New York Mellon Trust Company, N.A., as trustee</w:t>
              </w:r>
            </w:hyperlink>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4.17</w:t>
            </w:r>
          </w:p>
        </w:tc>
        <w:tc>
          <w:tcPr>
            <w:tcW w:w="37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9"/>
              </w:rPr>
            </w:pPr>
            <w:hyperlink r:id="rId187">
              <w:r>
                <w:rPr>
                  <w:rFonts w:ascii="Arial" w:cs="Arial" w:eastAsia="Arial" w:hAnsi="Arial"/>
                  <w:sz w:val="18"/>
                  <w:szCs w:val="18"/>
                  <w:color w:val="0000EE"/>
                  <w:w w:val="99"/>
                </w:rPr>
                <w:t>Fourteenth Supplemental Indenture for 2.921%</w:t>
              </w:r>
            </w:hyperlink>
          </w:p>
        </w:tc>
        <w:tc>
          <w:tcPr>
            <w:tcW w:w="100" w:type="dxa"/>
            <w:vAlign w:val="bottom"/>
            <w:tcBorders>
              <w:top w:val="single" w:sz="8" w:color="0000EE"/>
            </w:tcBorders>
            <w:gridSpan w:val="2"/>
          </w:tcPr>
          <w:p>
            <w:pPr>
              <w:spacing w:after="0"/>
              <w:rPr>
                <w:sz w:val="24"/>
                <w:szCs w:val="24"/>
                <w:color w:val="auto"/>
              </w:rPr>
            </w:pPr>
          </w:p>
        </w:tc>
        <w:tc>
          <w:tcPr>
            <w:tcW w:w="32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180" w:type="dxa"/>
            <w:vAlign w:val="bottom"/>
          </w:tcPr>
          <w:p>
            <w:pPr>
              <w:spacing w:after="0"/>
              <w:rPr>
                <w:sz w:val="24"/>
                <w:szCs w:val="24"/>
                <w:color w:val="auto"/>
              </w:rPr>
            </w:pP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3/17/21</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Notes due 2052 and 3.041% Notes due 2062,</w:t>
              </w:r>
            </w:hyperlink>
          </w:p>
        </w:tc>
        <w:tc>
          <w:tcPr>
            <w:tcW w:w="520" w:type="dxa"/>
            <w:vAlign w:val="bottom"/>
            <w:gridSpan w:val="17"/>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dated as of March 17, 2021, between Microsoft</w:t>
              </w:r>
            </w:hyperlink>
          </w:p>
        </w:tc>
        <w:tc>
          <w:tcPr>
            <w:tcW w:w="42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Corporation and The Bank of New York Mellon</w:t>
              </w:r>
            </w:hyperlink>
          </w:p>
        </w:tc>
        <w:tc>
          <w:tcPr>
            <w:tcW w:w="440" w:type="dxa"/>
            <w:vAlign w:val="bottom"/>
            <w:gridSpan w:val="13"/>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bottom w:val="single" w:sz="8" w:color="0000EE"/>
            </w:tcBorders>
            <w:gridSpan w:val="25"/>
          </w:tcPr>
          <w:p>
            <w:pPr>
              <w:spacing w:after="0" w:line="182" w:lineRule="exact"/>
              <w:rPr>
                <w:rFonts w:ascii="Arial" w:cs="Arial" w:eastAsia="Arial" w:hAnsi="Arial"/>
                <w:sz w:val="18"/>
                <w:szCs w:val="18"/>
                <w:color w:val="0000EE"/>
                <w:w w:val="98"/>
              </w:rPr>
            </w:pPr>
            <w:hyperlink r:id="rId187">
              <w:r>
                <w:rPr>
                  <w:rFonts w:ascii="Arial" w:cs="Arial" w:eastAsia="Arial" w:hAnsi="Arial"/>
                  <w:sz w:val="18"/>
                  <w:szCs w:val="18"/>
                  <w:color w:val="0000EE"/>
                  <w:w w:val="98"/>
                </w:rPr>
                <w:t>Trust Company, N.A., as Trustee, to the Indenture,</w:t>
              </w:r>
            </w:hyperlink>
          </w:p>
        </w:tc>
        <w:tc>
          <w:tcPr>
            <w:tcW w:w="16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5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dated as of May 18, 2009, between Microsoft</w:t>
              </w:r>
            </w:hyperlink>
          </w:p>
        </w:tc>
        <w:tc>
          <w:tcPr>
            <w:tcW w:w="580" w:type="dxa"/>
            <w:vAlign w:val="bottom"/>
            <w:gridSpan w:val="19"/>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0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r:id="rId187">
              <w:r>
                <w:rPr>
                  <w:rFonts w:ascii="Arial" w:cs="Arial" w:eastAsia="Arial" w:hAnsi="Arial"/>
                  <w:sz w:val="18"/>
                  <w:szCs w:val="18"/>
                  <w:color w:val="0000EE"/>
                  <w:w w:val="98"/>
                </w:rPr>
                <w:t>Corporation and The Bank of New York Mellon</w:t>
              </w:r>
            </w:hyperlink>
          </w:p>
        </w:tc>
        <w:tc>
          <w:tcPr>
            <w:tcW w:w="460" w:type="dxa"/>
            <w:vAlign w:val="bottom"/>
            <w:gridSpan w:val="14"/>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54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r:id="rId187">
              <w:r>
                <w:rPr>
                  <w:rFonts w:ascii="Arial" w:cs="Arial" w:eastAsia="Arial" w:hAnsi="Arial"/>
                  <w:sz w:val="18"/>
                  <w:szCs w:val="18"/>
                  <w:color w:val="0000EE"/>
                  <w:w w:val="97"/>
                </w:rPr>
                <w:t>Trust Company, N.A., as trustee</w:t>
              </w:r>
            </w:hyperlink>
          </w:p>
        </w:tc>
        <w:tc>
          <w:tcPr>
            <w:tcW w:w="1620" w:type="dxa"/>
            <w:vAlign w:val="bottom"/>
            <w:gridSpan w:val="25"/>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4.18</w:t>
            </w:r>
          </w:p>
        </w:tc>
        <w:tc>
          <w:tcPr>
            <w:tcW w:w="4160" w:type="dxa"/>
            <w:vAlign w:val="bottom"/>
            <w:gridSpan w:val="29"/>
          </w:tcPr>
          <w:p>
            <w:pPr>
              <w:spacing w:after="0"/>
              <w:rPr>
                <w:rFonts w:ascii="Arial" w:cs="Arial" w:eastAsia="Arial" w:hAnsi="Arial"/>
                <w:sz w:val="18"/>
                <w:szCs w:val="18"/>
                <w:color w:val="0000EE"/>
              </w:rPr>
            </w:pPr>
            <w:hyperlink r:id="rId188">
              <w:r>
                <w:rPr>
                  <w:rFonts w:ascii="Arial" w:cs="Arial" w:eastAsia="Arial" w:hAnsi="Arial"/>
                  <w:sz w:val="18"/>
                  <w:szCs w:val="18"/>
                  <w:color w:val="0000EE"/>
                </w:rPr>
                <w:t>Description of Securities</w:t>
              </w:r>
            </w:hyperlink>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6/30/19</w:t>
            </w: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4.16</w:t>
            </w:r>
          </w:p>
        </w:tc>
        <w:tc>
          <w:tcPr>
            <w:tcW w:w="1180" w:type="dxa"/>
            <w:vAlign w:val="bottom"/>
          </w:tcPr>
          <w:p>
            <w:pPr>
              <w:jc w:val="right"/>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3080" w:type="dxa"/>
            <w:vAlign w:val="bottom"/>
            <w:tcBorders>
              <w:bottom w:val="single" w:sz="8" w:color="0000EE"/>
            </w:tcBorders>
            <w:gridSpan w:val="6"/>
          </w:tcPr>
          <w:p>
            <w:pPr>
              <w:spacing w:after="0"/>
              <w:rPr>
                <w:rFonts w:ascii="Arial" w:cs="Arial" w:eastAsia="Arial" w:hAnsi="Arial"/>
                <w:sz w:val="18"/>
                <w:szCs w:val="18"/>
                <w:color w:val="0000EE"/>
                <w:w w:val="99"/>
              </w:rPr>
            </w:pPr>
            <w:hyperlink r:id="rId189">
              <w:r>
                <w:rPr>
                  <w:rFonts w:ascii="Arial" w:cs="Arial" w:eastAsia="Arial" w:hAnsi="Arial"/>
                  <w:sz w:val="18"/>
                  <w:szCs w:val="18"/>
                  <w:color w:val="0000EE"/>
                  <w:w w:val="99"/>
                </w:rPr>
                <w:t>Microsoft Corporation 2001 Stock Plan</w:t>
              </w:r>
            </w:hyperlink>
          </w:p>
        </w:tc>
        <w:tc>
          <w:tcPr>
            <w:tcW w:w="1080" w:type="dxa"/>
            <w:vAlign w:val="bottom"/>
            <w:gridSpan w:val="23"/>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9/30/16</w:t>
            </w: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10.1</w:t>
            </w:r>
          </w:p>
        </w:tc>
        <w:tc>
          <w:tcPr>
            <w:tcW w:w="1180" w:type="dxa"/>
            <w:vAlign w:val="bottom"/>
          </w:tcPr>
          <w:p>
            <w:pPr>
              <w:jc w:val="right"/>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17"/>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4160" w:type="dxa"/>
            <w:vAlign w:val="bottom"/>
            <w:gridSpan w:val="29"/>
          </w:tcPr>
          <w:p>
            <w:pPr>
              <w:spacing w:after="0"/>
              <w:rPr>
                <w:rFonts w:ascii="Arial" w:cs="Arial" w:eastAsia="Arial" w:hAnsi="Arial"/>
                <w:sz w:val="18"/>
                <w:szCs w:val="18"/>
                <w:color w:val="0000EE"/>
              </w:rPr>
            </w:pPr>
            <w:hyperlink r:id="rId190">
              <w:r>
                <w:rPr>
                  <w:rFonts w:ascii="Arial" w:cs="Arial" w:eastAsia="Arial" w:hAnsi="Arial"/>
                  <w:sz w:val="18"/>
                  <w:szCs w:val="18"/>
                  <w:color w:val="0000EE"/>
                </w:rPr>
                <w:t>Microsoft Corporation Employee Stock Purchase</w:t>
              </w:r>
            </w:hyperlink>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6/30/12</w:t>
            </w: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10.4</w:t>
            </w:r>
          </w:p>
        </w:tc>
        <w:tc>
          <w:tcPr>
            <w:tcW w:w="1180" w:type="dxa"/>
            <w:vAlign w:val="bottom"/>
          </w:tcPr>
          <w:p>
            <w:pPr>
              <w:jc w:val="right"/>
              <w:spacing w:after="0"/>
              <w:rPr>
                <w:sz w:val="20"/>
                <w:szCs w:val="20"/>
                <w:color w:val="auto"/>
              </w:rPr>
            </w:pPr>
            <w:r>
              <w:rPr>
                <w:rFonts w:ascii="Arial" w:cs="Arial" w:eastAsia="Arial" w:hAnsi="Arial"/>
                <w:sz w:val="18"/>
                <w:szCs w:val="18"/>
                <w:color w:val="auto"/>
              </w:rPr>
              <w:t>7/26/12</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190">
              <w:r>
                <w:rPr>
                  <w:rFonts w:ascii="Arial" w:cs="Arial" w:eastAsia="Arial" w:hAnsi="Arial"/>
                  <w:sz w:val="18"/>
                  <w:szCs w:val="18"/>
                  <w:color w:val="0000EE"/>
                  <w:w w:val="94"/>
                </w:rPr>
                <w:t>Plan</w:t>
              </w:r>
            </w:hyperlink>
          </w:p>
        </w:tc>
        <w:tc>
          <w:tcPr>
            <w:tcW w:w="3500" w:type="dxa"/>
            <w:vAlign w:val="bottom"/>
            <w:tcBorders>
              <w:top w:val="single" w:sz="8" w:color="0000EE"/>
            </w:tcBorders>
            <w:gridSpan w:val="19"/>
          </w:tcPr>
          <w:p>
            <w:pPr>
              <w:spacing w:after="0"/>
              <w:rPr>
                <w:sz w:val="15"/>
                <w:szCs w:val="15"/>
                <w:color w:val="auto"/>
              </w:rPr>
            </w:pPr>
          </w:p>
        </w:tc>
        <w:tc>
          <w:tcPr>
            <w:tcW w:w="30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4160" w:type="dxa"/>
            <w:vAlign w:val="bottom"/>
            <w:gridSpan w:val="29"/>
          </w:tcPr>
          <w:p>
            <w:pPr>
              <w:spacing w:after="0"/>
              <w:rPr>
                <w:rFonts w:ascii="Arial" w:cs="Arial" w:eastAsia="Arial" w:hAnsi="Arial"/>
                <w:sz w:val="18"/>
                <w:szCs w:val="18"/>
                <w:color w:val="0000EE"/>
              </w:rPr>
            </w:pPr>
            <w:hyperlink r:id="rId191">
              <w:r>
                <w:rPr>
                  <w:rFonts w:ascii="Arial" w:cs="Arial" w:eastAsia="Arial" w:hAnsi="Arial"/>
                  <w:sz w:val="18"/>
                  <w:szCs w:val="18"/>
                  <w:color w:val="0000EE"/>
                </w:rPr>
                <w:t>Microsoft Corporation Deferred Compensation</w:t>
              </w:r>
            </w:hyperlink>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6/30/18</w:t>
            </w: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10.5</w:t>
            </w:r>
          </w:p>
        </w:tc>
        <w:tc>
          <w:tcPr>
            <w:tcW w:w="1180" w:type="dxa"/>
            <w:vAlign w:val="bottom"/>
          </w:tcPr>
          <w:p>
            <w:pPr>
              <w:jc w:val="right"/>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191">
              <w:r>
                <w:rPr>
                  <w:rFonts w:ascii="Arial" w:cs="Arial" w:eastAsia="Arial" w:hAnsi="Arial"/>
                  <w:sz w:val="18"/>
                  <w:szCs w:val="18"/>
                  <w:color w:val="0000EE"/>
                  <w:w w:val="94"/>
                </w:rPr>
                <w:t>Plan</w:t>
              </w:r>
            </w:hyperlink>
          </w:p>
        </w:tc>
        <w:tc>
          <w:tcPr>
            <w:tcW w:w="3300" w:type="dxa"/>
            <w:vAlign w:val="bottom"/>
            <w:tcBorders>
              <w:top w:val="single" w:sz="8" w:color="0000EE"/>
            </w:tcBorders>
            <w:gridSpan w:val="12"/>
          </w:tcPr>
          <w:p>
            <w:pPr>
              <w:spacing w:after="0"/>
              <w:rPr>
                <w:sz w:val="15"/>
                <w:szCs w:val="15"/>
                <w:color w:val="auto"/>
              </w:rPr>
            </w:pPr>
          </w:p>
        </w:tc>
        <w:tc>
          <w:tcPr>
            <w:tcW w:w="500" w:type="dxa"/>
            <w:vAlign w:val="bottom"/>
            <w:gridSpan w:val="16"/>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4160" w:type="dxa"/>
            <w:vAlign w:val="bottom"/>
            <w:gridSpan w:val="29"/>
          </w:tcPr>
          <w:p>
            <w:pPr>
              <w:spacing w:after="0"/>
              <w:rPr>
                <w:rFonts w:ascii="Arial" w:cs="Arial" w:eastAsia="Arial" w:hAnsi="Arial"/>
                <w:sz w:val="18"/>
                <w:szCs w:val="18"/>
                <w:color w:val="0000EE"/>
              </w:rPr>
            </w:pPr>
            <w:hyperlink r:id="rId192">
              <w:r>
                <w:rPr>
                  <w:rFonts w:ascii="Arial" w:cs="Arial" w:eastAsia="Arial" w:hAnsi="Arial"/>
                  <w:sz w:val="18"/>
                  <w:szCs w:val="18"/>
                  <w:color w:val="0000EE"/>
                </w:rPr>
                <w:t>Microsoft Corporation 2017 Stock Plan</w:t>
              </w:r>
            </w:hyperlink>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DEF14A</w:t>
            </w:r>
          </w:p>
        </w:tc>
        <w:tc>
          <w:tcPr>
            <w:tcW w:w="1180" w:type="dxa"/>
            <w:vAlign w:val="bottom"/>
          </w:tcPr>
          <w:p>
            <w:pPr>
              <w:spacing w:after="0"/>
              <w:rPr>
                <w:sz w:val="24"/>
                <w:szCs w:val="24"/>
                <w:color w:val="auto"/>
              </w:rPr>
            </w:pP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Annex C</w:t>
            </w:r>
          </w:p>
        </w:tc>
        <w:tc>
          <w:tcPr>
            <w:tcW w:w="1180" w:type="dxa"/>
            <w:vAlign w:val="bottom"/>
          </w:tcPr>
          <w:p>
            <w:pPr>
              <w:jc w:val="right"/>
              <w:spacing w:after="0"/>
              <w:rPr>
                <w:sz w:val="20"/>
                <w:szCs w:val="20"/>
                <w:color w:val="auto"/>
              </w:rPr>
            </w:pPr>
            <w:r>
              <w:rPr>
                <w:rFonts w:ascii="Arial" w:cs="Arial" w:eastAsia="Arial" w:hAnsi="Arial"/>
                <w:sz w:val="18"/>
                <w:szCs w:val="18"/>
                <w:color w:val="auto"/>
              </w:rPr>
              <w:t>10/16/17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4040" w:type="dxa"/>
            <w:vAlign w:val="bottom"/>
            <w:tcBorders>
              <w:bottom w:val="single" w:sz="8" w:color="0000EE"/>
            </w:tcBorders>
            <w:gridSpan w:val="27"/>
          </w:tcPr>
          <w:p>
            <w:pPr>
              <w:spacing w:after="0"/>
              <w:rPr>
                <w:rFonts w:ascii="Arial" w:cs="Arial" w:eastAsia="Arial" w:hAnsi="Arial"/>
                <w:sz w:val="18"/>
                <w:szCs w:val="18"/>
                <w:color w:val="0000EE"/>
                <w:w w:val="94"/>
              </w:rPr>
            </w:pPr>
            <w:hyperlink r:id="rId193">
              <w:r>
                <w:rPr>
                  <w:rFonts w:ascii="Arial" w:cs="Arial" w:eastAsia="Arial" w:hAnsi="Arial"/>
                  <w:sz w:val="18"/>
                  <w:szCs w:val="18"/>
                  <w:color w:val="0000EE"/>
                  <w:w w:val="94"/>
                </w:rPr>
                <w:t>Form of Stock Award Agreement Under the Microsoft</w:t>
              </w:r>
            </w:hyperlink>
          </w:p>
        </w:tc>
        <w:tc>
          <w:tcPr>
            <w:tcW w:w="1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3/31/2018</w:t>
            </w: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10.26</w:t>
            </w:r>
          </w:p>
        </w:tc>
        <w:tc>
          <w:tcPr>
            <w:tcW w:w="1180" w:type="dxa"/>
            <w:vAlign w:val="bottom"/>
          </w:tcPr>
          <w:p>
            <w:pPr>
              <w:jc w:val="right"/>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Borders>
              <w:bottom w:val="single" w:sz="8" w:color="0000EE"/>
            </w:tcBorders>
            <w:gridSpan w:val="3"/>
          </w:tcPr>
          <w:p>
            <w:pPr>
              <w:spacing w:after="0" w:line="182" w:lineRule="exact"/>
              <w:rPr>
                <w:rFonts w:ascii="Arial" w:cs="Arial" w:eastAsia="Arial" w:hAnsi="Arial"/>
                <w:sz w:val="18"/>
                <w:szCs w:val="18"/>
                <w:color w:val="0000EE"/>
                <w:w w:val="94"/>
              </w:rPr>
            </w:pPr>
            <w:hyperlink r:id="rId193">
              <w:r>
                <w:rPr>
                  <w:rFonts w:ascii="Arial" w:cs="Arial" w:eastAsia="Arial" w:hAnsi="Arial"/>
                  <w:sz w:val="18"/>
                  <w:szCs w:val="18"/>
                  <w:color w:val="0000EE"/>
                  <w:w w:val="94"/>
                </w:rPr>
                <w:t>Corporation 2017 Stock Plan</w:t>
              </w:r>
            </w:hyperlink>
          </w:p>
        </w:tc>
        <w:tc>
          <w:tcPr>
            <w:tcW w:w="1960" w:type="dxa"/>
            <w:vAlign w:val="bottom"/>
            <w:gridSpan w:val="26"/>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3680" w:type="dxa"/>
            <w:vAlign w:val="bottom"/>
            <w:tcBorders>
              <w:bottom w:val="single" w:sz="8" w:color="0000EE"/>
            </w:tcBorders>
            <w:gridSpan w:val="14"/>
          </w:tcPr>
          <w:p>
            <w:pPr>
              <w:spacing w:after="0"/>
              <w:rPr>
                <w:rFonts w:ascii="Arial" w:cs="Arial" w:eastAsia="Arial" w:hAnsi="Arial"/>
                <w:sz w:val="18"/>
                <w:szCs w:val="18"/>
                <w:color w:val="0000EE"/>
                <w:w w:val="99"/>
              </w:rPr>
            </w:pPr>
            <w:hyperlink r:id="rId194">
              <w:r>
                <w:rPr>
                  <w:rFonts w:ascii="Arial" w:cs="Arial" w:eastAsia="Arial" w:hAnsi="Arial"/>
                  <w:sz w:val="18"/>
                  <w:szCs w:val="18"/>
                  <w:color w:val="0000EE"/>
                  <w:w w:val="99"/>
                </w:rPr>
                <w:t>Form of Performance Stock Award Agreement</w:t>
              </w:r>
            </w:hyperlink>
          </w:p>
        </w:tc>
        <w:tc>
          <w:tcPr>
            <w:tcW w:w="48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3/31/2018</w:t>
            </w: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10.27</w:t>
            </w:r>
          </w:p>
        </w:tc>
        <w:tc>
          <w:tcPr>
            <w:tcW w:w="1180" w:type="dxa"/>
            <w:vAlign w:val="bottom"/>
          </w:tcPr>
          <w:p>
            <w:pPr>
              <w:jc w:val="right"/>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29"/>
          </w:tcPr>
          <w:p>
            <w:pPr>
              <w:spacing w:after="0" w:line="182" w:lineRule="exact"/>
              <w:rPr>
                <w:rFonts w:ascii="Arial" w:cs="Arial" w:eastAsia="Arial" w:hAnsi="Arial"/>
                <w:sz w:val="18"/>
                <w:szCs w:val="18"/>
                <w:color w:val="0000EE"/>
              </w:rPr>
            </w:pPr>
            <w:hyperlink r:id="rId194">
              <w:r>
                <w:rPr>
                  <w:rFonts w:ascii="Arial" w:cs="Arial" w:eastAsia="Arial" w:hAnsi="Arial"/>
                  <w:sz w:val="18"/>
                  <w:szCs w:val="18"/>
                  <w:color w:val="0000EE"/>
                </w:rPr>
                <w:t>Under the Microsoft Corporation 2017 Stock Plan</w:t>
              </w:r>
            </w:hyperlink>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37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6"/>
              </w:rPr>
            </w:pPr>
            <w:hyperlink r:id="rId195">
              <w:r>
                <w:rPr>
                  <w:rFonts w:ascii="Arial" w:cs="Arial" w:eastAsia="Arial" w:hAnsi="Arial"/>
                  <w:sz w:val="18"/>
                  <w:szCs w:val="18"/>
                  <w:color w:val="0000EE"/>
                  <w:w w:val="96"/>
                </w:rPr>
                <w:t>Amended and Restated Officers’ Indemnification</w:t>
              </w:r>
            </w:hyperlink>
          </w:p>
        </w:tc>
        <w:tc>
          <w:tcPr>
            <w:tcW w:w="140" w:type="dxa"/>
            <w:vAlign w:val="bottom"/>
            <w:tcBorders>
              <w:top w:val="single" w:sz="8" w:color="0000EE"/>
            </w:tcBorders>
            <w:gridSpan w:val="4"/>
          </w:tcPr>
          <w:p>
            <w:pPr>
              <w:spacing w:after="0"/>
              <w:rPr>
                <w:sz w:val="24"/>
                <w:szCs w:val="24"/>
                <w:color w:val="auto"/>
              </w:rPr>
            </w:pPr>
          </w:p>
        </w:tc>
        <w:tc>
          <w:tcPr>
            <w:tcW w:w="26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9/30/16</w:t>
            </w: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10.12</w:t>
            </w:r>
          </w:p>
        </w:tc>
        <w:tc>
          <w:tcPr>
            <w:tcW w:w="1180" w:type="dxa"/>
            <w:vAlign w:val="bottom"/>
          </w:tcPr>
          <w:p>
            <w:pPr>
              <w:jc w:val="right"/>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r:id="rId195">
              <w:r>
                <w:rPr>
                  <w:rFonts w:ascii="Arial" w:cs="Arial" w:eastAsia="Arial" w:hAnsi="Arial"/>
                  <w:sz w:val="18"/>
                  <w:szCs w:val="18"/>
                  <w:color w:val="0000EE"/>
                  <w:w w:val="96"/>
                </w:rPr>
                <w:t>Trust Agreement between Microsoft Corporation</w:t>
              </w:r>
            </w:hyperlink>
          </w:p>
        </w:tc>
        <w:tc>
          <w:tcPr>
            <w:tcW w:w="42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120"/>
        <w:spacing w:after="0"/>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and The Bank of New York Mellon Trust Company,</w:t>
        </w:r>
      </w:hyperlink>
    </w:p>
    <w:p>
      <w:pPr>
        <w:ind w:left="1120"/>
        <w:spacing w:after="0"/>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N.A., as trustee</w:t>
        </w:r>
      </w:hyperlink>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8" w:right="399" w:bottom="1440" w:gutter="0" w:footer="0" w:header="0"/>
        </w:sectPr>
      </w:pPr>
    </w:p>
    <w:bookmarkStart w:id="105" w:name="page106"/>
    <w:bookmarkEnd w:id="105"/>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3"/>
                <w:szCs w:val="13"/>
                <w:b w:val="1"/>
                <w:bCs w:val="1"/>
                <w:color w:val="auto"/>
              </w:rPr>
              <w:t>Incorporated by Reference</w:t>
            </w:r>
          </w:p>
        </w:tc>
        <w:tc>
          <w:tcPr>
            <w:tcW w:w="1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tcPr>
          <w:p>
            <w:pPr>
              <w:jc w:val="right"/>
              <w:ind w:right="196"/>
              <w:spacing w:after="0" w:line="125" w:lineRule="exact"/>
              <w:rPr>
                <w:sz w:val="20"/>
                <w:szCs w:val="20"/>
                <w:color w:val="auto"/>
              </w:rPr>
            </w:pPr>
            <w:r>
              <w:rPr>
                <w:rFonts w:ascii="Arial" w:cs="Arial" w:eastAsia="Arial" w:hAnsi="Arial"/>
                <w:sz w:val="13"/>
                <w:szCs w:val="13"/>
                <w:b w:val="1"/>
                <w:bCs w:val="1"/>
                <w:color w:val="auto"/>
              </w:rPr>
              <w:t>Period</w:t>
            </w: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120" w:type="dxa"/>
            <w:vAlign w:val="bottom"/>
            <w:tcBorders>
              <w:bottom w:val="single" w:sz="8" w:color="auto"/>
            </w:tcBorders>
            <w:gridSpan w:val="22"/>
          </w:tcPr>
          <w:p>
            <w:pPr>
              <w:spacing w:after="0"/>
              <w:rPr>
                <w:sz w:val="20"/>
                <w:szCs w:val="20"/>
                <w:color w:val="auto"/>
              </w:rPr>
            </w:pPr>
            <w:r>
              <w:rPr>
                <w:rFonts w:ascii="Arial" w:cs="Arial" w:eastAsia="Arial" w:hAnsi="Arial"/>
                <w:sz w:val="13"/>
                <w:szCs w:val="13"/>
                <w:b w:val="1"/>
                <w:bCs w:val="1"/>
                <w:color w:val="auto"/>
              </w:rPr>
              <w:t>Exhibit Description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Form</w:t>
            </w: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Ending</w:t>
            </w: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3"/>
                <w:szCs w:val="13"/>
                <w:b w:val="1"/>
                <w:bCs w:val="1"/>
                <w:color w:val="auto"/>
              </w:rPr>
              <w:t>Exhibit</w:t>
            </w: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3520" w:type="dxa"/>
            <w:vAlign w:val="bottom"/>
            <w:tcBorders>
              <w:bottom w:val="single" w:sz="8" w:color="0000EE"/>
            </w:tcBorders>
            <w:gridSpan w:val="11"/>
          </w:tcPr>
          <w:p>
            <w:pPr>
              <w:spacing w:after="0"/>
              <w:rPr>
                <w:rFonts w:ascii="Arial" w:cs="Arial" w:eastAsia="Arial" w:hAnsi="Arial"/>
                <w:sz w:val="18"/>
                <w:szCs w:val="18"/>
                <w:color w:val="0000EE"/>
                <w:w w:val="99"/>
              </w:rPr>
            </w:pPr>
            <w:hyperlink r:id="rId197">
              <w:r>
                <w:rPr>
                  <w:rFonts w:ascii="Arial" w:cs="Arial" w:eastAsia="Arial" w:hAnsi="Arial"/>
                  <w:sz w:val="18"/>
                  <w:szCs w:val="18"/>
                  <w:color w:val="0000EE"/>
                  <w:w w:val="99"/>
                </w:rPr>
                <w:t>Assumption of Beneficiaries’ Representative</w:t>
              </w:r>
            </w:hyperlink>
          </w:p>
        </w:tc>
        <w:tc>
          <w:tcPr>
            <w:tcW w:w="60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6/30/2020</w:t>
            </w: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10.25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7/30/2020</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20" w:type="dxa"/>
            <w:vAlign w:val="bottom"/>
            <w:gridSpan w:val="22"/>
          </w:tcPr>
          <w:p>
            <w:pPr>
              <w:spacing w:after="0" w:line="182" w:lineRule="exact"/>
              <w:rPr>
                <w:rFonts w:ascii="Arial" w:cs="Arial" w:eastAsia="Arial" w:hAnsi="Arial"/>
                <w:sz w:val="18"/>
                <w:szCs w:val="18"/>
                <w:color w:val="0000EE"/>
              </w:rPr>
            </w:pPr>
            <w:hyperlink r:id="rId197">
              <w:r>
                <w:rPr>
                  <w:rFonts w:ascii="Arial" w:cs="Arial" w:eastAsia="Arial" w:hAnsi="Arial"/>
                  <w:sz w:val="18"/>
                  <w:szCs w:val="18"/>
                  <w:color w:val="0000EE"/>
                </w:rPr>
                <w:t>Obligations Under Amended and Restated</w:t>
              </w:r>
            </w:hyperlink>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3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97">
              <w:r>
                <w:rPr>
                  <w:rFonts w:ascii="Arial" w:cs="Arial" w:eastAsia="Arial" w:hAnsi="Arial"/>
                  <w:sz w:val="18"/>
                  <w:szCs w:val="18"/>
                  <w:color w:val="0000EE"/>
                </w:rPr>
                <w:t>Officers’ Indemnification Trust Agreement</w:t>
              </w:r>
            </w:hyperlink>
          </w:p>
        </w:tc>
        <w:tc>
          <w:tcPr>
            <w:tcW w:w="760" w:type="dxa"/>
            <w:vAlign w:val="bottom"/>
            <w:gridSpan w:val="13"/>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3980" w:type="dxa"/>
            <w:vAlign w:val="bottom"/>
            <w:tcBorders>
              <w:bottom w:val="single" w:sz="8" w:color="0000EE"/>
            </w:tcBorders>
            <w:gridSpan w:val="21"/>
          </w:tcPr>
          <w:p>
            <w:pPr>
              <w:spacing w:after="0"/>
              <w:rPr>
                <w:rFonts w:ascii="Arial" w:cs="Arial" w:eastAsia="Arial" w:hAnsi="Arial"/>
                <w:sz w:val="18"/>
                <w:szCs w:val="18"/>
                <w:color w:val="0000EE"/>
                <w:w w:val="99"/>
              </w:rPr>
            </w:pPr>
            <w:hyperlink r:id="rId198">
              <w:r>
                <w:rPr>
                  <w:rFonts w:ascii="Arial" w:cs="Arial" w:eastAsia="Arial" w:hAnsi="Arial"/>
                  <w:sz w:val="18"/>
                  <w:szCs w:val="18"/>
                  <w:color w:val="0000EE"/>
                  <w:w w:val="99"/>
                </w:rPr>
                <w:t>Form of Indemnification Agreement and Amended</w:t>
              </w:r>
            </w:hyperlink>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6/30/19</w:t>
            </w: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10.13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58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r:id="rId198">
              <w:r>
                <w:rPr>
                  <w:rFonts w:ascii="Arial" w:cs="Arial" w:eastAsia="Arial" w:hAnsi="Arial"/>
                  <w:sz w:val="18"/>
                  <w:szCs w:val="18"/>
                  <w:color w:val="0000EE"/>
                  <w:w w:val="98"/>
                </w:rPr>
                <w:t>and Restated Directors’ Indemnification Trust</w:t>
              </w:r>
            </w:hyperlink>
          </w:p>
        </w:tc>
        <w:tc>
          <w:tcPr>
            <w:tcW w:w="540" w:type="dxa"/>
            <w:vAlign w:val="bottom"/>
            <w:gridSpan w:val="10"/>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198">
              <w:r>
                <w:rPr>
                  <w:rFonts w:ascii="Arial" w:cs="Arial" w:eastAsia="Arial" w:hAnsi="Arial"/>
                  <w:sz w:val="18"/>
                  <w:szCs w:val="18"/>
                  <w:color w:val="0000EE"/>
                  <w:w w:val="99"/>
                </w:rPr>
                <w:t>Agreement between Microsoft Corporation and</w:t>
              </w:r>
            </w:hyperlink>
          </w:p>
        </w:tc>
        <w:tc>
          <w:tcPr>
            <w:tcW w:w="380" w:type="dxa"/>
            <w:vAlign w:val="bottom"/>
            <w:gridSpan w:val="6"/>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6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r:id="rId198">
              <w:r>
                <w:rPr>
                  <w:rFonts w:ascii="Arial" w:cs="Arial" w:eastAsia="Arial" w:hAnsi="Arial"/>
                  <w:sz w:val="18"/>
                  <w:szCs w:val="18"/>
                  <w:color w:val="0000EE"/>
                  <w:w w:val="98"/>
                </w:rPr>
                <w:t>The Bank of New York Mellon Trust Company,</w:t>
              </w:r>
            </w:hyperlink>
          </w:p>
        </w:tc>
        <w:tc>
          <w:tcPr>
            <w:tcW w:w="460" w:type="dxa"/>
            <w:vAlign w:val="bottom"/>
            <w:gridSpan w:val="9"/>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20" w:type="dxa"/>
            <w:vAlign w:val="bottom"/>
            <w:gridSpan w:val="22"/>
          </w:tcPr>
          <w:p>
            <w:pPr>
              <w:spacing w:after="0" w:line="182" w:lineRule="exact"/>
              <w:rPr>
                <w:rFonts w:ascii="Arial" w:cs="Arial" w:eastAsia="Arial" w:hAnsi="Arial"/>
                <w:sz w:val="18"/>
                <w:szCs w:val="18"/>
                <w:color w:val="0000EE"/>
              </w:rPr>
            </w:pPr>
            <w:hyperlink r:id="rId198">
              <w:r>
                <w:rPr>
                  <w:rFonts w:ascii="Arial" w:cs="Arial" w:eastAsia="Arial" w:hAnsi="Arial"/>
                  <w:sz w:val="18"/>
                  <w:szCs w:val="18"/>
                  <w:color w:val="0000EE"/>
                </w:rPr>
                <w:t>N.A., as trustee</w:t>
              </w:r>
            </w:hyperlink>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3520" w:type="dxa"/>
            <w:vAlign w:val="bottom"/>
            <w:tcBorders>
              <w:bottom w:val="single" w:sz="8" w:color="0000EE"/>
            </w:tcBorders>
            <w:gridSpan w:val="11"/>
          </w:tcPr>
          <w:p>
            <w:pPr>
              <w:spacing w:after="0"/>
              <w:rPr>
                <w:rFonts w:ascii="Arial" w:cs="Arial" w:eastAsia="Arial" w:hAnsi="Arial"/>
                <w:sz w:val="18"/>
                <w:szCs w:val="18"/>
                <w:color w:val="0000EE"/>
                <w:w w:val="99"/>
              </w:rPr>
            </w:pPr>
            <w:hyperlink r:id="rId199">
              <w:r>
                <w:rPr>
                  <w:rFonts w:ascii="Arial" w:cs="Arial" w:eastAsia="Arial" w:hAnsi="Arial"/>
                  <w:sz w:val="18"/>
                  <w:szCs w:val="18"/>
                  <w:color w:val="0000EE"/>
                  <w:w w:val="99"/>
                </w:rPr>
                <w:t>Assumption of Beneficiaries’ Representative</w:t>
              </w:r>
            </w:hyperlink>
          </w:p>
        </w:tc>
        <w:tc>
          <w:tcPr>
            <w:tcW w:w="60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6/30/2020</w:t>
            </w: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10.26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7/30/2020</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20" w:type="dxa"/>
            <w:vAlign w:val="bottom"/>
            <w:gridSpan w:val="22"/>
          </w:tcPr>
          <w:p>
            <w:pPr>
              <w:spacing w:after="0" w:line="182" w:lineRule="exact"/>
              <w:rPr>
                <w:rFonts w:ascii="Arial" w:cs="Arial" w:eastAsia="Arial" w:hAnsi="Arial"/>
                <w:sz w:val="18"/>
                <w:szCs w:val="18"/>
                <w:color w:val="0000EE"/>
              </w:rPr>
            </w:pPr>
            <w:hyperlink r:id="rId199">
              <w:r>
                <w:rPr>
                  <w:rFonts w:ascii="Arial" w:cs="Arial" w:eastAsia="Arial" w:hAnsi="Arial"/>
                  <w:sz w:val="18"/>
                  <w:szCs w:val="18"/>
                  <w:color w:val="0000EE"/>
                </w:rPr>
                <w:t>Obligations Under Amended and Restated</w:t>
              </w:r>
            </w:hyperlink>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20" w:type="dxa"/>
            <w:vAlign w:val="bottom"/>
            <w:gridSpan w:val="22"/>
          </w:tcPr>
          <w:p>
            <w:pPr>
              <w:spacing w:after="0" w:line="182" w:lineRule="exact"/>
              <w:rPr>
                <w:rFonts w:ascii="Arial" w:cs="Arial" w:eastAsia="Arial" w:hAnsi="Arial"/>
                <w:sz w:val="18"/>
                <w:szCs w:val="18"/>
                <w:color w:val="0000EE"/>
              </w:rPr>
            </w:pPr>
            <w:hyperlink r:id="rId199">
              <w:r>
                <w:rPr>
                  <w:rFonts w:ascii="Arial" w:cs="Arial" w:eastAsia="Arial" w:hAnsi="Arial"/>
                  <w:sz w:val="18"/>
                  <w:szCs w:val="18"/>
                  <w:color w:val="0000EE"/>
                </w:rPr>
                <w:t>Directors’ Indemnification Trust Agreement</w:t>
              </w:r>
            </w:hyperlink>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4120" w:type="dxa"/>
            <w:vAlign w:val="bottom"/>
            <w:gridSpan w:val="22"/>
          </w:tcPr>
          <w:p>
            <w:pPr>
              <w:spacing w:after="0"/>
              <w:rPr>
                <w:rFonts w:ascii="Arial" w:cs="Arial" w:eastAsia="Arial" w:hAnsi="Arial"/>
                <w:sz w:val="18"/>
                <w:szCs w:val="18"/>
                <w:color w:val="0000EE"/>
              </w:rPr>
            </w:pPr>
            <w:hyperlink r:id="rId200">
              <w:r>
                <w:rPr>
                  <w:rFonts w:ascii="Arial" w:cs="Arial" w:eastAsia="Arial" w:hAnsi="Arial"/>
                  <w:sz w:val="18"/>
                  <w:szCs w:val="18"/>
                  <w:color w:val="0000EE"/>
                </w:rPr>
                <w:t>Microsoft Corporation Deferred Compensation</w:t>
              </w:r>
            </w:hyperlink>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12/31/17</w:t>
            </w: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10.14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6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200">
              <w:r>
                <w:rPr>
                  <w:rFonts w:ascii="Arial" w:cs="Arial" w:eastAsia="Arial" w:hAnsi="Arial"/>
                  <w:sz w:val="18"/>
                  <w:szCs w:val="18"/>
                  <w:color w:val="0000EE"/>
                  <w:w w:val="98"/>
                </w:rPr>
                <w:t>Plan for Non-Employee Directors</w:t>
              </w:r>
            </w:hyperlink>
          </w:p>
        </w:tc>
        <w:tc>
          <w:tcPr>
            <w:tcW w:w="1040" w:type="dxa"/>
            <w:vAlign w:val="bottom"/>
            <w:tcBorders>
              <w:top w:val="single" w:sz="8" w:color="0000EE"/>
            </w:tcBorders>
            <w:gridSpan w:val="8"/>
          </w:tcPr>
          <w:p>
            <w:pPr>
              <w:spacing w:after="0"/>
              <w:rPr>
                <w:sz w:val="15"/>
                <w:szCs w:val="15"/>
                <w:color w:val="auto"/>
              </w:rPr>
            </w:pPr>
          </w:p>
        </w:tc>
        <w:tc>
          <w:tcPr>
            <w:tcW w:w="460" w:type="dxa"/>
            <w:vAlign w:val="bottom"/>
            <w:gridSpan w:val="9"/>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3740" w:type="dxa"/>
            <w:vAlign w:val="bottom"/>
            <w:tcBorders>
              <w:bottom w:val="single" w:sz="8" w:color="0000EE"/>
            </w:tcBorders>
            <w:gridSpan w:val="16"/>
          </w:tcPr>
          <w:p>
            <w:pPr>
              <w:spacing w:after="0"/>
              <w:rPr>
                <w:rFonts w:ascii="Arial" w:cs="Arial" w:eastAsia="Arial" w:hAnsi="Arial"/>
                <w:sz w:val="18"/>
                <w:szCs w:val="18"/>
                <w:color w:val="0000EE"/>
                <w:w w:val="99"/>
              </w:rPr>
            </w:pPr>
            <w:hyperlink r:id="rId201">
              <w:r>
                <w:rPr>
                  <w:rFonts w:ascii="Arial" w:cs="Arial" w:eastAsia="Arial" w:hAnsi="Arial"/>
                  <w:sz w:val="18"/>
                  <w:szCs w:val="18"/>
                  <w:color w:val="0000EE"/>
                  <w:w w:val="99"/>
                </w:rPr>
                <w:t>Microsoft Corporation Executive Incentive Plan</w:t>
              </w:r>
            </w:hyperlink>
          </w:p>
        </w:tc>
        <w:tc>
          <w:tcPr>
            <w:tcW w:w="38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300" w:type="dxa"/>
            <w:vAlign w:val="bottom"/>
          </w:tcPr>
          <w:p>
            <w:pPr>
              <w:spacing w:after="0"/>
              <w:rPr>
                <w:sz w:val="24"/>
                <w:szCs w:val="24"/>
                <w:color w:val="auto"/>
              </w:rPr>
            </w:pP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9/19/18</w:t>
            </w:r>
          </w:p>
        </w:tc>
        <w:tc>
          <w:tcPr>
            <w:tcW w:w="0" w:type="dxa"/>
            <w:vAlign w:val="bottom"/>
          </w:tcPr>
          <w:p>
            <w:pPr>
              <w:spacing w:after="0"/>
              <w:rPr>
                <w:sz w:val="1"/>
                <w:szCs w:val="1"/>
                <w:color w:val="auto"/>
              </w:rPr>
            </w:pPr>
          </w:p>
        </w:tc>
      </w:tr>
      <w:tr>
        <w:trPr>
          <w:trHeight w:val="330"/>
        </w:trPr>
        <w:tc>
          <w:tcPr>
            <w:tcW w:w="1120" w:type="dxa"/>
            <w:vAlign w:val="bottom"/>
          </w:tcPr>
          <w:p>
            <w:pPr>
              <w:spacing w:after="0"/>
              <w:rPr>
                <w:sz w:val="20"/>
                <w:szCs w:val="20"/>
                <w:color w:val="auto"/>
              </w:rPr>
            </w:pPr>
            <w:r>
              <w:rPr>
                <w:rFonts w:ascii="Arial" w:cs="Arial" w:eastAsia="Arial" w:hAnsi="Arial"/>
                <w:sz w:val="18"/>
                <w:szCs w:val="18"/>
                <w:color w:val="auto"/>
              </w:rPr>
              <w:t>10.19*</w:t>
            </w:r>
          </w:p>
        </w:tc>
        <w:tc>
          <w:tcPr>
            <w:tcW w:w="3720" w:type="dxa"/>
            <w:vAlign w:val="bottom"/>
            <w:tcBorders>
              <w:bottom w:val="single" w:sz="8" w:color="0000EE"/>
            </w:tcBorders>
            <w:gridSpan w:val="15"/>
          </w:tcPr>
          <w:p>
            <w:pPr>
              <w:spacing w:after="0"/>
              <w:rPr>
                <w:rFonts w:ascii="Arial" w:cs="Arial" w:eastAsia="Arial" w:hAnsi="Arial"/>
                <w:sz w:val="18"/>
                <w:szCs w:val="18"/>
                <w:color w:val="0000EE"/>
                <w:w w:val="99"/>
              </w:rPr>
            </w:pPr>
            <w:hyperlink r:id="rId202">
              <w:r>
                <w:rPr>
                  <w:rFonts w:ascii="Arial" w:cs="Arial" w:eastAsia="Arial" w:hAnsi="Arial"/>
                  <w:sz w:val="18"/>
                  <w:szCs w:val="18"/>
                  <w:color w:val="0000EE"/>
                  <w:w w:val="99"/>
                </w:rPr>
                <w:t>Microsoft Corporation Executive Incentive Plan</w:t>
              </w:r>
            </w:hyperlink>
          </w:p>
        </w:tc>
        <w:tc>
          <w:tcPr>
            <w:tcW w:w="400" w:type="dxa"/>
            <w:vAlign w:val="bottom"/>
            <w:gridSpan w:val="7"/>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9/30/16</w:t>
            </w: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10.17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30"/>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4120" w:type="dxa"/>
            <w:vAlign w:val="bottom"/>
            <w:gridSpan w:val="22"/>
          </w:tcPr>
          <w:p>
            <w:pPr>
              <w:spacing w:after="0"/>
              <w:rPr>
                <w:rFonts w:ascii="Arial" w:cs="Arial" w:eastAsia="Arial" w:hAnsi="Arial"/>
                <w:sz w:val="18"/>
                <w:szCs w:val="18"/>
                <w:color w:val="0000EE"/>
              </w:rPr>
            </w:pPr>
            <w:hyperlink r:id="rId203">
              <w:r>
                <w:rPr>
                  <w:rFonts w:ascii="Arial" w:cs="Arial" w:eastAsia="Arial" w:hAnsi="Arial"/>
                  <w:sz w:val="18"/>
                  <w:szCs w:val="18"/>
                  <w:color w:val="0000EE"/>
                </w:rPr>
                <w:t>Form of Executive Incentive Plan (Executive</w:t>
              </w:r>
            </w:hyperlink>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9/30/16</w:t>
            </w: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10.18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7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203">
              <w:r>
                <w:rPr>
                  <w:rFonts w:ascii="Arial" w:cs="Arial" w:eastAsia="Arial" w:hAnsi="Arial"/>
                  <w:sz w:val="18"/>
                  <w:szCs w:val="18"/>
                  <w:color w:val="0000EE"/>
                  <w:w w:val="99"/>
                </w:rPr>
                <w:t>Officer SAs) Stock Award Agreement under the</w:t>
              </w:r>
            </w:hyperlink>
          </w:p>
        </w:tc>
        <w:tc>
          <w:tcPr>
            <w:tcW w:w="360" w:type="dxa"/>
            <w:vAlign w:val="bottom"/>
            <w:gridSpan w:val="5"/>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20" w:type="dxa"/>
            <w:vAlign w:val="bottom"/>
            <w:gridSpan w:val="22"/>
          </w:tcPr>
          <w:p>
            <w:pPr>
              <w:spacing w:after="0" w:line="182" w:lineRule="exact"/>
              <w:rPr>
                <w:rFonts w:ascii="Arial" w:cs="Arial" w:eastAsia="Arial" w:hAnsi="Arial"/>
                <w:sz w:val="18"/>
                <w:szCs w:val="18"/>
                <w:color w:val="0000EE"/>
              </w:rPr>
            </w:pPr>
            <w:hyperlink r:id="rId203">
              <w:r>
                <w:rPr>
                  <w:rFonts w:ascii="Arial" w:cs="Arial" w:eastAsia="Arial" w:hAnsi="Arial"/>
                  <w:sz w:val="18"/>
                  <w:szCs w:val="18"/>
                  <w:color w:val="0000EE"/>
                </w:rPr>
                <w:t>Microsoft Corporation 2001 Stock Plan</w:t>
              </w:r>
            </w:hyperlink>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3700" w:type="dxa"/>
            <w:vAlign w:val="bottom"/>
            <w:tcBorders>
              <w:bottom w:val="single" w:sz="8" w:color="0000EE"/>
            </w:tcBorders>
            <w:gridSpan w:val="14"/>
          </w:tcPr>
          <w:p>
            <w:pPr>
              <w:spacing w:after="0"/>
              <w:rPr>
                <w:rFonts w:ascii="Arial" w:cs="Arial" w:eastAsia="Arial" w:hAnsi="Arial"/>
                <w:sz w:val="18"/>
                <w:szCs w:val="18"/>
                <w:color w:val="0000EE"/>
                <w:w w:val="99"/>
              </w:rPr>
            </w:pPr>
            <w:hyperlink r:id="rId204">
              <w:r>
                <w:rPr>
                  <w:rFonts w:ascii="Arial" w:cs="Arial" w:eastAsia="Arial" w:hAnsi="Arial"/>
                  <w:sz w:val="18"/>
                  <w:szCs w:val="18"/>
                  <w:color w:val="0000EE"/>
                  <w:w w:val="99"/>
                </w:rPr>
                <w:t>Form of Executive Incentive Plan Performance</w:t>
              </w:r>
            </w:hyperlink>
          </w:p>
        </w:tc>
        <w:tc>
          <w:tcPr>
            <w:tcW w:w="420" w:type="dxa"/>
            <w:vAlign w:val="bottom"/>
            <w:gridSpan w:val="8"/>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9/30/16</w:t>
            </w: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10.25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5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204">
              <w:r>
                <w:rPr>
                  <w:rFonts w:ascii="Arial" w:cs="Arial" w:eastAsia="Arial" w:hAnsi="Arial"/>
                  <w:sz w:val="18"/>
                  <w:szCs w:val="18"/>
                  <w:color w:val="0000EE"/>
                  <w:w w:val="99"/>
                </w:rPr>
                <w:t>Stock Award Agreement under the Microsoft</w:t>
              </w:r>
            </w:hyperlink>
          </w:p>
        </w:tc>
        <w:tc>
          <w:tcPr>
            <w:tcW w:w="600" w:type="dxa"/>
            <w:vAlign w:val="bottom"/>
            <w:gridSpan w:val="11"/>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20" w:type="dxa"/>
            <w:vAlign w:val="bottom"/>
            <w:gridSpan w:val="22"/>
          </w:tcPr>
          <w:p>
            <w:pPr>
              <w:spacing w:after="0" w:line="182" w:lineRule="exact"/>
              <w:rPr>
                <w:rFonts w:ascii="Arial" w:cs="Arial" w:eastAsia="Arial" w:hAnsi="Arial"/>
                <w:sz w:val="18"/>
                <w:szCs w:val="18"/>
                <w:color w:val="0000EE"/>
              </w:rPr>
            </w:pPr>
            <w:hyperlink r:id="rId204">
              <w:r>
                <w:rPr>
                  <w:rFonts w:ascii="Arial" w:cs="Arial" w:eastAsia="Arial" w:hAnsi="Arial"/>
                  <w:sz w:val="18"/>
                  <w:szCs w:val="18"/>
                  <w:color w:val="0000EE"/>
                </w:rPr>
                <w:t>Corporation 2001 Stock Plan</w:t>
              </w:r>
            </w:hyperlink>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3280" w:type="dxa"/>
            <w:vAlign w:val="bottom"/>
            <w:tcBorders>
              <w:bottom w:val="single" w:sz="8" w:color="0000EE"/>
            </w:tcBorders>
            <w:gridSpan w:val="8"/>
          </w:tcPr>
          <w:p>
            <w:pPr>
              <w:spacing w:after="0"/>
              <w:rPr>
                <w:rFonts w:ascii="Arial" w:cs="Arial" w:eastAsia="Arial" w:hAnsi="Arial"/>
                <w:sz w:val="18"/>
                <w:szCs w:val="18"/>
                <w:color w:val="0000EE"/>
                <w:w w:val="98"/>
              </w:rPr>
            </w:pPr>
            <w:hyperlink r:id="rId205">
              <w:r>
                <w:rPr>
                  <w:rFonts w:ascii="Arial" w:cs="Arial" w:eastAsia="Arial" w:hAnsi="Arial"/>
                  <w:sz w:val="18"/>
                  <w:szCs w:val="18"/>
                  <w:color w:val="0000EE"/>
                  <w:w w:val="98"/>
                </w:rPr>
                <w:t>Senior Executive Severance Benefit Plan</w:t>
              </w:r>
            </w:hyperlink>
          </w:p>
        </w:tc>
        <w:tc>
          <w:tcPr>
            <w:tcW w:w="840" w:type="dxa"/>
            <w:vAlign w:val="bottom"/>
            <w:gridSpan w:val="14"/>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9/30/16</w:t>
            </w: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10.22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30"/>
        </w:trPr>
        <w:tc>
          <w:tcPr>
            <w:tcW w:w="1120" w:type="dxa"/>
            <w:vAlign w:val="bottom"/>
          </w:tcPr>
          <w:p>
            <w:pPr>
              <w:spacing w:after="0"/>
              <w:rPr>
                <w:sz w:val="20"/>
                <w:szCs w:val="20"/>
                <w:color w:val="auto"/>
              </w:rPr>
            </w:pPr>
            <w:r>
              <w:rPr>
                <w:rFonts w:ascii="Arial" w:cs="Arial" w:eastAsia="Arial" w:hAnsi="Arial"/>
                <w:sz w:val="18"/>
                <w:szCs w:val="18"/>
                <w:color w:val="auto"/>
              </w:rPr>
              <w:t>10.23*</w:t>
            </w:r>
          </w:p>
        </w:tc>
        <w:tc>
          <w:tcPr>
            <w:tcW w:w="4120" w:type="dxa"/>
            <w:vAlign w:val="bottom"/>
            <w:gridSpan w:val="22"/>
          </w:tcPr>
          <w:p>
            <w:pPr>
              <w:spacing w:after="0"/>
              <w:rPr>
                <w:rFonts w:ascii="Arial" w:cs="Arial" w:eastAsia="Arial" w:hAnsi="Arial"/>
                <w:sz w:val="18"/>
                <w:szCs w:val="18"/>
                <w:color w:val="0000EE"/>
              </w:rPr>
            </w:pPr>
            <w:hyperlink r:id="rId206">
              <w:r>
                <w:rPr>
                  <w:rFonts w:ascii="Arial" w:cs="Arial" w:eastAsia="Arial" w:hAnsi="Arial"/>
                  <w:sz w:val="18"/>
                  <w:szCs w:val="18"/>
                  <w:color w:val="0000EE"/>
                </w:rPr>
                <w:t>Offer Letter, dated February 3, 2014, between</w:t>
              </w:r>
            </w:hyperlink>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300" w:type="dxa"/>
            <w:vAlign w:val="bottom"/>
          </w:tcPr>
          <w:p>
            <w:pPr>
              <w:spacing w:after="0"/>
              <w:rPr>
                <w:sz w:val="24"/>
                <w:szCs w:val="24"/>
                <w:color w:val="auto"/>
              </w:rPr>
            </w:pP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5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206">
              <w:r>
                <w:rPr>
                  <w:rFonts w:ascii="Arial" w:cs="Arial" w:eastAsia="Arial" w:hAnsi="Arial"/>
                  <w:sz w:val="18"/>
                  <w:szCs w:val="18"/>
                  <w:color w:val="0000EE"/>
                </w:rPr>
                <w:t>Microsoft Corporation and Satya Nadella</w:t>
              </w:r>
            </w:hyperlink>
          </w:p>
        </w:tc>
        <w:tc>
          <w:tcPr>
            <w:tcW w:w="620" w:type="dxa"/>
            <w:vAlign w:val="bottom"/>
            <w:gridSpan w:val="12"/>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10.24*</w:t>
            </w:r>
          </w:p>
        </w:tc>
        <w:tc>
          <w:tcPr>
            <w:tcW w:w="4120" w:type="dxa"/>
            <w:vAlign w:val="bottom"/>
            <w:gridSpan w:val="22"/>
          </w:tcPr>
          <w:p>
            <w:pPr>
              <w:spacing w:after="0"/>
              <w:rPr>
                <w:rFonts w:ascii="Arial" w:cs="Arial" w:eastAsia="Arial" w:hAnsi="Arial"/>
                <w:sz w:val="18"/>
                <w:szCs w:val="18"/>
                <w:color w:val="0000EE"/>
              </w:rPr>
            </w:pPr>
            <w:hyperlink r:id="rId207">
              <w:r>
                <w:rPr>
                  <w:rFonts w:ascii="Arial" w:cs="Arial" w:eastAsia="Arial" w:hAnsi="Arial"/>
                  <w:sz w:val="18"/>
                  <w:szCs w:val="18"/>
                  <w:color w:val="0000EE"/>
                </w:rPr>
                <w:t>Long-Term Performance Stock Award Agreement</w:t>
              </w:r>
            </w:hyperlink>
          </w:p>
        </w:tc>
        <w:tc>
          <w:tcPr>
            <w:tcW w:w="8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12/31/14</w:t>
            </w: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10.24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96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207">
              <w:r>
                <w:rPr>
                  <w:rFonts w:ascii="Arial" w:cs="Arial" w:eastAsia="Arial" w:hAnsi="Arial"/>
                  <w:sz w:val="18"/>
                  <w:szCs w:val="18"/>
                  <w:color w:val="0000EE"/>
                  <w:w w:val="99"/>
                </w:rPr>
                <w:t>between Microsoft Corporation and Satya Nadella</w:t>
              </w:r>
            </w:hyperlink>
          </w:p>
        </w:tc>
        <w:tc>
          <w:tcPr>
            <w:tcW w:w="1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20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11">
              <w:r>
                <w:rPr>
                  <w:rFonts w:ascii="Arial" w:cs="Arial" w:eastAsia="Arial" w:hAnsi="Arial"/>
                  <w:sz w:val="18"/>
                  <w:szCs w:val="18"/>
                  <w:color w:val="0000EE"/>
                  <w:w w:val="98"/>
                </w:rPr>
                <w:t>Subsidiaries of Registrant</w:t>
              </w:r>
            </w:hyperlink>
          </w:p>
        </w:tc>
        <w:tc>
          <w:tcPr>
            <w:tcW w:w="2080" w:type="dxa"/>
            <w:vAlign w:val="bottom"/>
            <w:gridSpan w:val="19"/>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4120" w:type="dxa"/>
            <w:vAlign w:val="bottom"/>
            <w:gridSpan w:val="22"/>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Consent of Independent Registered Public</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3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12">
              <w:r>
                <w:rPr>
                  <w:rFonts w:ascii="Arial" w:cs="Arial" w:eastAsia="Arial" w:hAnsi="Arial"/>
                  <w:sz w:val="18"/>
                  <w:szCs w:val="18"/>
                  <w:color w:val="0000EE"/>
                </w:rPr>
                <w:t>Accounting Firm</w:t>
              </w:r>
            </w:hyperlink>
          </w:p>
        </w:tc>
        <w:tc>
          <w:tcPr>
            <w:tcW w:w="760" w:type="dxa"/>
            <w:vAlign w:val="bottom"/>
            <w:gridSpan w:val="13"/>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3980" w:type="dxa"/>
            <w:vAlign w:val="bottom"/>
            <w:tcBorders>
              <w:bottom w:val="single" w:sz="8" w:color="0000EE"/>
            </w:tcBorders>
            <w:gridSpan w:val="21"/>
          </w:tcPr>
          <w:p>
            <w:pPr>
              <w:spacing w:after="0"/>
              <w:rPr>
                <w:rFonts w:ascii="Arial" w:cs="Arial" w:eastAsia="Arial" w:hAnsi="Arial"/>
                <w:sz w:val="18"/>
                <w:szCs w:val="18"/>
                <w:color w:val="0000EE"/>
                <w:w w:val="98"/>
              </w:rPr>
            </w:pPr>
            <w:hyperlink w:anchor="page113">
              <w:r>
                <w:rPr>
                  <w:rFonts w:ascii="Arial" w:cs="Arial" w:eastAsia="Arial" w:hAnsi="Arial"/>
                  <w:sz w:val="18"/>
                  <w:szCs w:val="18"/>
                  <w:color w:val="0000EE"/>
                  <w:w w:val="98"/>
                </w:rPr>
                <w:t>Certification of Chief Executive Officer Pursuant to</w:t>
              </w:r>
            </w:hyperlink>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13">
              <w:r>
                <w:rPr>
                  <w:rFonts w:ascii="Arial" w:cs="Arial" w:eastAsia="Arial" w:hAnsi="Arial"/>
                  <w:sz w:val="18"/>
                  <w:szCs w:val="18"/>
                  <w:color w:val="0000EE"/>
                  <w:w w:val="99"/>
                </w:rPr>
                <w:t>Section 302 of the Sarbanes-Oxley Act of 2002</w:t>
              </w:r>
            </w:hyperlink>
          </w:p>
        </w:tc>
        <w:tc>
          <w:tcPr>
            <w:tcW w:w="380" w:type="dxa"/>
            <w:vAlign w:val="bottom"/>
            <w:gridSpan w:val="6"/>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3920" w:type="dxa"/>
            <w:vAlign w:val="bottom"/>
            <w:tcBorders>
              <w:bottom w:val="single" w:sz="8" w:color="0000EE"/>
            </w:tcBorders>
            <w:gridSpan w:val="19"/>
          </w:tcPr>
          <w:p>
            <w:pPr>
              <w:spacing w:after="0"/>
              <w:rPr>
                <w:rFonts w:ascii="Arial" w:cs="Arial" w:eastAsia="Arial" w:hAnsi="Arial"/>
                <w:sz w:val="18"/>
                <w:szCs w:val="18"/>
                <w:color w:val="0000EE"/>
                <w:w w:val="98"/>
              </w:rPr>
            </w:pPr>
            <w:hyperlink w:anchor="page114">
              <w:r>
                <w:rPr>
                  <w:rFonts w:ascii="Arial" w:cs="Arial" w:eastAsia="Arial" w:hAnsi="Arial"/>
                  <w:sz w:val="18"/>
                  <w:szCs w:val="18"/>
                  <w:color w:val="0000EE"/>
                  <w:w w:val="98"/>
                </w:rPr>
                <w:t>Certification of Chief Financial Officer Pursuant to</w:t>
              </w:r>
            </w:hyperlink>
          </w:p>
        </w:tc>
        <w:tc>
          <w:tcPr>
            <w:tcW w:w="200" w:type="dxa"/>
            <w:vAlign w:val="bottom"/>
            <w:gridSpan w:val="3"/>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14">
              <w:r>
                <w:rPr>
                  <w:rFonts w:ascii="Arial" w:cs="Arial" w:eastAsia="Arial" w:hAnsi="Arial"/>
                  <w:sz w:val="18"/>
                  <w:szCs w:val="18"/>
                  <w:color w:val="0000EE"/>
                  <w:w w:val="99"/>
                </w:rPr>
                <w:t>Section 302 of the Sarbanes-Oxley Act of 2002</w:t>
              </w:r>
            </w:hyperlink>
          </w:p>
        </w:tc>
        <w:tc>
          <w:tcPr>
            <w:tcW w:w="380" w:type="dxa"/>
            <w:vAlign w:val="bottom"/>
            <w:gridSpan w:val="6"/>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3980" w:type="dxa"/>
            <w:vAlign w:val="bottom"/>
            <w:tcBorders>
              <w:bottom w:val="single" w:sz="8" w:color="0000EE"/>
            </w:tcBorders>
            <w:gridSpan w:val="21"/>
          </w:tcPr>
          <w:p>
            <w:pPr>
              <w:spacing w:after="0"/>
              <w:rPr>
                <w:rFonts w:ascii="Arial" w:cs="Arial" w:eastAsia="Arial" w:hAnsi="Arial"/>
                <w:sz w:val="18"/>
                <w:szCs w:val="18"/>
                <w:color w:val="0000EE"/>
                <w:w w:val="98"/>
              </w:rPr>
            </w:pPr>
            <w:hyperlink w:anchor="page115">
              <w:r>
                <w:rPr>
                  <w:rFonts w:ascii="Arial" w:cs="Arial" w:eastAsia="Arial" w:hAnsi="Arial"/>
                  <w:sz w:val="18"/>
                  <w:szCs w:val="18"/>
                  <w:color w:val="0000EE"/>
                  <w:w w:val="98"/>
                </w:rPr>
                <w:t>Certification of Chief Executive Officer Pursuant to</w:t>
              </w:r>
            </w:hyperlink>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20" w:type="dxa"/>
            <w:vAlign w:val="bottom"/>
            <w:gridSpan w:val="22"/>
          </w:tcPr>
          <w:p>
            <w:pPr>
              <w:spacing w:after="0" w:line="182" w:lineRule="exact"/>
              <w:rPr>
                <w:rFonts w:ascii="Arial" w:cs="Arial" w:eastAsia="Arial" w:hAnsi="Arial"/>
                <w:sz w:val="18"/>
                <w:szCs w:val="18"/>
                <w:color w:val="0000EE"/>
              </w:rPr>
            </w:pPr>
            <w:hyperlink w:anchor="page115">
              <w:r>
                <w:rPr>
                  <w:rFonts w:ascii="Arial" w:cs="Arial" w:eastAsia="Arial" w:hAnsi="Arial"/>
                  <w:sz w:val="18"/>
                  <w:szCs w:val="18"/>
                  <w:color w:val="0000EE"/>
                </w:rPr>
                <w:t>Section 906 of the Sarbanes-Oxley Act of 2002</w:t>
              </w:r>
            </w:hyperlink>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11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98"/>
              <w:spacing w:after="0"/>
              <w:rPr>
                <w:sz w:val="20"/>
                <w:szCs w:val="20"/>
                <w:color w:val="auto"/>
              </w:rPr>
            </w:pPr>
            <w:r>
              <w:rPr>
                <w:rFonts w:ascii="Arial" w:cs="Arial" w:eastAsia="Arial" w:hAnsi="Arial"/>
                <w:sz w:val="14"/>
                <w:szCs w:val="14"/>
                <w:color w:val="auto"/>
              </w:rPr>
              <w:t>106</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06" w:name="page107"/>
    <w:bookmarkEnd w:id="106"/>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80" w:type="dxa"/>
            <w:vAlign w:val="bottom"/>
          </w:tcPr>
          <w:p>
            <w:pPr>
              <w:jc w:val="right"/>
              <w:ind w:right="193"/>
              <w:spacing w:after="0" w:line="125" w:lineRule="exact"/>
              <w:rPr>
                <w:sz w:val="20"/>
                <w:szCs w:val="20"/>
                <w:color w:val="auto"/>
              </w:rPr>
            </w:pPr>
            <w:r>
              <w:rPr>
                <w:rFonts w:ascii="Arial" w:cs="Arial" w:eastAsia="Arial" w:hAnsi="Arial"/>
                <w:sz w:val="13"/>
                <w:szCs w:val="13"/>
                <w:b w:val="1"/>
                <w:bCs w:val="1"/>
                <w:color w:val="auto"/>
              </w:rPr>
              <w:t>Period</w:t>
            </w:r>
          </w:p>
        </w:tc>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1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Exhibit Description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Form</w:t>
            </w: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Ending</w:t>
            </w: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392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116">
              <w:r>
                <w:rPr>
                  <w:rFonts w:ascii="Arial" w:cs="Arial" w:eastAsia="Arial" w:hAnsi="Arial"/>
                  <w:sz w:val="18"/>
                  <w:szCs w:val="18"/>
                  <w:color w:val="0000EE"/>
                  <w:w w:val="98"/>
                </w:rPr>
                <w:t>Certification of Chief Financial Officer Pursuant to</w:t>
              </w:r>
            </w:hyperlink>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116">
              <w:r>
                <w:rPr>
                  <w:rFonts w:ascii="Arial" w:cs="Arial" w:eastAsia="Arial" w:hAnsi="Arial"/>
                  <w:sz w:val="18"/>
                  <w:szCs w:val="18"/>
                  <w:color w:val="0000EE"/>
                  <w:w w:val="99"/>
                </w:rPr>
                <w:t>Section 906 of the Sarbanes-Oxley Act of 2002</w:t>
              </w:r>
            </w:hyperlink>
          </w:p>
        </w:tc>
        <w:tc>
          <w:tcPr>
            <w:tcW w:w="36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4100" w:type="dxa"/>
            <w:vAlign w:val="bottom"/>
            <w:gridSpan w:val="3"/>
          </w:tcPr>
          <w:p>
            <w:pPr>
              <w:spacing w:after="0"/>
              <w:rPr>
                <w:sz w:val="20"/>
                <w:szCs w:val="20"/>
                <w:color w:val="auto"/>
              </w:rPr>
            </w:pPr>
            <w:r>
              <w:rPr>
                <w:rFonts w:ascii="Arial" w:cs="Arial" w:eastAsia="Arial" w:hAnsi="Arial"/>
                <w:sz w:val="18"/>
                <w:szCs w:val="18"/>
                <w:color w:val="auto"/>
              </w:rPr>
              <w:t>Inline XBRL Instance Document</w:t>
            </w:r>
            <w:r>
              <w:rPr>
                <w:rFonts w:ascii="Arial" w:cs="Arial" w:eastAsia="Arial" w:hAnsi="Arial"/>
                <w:sz w:val="18"/>
                <w:szCs w:val="18"/>
                <w:color w:val="212529"/>
              </w:rPr>
              <w:t>—the instance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4100" w:type="dxa"/>
            <w:vAlign w:val="bottom"/>
            <w:gridSpan w:val="3"/>
          </w:tcPr>
          <w:p>
            <w:pPr>
              <w:spacing w:after="0" w:line="202" w:lineRule="exact"/>
              <w:rPr>
                <w:sz w:val="20"/>
                <w:szCs w:val="20"/>
                <w:color w:val="auto"/>
              </w:rPr>
            </w:pPr>
            <w:r>
              <w:rPr>
                <w:rFonts w:ascii="Arial" w:cs="Arial" w:eastAsia="Arial" w:hAnsi="Arial"/>
                <w:sz w:val="18"/>
                <w:szCs w:val="18"/>
                <w:color w:val="212529"/>
              </w:rPr>
              <w:t>document does not appear in the Interactive Data</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4100" w:type="dxa"/>
            <w:vAlign w:val="bottom"/>
            <w:gridSpan w:val="3"/>
          </w:tcPr>
          <w:p>
            <w:pPr>
              <w:spacing w:after="0" w:line="202" w:lineRule="exact"/>
              <w:rPr>
                <w:sz w:val="20"/>
                <w:szCs w:val="20"/>
                <w:color w:val="auto"/>
              </w:rPr>
            </w:pPr>
            <w:r>
              <w:rPr>
                <w:rFonts w:ascii="Arial" w:cs="Arial" w:eastAsia="Arial" w:hAnsi="Arial"/>
                <w:sz w:val="18"/>
                <w:szCs w:val="18"/>
                <w:color w:val="212529"/>
              </w:rPr>
              <w:t>File as its XBRL tags are embedded within the</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212529"/>
              </w:rPr>
              <w:t>Inline XBRL document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41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41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Linkbase</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41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Linkbase</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41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41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Linkbase</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4100" w:type="dxa"/>
            <w:vAlign w:val="bottom"/>
            <w:gridSpan w:val="3"/>
          </w:tcPr>
          <w:p>
            <w:pPr>
              <w:spacing w:after="0"/>
              <w:rPr>
                <w:sz w:val="20"/>
                <w:szCs w:val="20"/>
                <w:color w:val="auto"/>
              </w:rPr>
            </w:pPr>
            <w:r>
              <w:rPr>
                <w:rFonts w:ascii="Arial" w:cs="Arial" w:eastAsia="Arial" w:hAnsi="Arial"/>
                <w:sz w:val="18"/>
                <w:szCs w:val="18"/>
                <w:color w:val="auto"/>
              </w:rPr>
              <w:t>Cover page formatted as Inline XBRL and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contained in Exhibit 101</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compensatory plan or arrangement.</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8" w:right="399" w:bottom="1440" w:gutter="0" w:footer="0" w:header="0"/>
        </w:sectPr>
      </w:pPr>
    </w:p>
    <w:bookmarkStart w:id="107" w:name="page108"/>
    <w:bookmarkEnd w:id="107"/>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16</w:t>
      </w:r>
    </w:p>
    <w:p>
      <w:pPr>
        <w:spacing w:after="0" w:line="398" w:lineRule="exact"/>
        <w:rPr>
          <w:sz w:val="20"/>
          <w:szCs w:val="20"/>
          <w:color w:val="auto"/>
        </w:rPr>
      </w:pPr>
    </w:p>
    <w:p>
      <w:pPr>
        <w:jc w:val="right"/>
        <w:ind w:right="2879"/>
        <w:spacing w:after="0"/>
        <w:rPr>
          <w:sz w:val="20"/>
          <w:szCs w:val="20"/>
          <w:color w:val="auto"/>
        </w:rPr>
      </w:pPr>
      <w:r>
        <w:rPr>
          <w:rFonts w:ascii="Arial" w:cs="Arial" w:eastAsia="Arial" w:hAnsi="Arial"/>
          <w:sz w:val="22"/>
          <w:szCs w:val="22"/>
          <w:b w:val="1"/>
          <w:bCs w:val="1"/>
          <w:color w:val="auto"/>
        </w:rPr>
        <w:t>ITEM 16. FORM 10-K SUMMARY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38"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SIGNATURES</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Redmond, State of Washington, on July 28,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566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Alice L. Jolla</w:t>
      </w:r>
    </w:p>
    <w:p>
      <w:pPr>
        <w:spacing w:after="0" w:line="234" w:lineRule="auto"/>
        <w:rPr>
          <w:sz w:val="20"/>
          <w:szCs w:val="20"/>
          <w:color w:val="auto"/>
        </w:rPr>
      </w:pPr>
      <w:r>
        <w:rPr>
          <w:rFonts w:ascii="Arial" w:cs="Arial" w:eastAsia="Arial" w:hAnsi="Arial"/>
          <w:sz w:val="18"/>
          <w:szCs w:val="18"/>
          <w:color w:val="auto"/>
        </w:rPr>
        <w:t>Corporate Vice President and Chief Accounting Officer (Principal</w:t>
      </w:r>
    </w:p>
    <w:p>
      <w:pPr>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09" w:name="page110"/>
    <w:bookmarkEnd w:id="109"/>
    <w:p>
      <w:pPr>
        <w:ind w:right="20"/>
        <w:spacing w:after="0" w:line="24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July 28,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20" w:type="dxa"/>
            <w:vAlign w:val="bottom"/>
          </w:tcPr>
          <w:p>
            <w:pPr>
              <w:spacing w:after="0"/>
              <w:rPr>
                <w:sz w:val="20"/>
                <w:szCs w:val="20"/>
                <w:color w:val="auto"/>
              </w:rPr>
            </w:pPr>
            <w:r>
              <w:rPr>
                <w:rFonts w:ascii="Arial" w:cs="Arial" w:eastAsia="Arial" w:hAnsi="Arial"/>
                <w:sz w:val="13"/>
                <w:szCs w:val="13"/>
                <w:b w:val="1"/>
                <w:bCs w:val="1"/>
                <w:color w:val="auto"/>
              </w:rPr>
              <w:t>Signature</w:t>
            </w:r>
          </w:p>
        </w:tc>
        <w:tc>
          <w:tcPr>
            <w:tcW w:w="1800" w:type="dxa"/>
            <w:vAlign w:val="bottom"/>
          </w:tcPr>
          <w:p>
            <w:pPr>
              <w:spacing w:after="0"/>
              <w:rPr>
                <w:sz w:val="15"/>
                <w:szCs w:val="15"/>
                <w:color w:val="auto"/>
              </w:rPr>
            </w:pPr>
          </w:p>
        </w:tc>
        <w:tc>
          <w:tcPr>
            <w:tcW w:w="5720" w:type="dxa"/>
            <w:vAlign w:val="bottom"/>
          </w:tcPr>
          <w:p>
            <w:pPr>
              <w:ind w:left="120"/>
              <w:spacing w:after="0"/>
              <w:rPr>
                <w:sz w:val="20"/>
                <w:szCs w:val="20"/>
                <w:color w:val="auto"/>
              </w:rPr>
            </w:pPr>
            <w:r>
              <w:rPr>
                <w:rFonts w:ascii="Arial" w:cs="Arial" w:eastAsia="Arial" w:hAnsi="Arial"/>
                <w:sz w:val="13"/>
                <w:szCs w:val="13"/>
                <w:b w:val="1"/>
                <w:bCs w:val="1"/>
                <w:color w:val="auto"/>
              </w:rPr>
              <w:t>Title</w:t>
            </w:r>
          </w:p>
        </w:tc>
      </w:tr>
      <w:tr>
        <w:trPr>
          <w:trHeight w:val="95"/>
        </w:trPr>
        <w:tc>
          <w:tcPr>
            <w:tcW w:w="37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5720" w:type="dxa"/>
            <w:vAlign w:val="bottom"/>
            <w:tcBorders>
              <w:bottom w:val="single" w:sz="8" w:color="auto"/>
            </w:tcBorders>
          </w:tcPr>
          <w:p>
            <w:pPr>
              <w:spacing w:after="0"/>
              <w:rPr>
                <w:sz w:val="8"/>
                <w:szCs w:val="8"/>
                <w:color w:val="auto"/>
              </w:rPr>
            </w:pPr>
          </w:p>
        </w:tc>
      </w:tr>
      <w:tr>
        <w:trPr>
          <w:trHeight w:val="31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Chairman and Chief Executive Officer (Principal Executive Officer)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Satya Nadella</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1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3"/>
                <w:szCs w:val="13"/>
                <w:color w:val="auto"/>
              </w:rPr>
              <w:t>EID</w:t>
            </w:r>
            <w:r>
              <w:rPr>
                <w:rFonts w:ascii="Arial" w:cs="Arial" w:eastAsia="Arial" w:hAnsi="Arial"/>
                <w:sz w:val="18"/>
                <w:szCs w:val="18"/>
                <w:color w:val="auto"/>
              </w:rPr>
              <w:t xml:space="preserve"> H</w:t>
            </w:r>
            <w:r>
              <w:rPr>
                <w:rFonts w:ascii="Arial" w:cs="Arial" w:eastAsia="Arial" w:hAnsi="Arial"/>
                <w:sz w:val="13"/>
                <w:szCs w:val="13"/>
                <w:color w:val="auto"/>
              </w:rPr>
              <w:t>OFFMAN</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Reid Hoffman</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1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3"/>
                <w:szCs w:val="13"/>
                <w:color w:val="auto"/>
              </w:rPr>
              <w:t>UGH</w:t>
            </w:r>
            <w:r>
              <w:rPr>
                <w:rFonts w:ascii="Arial" w:cs="Arial" w:eastAsia="Arial" w:hAnsi="Arial"/>
                <w:sz w:val="18"/>
                <w:szCs w:val="18"/>
                <w:color w:val="auto"/>
              </w:rPr>
              <w:t xml:space="preserve"> F. J</w:t>
            </w:r>
            <w:r>
              <w:rPr>
                <w:rFonts w:ascii="Arial" w:cs="Arial" w:eastAsia="Arial" w:hAnsi="Arial"/>
                <w:sz w:val="13"/>
                <w:szCs w:val="13"/>
                <w:color w:val="auto"/>
              </w:rPr>
              <w:t>OHNSTON</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Hugh F. Johnston</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1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3"/>
                <w:szCs w:val="13"/>
                <w:color w:val="auto"/>
              </w:rPr>
              <w:t>ERI</w:t>
            </w:r>
            <w:r>
              <w:rPr>
                <w:rFonts w:ascii="Arial" w:cs="Arial" w:eastAsia="Arial" w:hAnsi="Arial"/>
                <w:sz w:val="18"/>
                <w:szCs w:val="18"/>
                <w:color w:val="auto"/>
              </w:rPr>
              <w:t xml:space="preserve"> L. L</w:t>
            </w:r>
            <w:r>
              <w:rPr>
                <w:rFonts w:ascii="Arial" w:cs="Arial" w:eastAsia="Arial" w:hAnsi="Arial"/>
                <w:sz w:val="13"/>
                <w:szCs w:val="13"/>
                <w:color w:val="auto"/>
              </w:rPr>
              <w:t>IST</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Teri L. List</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1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ANDRA</w:t>
            </w:r>
            <w:r>
              <w:rPr>
                <w:rFonts w:ascii="Arial" w:cs="Arial" w:eastAsia="Arial" w:hAnsi="Arial"/>
                <w:sz w:val="18"/>
                <w:szCs w:val="18"/>
                <w:color w:val="auto"/>
              </w:rPr>
              <w:t xml:space="preserve"> E. P</w:t>
            </w:r>
            <w:r>
              <w:rPr>
                <w:rFonts w:ascii="Arial" w:cs="Arial" w:eastAsia="Arial" w:hAnsi="Arial"/>
                <w:sz w:val="13"/>
                <w:szCs w:val="13"/>
                <w:color w:val="auto"/>
              </w:rPr>
              <w:t>ETERSON</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Sandra E. Peterson</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1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3"/>
                <w:szCs w:val="13"/>
                <w:color w:val="auto"/>
              </w:rPr>
              <w:t>ENNY</w:t>
            </w:r>
            <w:r>
              <w:rPr>
                <w:rFonts w:ascii="Arial" w:cs="Arial" w:eastAsia="Arial" w:hAnsi="Arial"/>
                <w:sz w:val="18"/>
                <w:szCs w:val="18"/>
                <w:color w:val="auto"/>
              </w:rPr>
              <w:t xml:space="preserve"> S. P</w:t>
            </w:r>
            <w:r>
              <w:rPr>
                <w:rFonts w:ascii="Arial" w:cs="Arial" w:eastAsia="Arial" w:hAnsi="Arial"/>
                <w:sz w:val="13"/>
                <w:szCs w:val="13"/>
                <w:color w:val="auto"/>
              </w:rPr>
              <w:t>RITZKER</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Penny S. Pritzker</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ARLOS</w:t>
            </w:r>
            <w:r>
              <w:rPr>
                <w:rFonts w:ascii="Arial" w:cs="Arial" w:eastAsia="Arial" w:hAnsi="Arial"/>
                <w:sz w:val="18"/>
                <w:szCs w:val="18"/>
                <w:color w:val="auto"/>
              </w:rPr>
              <w:t xml:space="preserve"> A. R</w:t>
            </w:r>
            <w:r>
              <w:rPr>
                <w:rFonts w:ascii="Arial" w:cs="Arial" w:eastAsia="Arial" w:hAnsi="Arial"/>
                <w:sz w:val="13"/>
                <w:szCs w:val="13"/>
                <w:color w:val="auto"/>
              </w:rPr>
              <w:t>ODRIGUEZ</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Carlos A. Rodriguez</w:t>
            </w:r>
          </w:p>
        </w:tc>
        <w:tc>
          <w:tcPr>
            <w:tcW w:w="180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309"/>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HARLES</w:t>
            </w:r>
            <w:r>
              <w:rPr>
                <w:rFonts w:ascii="Arial" w:cs="Arial" w:eastAsia="Arial" w:hAnsi="Arial"/>
                <w:sz w:val="18"/>
                <w:szCs w:val="18"/>
                <w:color w:val="auto"/>
              </w:rPr>
              <w:t xml:space="preserve"> W. S</w:t>
            </w:r>
            <w:r>
              <w:rPr>
                <w:rFonts w:ascii="Arial" w:cs="Arial" w:eastAsia="Arial" w:hAnsi="Arial"/>
                <w:sz w:val="13"/>
                <w:szCs w:val="13"/>
                <w:color w:val="auto"/>
              </w:rPr>
              <w:t>CHARF</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Charles W. Scharf</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1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W. S</w:t>
            </w:r>
            <w:r>
              <w:rPr>
                <w:rFonts w:ascii="Arial" w:cs="Arial" w:eastAsia="Arial" w:hAnsi="Arial"/>
                <w:sz w:val="13"/>
                <w:szCs w:val="13"/>
                <w:color w:val="auto"/>
              </w:rPr>
              <w:t>TANTON</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John W. Stanton</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W. T</w:t>
            </w:r>
            <w:r>
              <w:rPr>
                <w:rFonts w:ascii="Arial" w:cs="Arial" w:eastAsia="Arial" w:hAnsi="Arial"/>
                <w:sz w:val="13"/>
                <w:szCs w:val="13"/>
                <w:color w:val="auto"/>
              </w:rPr>
              <w:t>HOMPSON</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Lead Independent Director</w:t>
            </w: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John W. Thompson</w:t>
            </w:r>
          </w:p>
        </w:tc>
        <w:tc>
          <w:tcPr>
            <w:tcW w:w="180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309"/>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w:t>
            </w:r>
            <w:r>
              <w:rPr>
                <w:rFonts w:ascii="Arial" w:cs="Arial" w:eastAsia="Arial" w:hAnsi="Arial"/>
                <w:sz w:val="13"/>
                <w:szCs w:val="13"/>
                <w:color w:val="auto"/>
              </w:rPr>
              <w:t>MMA</w:t>
            </w:r>
            <w:r>
              <w:rPr>
                <w:rFonts w:ascii="Arial" w:cs="Arial" w:eastAsia="Arial" w:hAnsi="Arial"/>
                <w:sz w:val="18"/>
                <w:szCs w:val="18"/>
                <w:color w:val="auto"/>
              </w:rPr>
              <w:t xml:space="preserve"> N. W</w:t>
            </w:r>
            <w:r>
              <w:rPr>
                <w:rFonts w:ascii="Arial" w:cs="Arial" w:eastAsia="Arial" w:hAnsi="Arial"/>
                <w:sz w:val="13"/>
                <w:szCs w:val="13"/>
                <w:color w:val="auto"/>
              </w:rPr>
              <w:t>ALMSLEY</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Emma N. Walmsley</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1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3"/>
                <w:szCs w:val="13"/>
                <w:color w:val="auto"/>
              </w:rPr>
              <w:t>ADMASREE</w:t>
            </w:r>
            <w:r>
              <w:rPr>
                <w:rFonts w:ascii="Arial" w:cs="Arial" w:eastAsia="Arial" w:hAnsi="Arial"/>
                <w:sz w:val="18"/>
                <w:szCs w:val="18"/>
                <w:color w:val="auto"/>
              </w:rPr>
              <w:t xml:space="preserve"> W</w:t>
            </w:r>
            <w:r>
              <w:rPr>
                <w:rFonts w:ascii="Arial" w:cs="Arial" w:eastAsia="Arial" w:hAnsi="Arial"/>
                <w:sz w:val="13"/>
                <w:szCs w:val="13"/>
                <w:color w:val="auto"/>
              </w:rPr>
              <w:t>ARRIOR</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Padmasree Warrior</w:t>
            </w:r>
          </w:p>
        </w:tc>
        <w:tc>
          <w:tcPr>
            <w:tcW w:w="18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03"/>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Amy E. Hood</w:t>
            </w:r>
          </w:p>
        </w:tc>
        <w:tc>
          <w:tcPr>
            <w:tcW w:w="1800" w:type="dxa"/>
            <w:vAlign w:val="bottom"/>
          </w:tcPr>
          <w:p>
            <w:pPr>
              <w:spacing w:after="0"/>
              <w:rPr>
                <w:sz w:val="19"/>
                <w:szCs w:val="19"/>
                <w:color w:val="auto"/>
              </w:rPr>
            </w:pPr>
          </w:p>
        </w:tc>
        <w:tc>
          <w:tcPr>
            <w:tcW w:w="5720" w:type="dxa"/>
            <w:vAlign w:val="bottom"/>
          </w:tcPr>
          <w:p>
            <w:pPr>
              <w:ind w:left="100"/>
              <w:spacing w:after="0" w:line="189" w:lineRule="exact"/>
              <w:rPr>
                <w:sz w:val="20"/>
                <w:szCs w:val="20"/>
                <w:color w:val="auto"/>
              </w:rPr>
            </w:pPr>
            <w:r>
              <w:rPr>
                <w:rFonts w:ascii="Arial" w:cs="Arial" w:eastAsia="Arial" w:hAnsi="Arial"/>
                <w:sz w:val="18"/>
                <w:szCs w:val="18"/>
                <w:color w:val="auto"/>
              </w:rPr>
              <w:t>(Principal Financial Officer)</w:t>
            </w:r>
          </w:p>
        </w:tc>
      </w:tr>
      <w:tr>
        <w:trPr>
          <w:trHeight w:val="303"/>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tc>
        <w:tc>
          <w:tcPr>
            <w:tcW w:w="180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Corporate Vice President and Chief Accounting Officer (Principal</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Alice L. Jolla</w:t>
            </w:r>
          </w:p>
        </w:tc>
        <w:tc>
          <w:tcPr>
            <w:tcW w:w="1800" w:type="dxa"/>
            <w:vAlign w:val="bottom"/>
          </w:tcPr>
          <w:p>
            <w:pPr>
              <w:spacing w:after="0"/>
              <w:rPr>
                <w:sz w:val="19"/>
                <w:szCs w:val="19"/>
                <w:color w:val="auto"/>
              </w:rPr>
            </w:pPr>
          </w:p>
        </w:tc>
        <w:tc>
          <w:tcPr>
            <w:tcW w:w="5720" w:type="dxa"/>
            <w:vAlign w:val="bottom"/>
          </w:tcPr>
          <w:p>
            <w:pPr>
              <w:ind w:left="100"/>
              <w:spacing w:after="0" w:line="189" w:lineRule="exact"/>
              <w:rPr>
                <w:sz w:val="20"/>
                <w:szCs w:val="20"/>
                <w:color w:val="auto"/>
              </w:rPr>
            </w:pPr>
            <w:r>
              <w:rPr>
                <w:rFonts w:ascii="Arial" w:cs="Arial" w:eastAsia="Arial" w:hAnsi="Arial"/>
                <w:sz w:val="18"/>
                <w:szCs w:val="18"/>
                <w:color w:val="auto"/>
              </w:rPr>
              <w:t>Accounting Officer)</w:t>
            </w:r>
          </w:p>
        </w:tc>
      </w:tr>
      <w:tr>
        <w:trPr>
          <w:trHeight w:val="702"/>
        </w:trPr>
        <w:tc>
          <w:tcPr>
            <w:tcW w:w="3720" w:type="dxa"/>
            <w:vAlign w:val="bottom"/>
          </w:tcPr>
          <w:p>
            <w:pPr>
              <w:spacing w:after="0"/>
              <w:rPr>
                <w:sz w:val="24"/>
                <w:szCs w:val="24"/>
                <w:color w:val="auto"/>
              </w:rPr>
            </w:pPr>
          </w:p>
        </w:tc>
        <w:tc>
          <w:tcPr>
            <w:tcW w:w="7520" w:type="dxa"/>
            <w:vAlign w:val="bottom"/>
            <w:gridSpan w:val="2"/>
          </w:tcPr>
          <w:p>
            <w:pPr>
              <w:jc w:val="right"/>
              <w:ind w:right="5412"/>
              <w:spacing w:after="0"/>
              <w:rPr>
                <w:sz w:val="20"/>
                <w:szCs w:val="20"/>
                <w:color w:val="auto"/>
              </w:rPr>
            </w:pPr>
            <w:r>
              <w:rPr>
                <w:rFonts w:ascii="Arial" w:cs="Arial" w:eastAsia="Arial" w:hAnsi="Arial"/>
                <w:sz w:val="14"/>
                <w:szCs w:val="14"/>
                <w:color w:val="auto"/>
              </w:rPr>
              <w:t>110</w:t>
            </w:r>
          </w:p>
        </w:tc>
      </w:tr>
    </w:tbl>
    <w:p>
      <w:pPr>
        <w:sectPr>
          <w:pgSz w:w="11900" w:h="16838" w:orient="portrait"/>
          <w:cols w:equalWidth="0" w:num="1">
            <w:col w:w="11240"/>
          </w:cols>
          <w:pgMar w:left="320" w:top="597" w:right="339" w:bottom="1440" w:gutter="0" w:footer="0" w:header="0"/>
        </w:sectPr>
      </w:pPr>
    </w:p>
    <w:bookmarkStart w:id="110" w:name="page111"/>
    <w:bookmarkEnd w:id="110"/>
    <w:p>
      <w:pPr>
        <w:ind w:left="10460"/>
        <w:spacing w:after="0"/>
        <w:rPr>
          <w:sz w:val="20"/>
          <w:szCs w:val="20"/>
          <w:color w:val="auto"/>
        </w:rPr>
      </w:pPr>
      <w:r>
        <w:rPr>
          <w:rFonts w:ascii="Arial" w:cs="Arial" w:eastAsia="Arial" w:hAnsi="Arial"/>
          <w:sz w:val="17"/>
          <w:szCs w:val="17"/>
          <w:color w:val="auto"/>
        </w:rPr>
        <w:t>Exhibit 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following is a list of subsidiaries of Microsoft Corporation as of June 30, 2022, omitting subsidiaries which, considered in the aggregate, would not constitute a significant subsidiary.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696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Where Incorporated</w:t>
            </w:r>
          </w:p>
        </w:tc>
      </w:tr>
      <w:tr>
        <w:trPr>
          <w:trHeight w:val="336"/>
        </w:trPr>
        <w:tc>
          <w:tcPr>
            <w:tcW w:w="4280" w:type="dxa"/>
            <w:vAlign w:val="bottom"/>
          </w:tcPr>
          <w:p>
            <w:pPr>
              <w:spacing w:after="0"/>
              <w:rPr>
                <w:sz w:val="20"/>
                <w:szCs w:val="20"/>
                <w:color w:val="auto"/>
              </w:rPr>
            </w:pPr>
            <w:r>
              <w:rPr>
                <w:rFonts w:ascii="Arial" w:cs="Arial" w:eastAsia="Arial" w:hAnsi="Arial"/>
                <w:sz w:val="18"/>
                <w:szCs w:val="18"/>
                <w:color w:val="auto"/>
              </w:rPr>
              <w:t>Microsoft Ireland Research</w:t>
            </w:r>
          </w:p>
        </w:tc>
        <w:tc>
          <w:tcPr>
            <w:tcW w:w="6960" w:type="dxa"/>
            <w:vAlign w:val="bottom"/>
          </w:tcPr>
          <w:p>
            <w:pPr>
              <w:ind w:left="1380"/>
              <w:spacing w:after="0"/>
              <w:rPr>
                <w:sz w:val="20"/>
                <w:szCs w:val="20"/>
                <w:color w:val="auto"/>
              </w:rPr>
            </w:pPr>
            <w:r>
              <w:rPr>
                <w:rFonts w:ascii="Arial" w:cs="Arial" w:eastAsia="Arial" w:hAnsi="Arial"/>
                <w:sz w:val="18"/>
                <w:szCs w:val="18"/>
                <w:color w:val="auto"/>
              </w:rPr>
              <w:t>Ireland</w:t>
            </w:r>
          </w:p>
        </w:tc>
      </w:tr>
      <w:tr>
        <w:trPr>
          <w:trHeight w:val="202"/>
        </w:trPr>
        <w:tc>
          <w:tcPr>
            <w:tcW w:w="4280" w:type="dxa"/>
            <w:vAlign w:val="bottom"/>
          </w:tcPr>
          <w:p>
            <w:pPr>
              <w:spacing w:after="0" w:line="202" w:lineRule="exact"/>
              <w:rPr>
                <w:sz w:val="20"/>
                <w:szCs w:val="20"/>
                <w:color w:val="auto"/>
              </w:rPr>
            </w:pPr>
            <w:r>
              <w:rPr>
                <w:rFonts w:ascii="Arial" w:cs="Arial" w:eastAsia="Arial" w:hAnsi="Arial"/>
                <w:sz w:val="18"/>
                <w:szCs w:val="18"/>
                <w:color w:val="auto"/>
              </w:rPr>
              <w:t>Microsoft Global Finance</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Ireland</w:t>
            </w:r>
          </w:p>
        </w:tc>
      </w:tr>
      <w:tr>
        <w:trPr>
          <w:trHeight w:val="202"/>
        </w:trPr>
        <w:tc>
          <w:tcPr>
            <w:tcW w:w="4280" w:type="dxa"/>
            <w:vAlign w:val="bottom"/>
          </w:tcPr>
          <w:p>
            <w:pPr>
              <w:spacing w:after="0" w:line="202" w:lineRule="exact"/>
              <w:rPr>
                <w:sz w:val="20"/>
                <w:szCs w:val="20"/>
                <w:color w:val="auto"/>
              </w:rPr>
            </w:pPr>
            <w:r>
              <w:rPr>
                <w:rFonts w:ascii="Arial" w:cs="Arial" w:eastAsia="Arial" w:hAnsi="Arial"/>
                <w:sz w:val="18"/>
                <w:szCs w:val="18"/>
                <w:color w:val="auto"/>
              </w:rPr>
              <w:t>Microsoft Ireland Operations Limited</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Ireland</w:t>
            </w:r>
          </w:p>
        </w:tc>
      </w:tr>
      <w:tr>
        <w:trPr>
          <w:trHeight w:val="202"/>
        </w:trPr>
        <w:tc>
          <w:tcPr>
            <w:tcW w:w="4280" w:type="dxa"/>
            <w:vAlign w:val="bottom"/>
          </w:tcPr>
          <w:p>
            <w:pPr>
              <w:spacing w:after="0" w:line="202" w:lineRule="exact"/>
              <w:rPr>
                <w:sz w:val="20"/>
                <w:szCs w:val="20"/>
                <w:color w:val="auto"/>
              </w:rPr>
            </w:pPr>
            <w:r>
              <w:rPr>
                <w:rFonts w:ascii="Arial" w:cs="Arial" w:eastAsia="Arial" w:hAnsi="Arial"/>
                <w:sz w:val="18"/>
                <w:szCs w:val="18"/>
                <w:color w:val="auto"/>
              </w:rPr>
              <w:t>Microsoft Online, Inc.</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United States</w:t>
            </w:r>
          </w:p>
        </w:tc>
      </w:tr>
      <w:tr>
        <w:trPr>
          <w:trHeight w:val="202"/>
        </w:trPr>
        <w:tc>
          <w:tcPr>
            <w:tcW w:w="4280" w:type="dxa"/>
            <w:vAlign w:val="bottom"/>
          </w:tcPr>
          <w:p>
            <w:pPr>
              <w:spacing w:after="0" w:line="202" w:lineRule="exact"/>
              <w:rPr>
                <w:sz w:val="20"/>
                <w:szCs w:val="20"/>
                <w:color w:val="auto"/>
              </w:rPr>
            </w:pPr>
            <w:r>
              <w:rPr>
                <w:rFonts w:ascii="Arial" w:cs="Arial" w:eastAsia="Arial" w:hAnsi="Arial"/>
                <w:sz w:val="18"/>
                <w:szCs w:val="18"/>
                <w:color w:val="auto"/>
              </w:rPr>
              <w:t>LinkedIn Corporation</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United States</w:t>
            </w:r>
          </w:p>
        </w:tc>
      </w:tr>
      <w:tr>
        <w:trPr>
          <w:trHeight w:val="202"/>
        </w:trPr>
        <w:tc>
          <w:tcPr>
            <w:tcW w:w="4280" w:type="dxa"/>
            <w:vAlign w:val="bottom"/>
          </w:tcPr>
          <w:p>
            <w:pPr>
              <w:spacing w:after="0" w:line="202" w:lineRule="exact"/>
              <w:rPr>
                <w:sz w:val="20"/>
                <w:szCs w:val="20"/>
                <w:color w:val="auto"/>
              </w:rPr>
            </w:pPr>
            <w:r>
              <w:rPr>
                <w:rFonts w:ascii="Arial" w:cs="Arial" w:eastAsia="Arial" w:hAnsi="Arial"/>
                <w:sz w:val="18"/>
                <w:szCs w:val="18"/>
                <w:color w:val="auto"/>
              </w:rPr>
              <w:t>LinkedIn Ireland Unlimited Company</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Ireland</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Nuance Communications, Inc.</w:t>
            </w:r>
          </w:p>
        </w:tc>
        <w:tc>
          <w:tcPr>
            <w:tcW w:w="6960" w:type="dxa"/>
            <w:vAlign w:val="bottom"/>
          </w:tcPr>
          <w:p>
            <w:pPr>
              <w:ind w:left="1380"/>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1240"/>
          </w:cols>
          <w:pgMar w:left="320" w:top="36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23.1</w:t>
      </w:r>
    </w:p>
    <w:p>
      <w:pPr>
        <w:spacing w:after="0" w:line="13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40" w:lineRule="exact"/>
        <w:rPr>
          <w:sz w:val="20"/>
          <w:szCs w:val="20"/>
          <w:color w:val="auto"/>
        </w:rPr>
      </w:pPr>
    </w:p>
    <w:p>
      <w:pPr>
        <w:jc w:val="both"/>
        <w:ind w:right="300"/>
        <w:spacing w:after="0" w:line="237" w:lineRule="auto"/>
        <w:rPr>
          <w:sz w:val="20"/>
          <w:szCs w:val="20"/>
          <w:color w:val="auto"/>
        </w:rPr>
      </w:pPr>
      <w:r>
        <w:rPr>
          <w:rFonts w:ascii="Arial" w:cs="Arial" w:eastAsia="Arial" w:hAnsi="Arial"/>
          <w:sz w:val="18"/>
          <w:szCs w:val="18"/>
          <w:color w:val="auto"/>
        </w:rPr>
        <w:t>We consent to the incorporation by reference in Registration Statement Nos. 333-109185, 333-118764, 333-52852, 333-132100, 333-161516, 333-75243, 333-185757, and 333-221833 on Form S-8 and Registration Statement Nos. 333-240227 and 333-261590 on Form S-3 of our reports dated July 28, 2022, relating to the financial statements of Microsoft Corporation, and the effectiveness of Microsoft Corporation’s internal control over financial reporting appearing in this Annual Report on Form 10-K of Microsoft Corporation for the year ended June 30, 2022.</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28, 2022</w:t>
      </w:r>
    </w:p>
    <w:p>
      <w:pPr>
        <w:sectPr>
          <w:pgSz w:w="11900" w:h="16838" w:orient="portrait"/>
          <w:cols w:equalWidth="0" w:num="1">
            <w:col w:w="11040"/>
          </w:cols>
          <w:pgMar w:left="520" w:top="59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7" w:lineRule="exact"/>
        <w:rPr>
          <w:sz w:val="20"/>
          <w:szCs w:val="20"/>
          <w:color w:val="auto"/>
        </w:rPr>
      </w:pPr>
    </w:p>
    <w:p>
      <w:pPr>
        <w:ind w:left="200" w:hanging="192"/>
        <w:spacing w:after="0"/>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6" w:lineRule="exact"/>
        <w:rPr>
          <w:rFonts w:ascii="Arial" w:cs="Arial" w:eastAsia="Arial" w:hAnsi="Arial"/>
          <w:sz w:val="18"/>
          <w:szCs w:val="18"/>
          <w:color w:val="auto"/>
        </w:rPr>
      </w:pPr>
    </w:p>
    <w:p>
      <w:pPr>
        <w:jc w:val="both"/>
        <w:ind w:firstLine="8"/>
        <w:spacing w:after="0" w:line="239" w:lineRule="auto"/>
        <w:tabs>
          <w:tab w:leader="none" w:pos="2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8"/>
          <w:szCs w:val="18"/>
          <w:color w:val="auto"/>
        </w:rPr>
      </w:pPr>
    </w:p>
    <w:p>
      <w:pPr>
        <w:ind w:firstLine="8"/>
        <w:spacing w:after="0" w:line="245" w:lineRule="auto"/>
        <w:tabs>
          <w:tab w:leader="none" w:pos="2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8"/>
        <w:spacing w:after="0" w:line="239" w:lineRule="auto"/>
        <w:tabs>
          <w:tab w:leader="none" w:pos="2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line="239" w:lineRule="auto"/>
        <w:tabs>
          <w:tab w:leader="none" w:pos="2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jc w:val="both"/>
        <w:ind w:firstLine="8"/>
        <w:spacing w:after="0" w:line="239" w:lineRule="auto"/>
        <w:tabs>
          <w:tab w:leader="none" w:pos="2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ind w:right="20" w:firstLine="8"/>
        <w:spacing w:after="0" w:line="245" w:lineRule="auto"/>
        <w:tabs>
          <w:tab w:leader="none" w:pos="2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8"/>
        <w:spacing w:after="0" w:line="239" w:lineRule="auto"/>
        <w:tabs>
          <w:tab w:leader="none" w:pos="2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firstLine="8"/>
        <w:spacing w:after="0" w:line="273" w:lineRule="auto"/>
        <w:tabs>
          <w:tab w:leader="none" w:pos="2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sz w:val="20"/>
          <w:szCs w:val="20"/>
          <w:color w:val="auto"/>
        </w:rPr>
      </w:pPr>
    </w:p>
    <w:p>
      <w:pPr>
        <w:ind w:right="20" w:firstLine="8"/>
        <w:spacing w:after="0" w:line="245" w:lineRule="auto"/>
        <w:tabs>
          <w:tab w:leader="none" w:pos="2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firstLine="8"/>
        <w:spacing w:after="0" w:line="245" w:lineRule="auto"/>
        <w:tabs>
          <w:tab w:leader="none" w:pos="2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79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ectPr>
          <w:pgSz w:w="11900" w:h="16838" w:orient="portrait"/>
          <w:cols w:equalWidth="0" w:num="1">
            <w:col w:w="11240"/>
          </w:cols>
          <w:pgMar w:left="320" w:top="36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7" w:lineRule="exact"/>
        <w:rPr>
          <w:sz w:val="20"/>
          <w:szCs w:val="20"/>
          <w:color w:val="auto"/>
        </w:rPr>
      </w:pPr>
    </w:p>
    <w:p>
      <w:pPr>
        <w:ind w:left="200" w:hanging="192"/>
        <w:spacing w:after="0"/>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6" w:lineRule="exact"/>
        <w:rPr>
          <w:rFonts w:ascii="Arial" w:cs="Arial" w:eastAsia="Arial" w:hAnsi="Arial"/>
          <w:sz w:val="18"/>
          <w:szCs w:val="18"/>
          <w:color w:val="auto"/>
        </w:rPr>
      </w:pPr>
    </w:p>
    <w:p>
      <w:pPr>
        <w:jc w:val="both"/>
        <w:ind w:firstLine="8"/>
        <w:spacing w:after="0" w:line="239" w:lineRule="auto"/>
        <w:tabs>
          <w:tab w:leader="none" w:pos="2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8"/>
          <w:szCs w:val="18"/>
          <w:color w:val="auto"/>
        </w:rPr>
      </w:pPr>
    </w:p>
    <w:p>
      <w:pPr>
        <w:ind w:firstLine="8"/>
        <w:spacing w:after="0" w:line="245" w:lineRule="auto"/>
        <w:tabs>
          <w:tab w:leader="none" w:pos="2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8"/>
        <w:spacing w:after="0" w:line="239" w:lineRule="auto"/>
        <w:tabs>
          <w:tab w:leader="none" w:pos="2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line="239" w:lineRule="auto"/>
        <w:tabs>
          <w:tab w:leader="none" w:pos="2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jc w:val="both"/>
        <w:ind w:firstLine="8"/>
        <w:spacing w:after="0" w:line="239" w:lineRule="auto"/>
        <w:tabs>
          <w:tab w:leader="none" w:pos="2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ind w:right="20" w:firstLine="8"/>
        <w:spacing w:after="0" w:line="245" w:lineRule="auto"/>
        <w:tabs>
          <w:tab w:leader="none" w:pos="2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8"/>
        <w:spacing w:after="0" w:line="239" w:lineRule="auto"/>
        <w:tabs>
          <w:tab w:leader="none" w:pos="2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firstLine="8"/>
        <w:spacing w:after="0" w:line="273" w:lineRule="auto"/>
        <w:tabs>
          <w:tab w:leader="none" w:pos="2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sz w:val="20"/>
          <w:szCs w:val="20"/>
          <w:color w:val="auto"/>
        </w:rPr>
      </w:pPr>
    </w:p>
    <w:p>
      <w:pPr>
        <w:ind w:right="20" w:firstLine="8"/>
        <w:spacing w:after="0" w:line="245" w:lineRule="auto"/>
        <w:tabs>
          <w:tab w:leader="none" w:pos="2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firstLine="8"/>
        <w:spacing w:after="0" w:line="245" w:lineRule="auto"/>
        <w:tabs>
          <w:tab w:leader="none" w:pos="2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79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rPr>
          <w:sz w:val="20"/>
          <w:szCs w:val="20"/>
          <w:color w:val="auto"/>
        </w:rPr>
      </w:pPr>
      <w:r>
        <w:rPr>
          <w:rFonts w:ascii="Arial" w:cs="Arial" w:eastAsia="Arial" w:hAnsi="Arial"/>
          <w:sz w:val="18"/>
          <w:szCs w:val="18"/>
          <w:color w:val="auto"/>
        </w:rPr>
        <w:t>Chief Financial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ectPr>
          <w:pgSz w:w="11900" w:h="16838" w:orient="portrait"/>
          <w:cols w:equalWidth="0" w:num="1">
            <w:col w:w="11240"/>
          </w:cols>
          <w:pgMar w:left="320" w:top="36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2022, as filed with the Securities and Exchange Commission (the “Report”), Satya Nadella, Chief Executive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6" w:lineRule="exact"/>
        <w:rPr>
          <w:rFonts w:ascii="Arial" w:cs="Arial" w:eastAsia="Arial" w:hAnsi="Arial"/>
          <w:sz w:val="18"/>
          <w:szCs w:val="18"/>
          <w:color w:val="auto"/>
        </w:rPr>
      </w:pPr>
    </w:p>
    <w:p>
      <w:pPr>
        <w:ind w:right="20" w:firstLine="8"/>
        <w:spacing w:after="0" w:line="245" w:lineRule="auto"/>
        <w:tabs>
          <w:tab w:leader="none" w:pos="2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79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15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36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2022, as filed with the Securities and Exchange Commission (the “Report”), Amy E. Hood, Chief Financial Officer of the Company, does hereby certify, pursuant to § 906 of the Sarbanes-Oxley Act of 2002 (18 U.S.C. § 1350), that to her knowledge:</w:t>
      </w:r>
    </w:p>
    <w:p>
      <w:pPr>
        <w:spacing w:after="0" w:line="149"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6" w:lineRule="exact"/>
        <w:rPr>
          <w:rFonts w:ascii="Arial" w:cs="Arial" w:eastAsia="Arial" w:hAnsi="Arial"/>
          <w:sz w:val="18"/>
          <w:szCs w:val="18"/>
          <w:color w:val="auto"/>
        </w:rPr>
      </w:pPr>
    </w:p>
    <w:p>
      <w:pPr>
        <w:ind w:right="20" w:firstLine="8"/>
        <w:spacing w:after="0" w:line="245" w:lineRule="auto"/>
        <w:tabs>
          <w:tab w:leader="none" w:pos="2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79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rPr>
          <w:sz w:val="20"/>
          <w:szCs w:val="20"/>
          <w:color w:val="auto"/>
        </w:rPr>
      </w:pPr>
      <w:r>
        <w:rPr>
          <w:rFonts w:ascii="Arial" w:cs="Arial" w:eastAsia="Arial" w:hAnsi="Arial"/>
          <w:sz w:val="18"/>
          <w:szCs w:val="18"/>
          <w:color w:val="auto"/>
        </w:rPr>
        <w:t>Chief Financial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15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2"/>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decimal"/>
      <w:start w:val="5"/>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5"/>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3" Type="http://schemas.openxmlformats.org/officeDocument/2006/relationships/image" Target="media/image161.png"/><Relationship Id="rId179" Type="http://schemas.openxmlformats.org/officeDocument/2006/relationships/image" Target="media/image162.png"/><Relationship Id="rId184" Type="http://schemas.openxmlformats.org/officeDocument/2006/relationships/image" Target="media/image163.png"/><Relationship Id="rId196"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168" Type="http://schemas.openxmlformats.org/officeDocument/2006/relationships/hyperlink" Target="http://www.sec.gov/Archives/edgar/data/789019/000119312516782569/d305147dex31.htm" TargetMode="External"/><Relationship Id="rId169" Type="http://schemas.openxmlformats.org/officeDocument/2006/relationships/hyperlink" Target="http://www.sec.gov/Archives/edgar/data/789019/000119312517203579/d347274dex32.htm" TargetMode="External"/><Relationship Id="rId170" Type="http://schemas.openxmlformats.org/officeDocument/2006/relationships/hyperlink" Target="http://www.sec.gov/Archives/edgar/data/789019/000119312515357088/d97665dex41.htm" TargetMode="External"/><Relationship Id="rId171" Type="http://schemas.openxmlformats.org/officeDocument/2006/relationships/hyperlink" Target="http://www.sec.gov/Archives/edgar/data/789019/000119312509113054/dex42.htm" TargetMode="External"/><Relationship Id="rId172" Type="http://schemas.openxmlformats.org/officeDocument/2006/relationships/hyperlink" Target="http://www.sec.gov/Archives/edgar/data/789019/000119312510216531/dex42.htm" TargetMode="External"/><Relationship Id="rId174" Type="http://schemas.openxmlformats.org/officeDocument/2006/relationships/hyperlink" Target="http://www.sec.gov/Archives/edgar/data/789019/000119312511026916/dex42.htm" TargetMode="External"/><Relationship Id="rId175" Type="http://schemas.openxmlformats.org/officeDocument/2006/relationships/hyperlink" Target="http://www.sec.gov/Archives/edgar/data/789019/000119312512456267/d433368dex41.htm" TargetMode="External"/><Relationship Id="rId176" Type="http://schemas.openxmlformats.org/officeDocument/2006/relationships/hyperlink" Target="http://www.sec.gov/Archives/edgar/data/789019/000119312513192843/d531397dex41.htm" TargetMode="External"/><Relationship Id="rId177" Type="http://schemas.openxmlformats.org/officeDocument/2006/relationships/hyperlink" Target="http://www.sec.gov/Archives/edgar/data/789019/000119312513192843/d531397dex42.htm" TargetMode="External"/><Relationship Id="rId178" Type="http://schemas.openxmlformats.org/officeDocument/2006/relationships/hyperlink" Target="http://www.sec.gov/Archives/edgar/data/789019/000119312513464138/d638276dex41.htm" TargetMode="External"/><Relationship Id="rId180" Type="http://schemas.openxmlformats.org/officeDocument/2006/relationships/hyperlink" Target="http://www.sec.gov/Archives/edgar/data/789019/000119312513464138/d638276dex42.htm" TargetMode="External"/><Relationship Id="rId181" Type="http://schemas.openxmlformats.org/officeDocument/2006/relationships/hyperlink" Target="http://www.sec.gov/Archives/edgar/data/789019/000119312515045564/d871136dex41.htm" TargetMode="External"/><Relationship Id="rId182" Type="http://schemas.openxmlformats.org/officeDocument/2006/relationships/hyperlink" Target="http://www.sec.gov/Archives/edgar/data/789019/000119312515363226/d88549dex41.htm" TargetMode="External"/><Relationship Id="rId183" Type="http://schemas.openxmlformats.org/officeDocument/2006/relationships/hyperlink" Target="http://www.sec.gov/Archives/edgar/data/789019/000119312516673577/d236874dex41.htm" TargetMode="External"/><Relationship Id="rId185" Type="http://schemas.openxmlformats.org/officeDocument/2006/relationships/hyperlink" Target="http://www.sec.gov/Archives/edgar/data/789019/000119312517030734/d270302dex41.htm" TargetMode="External"/><Relationship Id="rId186" Type="http://schemas.openxmlformats.org/officeDocument/2006/relationships/hyperlink" Target="http://www.sec.gov/Archives/edgar/data/789019/000119312520157234/d829164dex41.htm" TargetMode="External"/><Relationship Id="rId187" Type="http://schemas.openxmlformats.org/officeDocument/2006/relationships/hyperlink" Target="http://www.sec.gov/Archives/edgar/data/0000789019/000119312521084239/d130687dex41.htm" TargetMode="External"/><Relationship Id="rId188" Type="http://schemas.openxmlformats.org/officeDocument/2006/relationships/hyperlink" Target="http://www.sec.gov/Archives/edgar/data/789019/000156459019027952/msft-ex416_464.htm" TargetMode="External"/><Relationship Id="rId189" Type="http://schemas.openxmlformats.org/officeDocument/2006/relationships/hyperlink" Target="http://www.sec.gov/Archives/edgar/data/789019/000119312516742796/d245252dex101.htm" TargetMode="External"/><Relationship Id="rId190" Type="http://schemas.openxmlformats.org/officeDocument/2006/relationships/hyperlink" Target="http://www.sec.gov/Archives/edgar/data/789019/000119312512316848/d347676dex104.htm" TargetMode="External"/><Relationship Id="rId191" Type="http://schemas.openxmlformats.org/officeDocument/2006/relationships/hyperlink" Target="http://www.sec.gov/Archives/edgar/data/789019/000156459018019062/msft-ex105_244.htm" TargetMode="External"/><Relationship Id="rId192" Type="http://schemas.openxmlformats.org/officeDocument/2006/relationships/hyperlink" Target="http://www.sec.gov/Archives/edgar/data/789019/000119312517310951/d461626ddef14a.htm" TargetMode="External"/><Relationship Id="rId193" Type="http://schemas.openxmlformats.org/officeDocument/2006/relationships/hyperlink" Target="http://www.sec.gov/Archives/edgar/data/789019/000156459018009307/msft-ex1026_280.htm" TargetMode="External"/><Relationship Id="rId194" Type="http://schemas.openxmlformats.org/officeDocument/2006/relationships/hyperlink" Target="http://www.sec.gov/Archives/edgar/data/789019/000156459018009307/msft-ex1027_281.htm" TargetMode="External"/><Relationship Id="rId195" Type="http://schemas.openxmlformats.org/officeDocument/2006/relationships/hyperlink" Target="http://www.sec.gov/Archives/edgar/data/789019/000119312516742796/d245252dex1012.htm" TargetMode="External"/><Relationship Id="rId197" Type="http://schemas.openxmlformats.org/officeDocument/2006/relationships/hyperlink" Target="http://www.sec.gov/Archives/edgar/data/789019/000156459020034944/msft-ex1025_365.htm" TargetMode="External"/><Relationship Id="rId198" Type="http://schemas.openxmlformats.org/officeDocument/2006/relationships/hyperlink" Target="http://www.sec.gov/Archives/edgar/data/789019/000156459019027952/msft-ex1013_465.htm" TargetMode="External"/><Relationship Id="rId199" Type="http://schemas.openxmlformats.org/officeDocument/2006/relationships/hyperlink" Target="http://www.sec.gov/Archives/edgar/data/789019/000156459020034944/msft-ex1026_364.htm" TargetMode="External"/><Relationship Id="rId200" Type="http://schemas.openxmlformats.org/officeDocument/2006/relationships/hyperlink" Target="http://www.sec.gov/Archives/edgar/data/789019/000119312515272806/d918813dex1014.htm" TargetMode="External"/><Relationship Id="rId201" Type="http://schemas.openxmlformats.org/officeDocument/2006/relationships/hyperlink" Target="http://www.sec.gov/Archives/edgar/data/789019/000119312518277602/d602842dex101.htm" TargetMode="External"/><Relationship Id="rId202" Type="http://schemas.openxmlformats.org/officeDocument/2006/relationships/hyperlink" Target="http://www.sec.gov/Archives/edgar/data/789019/000119312516742796/d245252dex1017.htm" TargetMode="External"/><Relationship Id="rId203" Type="http://schemas.openxmlformats.org/officeDocument/2006/relationships/hyperlink" Target="http://www.sec.gov/Archives/edgar/data/789019/000119312516742796/d245252dex1018.htm" TargetMode="External"/><Relationship Id="rId204" Type="http://schemas.openxmlformats.org/officeDocument/2006/relationships/hyperlink" Target="http://www.sec.gov/Archives/edgar/data/789019/000119312516742796/d245252dex1025.htm" TargetMode="External"/><Relationship Id="rId205" Type="http://schemas.openxmlformats.org/officeDocument/2006/relationships/hyperlink" Target="http://www.sec.gov/Archives/edgar/data/789019/000119312516742796/d245252dex1022.htm" TargetMode="External"/><Relationship Id="rId206" Type="http://schemas.openxmlformats.org/officeDocument/2006/relationships/hyperlink" Target="http://www.sec.gov/Archives/edgar/data/789019/000119312514035080/d669538dex101.htm" TargetMode="External"/><Relationship Id="rId207" Type="http://schemas.openxmlformats.org/officeDocument/2006/relationships/hyperlink" Target="http://www.sec.gov/Archives/edgar/data/789019/000119312515020351/d827041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2022-07-28T15:18:51Z</dcterms:created>
  <dcterms:modified xsi:type="dcterms:W3CDTF">2022-07-28T15:18:51Z</dcterms:modified>
</cp:coreProperties>
</file>