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left"/>
        <w:rPr/>
      </w:pPr>
      <w:bookmarkStart w:id="0" w:name="msft-20260429.htm"/>
      <w:bookmarkStart w:id="1" w:name="ksmsft20260429"/>
      <w:bookmarkEnd w:id="0"/>
      <w:bookmarkEnd w:id="1"/>
      <w:r>
        <w:rPr/>
        <w:t> </w:t>
      </w:r>
    </w:p>
    <w:p>
      <w:pPr>
        <w:pStyle w:val="TextBody"/>
        <w:bidi w:val="0"/>
        <w:spacing w:before="6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80" w:after="283"/>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w:t>
      </w:r>
    </w:p>
    <w:p>
      <w:pPr>
        <w:pStyle w:val="TextBody"/>
        <w:bidi w:val="0"/>
        <w:jc w:val="center"/>
        <w:rPr>
          <w:rFonts w:ascii="Arial" w:hAnsi="Arial"/>
          <w:b/>
          <w:color w:val="000000"/>
          <w:sz w:val="24"/>
        </w:rPr>
      </w:pPr>
      <w:r>
        <w:rPr>
          <w:rFonts w:ascii="Arial" w:hAnsi="Arial"/>
          <w:b/>
          <w:color w:val="000000"/>
          <w:sz w:val="24"/>
        </w:rPr>
        <w:t>OF THE SECURITIES EXCHANGE ACT OF 1934</w:t>
      </w:r>
    </w:p>
    <w:p>
      <w:pPr>
        <w:pStyle w:val="TextBody"/>
        <w:bidi w:val="0"/>
        <w:spacing w:before="180" w:after="283"/>
        <w:jc w:val="center"/>
        <w:rPr>
          <w:rFonts w:ascii="Arial" w:hAnsi="Arial"/>
          <w:b/>
          <w:color w:val="000000"/>
          <w:sz w:val="24"/>
        </w:rPr>
      </w:pPr>
      <w:r>
        <w:rPr>
          <w:rFonts w:ascii="Arial" w:hAnsi="Arial"/>
          <w:b/>
          <w:color w:val="000000"/>
          <w:sz w:val="24"/>
        </w:rPr>
        <w:t>Date of Report (Date of earliest event reported) April 29, 2026</w:t>
      </w:r>
    </w:p>
    <w:p>
      <w:pPr>
        <w:pStyle w:val="TextBody"/>
        <w:bidi w:val="0"/>
        <w:spacing w:before="180" w:after="283"/>
        <w:jc w:val="center"/>
        <w:rPr>
          <w:rFonts w:ascii="Arial" w:hAnsi="Arial"/>
          <w:b/>
          <w:color w:val="000000"/>
          <w:sz w:val="48"/>
        </w:rPr>
      </w:pPr>
      <w:r>
        <w:rPr>
          <w:rFonts w:ascii="Arial" w:hAnsi="Arial"/>
          <w:b/>
          <w:color w:val="000000"/>
          <w:sz w:val="48"/>
        </w:rPr>
        <w:t>Microsoft Corporation</w:t>
      </w:r>
    </w:p>
    <w:p>
      <w:pPr>
        <w:pStyle w:val="Normal"/>
        <w:bidi w:val="0"/>
        <w:spacing w:before="0" w:after="0"/>
        <w:jc w:val="left"/>
        <w:rPr>
          <w:sz w:val="4"/>
          <w:szCs w:val="4"/>
        </w:rPr>
      </w:pPr>
      <w:r>
        <w:rPr>
          <w:sz w:val="4"/>
          <w:szCs w:val="4"/>
        </w:rPr>
      </w:r>
      <w:bookmarkStart w:id="2" w:name="fis_unidentified_table"/>
      <w:bookmarkStart w:id="3" w:name="fis_unidentified_table"/>
      <w:bookmarkEnd w:id="3"/>
    </w:p>
    <w:tbl>
      <w:tblPr>
        <w:tblW w:w="4885" w:type="dxa"/>
        <w:jc w:val="left"/>
        <w:tblInd w:w="0" w:type="dxa"/>
        <w:tblLayout w:type="fixed"/>
        <w:tblCellMar>
          <w:top w:w="28" w:type="dxa"/>
          <w:left w:w="28" w:type="dxa"/>
          <w:bottom w:w="28" w:type="dxa"/>
          <w:right w:w="28" w:type="dxa"/>
        </w:tblCellMar>
      </w:tblPr>
      <w:tblGrid>
        <w:gridCol w:w="2101"/>
        <w:gridCol w:w="146"/>
        <w:gridCol w:w="1066"/>
        <w:gridCol w:w="146"/>
        <w:gridCol w:w="142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001-37845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91-1144442</w:t>
            </w:r>
          </w:p>
        </w:tc>
      </w:tr>
      <w:tr>
        <w:trPr/>
        <w:tc>
          <w:tcPr>
            <w:tcW w:w="210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 or Other Jurisdiction</w:t>
            </w:r>
          </w:p>
          <w:p>
            <w:pPr>
              <w:pStyle w:val="TableContents"/>
              <w:bidi w:val="0"/>
              <w:spacing w:before="0" w:after="283"/>
              <w:jc w:val="center"/>
              <w:rPr>
                <w:rFonts w:ascii="Arial" w:hAnsi="Arial"/>
                <w:b/>
                <w:color w:val="000000"/>
                <w:sz w:val="15"/>
              </w:rPr>
            </w:pPr>
            <w:r>
              <w:rPr>
                <w:rFonts w:ascii="Arial" w:hAnsi="Arial"/>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(Commission</w:t>
            </w:r>
          </w:p>
          <w:p>
            <w:pPr>
              <w:pStyle w:val="TableContents"/>
              <w:bidi w:val="0"/>
              <w:spacing w:before="0" w:after="283"/>
              <w:jc w:val="center"/>
              <w:rPr>
                <w:rFonts w:ascii="Arial" w:hAnsi="Arial"/>
                <w:b/>
                <w:color w:val="000000"/>
                <w:sz w:val="15"/>
              </w:rPr>
            </w:pPr>
            <w:r>
              <w:rPr>
                <w:rFonts w:ascii="Arial" w:hAnsi="Arial"/>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(IRS Employer</w:t>
            </w:r>
          </w:p>
          <w:p>
            <w:pPr>
              <w:pStyle w:val="TableContents"/>
              <w:bidi w:val="0"/>
              <w:spacing w:before="0" w:after="283"/>
              <w:jc w:val="center"/>
              <w:rPr>
                <w:rFonts w:ascii="Arial" w:hAnsi="Arial"/>
                <w:b/>
                <w:color w:val="000000"/>
                <w:sz w:val="15"/>
              </w:rPr>
            </w:pPr>
            <w:r>
              <w:rPr>
                <w:rFonts w:ascii="Arial" w:hAnsi="Arial"/>
                <w:b/>
                <w:color w:val="000000"/>
                <w:sz w:val="15"/>
              </w:rPr>
              <w:t>Identification No.)</w:t>
            </w:r>
          </w:p>
        </w:tc>
      </w:tr>
    </w:tbl>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One Microsoft Way, Redmond, Washington</w:t>
            </w:r>
            <w:r>
              <w:rPr>
                <w:rFonts w:ascii="Times New Roman" w:hAnsi="Times New Roman"/>
                <w:color w:val="000000"/>
                <w:sz w:val="20"/>
              </w:rPr>
              <w:t xml:space="preserve"> </w:t>
            </w:r>
            <w:r>
              <w:rPr>
                <w:rFonts w:ascii="Arial" w:hAnsi="Arial"/>
                <w:b/>
                <w:color w:val="000000"/>
                <w:sz w:val="20"/>
              </w:rPr>
              <w:t>98052-6399</w:t>
            </w:r>
          </w:p>
        </w:tc>
      </w:tr>
    </w:tbl>
    <w:p>
      <w:pPr>
        <w:pStyle w:val="TextBody"/>
        <w:bidi w:val="0"/>
        <w:spacing w:before="180" w:after="283"/>
        <w:jc w:val="center"/>
        <w:rPr>
          <w:rFonts w:ascii="Arial" w:hAnsi="Arial"/>
          <w:b/>
          <w:color w:val="000000"/>
          <w:sz w:val="20"/>
        </w:rPr>
      </w:pPr>
      <w:r>
        <w:rPr>
          <w:rFonts w:ascii="Arial" w:hAnsi="Arial"/>
          <w:b/>
          <w:color w:val="000000"/>
          <w:sz w:val="20"/>
        </w:rPr>
        <w:t>(425) 882-8080</w:t>
      </w:r>
    </w:p>
    <w:p>
      <w:pPr>
        <w:pStyle w:val="TextBody"/>
        <w:bidi w:val="0"/>
        <w:jc w:val="center"/>
        <w:rPr>
          <w:rFonts w:ascii="Arial" w:hAnsi="Arial"/>
          <w:b/>
          <w:color w:val="000000"/>
          <w:sz w:val="15"/>
        </w:rPr>
      </w:pPr>
      <w:r>
        <w:rPr>
          <w:rFonts w:ascii="Arial" w:hAnsi="Arial"/>
          <w:b/>
          <w:color w:val="000000"/>
          <w:sz w:val="15"/>
        </w:rPr>
        <w:t>www.microsoft.com/investor</w:t>
      </w:r>
    </w:p>
    <w:p>
      <w:pPr>
        <w:pStyle w:val="TextBody"/>
        <w:bidi w:val="0"/>
        <w:spacing w:before="180" w:after="283"/>
        <w:jc w:val="both"/>
        <w:rPr>
          <w:rFonts w:ascii="Arial" w:hAnsi="Arial"/>
          <w:color w:val="000000"/>
          <w:sz w:val="20"/>
        </w:rPr>
      </w:pPr>
      <w:r>
        <w:rPr>
          <w:rFonts w:ascii="Arial" w:hAnsi="Arial"/>
          <w:color w:val="000000"/>
          <w:sz w:val="20"/>
        </w:rPr>
        <w:t>Check the appropriate box below if the Form 8-K filing is intended to simultaneously satisfy the filing obligation of the registrant under any of the following provisions (see General Instruction A.2. below):</w:t>
      </w:r>
    </w:p>
    <w:tbl>
      <w:tblPr>
        <w:tblW w:w="8252" w:type="dxa"/>
        <w:jc w:val="left"/>
        <w:tblInd w:w="0" w:type="dxa"/>
        <w:tblLayout w:type="fixed"/>
        <w:tblCellMar>
          <w:top w:w="28" w:type="dxa"/>
          <w:left w:w="28" w:type="dxa"/>
          <w:bottom w:w="28" w:type="dxa"/>
          <w:right w:w="28" w:type="dxa"/>
        </w:tblCellMar>
      </w:tblPr>
      <w:tblGrid>
        <w:gridCol w:w="391"/>
        <w:gridCol w:w="7861"/>
      </w:tblGrid>
      <w:tr>
        <w:trPr/>
        <w:tc>
          <w:tcPr>
            <w:tcW w:w="391"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Written communications pursuant to Rule 425 under the Securities Act (17 CFR 230.425)</w:t>
            </w:r>
          </w:p>
        </w:tc>
      </w:tr>
    </w:tbl>
    <w:tbl>
      <w:tblPr>
        <w:tblW w:w="8237" w:type="dxa"/>
        <w:jc w:val="left"/>
        <w:tblInd w:w="0" w:type="dxa"/>
        <w:tblLayout w:type="fixed"/>
        <w:tblCellMar>
          <w:top w:w="28" w:type="dxa"/>
          <w:left w:w="28" w:type="dxa"/>
          <w:bottom w:w="28" w:type="dxa"/>
          <w:right w:w="28" w:type="dxa"/>
        </w:tblCellMar>
      </w:tblPr>
      <w:tblGrid>
        <w:gridCol w:w="391"/>
        <w:gridCol w:w="7846"/>
      </w:tblGrid>
      <w:tr>
        <w:trPr/>
        <w:tc>
          <w:tcPr>
            <w:tcW w:w="39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Soliciting material pursuant to Rule 14a-12 under the Exchange Act (17 CFR 240.14a-12)</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14d-2(b) under the Exchange Act (17 CFR 240.14d-2(b))</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13e-4(c) under the Exchange Act (17 CFR 240.13e-4(c))</w:t>
            </w:r>
          </w:p>
        </w:tc>
      </w:tr>
    </w:tbl>
    <w:p>
      <w:pPr>
        <w:pStyle w:val="TextBody"/>
        <w:bidi w:val="0"/>
        <w:spacing w:before="180" w:after="283"/>
        <w:jc w:val="both"/>
        <w:rPr/>
      </w:pPr>
      <w:r>
        <w:rPr/>
        <w:t> </w:t>
      </w:r>
    </w:p>
    <w:tbl>
      <w:tblPr>
        <w:tblW w:w="9895" w:type="dxa"/>
        <w:jc w:val="left"/>
        <w:tblInd w:w="0" w:type="dxa"/>
        <w:tblLayout w:type="fixed"/>
        <w:tblCellMar>
          <w:top w:w="28" w:type="dxa"/>
          <w:left w:w="28" w:type="dxa"/>
          <w:bottom w:w="28" w:type="dxa"/>
          <w:right w:w="28" w:type="dxa"/>
        </w:tblCellMar>
      </w:tblPr>
      <w:tblGrid>
        <w:gridCol w:w="4606"/>
        <w:gridCol w:w="146"/>
        <w:gridCol w:w="1471"/>
        <w:gridCol w:w="146"/>
        <w:gridCol w:w="352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9895" w:type="dxa"/>
            <w:gridSpan w:val="5"/>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20"/>
              </w:rPr>
            </w:pPr>
            <w:r>
              <w:rPr>
                <w:rFonts w:ascii="Arial" w:hAnsi="Arial"/>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Trading Symbol</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Name of exchange on which registered</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3.125% Notes due 2028</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2.625% Notes due 2033</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bl>
    <w:p>
      <w:pPr>
        <w:pStyle w:val="TextBody"/>
        <w:bidi w:val="0"/>
        <w:spacing w:before="180" w:after="283"/>
        <w:jc w:val="both"/>
        <w:rPr>
          <w:rFonts w:ascii="Times New Roman" w:hAnsi="Times New Roman"/>
          <w:sz w:val="20"/>
        </w:rPr>
      </w:pPr>
      <w:r>
        <w:rPr>
          <w:rFonts w:ascii="Arial" w:hAnsi="Arial"/>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 w:hAnsi="Times New Roman"/>
          <w:color w:val="000000"/>
          <w:sz w:val="20"/>
        </w:rPr>
        <w:t>☐</w:t>
      </w:r>
    </w:p>
    <w:p>
      <w:pPr>
        <w:pStyle w:val="TextBody"/>
        <w:pBdr>
          <w:bottom w:val="single" w:sz="4" w:space="1" w:color="000000"/>
        </w:pBdr>
        <w:bidi w:val="0"/>
        <w:spacing w:before="180" w:after="283"/>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1021"/>
        <w:gridCol w:w="4456"/>
      </w:tblGrid>
      <w:tr>
        <w:trPr/>
        <w:tc>
          <w:tcPr>
            <w:tcW w:w="1021"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4" w:name="fis_results_of_operations"/>
            <w:bookmarkStart w:id="5" w:name="fis_section_2_financial_information"/>
            <w:bookmarkEnd w:id="4"/>
            <w:bookmarkEnd w:id="5"/>
            <w:r>
              <w:rPr>
                <w:rFonts w:ascii="Arial" w:hAnsi="Arial"/>
                <w:b/>
                <w:color w:val="000000"/>
                <w:sz w:val="20"/>
              </w:rPr>
              <w:t>Item 2.02.</w:t>
            </w:r>
          </w:p>
        </w:tc>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Results of Operations and Financial Condition</w:t>
            </w:r>
          </w:p>
        </w:tc>
      </w:tr>
    </w:tbl>
    <w:p>
      <w:pPr>
        <w:pStyle w:val="TextBody"/>
        <w:bidi w:val="0"/>
        <w:spacing w:before="90" w:after="283"/>
        <w:jc w:val="both"/>
        <w:rPr>
          <w:rFonts w:ascii="Arial" w:hAnsi="Arial"/>
          <w:color w:val="000000"/>
          <w:sz w:val="20"/>
        </w:rPr>
      </w:pPr>
      <w:r>
        <w:rPr>
          <w:rFonts w:ascii="Arial" w:hAnsi="Arial"/>
          <w:color w:val="000000"/>
          <w:sz w:val="20"/>
        </w:rPr>
        <w:t>On April 29, 2026, Microsoft Corporation issued a press release announcing its financial results for the fiscal quarter ended March 31, 2026. A copy of the press release is furnished as Exhibit 99.1 to this report.</w:t>
      </w:r>
    </w:p>
    <w:p>
      <w:pPr>
        <w:pStyle w:val="TextBody"/>
        <w:bidi w:val="0"/>
        <w:spacing w:before="180" w:after="283"/>
        <w:jc w:val="both"/>
        <w:rPr>
          <w:rFonts w:ascii="Arial" w:hAnsi="Arial"/>
          <w:color w:val="000000"/>
          <w:sz w:val="20"/>
        </w:rPr>
      </w:pPr>
      <w:r>
        <w:rPr>
          <w:rFonts w:ascii="Arial" w:hAnsi="Arial"/>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Normal"/>
        <w:bidi w:val="0"/>
        <w:spacing w:before="0" w:after="0"/>
        <w:jc w:val="left"/>
        <w:rPr>
          <w:sz w:val="4"/>
          <w:szCs w:val="4"/>
        </w:rPr>
      </w:pPr>
      <w:r>
        <w:rPr>
          <w:sz w:val="4"/>
          <w:szCs w:val="4"/>
        </w:rPr>
      </w:r>
      <w:bookmarkStart w:id="6" w:name="fis_financial_statements_and_exhibits"/>
      <w:bookmarkStart w:id="7" w:name="fis_section_9_financial_statements_and_e"/>
      <w:bookmarkStart w:id="8" w:name="fis_financial_statements_and_exhibits"/>
      <w:bookmarkStart w:id="9" w:name="fis_section_9_financial_statements_and_e"/>
      <w:bookmarkEnd w:id="8"/>
      <w:bookmarkEnd w:id="9"/>
    </w:p>
    <w:tbl>
      <w:tblPr>
        <w:tblW w:w="4352" w:type="dxa"/>
        <w:jc w:val="left"/>
        <w:tblInd w:w="0" w:type="dxa"/>
        <w:tblLayout w:type="fixed"/>
        <w:tblCellMar>
          <w:top w:w="28" w:type="dxa"/>
          <w:left w:w="28" w:type="dxa"/>
          <w:bottom w:w="28" w:type="dxa"/>
          <w:right w:w="28" w:type="dxa"/>
        </w:tblCellMar>
      </w:tblPr>
      <w:tblGrid>
        <w:gridCol w:w="1021"/>
        <w:gridCol w:w="3331"/>
      </w:tblGrid>
      <w:tr>
        <w:trPr/>
        <w:tc>
          <w:tcPr>
            <w:tcW w:w="102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9.01.</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Statements and Exhibits</w:t>
            </w:r>
          </w:p>
        </w:tc>
      </w:tr>
    </w:tbl>
    <w:p>
      <w:pPr>
        <w:pStyle w:val="TextBody"/>
        <w:bidi w:val="0"/>
        <w:spacing w:before="90" w:after="283"/>
        <w:jc w:val="left"/>
        <w:rPr>
          <w:rFonts w:ascii="Arial" w:hAnsi="Arial"/>
          <w:color w:val="000000"/>
          <w:sz w:val="20"/>
        </w:rPr>
      </w:pPr>
      <w:r>
        <w:rPr>
          <w:rFonts w:ascii="Arial" w:hAnsi="Arial"/>
          <w:color w:val="000000"/>
          <w:sz w:val="20"/>
        </w:rPr>
        <w:t>(d) Exhibits:</w:t>
      </w:r>
    </w:p>
    <w:tbl>
      <w:tblPr>
        <w:tblW w:w="7603" w:type="dxa"/>
        <w:jc w:val="left"/>
        <w:tblInd w:w="0" w:type="dxa"/>
        <w:tblLayout w:type="fixed"/>
        <w:tblCellMar>
          <w:top w:w="28" w:type="dxa"/>
          <w:left w:w="28" w:type="dxa"/>
          <w:bottom w:w="28" w:type="dxa"/>
          <w:right w:w="28" w:type="dxa"/>
        </w:tblCellMar>
      </w:tblPr>
      <w:tblGrid>
        <w:gridCol w:w="161"/>
        <w:gridCol w:w="481"/>
        <w:gridCol w:w="6961"/>
      </w:tblGrid>
      <w:tr>
        <w:trPr/>
        <w:tc>
          <w:tcPr>
            <w:tcW w:w="1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6961" w:type="dxa"/>
            <w:tcBorders/>
            <w:tcMar>
              <w:top w:w="0" w:type="dxa"/>
              <w:left w:w="0" w:type="dxa"/>
              <w:bottom w:w="0" w:type="dxa"/>
              <w:right w:w="0" w:type="dxa"/>
            </w:tcMar>
            <w:vAlign w:val="center"/>
          </w:tcPr>
          <w:p>
            <w:pPr>
              <w:pStyle w:val="TableContents"/>
              <w:bidi w:val="0"/>
              <w:spacing w:before="0" w:after="283"/>
              <w:jc w:val="left"/>
              <w:rPr/>
            </w:pPr>
            <w:hyperlink w:anchor="msft-ex99_1.htm">
              <w:r>
                <w:rPr>
                  <w:rStyle w:val="InternetLink"/>
                  <w:rFonts w:ascii="Arial" w:hAnsi="Arial"/>
                  <w:color w:val="0000FF"/>
                  <w:sz w:val="20"/>
                  <w:u w:val="single"/>
                </w:rPr>
                <w:t>Press release, dated April 29, 2026, issued by Microsoft Corporation</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eolpage3"/>
      <w:bookmarkEnd w:id="10"/>
      <w:r>
        <w:rPr/>
        <w:t> </w:t>
      </w:r>
    </w:p>
    <w:p>
      <w:pPr>
        <w:pStyle w:val="TextBody"/>
        <w:bidi w:val="0"/>
        <w:jc w:val="center"/>
        <w:rPr>
          <w:rFonts w:ascii="Arial" w:hAnsi="Arial"/>
          <w:b/>
          <w:color w:val="000000"/>
          <w:sz w:val="20"/>
        </w:rPr>
      </w:pPr>
      <w:bookmarkStart w:id="11" w:name="fis_signatures"/>
      <w:bookmarkEnd w:id="1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813" w:type="dxa"/>
        <w:jc w:val="left"/>
        <w:tblInd w:w="0" w:type="dxa"/>
        <w:tblLayout w:type="fixed"/>
        <w:tblCellMar>
          <w:top w:w="28" w:type="dxa"/>
          <w:left w:w="28" w:type="dxa"/>
          <w:bottom w:w="28" w:type="dxa"/>
          <w:right w:w="28" w:type="dxa"/>
        </w:tblCellMar>
      </w:tblPr>
      <w:tblGrid>
        <w:gridCol w:w="1846"/>
        <w:gridCol w:w="146"/>
        <w:gridCol w:w="28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MICROSOFT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April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22"/>
              </w:rPr>
            </w:pPr>
            <w:r>
              <w:rPr>
                <w:rFonts w:ascii="Arial" w:hAnsi="Arial"/>
                <w:color w:val="000000"/>
                <w:sz w:val="20"/>
              </w:rPr>
              <w:t>/s/ A</w:t>
            </w:r>
            <w:r>
              <w:rPr>
                <w:rFonts w:ascii="Arial" w:hAnsi="Arial"/>
                <w:color w:val="000000"/>
                <w:sz w:val="15"/>
              </w:rPr>
              <w:t>LICE</w:t>
            </w:r>
            <w:r>
              <w:rPr>
                <w:rFonts w:ascii="Times New Roman" w:hAnsi="Times New Roman"/>
                <w:color w:val="000000"/>
                <w:sz w:val="22"/>
              </w:rPr>
              <w:t xml:space="preserve"> </w:t>
            </w:r>
            <w:r>
              <w:rPr>
                <w:rFonts w:ascii="Arial" w:hAnsi="Arial"/>
                <w:color w:val="000000"/>
                <w:sz w:val="20"/>
              </w:rPr>
              <w:t>L</w:t>
            </w:r>
            <w:r>
              <w:rPr>
                <w:rFonts w:ascii="Arial" w:hAnsi="Arial"/>
                <w:color w:val="000000"/>
                <w:sz w:val="22"/>
              </w:rPr>
              <w:t xml:space="preserve">. </w:t>
            </w:r>
            <w:r>
              <w:rPr>
                <w:rFonts w:ascii="Arial" w:hAnsi="Arial"/>
                <w:color w:val="000000"/>
                <w:sz w:val="20"/>
              </w:rPr>
              <w:t>J</w:t>
            </w:r>
            <w:r>
              <w:rPr>
                <w:rFonts w:ascii="Arial" w:hAnsi="Arial"/>
                <w:color w:val="000000"/>
                <w:sz w:val="15"/>
              </w:rPr>
              <w:t>OLLA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Alice L. Jolla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color w:val="000000"/>
                <w:sz w:val="20"/>
              </w:rPr>
              <w:t>Corporate Vice President and</w:t>
            </w:r>
            <w:r>
              <w:rPr>
                <w:rFonts w:ascii="Times New Roman" w:hAnsi="Times New Roman"/>
                <w:color w:val="000000"/>
                <w:sz w:val="20"/>
              </w:rPr>
              <w:t xml:space="preserve"> </w:t>
            </w:r>
          </w:p>
          <w:p>
            <w:pPr>
              <w:pStyle w:val="TableContents"/>
              <w:bidi w:val="0"/>
              <w:spacing w:before="0" w:after="283"/>
              <w:jc w:val="center"/>
              <w:rPr>
                <w:rFonts w:ascii="Arial" w:hAnsi="Arial"/>
                <w:color w:val="000000"/>
                <w:sz w:val="20"/>
              </w:rPr>
            </w:pPr>
            <w:r>
              <w:rPr>
                <w:rFonts w:ascii="Arial" w:hAnsi="Arial"/>
                <w:color w:val="000000"/>
                <w:sz w:val="20"/>
              </w:rPr>
              <w:t>Chief Accounting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2" w:name="msft-ex99_1.htm"/>
      <w:bookmarkStart w:id="13" w:name="ksmsftex99_1"/>
      <w:bookmarkEnd w:id="12"/>
      <w:bookmarkEnd w:id="13"/>
      <w:r>
        <w:rPr>
          <w:rFonts w:ascii="Arial" w:hAnsi="Arial"/>
          <w:color w:val="000000"/>
          <w:sz w:val="20"/>
        </w:rPr>
        <w:t>Exhibit 99.1</w:t>
      </w:r>
      <w:r>
        <w:br w:type="page"/>
      </w:r>
    </w:p>
    <w:p>
      <w:pPr>
        <w:pStyle w:val="TextBody"/>
        <w:bidi w:val="0"/>
        <w:spacing w:before="240" w:after="283"/>
        <w:jc w:val="left"/>
        <w:rPr>
          <w:rFonts w:ascii="Times New Roman" w:hAnsi="Times New Roman"/>
          <w:sz w:val="20"/>
        </w:rPr>
      </w:pPr>
      <w:r>
        <w:rPr>
          <w:rFonts w:ascii="Arial" w:hAnsi="Arial"/>
          <w:b/>
          <w:color w:val="666666"/>
          <w:sz w:val="26"/>
        </w:rPr>
        <w:t>Microsoft Cloud and AI Strength Fuels Third Quarter Results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 xml:space="preserve">REDMOND, Wash. — April 29, 2026 — </w:t>
      </w:r>
      <w:r>
        <w:rPr>
          <w:rFonts w:ascii="Arial" w:hAnsi="Arial"/>
          <w:color w:val="666666"/>
          <w:sz w:val="20"/>
        </w:rPr>
        <w:t>Microsoft Corp. today announced the following results for the quarter ended March 31, 2026, as compared to the corresponding period of last fiscal year: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 xml:space="preserve">Revenue was $82.9 billion and increased 18% (up 15% in constant currency)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Operating income was $38.4 billion and increased 20% (up 16%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Net income was $31.8 billion and increased 23% on a GAAP basis, and increased 20% (up 18% in constant currency) on a non-GAAP basis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Diluted earnings per share was $4.27 and increased 23% on a GAAP basis, and increased 21% (up 18% in constant currency) on a non-GAAP basis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Non-GAAP results exclude the impact from investments in OpenAI, explained in the Non-GAAP Definition section below</w:t>
      </w:r>
    </w:p>
    <w:p>
      <w:pPr>
        <w:pStyle w:val="TextBody"/>
        <w:bidi w:val="0"/>
        <w:spacing w:before="240" w:after="240"/>
        <w:jc w:val="left"/>
        <w:rPr>
          <w:color w:val="666666"/>
        </w:rPr>
      </w:pPr>
      <w:r>
        <w:rPr>
          <w:color w:val="666666"/>
        </w:rPr>
        <w:t>“</w:t>
      </w:r>
      <w:r>
        <w:rPr>
          <w:rFonts w:ascii="Arial" w:hAnsi="Arial"/>
          <w:color w:val="666666"/>
          <w:sz w:val="20"/>
        </w:rPr>
        <w:t>We are focused on delivering cloud and AI infrastructure and solutions that empower every business to eval-max their outcomes in the agentic computing era,” said Satya Nadella, chairman and chief executive officer of Microsoft. “Our AI business surpassed an annual revenue run rate of $37 billion, up 123% year-over-year.”</w:t>
      </w:r>
    </w:p>
    <w:p>
      <w:pPr>
        <w:pStyle w:val="TextBody"/>
        <w:bidi w:val="0"/>
        <w:spacing w:before="0" w:after="240"/>
        <w:jc w:val="left"/>
        <w:rPr/>
      </w:pPr>
      <w:r>
        <w:rPr>
          <w:color w:val="666666"/>
        </w:rPr>
        <w:t>“</w:t>
      </w:r>
      <w:r>
        <w:rPr>
          <w:rFonts w:ascii="Arial" w:hAnsi="Arial"/>
          <w:color w:val="666666"/>
          <w:sz w:val="20"/>
        </w:rPr>
        <w:t>We delivered results that exceeded expectations across revenue, operating income, and earnings per share, reflecting strong execution and growing demand for the Microsoft Cloud,” said Amy Hood, executive vice president and chief financial officer of Microsoft.</w:t>
      </w:r>
      <w:r>
        <w:rPr>
          <w:rFonts w:ascii="Times New Roman" w:hAnsi="Times New Roman"/>
          <w:color w:val="666666"/>
          <w:sz w:val="20"/>
        </w:rPr>
        <w:t xml:space="preserve"> </w:t>
      </w:r>
    </w:p>
    <w:p>
      <w:pPr>
        <w:pStyle w:val="TextBody"/>
        <w:bidi w:val="0"/>
        <w:spacing w:before="0" w:after="240"/>
        <w:jc w:val="left"/>
        <w:rPr>
          <w:rFonts w:ascii="Times New Roman" w:hAnsi="Times New Roman"/>
          <w:sz w:val="20"/>
        </w:rPr>
      </w:pPr>
      <w:r>
        <w:rPr>
          <w:rFonts w:ascii="Arial" w:hAnsi="Arial"/>
          <w:color w:val="666666"/>
          <w:sz w:val="20"/>
        </w:rPr>
        <w:t>The following table reconciles our financial results reported in accordance with generally accepted accounting principles (GAAP) to non-GAAP financial results. Additional information regarding our non-GAAP definition is provided below. All growth comparisons relate to the corresponding period in the last fiscal year.</w:t>
      </w:r>
      <w:r>
        <w:rPr>
          <w:rFonts w:ascii="Times New Roman" w:hAnsi="Times New Roman"/>
          <w:color w:val="666666"/>
          <w:sz w:val="20"/>
        </w:rPr>
        <w:t xml:space="preserve"> </w:t>
      </w:r>
    </w:p>
    <w:tbl>
      <w:tblPr>
        <w:tblW w:w="10205" w:type="dxa"/>
        <w:jc w:val="left"/>
        <w:tblInd w:w="0" w:type="dxa"/>
        <w:tblLayout w:type="fixed"/>
        <w:tblCellMar>
          <w:top w:w="28" w:type="dxa"/>
          <w:left w:w="28" w:type="dxa"/>
          <w:bottom w:w="28" w:type="dxa"/>
          <w:right w:w="28" w:type="dxa"/>
        </w:tblCellMar>
      </w:tblPr>
      <w:tblGrid>
        <w:gridCol w:w="1243"/>
        <w:gridCol w:w="884"/>
        <w:gridCol w:w="812"/>
        <w:gridCol w:w="1030"/>
        <w:gridCol w:w="146"/>
        <w:gridCol w:w="884"/>
        <w:gridCol w:w="812"/>
        <w:gridCol w:w="1030"/>
        <w:gridCol w:w="146"/>
        <w:gridCol w:w="481"/>
        <w:gridCol w:w="825"/>
        <w:gridCol w:w="766"/>
        <w:gridCol w:w="1146"/>
      </w:tblGrid>
      <w:tr>
        <w:trPr/>
        <w:tc>
          <w:tcPr>
            <w:tcW w:w="1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March 31,</w:t>
            </w:r>
          </w:p>
        </w:tc>
      </w:tr>
      <w:tr>
        <w:trPr/>
        <w:tc>
          <w:tcPr>
            <w:tcW w:w="1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13"/>
              </w:rPr>
              <w:t>($ in millions, except per share amounts)</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Adjustment*</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Adjustment*</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 Constant Currency</w:t>
            </w:r>
          </w:p>
        </w:tc>
      </w:tr>
      <w:tr>
        <w:trPr/>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 xml:space="preserve">Net </w:t>
              <w:br/>
              <w:t>Income</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$31,778</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$14</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$25,824</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$583</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$26,407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r>
      <w:tr>
        <w:trPr/>
        <w:tc>
          <w:tcPr>
            <w:tcW w:w="1243"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 xml:space="preserve">Diluted Earnings </w:t>
              <w:br/>
              <w:t>per Share</w:t>
            </w:r>
          </w:p>
        </w:tc>
        <w:tc>
          <w:tcPr>
            <w:tcW w:w="88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$4.27</w:t>
            </w:r>
          </w:p>
        </w:tc>
        <w:tc>
          <w:tcPr>
            <w:tcW w:w="81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$0.00</w:t>
            </w:r>
          </w:p>
        </w:tc>
        <w:tc>
          <w:tcPr>
            <w:tcW w:w="103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$4.27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$3.46</w:t>
            </w:r>
          </w:p>
        </w:tc>
        <w:tc>
          <w:tcPr>
            <w:tcW w:w="81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$0.08</w:t>
            </w:r>
          </w:p>
        </w:tc>
        <w:tc>
          <w:tcPr>
            <w:tcW w:w="103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$3.54</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c>
          <w:tcPr>
            <w:tcW w:w="82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c>
          <w:tcPr>
            <w:tcW w:w="76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c>
          <w:tcPr>
            <w:tcW w:w="1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r>
    </w:tbl>
    <w:p>
      <w:pPr>
        <w:pStyle w:val="TextBody"/>
        <w:bidi w:val="0"/>
        <w:spacing w:before="120" w:after="283"/>
        <w:jc w:val="left"/>
        <w:rPr>
          <w:rFonts w:ascii="Times New Roman" w:hAnsi="Times New Roman"/>
          <w:sz w:val="20"/>
        </w:rPr>
      </w:pPr>
      <w:r>
        <w:rPr>
          <w:rFonts w:ascii="Arial" w:hAnsi="Arial"/>
          <w:color w:val="666666"/>
          <w:sz w:val="13"/>
        </w:rPr>
        <w:t>*Adjustment is the impact from investments in OpenAI</w:t>
      </w:r>
      <w:r>
        <w:rPr>
          <w:rFonts w:ascii="Times New Roman" w:hAnsi="Times New Roman"/>
          <w:color w:val="666666"/>
          <w:sz w:val="20"/>
        </w:rPr>
        <w:t xml:space="preserve"> </w:t>
      </w:r>
    </w:p>
    <w:p>
      <w:pPr>
        <w:pStyle w:val="TextBody"/>
        <w:bidi w:val="0"/>
        <w:spacing w:before="240" w:after="283"/>
        <w:jc w:val="left"/>
        <w:rPr>
          <w:rFonts w:ascii="Arial" w:hAnsi="Arial"/>
          <w:b/>
          <w:color w:val="666666"/>
          <w:sz w:val="20"/>
        </w:rPr>
      </w:pPr>
      <w:r>
        <w:rPr>
          <w:rFonts w:ascii="Arial" w:hAnsi="Arial"/>
          <w:b/>
          <w:color w:val="666666"/>
          <w:sz w:val="20"/>
        </w:rPr>
        <w:t>Business Highlights</w:t>
      </w:r>
    </w:p>
    <w:p>
      <w:pPr>
        <w:pStyle w:val="TextBody"/>
        <w:bidi w:val="0"/>
        <w:spacing w:before="240" w:after="283"/>
        <w:jc w:val="left"/>
        <w:rPr>
          <w:rFonts w:ascii="Arial" w:hAnsi="Arial"/>
          <w:color w:val="666666"/>
          <w:sz w:val="20"/>
        </w:rPr>
      </w:pPr>
      <w:r>
        <w:rPr>
          <w:rFonts w:ascii="Arial" w:hAnsi="Arial"/>
          <w:color w:val="666666"/>
          <w:sz w:val="20"/>
        </w:rPr>
        <w:t>Microsoft Cloud revenue was $54.5 billion and increased 29% (up 25% in constant currency), and commercial remaining performance obligation increased 99% to $627 billion.</w:t>
      </w:r>
    </w:p>
    <w:p>
      <w:pPr>
        <w:pStyle w:val="TextBody"/>
        <w:bidi w:val="0"/>
        <w:spacing w:before="240" w:after="283"/>
        <w:jc w:val="left"/>
        <w:rPr>
          <w:rFonts w:ascii="Times New Roman" w:hAnsi="Times New Roman"/>
          <w:sz w:val="20"/>
        </w:rPr>
      </w:pPr>
      <w:r>
        <w:rPr>
          <w:rFonts w:ascii="Arial" w:hAnsi="Arial"/>
          <w:color w:val="666666"/>
          <w:sz w:val="20"/>
        </w:rPr>
        <w:t>Revenue in Productivity and Business Processes was $35.0</w:t>
      </w:r>
      <w:r>
        <w:rPr>
          <w:rFonts w:ascii="Times New Roman" w:hAnsi="Times New Roman"/>
          <w:color w:val="EE0000"/>
          <w:sz w:val="20"/>
        </w:rPr>
        <w:t xml:space="preserve"> </w:t>
      </w:r>
      <w:r>
        <w:rPr>
          <w:rFonts w:ascii="Arial" w:hAnsi="Arial"/>
          <w:color w:val="666666"/>
          <w:sz w:val="20"/>
        </w:rPr>
        <w:t>billion and increased 17% (up 13%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 365 Commercial cloud revenue increased 19% (up 15%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Microsoft 365 Consumer cloud revenue increased 33% (up 29% in constant currency)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LinkedIn revenue increased 12% (up 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Dynamics 365 revenue increased 22% (up 17% in constant currency)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666666"/>
          <w:sz w:val="20"/>
        </w:rPr>
      </w:pPr>
      <w:r>
        <w:rPr>
          <w:rFonts w:ascii="Arial" w:hAnsi="Arial"/>
          <w:color w:val="666666"/>
          <w:sz w:val="20"/>
        </w:rPr>
        <w:t>Revenue in Intelligent Cloud was $34.7 billion and increased 30% (up 28%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 xml:space="preserve">Azure and other cloud services revenue increased 40% (up 39% in constant currency) </w:t>
      </w:r>
    </w:p>
    <w:p>
      <w:pPr>
        <w:pStyle w:val="TextBody"/>
        <w:bidi w:val="0"/>
        <w:spacing w:before="240" w:after="283"/>
        <w:jc w:val="left"/>
        <w:rPr>
          <w:rFonts w:ascii="Arial" w:hAnsi="Arial"/>
          <w:color w:val="666666"/>
          <w:sz w:val="20"/>
        </w:rPr>
      </w:pPr>
      <w:r>
        <w:rPr>
          <w:rFonts w:ascii="Arial" w:hAnsi="Arial"/>
          <w:color w:val="666666"/>
          <w:sz w:val="20"/>
        </w:rPr>
        <w:t>Revenue in More Personal Computing was $13.2 billion and decreased 1% (down 3%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Windows OEM and Devices revenue decreased 2% (down 3%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Xbox content and services revenue decreased 5% (down 7% in constant currency)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Search advertising revenue excluding traffic acquisition costs increased 12% (up 9% in constant currency)</w:t>
      </w:r>
    </w:p>
    <w:p>
      <w:pPr>
        <w:pStyle w:val="TextBody"/>
        <w:bidi w:val="0"/>
        <w:spacing w:before="240" w:after="283"/>
        <w:jc w:val="left"/>
        <w:rPr>
          <w:rFonts w:ascii="Arial" w:hAnsi="Arial"/>
          <w:color w:val="666666"/>
          <w:sz w:val="20"/>
        </w:rPr>
      </w:pPr>
      <w:r>
        <w:rPr>
          <w:rFonts w:ascii="Arial" w:hAnsi="Arial"/>
          <w:color w:val="666666"/>
          <w:sz w:val="20"/>
        </w:rPr>
        <w:t>Microsoft returned $10.2 billion to shareholders in the form of dividends and share repurchases in the third quarter of fiscal year 2026.</w:t>
      </w:r>
    </w:p>
    <w:p>
      <w:pPr>
        <w:pStyle w:val="TextBody"/>
        <w:bidi w:val="0"/>
        <w:spacing w:before="240" w:after="283"/>
        <w:jc w:val="left"/>
        <w:rPr>
          <w:rFonts w:ascii="Arial" w:hAnsi="Arial"/>
          <w:b/>
          <w:color w:val="666666"/>
          <w:sz w:val="20"/>
        </w:rPr>
      </w:pPr>
      <w:r>
        <w:rPr>
          <w:rFonts w:ascii="Arial" w:hAnsi="Arial"/>
          <w:b/>
          <w:color w:val="666666"/>
          <w:sz w:val="20"/>
        </w:rPr>
        <w:t>Business Outlook</w:t>
      </w:r>
    </w:p>
    <w:p>
      <w:pPr>
        <w:pStyle w:val="TextBody"/>
        <w:bidi w:val="0"/>
        <w:spacing w:before="240" w:after="283"/>
        <w:jc w:val="left"/>
        <w:rPr>
          <w:rFonts w:ascii="Arial" w:hAnsi="Arial"/>
          <w:color w:val="666666"/>
          <w:sz w:val="20"/>
        </w:rPr>
      </w:pPr>
      <w:r>
        <w:rPr>
          <w:rFonts w:ascii="Arial" w:hAnsi="Arial"/>
          <w:color w:val="666666"/>
          <w:sz w:val="20"/>
        </w:rPr>
        <w:t>Microsoft will provide forward-looking guidance in connection with this quarterly earnings announcement on its earnings conference call and webcast.</w:t>
      </w:r>
    </w:p>
    <w:p>
      <w:pPr>
        <w:pStyle w:val="TextBody"/>
        <w:bidi w:val="0"/>
        <w:spacing w:before="240" w:after="283"/>
        <w:jc w:val="left"/>
        <w:rPr>
          <w:rFonts w:ascii="Times New Roman" w:hAnsi="Times New Roman"/>
          <w:sz w:val="20"/>
        </w:rPr>
      </w:pPr>
      <w:r>
        <w:rPr>
          <w:rFonts w:ascii="Arial" w:hAnsi="Arial"/>
          <w:b/>
          <w:color w:val="666666"/>
          <w:sz w:val="20"/>
        </w:rPr>
        <w:t>Quarterly Highlights, Product Releases, and Customer Stories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Every quarter Microsoft delivers hundreds of products, services, and enhancements. These releases are driven by years of significant research and development investments, to empower customers with greater productivity, security, and differentiated value.</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 xml:space="preserve">This momentum is reflected in stories that showcase how our technology is </w:t>
      </w:r>
      <w:r>
        <w:rPr>
          <w:rFonts w:ascii="Arial" w:hAnsi="Arial"/>
          <w:color w:val="666666"/>
          <w:sz w:val="20"/>
          <w:u w:val="single"/>
        </w:rPr>
        <w:t>shaping industries and driving customer success</w:t>
      </w:r>
      <w:r>
        <w:rPr>
          <w:rFonts w:ascii="Arial" w:hAnsi="Arial"/>
          <w:color w:val="666666"/>
          <w:sz w:val="20"/>
        </w:rPr>
        <w:t xml:space="preserve">. We share innovation updates on our product blogs across </w:t>
      </w:r>
      <w:r>
        <w:rPr>
          <w:rFonts w:ascii="Arial" w:hAnsi="Arial"/>
          <w:color w:val="666666"/>
          <w:sz w:val="20"/>
          <w:u w:val="single"/>
        </w:rPr>
        <w:t>Azure</w:t>
      </w:r>
      <w:r>
        <w:rPr>
          <w:rFonts w:ascii="Arial" w:hAnsi="Arial"/>
          <w:color w:val="666666"/>
          <w:sz w:val="20"/>
        </w:rPr>
        <w:t xml:space="preserve">, </w:t>
      </w:r>
      <w:r>
        <w:rPr>
          <w:rFonts w:ascii="Arial" w:hAnsi="Arial"/>
          <w:color w:val="666666"/>
          <w:sz w:val="20"/>
          <w:u w:val="single"/>
        </w:rPr>
        <w:t>Microsoft 365</w:t>
      </w:r>
      <w:r>
        <w:rPr>
          <w:rFonts w:ascii="Arial" w:hAnsi="Arial"/>
          <w:color w:val="666666"/>
          <w:sz w:val="20"/>
        </w:rPr>
        <w:t xml:space="preserve">, and more on our </w:t>
      </w:r>
      <w:r>
        <w:rPr>
          <w:rFonts w:ascii="Arial" w:hAnsi="Arial"/>
          <w:color w:val="666666"/>
          <w:sz w:val="20"/>
          <w:u w:val="single"/>
        </w:rPr>
        <w:t>Official Microsoft blog</w:t>
      </w:r>
      <w:r>
        <w:rPr>
          <w:rFonts w:ascii="Arial" w:hAnsi="Arial"/>
          <w:color w:val="666666"/>
          <w:sz w:val="20"/>
        </w:rPr>
        <w:t>.</w:t>
      </w:r>
    </w:p>
    <w:p>
      <w:pPr>
        <w:pStyle w:val="TextBody"/>
        <w:bidi w:val="0"/>
        <w:spacing w:before="240" w:after="283"/>
        <w:jc w:val="left"/>
        <w:rPr>
          <w:rFonts w:ascii="Arial" w:hAnsi="Arial"/>
          <w:b/>
          <w:color w:val="666666"/>
          <w:sz w:val="20"/>
        </w:rPr>
      </w:pPr>
      <w:r>
        <w:rPr>
          <w:rFonts w:ascii="Arial" w:hAnsi="Arial"/>
          <w:b/>
          <w:color w:val="666666"/>
          <w:sz w:val="20"/>
        </w:rPr>
        <w:t>Webcast Details</w:t>
      </w:r>
    </w:p>
    <w:p>
      <w:pPr>
        <w:pStyle w:val="TextBody"/>
        <w:bidi w:val="0"/>
        <w:spacing w:before="240" w:after="283"/>
        <w:jc w:val="left"/>
        <w:rPr>
          <w:rFonts w:ascii="Times New Roman" w:hAnsi="Times New Roman"/>
          <w:sz w:val="20"/>
        </w:rPr>
      </w:pPr>
      <w:r>
        <w:rPr>
          <w:rFonts w:ascii="Arial" w:hAnsi="Arial"/>
          <w:color w:val="666666"/>
          <w:sz w:val="20"/>
        </w:rPr>
        <w:t xml:space="preserve">Satya Nadella, chairman and chief executive officer, Amy Hood, executive vice president and chief financial officer, Alice Jolla, chief accounting officer, Brian DeFoe, deputy general counsel and corporate secretary, and Jonathan Neilson, vice president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hAnsi="Arial"/>
          <w:color w:val="666666"/>
          <w:sz w:val="20"/>
          <w:u w:val="single"/>
        </w:rPr>
        <w:t>http://www.microsoft.com/en-us/investor</w:t>
      </w:r>
      <w:r>
        <w:rPr>
          <w:rFonts w:ascii="Arial" w:hAnsi="Arial"/>
          <w:color w:val="666666"/>
          <w:sz w:val="20"/>
        </w:rPr>
        <w:t>. Participants can also dial into the conference call at (877) 407-0666 or +1 (201) 689-8023 for international, no password required. The webcast will be available for replay through the close of business on April 29, 2027.</w:t>
      </w:r>
    </w:p>
    <w:p>
      <w:pPr>
        <w:pStyle w:val="TextBody"/>
        <w:bidi w:val="0"/>
        <w:spacing w:before="240" w:after="240"/>
        <w:jc w:val="left"/>
        <w:rPr>
          <w:rFonts w:ascii="Arial" w:hAnsi="Arial"/>
          <w:b/>
          <w:color w:val="666666"/>
          <w:sz w:val="20"/>
        </w:rPr>
      </w:pPr>
      <w:r>
        <w:rPr>
          <w:rFonts w:ascii="Arial" w:hAnsi="Arial"/>
          <w:b/>
          <w:color w:val="666666"/>
          <w:sz w:val="20"/>
        </w:rPr>
        <w:t>Non-GAAP Definition</w:t>
      </w:r>
    </w:p>
    <w:p>
      <w:pPr>
        <w:pStyle w:val="TextBody"/>
        <w:bidi w:val="0"/>
        <w:jc w:val="left"/>
        <w:rPr>
          <w:rFonts w:ascii="Times New Roman" w:hAnsi="Times New Roman"/>
          <w:sz w:val="20"/>
        </w:rPr>
      </w:pPr>
      <w:r>
        <w:rPr>
          <w:rFonts w:ascii="Arial" w:hAnsi="Arial"/>
          <w:i/>
          <w:color w:val="666666"/>
          <w:sz w:val="20"/>
        </w:rPr>
        <w:t>Impact from investments in OpenAI.</w:t>
      </w:r>
      <w:r>
        <w:rPr>
          <w:rFonts w:ascii="Times New Roman" w:hAnsi="Times New Roman"/>
          <w:color w:val="666666"/>
          <w:sz w:val="20"/>
        </w:rPr>
        <w:t xml:space="preserve"> </w:t>
      </w:r>
      <w:r>
        <w:rPr>
          <w:rFonts w:ascii="Arial" w:hAnsi="Arial"/>
          <w:color w:val="666666"/>
          <w:sz w:val="20"/>
        </w:rPr>
        <w:t>In the third quarter of fiscal year 2026, net losses from investments in OpenAI resulted in a decrease in net income of $14 million and had minimal impact on earnings per share. In the third quarter of fiscal year 2025, net income and diluted earnings per share were impacted by net losses from investments in OpenAI, which resulted in a decrease in net income and diluted earnings per share of $583 million and $0.08, respectively.</w:t>
      </w:r>
    </w:p>
    <w:p>
      <w:pPr>
        <w:pStyle w:val="TextBody"/>
        <w:bidi w:val="0"/>
        <w:spacing w:before="240" w:after="283"/>
        <w:jc w:val="left"/>
        <w:rPr>
          <w:rFonts w:ascii="Arial" w:hAnsi="Arial"/>
          <w:color w:val="666666"/>
          <w:sz w:val="20"/>
        </w:rPr>
      </w:pPr>
      <w:r>
        <w:rPr>
          <w:rFonts w:ascii="Arial" w:hAnsi="Arial"/>
          <w:color w:val="666666"/>
          <w:sz w:val="20"/>
        </w:rPr>
        <w:t>Microsoft has provided non-GAAP financial measures related to the impact from investments in OpenAI to aid investors in better understanding our performance. Microsoft believes these non-GAAP measures assist investors by providing additional insight into its operational performance and help clarify trends affecting its business. For comparability of reporting, management considers non-GAAP measures in conjunction with GAAP financial results in evaluating business performance. The non-GAAP financial measures presented in this release should not be considered as a substitute for, or superior to, the measures of financial performance prepared in accordance with GAAP.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666666"/>
          <w:sz w:val="20"/>
        </w:rPr>
      </w:pPr>
      <w:r>
        <w:rPr>
          <w:rFonts w:ascii="Arial" w:hAnsi="Arial"/>
          <w:b/>
          <w:color w:val="666666"/>
          <w:sz w:val="20"/>
        </w:rPr>
        <w:t>Constant Currency</w:t>
      </w:r>
    </w:p>
    <w:p>
      <w:pPr>
        <w:pStyle w:val="TextBody"/>
        <w:bidi w:val="0"/>
        <w:spacing w:before="240" w:after="283"/>
        <w:jc w:val="left"/>
        <w:rPr>
          <w:rFonts w:ascii="Arial" w:hAnsi="Arial"/>
          <w:color w:val="666666"/>
          <w:sz w:val="20"/>
        </w:rPr>
      </w:pPr>
      <w:r>
        <w:rPr>
          <w:rFonts w:ascii="Arial" w:hAnsi="Arial"/>
          <w:color w:val="666666"/>
          <w:sz w:val="20"/>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pStyle w:val="TextBody"/>
        <w:bidi w:val="0"/>
        <w:spacing w:before="240" w:after="240"/>
        <w:jc w:val="left"/>
        <w:rPr>
          <w:rFonts w:ascii="Arial" w:hAnsi="Arial"/>
          <w:b/>
          <w:color w:val="666666"/>
          <w:sz w:val="20"/>
        </w:rPr>
      </w:pPr>
      <w:r>
        <w:rPr>
          <w:rFonts w:ascii="Arial" w:hAnsi="Arial"/>
          <w:b/>
          <w:color w:val="666666"/>
          <w:sz w:val="20"/>
        </w:rPr>
        <w:t>Financial Performance Constant Currency Reconciliation</w:t>
      </w:r>
    </w:p>
    <w:tbl>
      <w:tblPr>
        <w:tblW w:w="10205" w:type="dxa"/>
        <w:jc w:val="left"/>
        <w:tblInd w:w="0" w:type="dxa"/>
        <w:tblLayout w:type="fixed"/>
        <w:tblCellMar>
          <w:top w:w="28" w:type="dxa"/>
          <w:left w:w="28" w:type="dxa"/>
          <w:bottom w:w="28" w:type="dxa"/>
          <w:right w:w="28" w:type="dxa"/>
        </w:tblCellMar>
      </w:tblPr>
      <w:tblGrid>
        <w:gridCol w:w="1427"/>
        <w:gridCol w:w="935"/>
        <w:gridCol w:w="1092"/>
        <w:gridCol w:w="146"/>
        <w:gridCol w:w="935"/>
        <w:gridCol w:w="1092"/>
        <w:gridCol w:w="146"/>
        <w:gridCol w:w="488"/>
        <w:gridCol w:w="778"/>
        <w:gridCol w:w="1065"/>
        <w:gridCol w:w="869"/>
        <w:gridCol w:w="1232"/>
      </w:tblGrid>
      <w:tr>
        <w:trPr/>
        <w:tc>
          <w:tcPr>
            <w:tcW w:w="14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March 31,</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13"/>
              </w:rPr>
              <w:t>($ in millions, except per share amounts)</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 Constant Currency</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Revenue</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$82,886</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$70,066</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$2,067</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15%</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w:t>
            </w:r>
          </w:p>
        </w:tc>
      </w:tr>
      <w:tr>
        <w:trPr/>
        <w:tc>
          <w:tcPr>
            <w:tcW w:w="142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Operating</w:t>
              <w:br/>
              <w:t>Income</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$38,398</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$32,000</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c>
          <w:tcPr>
            <w:tcW w:w="77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w:t>
            </w:r>
          </w:p>
        </w:tc>
        <w:tc>
          <w:tcPr>
            <w:tcW w:w="106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$1,300</w:t>
            </w:r>
          </w:p>
        </w:tc>
        <w:tc>
          <w:tcPr>
            <w:tcW w:w="86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16%</w:t>
            </w:r>
          </w:p>
        </w:tc>
        <w:tc>
          <w:tcPr>
            <w:tcW w:w="123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Net Income</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$31,778</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$25,824</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$26,407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$740</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r>
      <w:tr>
        <w:trPr/>
        <w:tc>
          <w:tcPr>
            <w:tcW w:w="142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Diluted Earnings per Share</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$4.27</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$4.27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$3.46</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$3.54</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c>
          <w:tcPr>
            <w:tcW w:w="77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c>
          <w:tcPr>
            <w:tcW w:w="106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$0.10</w:t>
            </w:r>
          </w:p>
        </w:tc>
        <w:tc>
          <w:tcPr>
            <w:tcW w:w="86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c>
          <w:tcPr>
            <w:tcW w:w="123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r>
    </w:tbl>
    <w:p>
      <w:pPr>
        <w:pStyle w:val="TextBody"/>
        <w:bidi w:val="0"/>
        <w:spacing w:before="240" w:after="240"/>
        <w:jc w:val="left"/>
        <w:rPr>
          <w:rFonts w:ascii="Arial" w:hAnsi="Arial"/>
          <w:b/>
          <w:color w:val="666666"/>
          <w:sz w:val="20"/>
        </w:rPr>
      </w:pPr>
      <w:r>
        <w:rPr>
          <w:rFonts w:ascii="Arial" w:hAnsi="Arial"/>
          <w:b/>
          <w:color w:val="666666"/>
          <w:sz w:val="20"/>
        </w:rPr>
        <w:t>Segment Revenue Constant Currency Reconciliation</w:t>
      </w:r>
    </w:p>
    <w:tbl>
      <w:tblPr>
        <w:tblW w:w="10205" w:type="dxa"/>
        <w:jc w:val="left"/>
        <w:tblInd w:w="0" w:type="dxa"/>
        <w:tblLayout w:type="fixed"/>
        <w:tblCellMar>
          <w:top w:w="28" w:type="dxa"/>
          <w:left w:w="28" w:type="dxa"/>
          <w:bottom w:w="28" w:type="dxa"/>
          <w:right w:w="28" w:type="dxa"/>
        </w:tblCellMar>
      </w:tblPr>
      <w:tblGrid>
        <w:gridCol w:w="2407"/>
        <w:gridCol w:w="1346"/>
        <w:gridCol w:w="146"/>
        <w:gridCol w:w="1346"/>
        <w:gridCol w:w="146"/>
        <w:gridCol w:w="1536"/>
        <w:gridCol w:w="1695"/>
        <w:gridCol w:w="1583"/>
      </w:tblGrid>
      <w:tr>
        <w:trPr/>
        <w:tc>
          <w:tcPr>
            <w:tcW w:w="240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69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March 31,</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Percentage Change Y/Y</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Percentage Change Y/Y</w:t>
            </w:r>
          </w:p>
        </w:tc>
      </w:tr>
      <w:tr>
        <w:trPr/>
        <w:tc>
          <w:tcPr>
            <w:tcW w:w="2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666666"/>
                <w:sz w:val="13"/>
              </w:rPr>
            </w:pPr>
            <w:r>
              <w:rPr>
                <w:rFonts w:ascii="Arial" w:hAnsi="Arial"/>
                <w:color w:val="666666"/>
                <w:sz w:val="13"/>
              </w:rPr>
              <w:t>($ in millions)</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r>
      <w:tr>
        <w:trPr/>
        <w:tc>
          <w:tcPr>
            <w:tcW w:w="2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Productivity and Business Processes</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$29,944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17%</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$1,325</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13%</w:t>
            </w:r>
          </w:p>
        </w:tc>
      </w:tr>
      <w:tr>
        <w:trPr/>
        <w:tc>
          <w:tcPr>
            <w:tcW w:w="240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Intelligent Cloud</w:t>
            </w:r>
          </w:p>
        </w:tc>
        <w:tc>
          <w:tcPr>
            <w:tcW w:w="13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$34,681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13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$26,751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153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30%</w:t>
            </w:r>
          </w:p>
        </w:tc>
        <w:tc>
          <w:tcPr>
            <w:tcW w:w="169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$506</w:t>
            </w:r>
          </w:p>
        </w:tc>
        <w:tc>
          <w:tcPr>
            <w:tcW w:w="1583"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28%</w:t>
            </w:r>
          </w:p>
        </w:tc>
      </w:tr>
      <w:tr>
        <w:trPr/>
        <w:tc>
          <w:tcPr>
            <w:tcW w:w="2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More Personal Computing</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$235</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w:t>
            </w:r>
          </w:p>
        </w:tc>
      </w:tr>
    </w:tbl>
    <w:p>
      <w:pPr>
        <w:pStyle w:val="TextBody"/>
        <w:bidi w:val="0"/>
        <w:spacing w:before="240" w:after="240"/>
        <w:jc w:val="left"/>
        <w:rPr>
          <w:rFonts w:ascii="Arial" w:hAnsi="Arial"/>
          <w:b/>
          <w:color w:val="666666"/>
          <w:sz w:val="20"/>
        </w:rPr>
      </w:pPr>
      <w:r>
        <w:rPr>
          <w:rFonts w:ascii="Arial" w:hAnsi="Arial"/>
          <w:b/>
          <w:color w:val="666666"/>
          <w:sz w:val="20"/>
        </w:rPr>
        <w:t>Selected Product and Service Information Constant Currency Reconciliation</w:t>
      </w:r>
    </w:p>
    <w:tbl>
      <w:tblPr>
        <w:tblW w:w="10205" w:type="dxa"/>
        <w:jc w:val="left"/>
        <w:tblInd w:w="0" w:type="dxa"/>
        <w:tblLayout w:type="fixed"/>
        <w:tblCellMar>
          <w:top w:w="28" w:type="dxa"/>
          <w:left w:w="28" w:type="dxa"/>
          <w:bottom w:w="28" w:type="dxa"/>
          <w:right w:w="28" w:type="dxa"/>
        </w:tblCellMar>
      </w:tblPr>
      <w:tblGrid>
        <w:gridCol w:w="3835"/>
        <w:gridCol w:w="1998"/>
        <w:gridCol w:w="1672"/>
        <w:gridCol w:w="2700"/>
      </w:tblGrid>
      <w:tr>
        <w:trPr/>
        <w:tc>
          <w:tcPr>
            <w:tcW w:w="383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March 31, 2026</w:t>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Percentage Change Y/Y (GAAP)</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Percentage Change Y/Y Constant Currency</w:t>
            </w:r>
          </w:p>
        </w:tc>
      </w:tr>
      <w:tr>
        <w:trPr/>
        <w:tc>
          <w:tcPr>
            <w:tcW w:w="38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Microsoft Cloud revenue</w:t>
            </w:r>
          </w:p>
        </w:tc>
        <w:tc>
          <w:tcPr>
            <w:tcW w:w="19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29%</w:t>
            </w:r>
          </w:p>
        </w:tc>
        <w:tc>
          <w:tcPr>
            <w:tcW w:w="167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w:t>
            </w:r>
          </w:p>
        </w:tc>
        <w:tc>
          <w:tcPr>
            <w:tcW w:w="270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25%</w:t>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Commercial remaining performance obligation</w:t>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99%</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99%</w:t>
            </w:r>
          </w:p>
        </w:tc>
      </w:tr>
      <w:tr>
        <w:trPr/>
        <w:tc>
          <w:tcPr>
            <w:tcW w:w="38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Microsoft 365 Commercial cloud revenue</w:t>
            </w:r>
          </w:p>
        </w:tc>
        <w:tc>
          <w:tcPr>
            <w:tcW w:w="19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19%</w:t>
            </w:r>
          </w:p>
        </w:tc>
        <w:tc>
          <w:tcPr>
            <w:tcW w:w="167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w:t>
            </w:r>
          </w:p>
        </w:tc>
        <w:tc>
          <w:tcPr>
            <w:tcW w:w="270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15%</w:t>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Microsoft 365 Consumer cloud revenue</w:t>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33%</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29%</w:t>
            </w:r>
          </w:p>
        </w:tc>
      </w:tr>
      <w:tr>
        <w:trPr/>
        <w:tc>
          <w:tcPr>
            <w:tcW w:w="38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LinkedIn revenue</w:t>
            </w:r>
          </w:p>
        </w:tc>
        <w:tc>
          <w:tcPr>
            <w:tcW w:w="19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w:t>
            </w:r>
          </w:p>
        </w:tc>
        <w:tc>
          <w:tcPr>
            <w:tcW w:w="167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w:t>
            </w:r>
          </w:p>
        </w:tc>
        <w:tc>
          <w:tcPr>
            <w:tcW w:w="270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9%</w:t>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Dynamics 365 revenue</w:t>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22%</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(5)%</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17%</w:t>
            </w:r>
          </w:p>
        </w:tc>
      </w:tr>
      <w:tr>
        <w:trPr/>
        <w:tc>
          <w:tcPr>
            <w:tcW w:w="38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Azure and other cloud services revenue</w:t>
            </w:r>
          </w:p>
        </w:tc>
        <w:tc>
          <w:tcPr>
            <w:tcW w:w="19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40%</w:t>
            </w:r>
          </w:p>
        </w:tc>
        <w:tc>
          <w:tcPr>
            <w:tcW w:w="167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w:t>
            </w:r>
          </w:p>
        </w:tc>
        <w:tc>
          <w:tcPr>
            <w:tcW w:w="270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39%</w:t>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Windows OEM and Devices revenue</w:t>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w:t>
            </w:r>
          </w:p>
        </w:tc>
      </w:tr>
      <w:tr>
        <w:trPr/>
        <w:tc>
          <w:tcPr>
            <w:tcW w:w="38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Xbox content and services revenue</w:t>
            </w:r>
          </w:p>
        </w:tc>
        <w:tc>
          <w:tcPr>
            <w:tcW w:w="19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(5)%</w:t>
            </w:r>
          </w:p>
        </w:tc>
        <w:tc>
          <w:tcPr>
            <w:tcW w:w="167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w:t>
            </w:r>
          </w:p>
        </w:tc>
        <w:tc>
          <w:tcPr>
            <w:tcW w:w="270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(7)%</w:t>
            </w:r>
          </w:p>
        </w:tc>
      </w:tr>
      <w:tr>
        <w:trPr/>
        <w:tc>
          <w:tcPr>
            <w:tcW w:w="3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Search advertising revenue excluding traffic acquisition costs</w:t>
            </w:r>
          </w:p>
        </w:tc>
        <w:tc>
          <w:tcPr>
            <w:tcW w:w="1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w:t>
            </w:r>
          </w:p>
        </w:tc>
        <w:tc>
          <w:tcPr>
            <w:tcW w:w="1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w:t>
            </w:r>
          </w:p>
        </w:tc>
        <w:tc>
          <w:tcPr>
            <w:tcW w:w="2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9%</w:t>
            </w:r>
          </w:p>
        </w:tc>
      </w:tr>
    </w:tbl>
    <w:p>
      <w:pPr>
        <w:pStyle w:val="TextBody"/>
        <w:bidi w:val="0"/>
        <w:jc w:val="left"/>
        <w:rPr/>
      </w:pPr>
      <w:r>
        <w:rPr/>
        <w:t> </w:t>
      </w:r>
    </w:p>
    <w:p>
      <w:pPr>
        <w:pStyle w:val="TextBody"/>
        <w:bidi w:val="0"/>
        <w:spacing w:before="40" w:after="283"/>
        <w:jc w:val="left"/>
        <w:rPr>
          <w:rFonts w:ascii="Arial" w:hAnsi="Arial"/>
          <w:b/>
          <w:color w:val="666666"/>
          <w:sz w:val="20"/>
        </w:rPr>
      </w:pPr>
      <w:r>
        <w:rPr>
          <w:rFonts w:ascii="Arial" w:hAnsi="Arial"/>
          <w:b/>
          <w:color w:val="666666"/>
          <w:sz w:val="20"/>
        </w:rPr>
        <w:t>About Microsoft</w:t>
      </w:r>
    </w:p>
    <w:p>
      <w:pPr>
        <w:pStyle w:val="TextBody"/>
        <w:bidi w:val="0"/>
        <w:spacing w:before="240" w:after="283"/>
        <w:jc w:val="left"/>
        <w:rPr>
          <w:rFonts w:ascii="Arial" w:hAnsi="Arial"/>
          <w:color w:val="666666"/>
          <w:sz w:val="20"/>
        </w:rPr>
      </w:pPr>
      <w:r>
        <w:rPr>
          <w:rFonts w:ascii="Arial" w:hAnsi="Arial"/>
          <w:color w:val="666666"/>
          <w:sz w:val="20"/>
        </w:rPr>
        <w:t>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w:t>
      </w:r>
    </w:p>
    <w:p>
      <w:pPr>
        <w:pStyle w:val="TextBody"/>
        <w:bidi w:val="0"/>
        <w:spacing w:before="240" w:after="283"/>
        <w:jc w:val="left"/>
        <w:rPr>
          <w:rFonts w:ascii="Arial" w:hAnsi="Arial"/>
          <w:b/>
          <w:color w:val="666666"/>
          <w:sz w:val="20"/>
        </w:rPr>
      </w:pPr>
      <w:r>
        <w:rPr>
          <w:rFonts w:ascii="Arial" w:hAnsi="Arial"/>
          <w:b/>
          <w:color w:val="666666"/>
          <w:sz w:val="20"/>
        </w:rPr>
        <w:t>Forward-Looking Statements</w:t>
      </w:r>
    </w:p>
    <w:p>
      <w:pPr>
        <w:pStyle w:val="TextBody"/>
        <w:bidi w:val="0"/>
        <w:spacing w:before="240" w:after="283"/>
        <w:jc w:val="left"/>
        <w:rPr>
          <w:rFonts w:ascii="Times New Roman" w:hAnsi="Times New Roman"/>
          <w:sz w:val="20"/>
        </w:rPr>
      </w:pPr>
      <w:r>
        <w:rPr>
          <w:rFonts w:ascii="Arial" w:hAnsi="Arial"/>
          <w:color w:val="666666"/>
          <w:sz w:val="20"/>
        </w:rPr>
        <w:t>Statements in this release that are “forward-looking statements” are based on current expectations and assumptions that are subject to risks and uncertainties. Actual results could differ materially because of factors such as:</w:t>
      </w:r>
      <w:r>
        <w:rPr>
          <w:rFonts w:ascii="Times New Roman" w:hAnsi="Times New Roman"/>
          <w:color w:val="666666"/>
          <w:sz w:val="20"/>
        </w:rPr>
        <w:t xml:space="preserve"> </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intense competition in all of our markets that could adversely affect our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focus on cloud-based and AI services presenting execution and competitive risks;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significant investments in products and services that may not achieve expected returns;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acquisitions, joint ventures, and strategic alliances that could have an adverse effect on our business;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cyberattacks and security vulnerabilities that could lead to reduced revenue, increased costs, liability claims, or harm to our reputation or competitive position;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disclosure and misuse of personal data that could cause liability and harm to our reputation;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possibility that we may not be able to protect information in our products and services from use by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abuse of our advertising, professional, marketplace, or gaming platforms that may harm our reputation or user engagement;</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products and services, how they are used by customers, and how third-party products and services interact with them, presenting security, privacy, and execution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issues about the use of AI in our offerings that may result in reputational or competitive harm, or liability;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excessive outages, data losses, and disruptions of our online services if we fail to maintain an adequate operations infrastructure;</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supply or quality problems;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new, existing, and evolving legal and regulatory requirements;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against us that could result in adverse outcomes in legal disputes;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uncertainties relating to our business with government customers;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additional tax liabilities;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an inability to protect and utilize our intellectual property may harm our business and operating results;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that Microsoft has infringed the intellectual property rights of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damage to our reputation or our brands that may harm our business and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adverse economic or market conditions that could harm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catastrophic events or geopolitical conditions, such as the COVID-19 pandemic, that could disrupt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exposure to increased economic and operational uncertainties from operating a global business, including the effects of foreign currency exchange; and</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dependence of our business on our ability to attract and retain talented employees.</w:t>
      </w:r>
    </w:p>
    <w:p>
      <w:pPr>
        <w:pStyle w:val="TextBody"/>
        <w:bidi w:val="0"/>
        <w:spacing w:before="240" w:after="283"/>
        <w:jc w:val="left"/>
        <w:rPr>
          <w:rFonts w:ascii="Times New Roman" w:hAnsi="Times New Roman"/>
          <w:sz w:val="20"/>
        </w:rPr>
      </w:pPr>
      <w:r>
        <w:rPr>
          <w:rFonts w:ascii="Arial" w:hAnsi="Arial"/>
          <w:color w:val="666666"/>
          <w:sz w:val="20"/>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hAnsi="Arial"/>
          <w:color w:val="666666"/>
          <w:sz w:val="20"/>
          <w:u w:val="single"/>
        </w:rPr>
        <w:t>http://www.microsoft.com/en-us/investor</w:t>
      </w:r>
      <w:r>
        <w:rPr>
          <w:rFonts w:ascii="Arial" w:hAnsi="Arial"/>
          <w:color w:val="666666"/>
          <w:sz w:val="20"/>
        </w:rPr>
        <w:t>.</w:t>
      </w:r>
    </w:p>
    <w:p>
      <w:pPr>
        <w:pStyle w:val="TextBody"/>
        <w:bidi w:val="0"/>
        <w:spacing w:before="240" w:after="283"/>
        <w:jc w:val="left"/>
        <w:rPr>
          <w:rFonts w:ascii="Arial" w:hAnsi="Arial"/>
          <w:color w:val="666666"/>
          <w:sz w:val="20"/>
        </w:rPr>
      </w:pPr>
      <w:r>
        <w:rPr>
          <w:rFonts w:ascii="Arial" w:hAnsi="Arial"/>
          <w:color w:val="666666"/>
          <w:sz w:val="20"/>
        </w:rPr>
        <w:t>All information in this release is as of March 31, 2026. The company undertakes no duty to update any forward-looking statement to conform the statement to actual results or changes in the company’s expectations.</w:t>
      </w:r>
    </w:p>
    <w:p>
      <w:pPr>
        <w:pStyle w:val="TextBody"/>
        <w:bidi w:val="0"/>
        <w:spacing w:before="240" w:after="283"/>
        <w:jc w:val="left"/>
        <w:rPr>
          <w:rFonts w:ascii="Times New Roman" w:hAnsi="Times New Roman"/>
          <w:sz w:val="20"/>
        </w:rPr>
      </w:pPr>
      <w:r>
        <w:rPr>
          <w:rFonts w:ascii="Arial" w:hAnsi="Arial"/>
          <w:b/>
          <w:color w:val="666666"/>
          <w:sz w:val="20"/>
        </w:rPr>
        <w:t>For more information, press only:</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Microsoft Media Relations, WE Communications for Microsoft, (425) 638-7777,</w:t>
      </w:r>
      <w:r>
        <w:rPr>
          <w:rFonts w:ascii="Times New Roman" w:hAnsi="Times New Roman"/>
          <w:color w:val="000000"/>
          <w:sz w:val="20"/>
        </w:rPr>
        <w:t xml:space="preserve"> </w:t>
      </w:r>
      <w:r>
        <w:rPr>
          <w:rFonts w:ascii="Arial" w:hAnsi="Arial"/>
          <w:color w:val="666666"/>
          <w:sz w:val="20"/>
          <w:u w:val="single"/>
        </w:rPr>
        <w:t>rrt@we-worldwide.com</w:t>
      </w:r>
      <w:r>
        <w:rPr>
          <w:rFonts w:ascii="Times New Roman" w:hAnsi="Times New Roman"/>
          <w:color w:val="4472C4"/>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666666"/>
          <w:sz w:val="20"/>
        </w:rPr>
        <w:t>For more information, financial analysts and investors only:</w:t>
      </w:r>
      <w:r>
        <w:rPr>
          <w:rFonts w:ascii="Times New Roman" w:hAnsi="Times New Roman"/>
          <w:color w:val="666666"/>
          <w:sz w:val="20"/>
        </w:rPr>
        <w:t xml:space="preserve"> </w:t>
      </w:r>
    </w:p>
    <w:p>
      <w:pPr>
        <w:pStyle w:val="TextBody"/>
        <w:bidi w:val="0"/>
        <w:spacing w:before="240" w:after="283"/>
        <w:jc w:val="left"/>
        <w:rPr>
          <w:rFonts w:ascii="Arial" w:hAnsi="Arial"/>
          <w:color w:val="666666"/>
          <w:sz w:val="20"/>
        </w:rPr>
      </w:pPr>
      <w:r>
        <w:rPr>
          <w:rFonts w:ascii="Arial" w:hAnsi="Arial"/>
          <w:color w:val="666666"/>
          <w:sz w:val="20"/>
        </w:rPr>
        <w:t>Jonathan Neilson, Vice President, Investor Relations, (425) 706-4400</w:t>
      </w:r>
    </w:p>
    <w:p>
      <w:pPr>
        <w:pStyle w:val="TextBody"/>
        <w:bidi w:val="0"/>
        <w:spacing w:before="240" w:after="283"/>
        <w:jc w:val="left"/>
        <w:rPr>
          <w:rFonts w:ascii="Times New Roman" w:hAnsi="Times New Roman"/>
          <w:sz w:val="20"/>
        </w:rPr>
      </w:pPr>
      <w:r>
        <w:rPr>
          <w:rFonts w:ascii="Arial" w:hAnsi="Arial"/>
          <w:color w:val="666666"/>
          <w:sz w:val="20"/>
        </w:rPr>
        <w:t xml:space="preserve">Note to editors: For more information, news and perspectives from Microsoft, please visit the Microsoft News Center at </w:t>
      </w:r>
      <w:r>
        <w:rPr>
          <w:rFonts w:ascii="Arial" w:hAnsi="Arial"/>
          <w:color w:val="666666"/>
          <w:sz w:val="20"/>
          <w:u w:val="single"/>
        </w:rPr>
        <w:t>http://www.microsoft.com/news</w:t>
      </w:r>
      <w:r>
        <w:rPr>
          <w:rFonts w:ascii="Arial" w:hAnsi="Arial"/>
          <w:color w:val="666666"/>
          <w:sz w:val="20"/>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hAnsi="Arial"/>
          <w:color w:val="666666"/>
          <w:sz w:val="20"/>
          <w:u w:val="single"/>
        </w:rPr>
        <w:t>http://www.microsoft.com/en-us/investor</w:t>
      </w:r>
      <w:r>
        <w:rPr>
          <w:rFonts w:ascii="Arial" w:hAnsi="Arial"/>
          <w:color w:val="666666"/>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666666"/>
          <w:sz w:val="20"/>
        </w:rPr>
      </w:pPr>
      <w:r>
        <w:rPr>
          <w:rFonts w:ascii="Arial" w:hAnsi="Arial"/>
          <w:b/>
          <w:color w:val="666666"/>
          <w:sz w:val="20"/>
        </w:rPr>
        <w:t>MICROSOFT CORPORATION</w:t>
      </w:r>
    </w:p>
    <w:p>
      <w:pPr>
        <w:pStyle w:val="TextBody"/>
        <w:bidi w:val="0"/>
        <w:jc w:val="left"/>
        <w:rPr/>
      </w:pPr>
      <w:r>
        <w:rPr/>
        <w:t> </w:t>
      </w:r>
    </w:p>
    <w:p>
      <w:pPr>
        <w:pStyle w:val="TextBody"/>
        <w:bidi w:val="0"/>
        <w:jc w:val="center"/>
        <w:rPr>
          <w:rFonts w:ascii="Arial" w:hAnsi="Arial"/>
          <w:color w:val="666666"/>
          <w:sz w:val="20"/>
        </w:rPr>
      </w:pPr>
      <w:r>
        <w:rPr>
          <w:rFonts w:ascii="Arial" w:hAnsi="Arial"/>
          <w:color w:val="666666"/>
          <w:sz w:val="20"/>
        </w:rPr>
        <w:t>INCOME STATEMENTS</w:t>
      </w:r>
    </w:p>
    <w:p>
      <w:pPr>
        <w:pStyle w:val="TextBody"/>
        <w:bidi w:val="0"/>
        <w:spacing w:before="120" w:after="283"/>
        <w:jc w:val="center"/>
        <w:rPr>
          <w:rFonts w:ascii="Arial" w:hAnsi="Arial"/>
          <w:color w:val="666666"/>
          <w:sz w:val="20"/>
        </w:rPr>
      </w:pPr>
      <w:r>
        <w:rPr>
          <w:rFonts w:ascii="Arial" w:hAnsi="Arial"/>
          <w:color w:val="666666"/>
          <w:sz w:val="20"/>
        </w:rPr>
        <w:t>(In millions, except per share amounts) (Unaudited)</w:t>
      </w:r>
    </w:p>
    <w:p>
      <w:pPr>
        <w:pStyle w:val="TextBody"/>
        <w:bidi w:val="0"/>
        <w:jc w:val="center"/>
        <w:rPr/>
      </w:pPr>
      <w:r>
        <w:rPr/>
        <w:t> </w:t>
      </w:r>
    </w:p>
    <w:tbl>
      <w:tblPr>
        <w:tblW w:w="7845" w:type="dxa"/>
        <w:jc w:val="left"/>
        <w:tblInd w:w="0" w:type="dxa"/>
        <w:tblLayout w:type="fixed"/>
        <w:tblCellMar>
          <w:top w:w="28" w:type="dxa"/>
          <w:left w:w="28" w:type="dxa"/>
          <w:bottom w:w="28" w:type="dxa"/>
          <w:right w:w="28" w:type="dxa"/>
        </w:tblCellMar>
      </w:tblPr>
      <w:tblGrid>
        <w:gridCol w:w="3451"/>
        <w:gridCol w:w="146"/>
        <w:gridCol w:w="934"/>
        <w:gridCol w:w="171"/>
        <w:gridCol w:w="934"/>
        <w:gridCol w:w="146"/>
        <w:gridCol w:w="796"/>
        <w:gridCol w:w="146"/>
        <w:gridCol w:w="112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br/>
              <w:t>March 31,</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$15,089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$47,462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$46,810</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67,797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54,747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194,370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158,473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82,886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70,066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241,832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205,283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10,187</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24,095</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18,882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67,689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53,630</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26,828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76,849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63,817</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56,058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48,147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164,983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141,466</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8,915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23,659</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6,814</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6,212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19,115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18,369</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5,233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38,398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32,000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114,634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94,205</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(3,194)</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39,340</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31,377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121,887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91,011</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16,412</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$31,778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$25,824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$97,983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$74,599</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$4.28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$10.03</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$9.99</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7,434</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7,445</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7,466</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COMPREHENSIVE INCOME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8526" w:type="dxa"/>
        <w:jc w:val="left"/>
        <w:tblInd w:w="0" w:type="dxa"/>
        <w:tblLayout w:type="fixed"/>
        <w:tblCellMar>
          <w:top w:w="28" w:type="dxa"/>
          <w:left w:w="28" w:type="dxa"/>
          <w:bottom w:w="28" w:type="dxa"/>
          <w:right w:w="28" w:type="dxa"/>
        </w:tblCellMar>
      </w:tblPr>
      <w:tblGrid>
        <w:gridCol w:w="4216"/>
        <w:gridCol w:w="146"/>
        <w:gridCol w:w="934"/>
        <w:gridCol w:w="171"/>
        <w:gridCol w:w="934"/>
        <w:gridCol w:w="146"/>
        <w:gridCol w:w="850"/>
        <w:gridCol w:w="156"/>
        <w:gridCol w:w="973"/>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$31,778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$25,824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$97,983</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$74,599</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1,130</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353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(377)</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757</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$31,252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$26,607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$98,102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$75,356</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BALANCE SHEETS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9"/>
        <w:gridCol w:w="986"/>
        <w:gridCol w:w="982"/>
        <w:gridCol w:w="146"/>
        <w:gridCol w:w="1172"/>
      </w:tblGrid>
      <w:tr>
        <w:trPr/>
        <w:tc>
          <w:tcPr>
            <w:tcW w:w="69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br/>
              <w:t>2025</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Cash and cash equivalents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$30,242</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46,167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64,323</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cash, cash equivalents, and short-term investments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78,272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94,565</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Accounts receivable, net of allowance for doubtful accounts of </w:t>
            </w:r>
            <w:r>
              <w:rPr>
                <w:rFonts w:ascii="Arial" w:hAnsi="Arial"/>
                <w:b/>
                <w:color w:val="666666"/>
                <w:sz w:val="20"/>
              </w:rPr>
              <w:t>$794</w:t>
            </w:r>
            <w:r>
              <w:rPr>
                <w:rFonts w:ascii="Times New Roman" w:hAnsi="Times New Roman"/>
                <w:color w:val="666666"/>
                <w:sz w:val="20"/>
              </w:rPr>
              <w:t> </w:t>
            </w:r>
            <w:r>
              <w:rPr>
                <w:rFonts w:ascii="Arial" w:hAnsi="Arial"/>
                <w:color w:val="666666"/>
                <w:sz w:val="20"/>
              </w:rPr>
              <w:t>and $944</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60,041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69,905</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Inventories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938</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25,723</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175,329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191,131</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666666"/>
                <w:sz w:val="20"/>
              </w:rPr>
              <w:t xml:space="preserve">Property and equipment, net of accumulated depreciation of </w:t>
            </w:r>
            <w:r>
              <w:rPr>
                <w:rFonts w:ascii="Arial" w:hAnsi="Arial"/>
                <w:b/>
                <w:color w:val="666666"/>
                <w:sz w:val="20"/>
              </w:rPr>
              <w:t xml:space="preserve">$111,723 </w:t>
            </w:r>
            <w:r>
              <w:rPr>
                <w:rFonts w:ascii="Arial" w:hAnsi="Arial"/>
                <w:color w:val="666666"/>
                <w:sz w:val="20"/>
              </w:rPr>
              <w:t>and $93,653</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204,966</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right-of-use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24,403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24,823</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Equity and other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15,405</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Goodwill</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119,661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119,509</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Intangible assets, net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22,604</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38,599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40,565</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$694,228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$619,003</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Accounts payable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$37,513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$27,724</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Current portion of long-term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2,999</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Accrued compensation</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11,270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13,709</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income taxes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7,211</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unearned revenue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50,924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64,555</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25,020</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136,661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141,218</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40,152</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27,941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25,986</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unearned revenue</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2,710</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Deferred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2,835</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17,437</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61,481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45,186</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279,861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275,524</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Commitments and contingencies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Common stock and paid-in capital - shares authorized 24,000; outstanding </w:t>
            </w:r>
            <w:r>
              <w:rPr>
                <w:rFonts w:ascii="Arial" w:hAnsi="Arial"/>
                <w:b/>
                <w:color w:val="595959"/>
                <w:sz w:val="20"/>
              </w:rPr>
              <w:t>7,429</w:t>
            </w:r>
            <w:r>
              <w:rPr>
                <w:rFonts w:ascii="Times New Roman" w:hAnsi="Times New Roman"/>
                <w:color w:val="666666"/>
                <w:sz w:val="20"/>
              </w:rPr>
              <w:t> </w:t>
            </w:r>
            <w:r>
              <w:rPr>
                <w:rFonts w:ascii="Arial" w:hAnsi="Arial"/>
                <w:color w:val="666666"/>
                <w:sz w:val="20"/>
              </w:rPr>
              <w:t>and 7,434</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115,069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109,095</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Retained earnings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302,526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237,731</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Accumulated other comprehensive loss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(3,347)</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414,367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343,479</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pPr>
            <w:r>
              <w:rPr/>
              <w:t> </w:t>
            </w:r>
          </w:p>
        </w:tc>
      </w:tr>
      <w:tr>
        <w:trPr/>
        <w:tc>
          <w:tcPr>
            <w:tcW w:w="6919"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$694,228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$619,003</w:t>
            </w:r>
          </w:p>
        </w:tc>
      </w:tr>
      <w:tr>
        <w:trPr/>
        <w:tc>
          <w:tcPr>
            <w:tcW w:w="6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CASH FLOWS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91"/>
        <w:gridCol w:w="146"/>
        <w:gridCol w:w="864"/>
        <w:gridCol w:w="156"/>
        <w:gridCol w:w="864"/>
        <w:gridCol w:w="146"/>
        <w:gridCol w:w="803"/>
        <w:gridCol w:w="146"/>
        <w:gridCol w:w="1389"/>
      </w:tblGrid>
      <w:tr>
        <w:trPr/>
        <w:tc>
          <w:tcPr>
            <w:tcW w:w="5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$31,778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$97,983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$74,599</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Depreciation, amortization,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10,167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20,116</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3,081</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8,901</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recognized losses (gains) on investments and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3,387</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2,602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9,539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(4,835)</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(4,707)</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8,347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5,598</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390</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758</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642</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(3,368)</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2,320</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1,221</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(12,923)</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2,296</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(1,081)</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576</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(1,616)</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292</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46,679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37,044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93,515</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 maturities of 90 days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(5,746)</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(3,216)</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1,508</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repurchased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(4,627)</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(4,781)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(17,692)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(13,874)</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(6,756)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(17,913)</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(509)</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(1,614)</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used in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(11,351)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(40,767)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(40,855)</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(80,146)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(47,472)</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Acquisition of companies, net of cash acquired and divestitures, and purchases of intangible and other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(258)</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(4,235)</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(12,006)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(8,144)</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Maturities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11,976</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6,721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30,424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11,461</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6,358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6,688</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(2,599)</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(9,445)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(325)</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used in investing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(27,405)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(84,669)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(42,027)</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Effect of foreign exchange rates on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(114)</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(120)</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7,809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10,513</w:t>
            </w:r>
          </w:p>
        </w:tc>
      </w:tr>
      <w:tr>
        <w:trPr/>
        <w:tc>
          <w:tcPr>
            <w:tcW w:w="56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24,296</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17,482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30,242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18,315</w:t>
            </w:r>
          </w:p>
        </w:tc>
      </w:tr>
      <w:tr>
        <w:trPr/>
        <w:tc>
          <w:tcPr>
            <w:tcW w:w="5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$28,828</w:t>
            </w:r>
          </w:p>
        </w:tc>
      </w:tr>
      <w:tr>
        <w:trPr/>
        <w:tc>
          <w:tcPr>
            <w:tcW w:w="5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Arial" w:hAnsi="Arial"/>
          <w:color w:val="666666"/>
          <w:sz w:val="20"/>
        </w:rPr>
      </w:pPr>
      <w:r>
        <w:rPr>
          <w:rFonts w:ascii="Arial" w:hAnsi="Arial"/>
          <w:color w:val="666666"/>
          <w:sz w:val="20"/>
        </w:rPr>
        <w:t>We have recast certain prior period amounts to conform to the current period presentation.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SEGMENT RESULTS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7910" w:type="dxa"/>
        <w:jc w:val="left"/>
        <w:tblInd w:w="0" w:type="dxa"/>
        <w:tblLayout w:type="fixed"/>
        <w:tblCellMar>
          <w:top w:w="28" w:type="dxa"/>
          <w:left w:w="28" w:type="dxa"/>
          <w:bottom w:w="28" w:type="dxa"/>
          <w:right w:w="28" w:type="dxa"/>
        </w:tblCellMar>
      </w:tblPr>
      <w:tblGrid>
        <w:gridCol w:w="3586"/>
        <w:gridCol w:w="146"/>
        <w:gridCol w:w="934"/>
        <w:gridCol w:w="171"/>
        <w:gridCol w:w="934"/>
        <w:gridCol w:w="146"/>
        <w:gridCol w:w="901"/>
        <w:gridCol w:w="146"/>
        <w:gridCol w:w="94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Productivity and Business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$35,013</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$29,944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$102,149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$87,698</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16,380</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7,843</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7,048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22,142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20,538</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$20,973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666666"/>
                <w:sz w:val="20"/>
              </w:rPr>
            </w:pPr>
            <w:r>
              <w:rPr>
                <w:rFonts w:ascii="Arial" w:hAnsi="Arial"/>
                <w:color w:val="666666"/>
                <w:sz w:val="20"/>
              </w:rPr>
              <w:t>$50,780</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$34,681</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$26,751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$98,485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$76,387</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15,120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28,326</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5,808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5,349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16,468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15,612</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$13,753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666666"/>
                <w:sz w:val="20"/>
              </w:rPr>
            </w:pPr>
            <w:r>
              <w:rPr>
                <w:rFonts w:ascii="Arial" w:hAnsi="Arial"/>
                <w:color w:val="666666"/>
                <w:sz w:val="20"/>
              </w:rPr>
              <w:t>$32,449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More Personal Computing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$13,192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$13,371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$41,198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$41,198</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19,111</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4,009</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3,750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11,739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11,111</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$3,672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$10,976</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$82,886</w:t>
            </w:r>
          </w:p>
        </w:tc>
        <w:tc>
          <w:tcPr>
            <w:tcW w:w="17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$70,066</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$241,832</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$205,283</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26,828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76,849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63,817</w:t>
            </w:r>
          </w:p>
        </w:tc>
      </w:tr>
      <w:tr>
        <w:trPr/>
        <w:tc>
          <w:tcPr>
            <w:tcW w:w="358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17,660</w:t>
            </w:r>
          </w:p>
        </w:tc>
        <w:tc>
          <w:tcPr>
            <w:tcW w:w="17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16,147</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50,349</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47,261</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$38,398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$114,634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$94,205</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3349</Words>
  <Characters>19546</Characters>
  <CharactersWithSpaces>23430</CharactersWithSpaces>
  <Paragraphs>2249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