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4685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68503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80" w:type="dxa"/>
            <w:vAlign w:val="bottom"/>
            <w:gridSpan w:val="2"/>
            <w:vMerge w:val="restart"/>
          </w:tcPr>
          <w:p>
            <w:pPr>
              <w:ind w:left="20"/>
              <w:spacing w:after="0"/>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Mason Mark</w:t>
              </w:r>
            </w:hyperlink>
          </w:p>
        </w:tc>
        <w:tc>
          <w:tcPr>
            <w:tcW w:w="1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Borders>
              <w:bottom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1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380" w:type="dxa"/>
            <w:vAlign w:val="bottom"/>
            <w:vMerge w:val="restart"/>
          </w:tcPr>
          <w:p>
            <w:pPr>
              <w:ind w:left="16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9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06/11/2026</w:t>
            </w:r>
          </w:p>
        </w:tc>
        <w:tc>
          <w:tcPr>
            <w:tcW w:w="20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920" w:type="dxa"/>
            <w:vAlign w:val="bottom"/>
            <w:gridSpan w:val="3"/>
            <w:vMerge w:val="continue"/>
          </w:tcPr>
          <w:p>
            <w:pPr>
              <w:spacing w:after="0"/>
              <w:rPr>
                <w:sz w:val="10"/>
                <w:szCs w:val="10"/>
                <w:color w:val="auto"/>
              </w:rPr>
            </w:pPr>
          </w:p>
        </w:tc>
        <w:tc>
          <w:tcPr>
            <w:tcW w:w="20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ONE MICROSOFT WAY</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6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98052-6399</w:t>
            </w: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9"/>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1,675</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0"/>
              </w:rPr>
              <w:t>Derivative</w:t>
            </w:r>
          </w:p>
        </w:tc>
        <w:tc>
          <w:tcPr>
            <w:tcW w:w="30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0.539</w:t>
            </w:r>
            <w:r>
              <w:rPr>
                <w:rFonts w:ascii="Times New Roman" w:cs="Times New Roman" w:eastAsia="Times New Roman" w:hAnsi="Times New Roman"/>
                <w:sz w:val="21"/>
                <w:szCs w:val="21"/>
                <w:color w:val="008000"/>
                <w:vertAlign w:val="superscript"/>
              </w:rPr>
              <w:t>(2)</w:t>
            </w:r>
          </w:p>
        </w:tc>
        <w:tc>
          <w:tcPr>
            <w:tcW w:w="30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0.539</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1"/>
              <w:spacing w:after="0" w:line="141" w:lineRule="exact"/>
              <w:rPr>
                <w:sz w:val="20"/>
                <w:szCs w:val="20"/>
                <w:color w:val="auto"/>
              </w:rPr>
            </w:pPr>
            <w:r>
              <w:rPr>
                <w:rFonts w:ascii="Times New Roman" w:cs="Times New Roman" w:eastAsia="Times New Roman" w:hAnsi="Times New Roman"/>
                <w:sz w:val="13"/>
                <w:szCs w:val="13"/>
                <w:color w:val="0000FF"/>
              </w:rPr>
              <w:t>06/11/2026</w:t>
            </w:r>
          </w:p>
        </w:tc>
        <w:tc>
          <w:tcPr>
            <w:tcW w:w="112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200"/>
              <w:spacing w:after="0" w:line="141" w:lineRule="exact"/>
              <w:rPr>
                <w:sz w:val="20"/>
                <w:szCs w:val="20"/>
                <w:color w:val="auto"/>
              </w:rPr>
            </w:pPr>
            <w:r>
              <w:rPr>
                <w:rFonts w:ascii="Times New Roman" w:cs="Times New Roman" w:eastAsia="Times New Roman" w:hAnsi="Times New Roman"/>
                <w:sz w:val="13"/>
                <w:szCs w:val="13"/>
                <w:color w:val="0000FF"/>
              </w:rPr>
              <w:t>231.801</w:t>
            </w: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-1840230</wp:posOffset>
            </wp:positionV>
            <wp:extent cx="29210" cy="1845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453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 rights accrue when and as dividends are paid on the Company's common stock and become exercisable proportionately with the restricted stock units to which they relate.</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on the first anniversary after the date of the reporting person's separation from service to the Board of Directors.</w:t>
      </w:r>
    </w:p>
    <w:p>
      <w:pPr>
        <w:ind w:left="6600"/>
        <w:spacing w:after="0" w:line="185" w:lineRule="auto"/>
        <w:rPr>
          <w:sz w:val="20"/>
          <w:szCs w:val="20"/>
          <w:color w:val="auto"/>
        </w:rPr>
      </w:pPr>
      <w:r>
        <w:rPr>
          <w:rFonts w:ascii="Times New Roman" w:cs="Times New Roman" w:eastAsia="Times New Roman" w:hAnsi="Times New Roman"/>
          <w:sz w:val="17"/>
          <w:szCs w:val="17"/>
          <w:color w:val="0000FF"/>
        </w:rPr>
        <w:t xml:space="preserve">Julia Stark, Attorney-in-fact for </w:t>
      </w:r>
      <w:r>
        <w:rPr>
          <w:rFonts w:ascii="Times New Roman" w:cs="Times New Roman" w:eastAsia="Times New Roman" w:hAnsi="Times New Roman"/>
          <w:sz w:val="33"/>
          <w:szCs w:val="33"/>
          <w:color w:val="0000FF"/>
          <w:vertAlign w:val="subscript"/>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430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Mark Mason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-20955</wp:posOffset>
            </wp:positionV>
            <wp:extent cx="5448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4483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3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87290"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2026-06-12T17:06:48Z</dcterms:created>
  <dcterms:modified xsi:type="dcterms:W3CDTF">2026-06-12T17:06:48Z</dcterms:modified>
</cp:coreProperties>
</file>