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80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001-37845</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8"/>
              </w:rPr>
              <w:t>91-1144442</w:t>
            </w:r>
          </w:p>
        </w:tc>
      </w:tr>
      <w:tr>
        <w:trPr>
          <w:trHeight w:val="148"/>
        </w:trPr>
        <w:tc>
          <w:tcPr>
            <w:tcW w:w="380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60" w:type="dxa"/>
            <w:vAlign w:val="bottom"/>
          </w:tcPr>
          <w:p>
            <w:pPr>
              <w:jc w:val="center"/>
              <w:ind w:left="1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8"/>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One Microsoft Way, Redmond, Washington</w:t>
            </w:r>
          </w:p>
        </w:tc>
        <w:tc>
          <w:tcPr>
            <w:tcW w:w="2140" w:type="dxa"/>
            <w:vAlign w:val="bottom"/>
          </w:tcPr>
          <w:p>
            <w:pPr>
              <w:spacing w:after="0"/>
              <w:rPr>
                <w:sz w:val="24"/>
                <w:szCs w:val="24"/>
                <w:color w:val="auto"/>
              </w:rPr>
            </w:pPr>
          </w:p>
        </w:tc>
        <w:tc>
          <w:tcPr>
            <w:tcW w:w="2860" w:type="dxa"/>
            <w:vAlign w:val="bottom"/>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rPr>
              <w:t>98052-6399</w:t>
            </w:r>
          </w:p>
        </w:tc>
      </w:tr>
    </w:tbl>
    <w:p>
      <w:pPr>
        <w:spacing w:after="0" w:line="153" w:lineRule="exact"/>
        <w:rPr>
          <w:sz w:val="24"/>
          <w:szCs w:val="24"/>
          <w:color w:val="auto"/>
        </w:rPr>
      </w:pPr>
    </w:p>
    <w:p>
      <w:pPr>
        <w:ind w:left="5384" w:hanging="438"/>
        <w:spacing w:after="0"/>
        <w:tabs>
          <w:tab w:leader="none" w:pos="53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882-8080</w:t>
      </w:r>
    </w:p>
    <w:p>
      <w:pPr>
        <w:spacing w:after="0" w:line="31" w:lineRule="exact"/>
        <w:rPr>
          <w:rFonts w:ascii="Times New Roman" w:cs="Times New Roman" w:eastAsia="Times New Roman" w:hAnsi="Times New Roman"/>
          <w:sz w:val="18"/>
          <w:szCs w:val="18"/>
          <w:b w:val="1"/>
          <w:bCs w:val="1"/>
          <w:color w:val="auto"/>
        </w:rPr>
      </w:pPr>
    </w:p>
    <w:p>
      <w:pPr>
        <w:ind w:left="4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$0.00000625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MSFT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3.125% Notes due 2028</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2.625% Notes due 2033</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Re-elected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jc w:val="both"/>
        <w:ind w:left="4" w:right="520"/>
        <w:spacing w:after="0" w:line="266" w:lineRule="auto"/>
        <w:rPr>
          <w:sz w:val="20"/>
          <w:szCs w:val="20"/>
          <w:color w:val="auto"/>
        </w:rPr>
      </w:pPr>
      <w:r>
        <w:rPr>
          <w:rFonts w:ascii="Times New Roman" w:cs="Times New Roman" w:eastAsia="Times New Roman" w:hAnsi="Times New Roman"/>
          <w:sz w:val="18"/>
          <w:szCs w:val="18"/>
          <w:color w:val="auto"/>
        </w:rPr>
        <w:t>On December 7, 2022, Microsoft Corporation (the “Company”) held its 2023 Annual Shareholders Meeting (the “Annual Meeting”). There were 7,429,030,596 shares of common stock entitled to be voted at the Annual Meeting, of which 6,340,975,646 were voted in person or by proxy. The results for each item submitted for a vote of shareholders are as follows. The shareholders:</w:t>
      </w:r>
    </w:p>
    <w:p>
      <w:pPr>
        <w:spacing w:after="0" w:line="176" w:lineRule="exact"/>
        <w:rPr>
          <w:sz w:val="20"/>
          <w:szCs w:val="20"/>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Voted to elect each of the twelve (12) nominees for director.</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w:t>
      </w:r>
    </w:p>
    <w:p>
      <w:pPr>
        <w:spacing w:after="0" w:line="225" w:lineRule="exact"/>
        <w:rPr>
          <w:rFonts w:ascii="Times New Roman" w:cs="Times New Roman" w:eastAsia="Times New Roman" w:hAnsi="Times New Roman"/>
          <w:sz w:val="18"/>
          <w:szCs w:val="18"/>
          <w:color w:val="auto"/>
        </w:rPr>
      </w:pPr>
    </w:p>
    <w:p>
      <w:pPr>
        <w:ind w:left="4" w:right="20" w:hanging="4"/>
        <w:spacing w:after="0" w:line="26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a frequency of every year for the Company’s advisory vote to approve the compensation of the Company’s named executive officers. Consistent with the recommendation of the Directors and the majority of votes cast, the Company has determined that future advisory votes to approve the compensation of the Company’s named executive officers will take place every year until the next advisory vote on the frequency of such votes, which will occur no later than the Company’s Annual Shareholders Meeting in 2029.</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Voted to ratify the appointment of Deloitte &amp; Touche LLP as the Company’s independent registered public accounting firm for fiscal year 2024.</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gender-based compensation and benefits gaps.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risk from omitting ideology in EEO Policy.</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government takedown requests.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risks of weapons development.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climate risks to retirement plan beneficiaries.</w:t>
      </w:r>
    </w:p>
    <w:p>
      <w:pPr>
        <w:spacing w:after="0" w:line="22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tax transparency.</w:t>
      </w:r>
    </w:p>
    <w:p>
      <w:pPr>
        <w:spacing w:after="0" w:line="22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data operations in human rights hotspots.</w:t>
      </w:r>
    </w:p>
    <w:p>
      <w:pPr>
        <w:spacing w:after="0" w:line="22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mandate for third-party political reporting.</w:t>
      </w:r>
    </w:p>
    <w:p>
      <w:pPr>
        <w:spacing w:after="0" w:line="22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artificial intelligence misinformation and disinformation.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Company’s inspector of election certified the following vote tabulations: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3"/>
                <w:szCs w:val="13"/>
                <w:color w:val="auto"/>
              </w:rPr>
            </w:pPr>
          </w:p>
        </w:tc>
        <w:tc>
          <w:tcPr>
            <w:tcW w:w="8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 Results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Votes</w:t>
            </w:r>
          </w:p>
        </w:tc>
        <w:tc>
          <w:tcPr>
            <w:tcW w:w="40" w:type="dxa"/>
            <w:vAlign w:val="bottom"/>
          </w:tcPr>
          <w:p>
            <w:pPr>
              <w:spacing w:after="0"/>
              <w:rPr>
                <w:sz w:val="13"/>
                <w:szCs w:val="13"/>
                <w:color w:val="auto"/>
              </w:rPr>
            </w:pPr>
          </w:p>
        </w:tc>
        <w:tc>
          <w:tcPr>
            <w:tcW w:w="12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For</w:t>
            </w:r>
          </w:p>
        </w:tc>
        <w:tc>
          <w:tcPr>
            <w:tcW w:w="40" w:type="dxa"/>
            <w:vAlign w:val="bottom"/>
          </w:tcPr>
          <w:p>
            <w:pPr>
              <w:spacing w:after="0"/>
              <w:rPr>
                <w:sz w:val="13"/>
                <w:szCs w:val="13"/>
                <w:color w:val="auto"/>
              </w:rPr>
            </w:pPr>
          </w:p>
        </w:tc>
        <w:tc>
          <w:tcPr>
            <w:tcW w:w="10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0" w:type="dxa"/>
            <w:vAlign w:val="bottom"/>
          </w:tcPr>
          <w:p>
            <w:pPr>
              <w:spacing w:after="0"/>
              <w:rPr>
                <w:sz w:val="13"/>
                <w:szCs w:val="13"/>
                <w:color w:val="auto"/>
              </w:rPr>
            </w:pPr>
          </w:p>
        </w:tc>
        <w:tc>
          <w:tcPr>
            <w:tcW w:w="1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0" w:type="dxa"/>
            <w:vAlign w:val="bottom"/>
          </w:tcPr>
          <w:p>
            <w:pPr>
              <w:spacing w:after="0"/>
              <w:rPr>
                <w:sz w:val="13"/>
                <w:szCs w:val="13"/>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4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720" w:type="dxa"/>
            <w:vAlign w:val="bottom"/>
            <w:gridSpan w:val="3"/>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Reid G. Hoffman</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Re-elected</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3"/>
              </w:rPr>
              <w:t>99.30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5,099,793,186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35,610,548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14,472,280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Hugh F. Johnston</w:t>
            </w:r>
          </w:p>
        </w:tc>
        <w:tc>
          <w:tcPr>
            <w:tcW w:w="100" w:type="dxa"/>
            <w:vAlign w:val="bottom"/>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91.29</w:t>
            </w:r>
          </w:p>
        </w:tc>
        <w:tc>
          <w:tcPr>
            <w:tcW w:w="1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4,693,142,780</w:t>
            </w:r>
          </w:p>
        </w:tc>
        <w:tc>
          <w:tcPr>
            <w:tcW w:w="1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447,707,365</w:t>
            </w: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9,025,869</w:t>
            </w:r>
          </w:p>
        </w:tc>
        <w:tc>
          <w:tcPr>
            <w:tcW w:w="1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Teri L. List</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5,037,999,367</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103,082,084</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8,794,563</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Catherine MacGregor</w:t>
            </w:r>
          </w:p>
        </w:tc>
        <w:tc>
          <w:tcPr>
            <w:tcW w:w="100" w:type="dxa"/>
            <w:vAlign w:val="bottom"/>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Elected</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99.77</w:t>
            </w:r>
          </w:p>
        </w:tc>
        <w:tc>
          <w:tcPr>
            <w:tcW w:w="1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5,129,394,127</w:t>
            </w:r>
          </w:p>
        </w:tc>
        <w:tc>
          <w:tcPr>
            <w:tcW w:w="1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11,706,923</w:t>
            </w: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8,774,964</w:t>
            </w:r>
          </w:p>
        </w:tc>
        <w:tc>
          <w:tcPr>
            <w:tcW w:w="1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L. Mason</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Elected</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99.78</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5,129,864,831</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10,925,164</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9,086,019</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Satya Nadella</w:t>
            </w:r>
          </w:p>
        </w:tc>
        <w:tc>
          <w:tcPr>
            <w:tcW w:w="100" w:type="dxa"/>
            <w:vAlign w:val="bottom"/>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94.36</w:t>
            </w:r>
          </w:p>
        </w:tc>
        <w:tc>
          <w:tcPr>
            <w:tcW w:w="1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4,838,647,785</w:t>
            </w:r>
          </w:p>
        </w:tc>
        <w:tc>
          <w:tcPr>
            <w:tcW w:w="1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289,118,177</w:t>
            </w: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22,110,052</w:t>
            </w:r>
          </w:p>
        </w:tc>
        <w:tc>
          <w:tcPr>
            <w:tcW w:w="1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98.13</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5,045,355,824</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95,982,672</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8,537,518</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Penny S. Pritzker</w:t>
            </w:r>
          </w:p>
        </w:tc>
        <w:tc>
          <w:tcPr>
            <w:tcW w:w="100" w:type="dxa"/>
            <w:vAlign w:val="bottom"/>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99.61</w:t>
            </w:r>
          </w:p>
        </w:tc>
        <w:tc>
          <w:tcPr>
            <w:tcW w:w="1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5,121,255,514</w:t>
            </w:r>
          </w:p>
        </w:tc>
        <w:tc>
          <w:tcPr>
            <w:tcW w:w="1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19,710,256</w:t>
            </w: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8,910,244</w:t>
            </w:r>
          </w:p>
        </w:tc>
        <w:tc>
          <w:tcPr>
            <w:tcW w:w="1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A. Rodriguez</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97.32</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5,003,573,390</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137,421,562</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8,881,062</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Charles W. Scharf</w:t>
            </w:r>
          </w:p>
        </w:tc>
        <w:tc>
          <w:tcPr>
            <w:tcW w:w="100" w:type="dxa"/>
            <w:vAlign w:val="bottom"/>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98.48</w:t>
            </w:r>
          </w:p>
        </w:tc>
        <w:tc>
          <w:tcPr>
            <w:tcW w:w="1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5,062,612,671</w:t>
            </w:r>
          </w:p>
        </w:tc>
        <w:tc>
          <w:tcPr>
            <w:tcW w:w="1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78,115,873</w:t>
            </w: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9,147,470</w:t>
            </w:r>
          </w:p>
        </w:tc>
        <w:tc>
          <w:tcPr>
            <w:tcW w:w="1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 Stanton</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99.49</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5,115,129,701</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25,719,893</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9,026,420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Emma N. Walmsley</w:t>
            </w:r>
          </w:p>
        </w:tc>
        <w:tc>
          <w:tcPr>
            <w:tcW w:w="100" w:type="dxa"/>
            <w:vAlign w:val="bottom"/>
          </w:tcPr>
          <w:p>
            <w:pPr>
              <w:spacing w:after="0"/>
              <w:rPr>
                <w:sz w:val="20"/>
                <w:szCs w:val="20"/>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Re-elected</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99.02</w:t>
            </w:r>
          </w:p>
        </w:tc>
        <w:tc>
          <w:tcPr>
            <w:tcW w:w="12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5,091,160,704</w:t>
            </w:r>
          </w:p>
        </w:tc>
        <w:tc>
          <w:tcPr>
            <w:tcW w:w="1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49,967,509</w:t>
            </w:r>
          </w:p>
        </w:tc>
        <w:tc>
          <w:tcPr>
            <w:tcW w:w="1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8,747,801</w:t>
            </w:r>
          </w:p>
        </w:tc>
        <w:tc>
          <w:tcPr>
            <w:tcW w:w="14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70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40" w:type="dxa"/>
            <w:vAlign w:val="bottom"/>
          </w:tcPr>
          <w:p>
            <w:pPr>
              <w:spacing w:after="0"/>
              <w:rPr>
                <w:sz w:val="24"/>
                <w:szCs w:val="24"/>
                <w:color w:val="auto"/>
              </w:rPr>
            </w:pPr>
          </w:p>
        </w:tc>
        <w:tc>
          <w:tcPr>
            <w:tcW w:w="10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0" w:type="dxa"/>
            <w:vAlign w:val="bottom"/>
          </w:tcPr>
          <w:p>
            <w:pPr>
              <w:spacing w:after="0"/>
              <w:rPr>
                <w:sz w:val="24"/>
                <w:szCs w:val="24"/>
                <w:color w:val="auto"/>
              </w:rPr>
            </w:pPr>
          </w:p>
        </w:tc>
        <w:tc>
          <w:tcPr>
            <w:tcW w:w="10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0" w:type="dxa"/>
            <w:vAlign w:val="bottom"/>
          </w:tcPr>
          <w:p>
            <w:pPr>
              <w:spacing w:after="0"/>
              <w:rPr>
                <w:sz w:val="24"/>
                <w:szCs w:val="24"/>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4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Approved</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93.77</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4,806,802,798</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318,924,533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24,148,683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Advisory vote on the frequency of future advisory votes on executive compensation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11"/>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One year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Two years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11"/>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11"/>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5,069,287,701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6,534,144</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64,434,058</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9,620,111</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360" w:type="dxa"/>
            <w:vAlign w:val="bottom"/>
            <w:gridSpan w:val="16"/>
          </w:tcPr>
          <w:p>
            <w:pPr>
              <w:jc w:val="right"/>
              <w:ind w:right="20"/>
              <w:spacing w:after="0"/>
              <w:rPr>
                <w:sz w:val="20"/>
                <w:szCs w:val="20"/>
                <w:color w:val="auto"/>
              </w:rPr>
            </w:pPr>
            <w:r>
              <w:rPr>
                <w:rFonts w:ascii="Times New Roman" w:cs="Times New Roman" w:eastAsia="Times New Roman" w:hAnsi="Times New Roman"/>
                <w:sz w:val="18"/>
                <w:szCs w:val="18"/>
                <w:color w:val="auto"/>
              </w:rPr>
              <w:t>98.61%</w:t>
            </w:r>
          </w:p>
        </w:tc>
        <w:tc>
          <w:tcPr>
            <w:tcW w:w="11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520" w:type="dxa"/>
            <w:vAlign w:val="bottom"/>
            <w:gridSpan w:val="17"/>
          </w:tcPr>
          <w:p>
            <w:pPr>
              <w:ind w:left="44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 for Fisal Year 2023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9"/>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9"/>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Approved</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95.27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6,030,931,368</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5"/>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298,788,648</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11,255,630</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7620" w:type="dxa"/>
            <w:vAlign w:val="bottom"/>
            <w:gridSpan w:val="24"/>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Report on Gender-Based Compensation and Benefit Gaps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8"/>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8"/>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51,642,120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5,052,638,933</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45,594,961</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6520" w:type="dxa"/>
            <w:vAlign w:val="bottom"/>
            <w:gridSpan w:val="17"/>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Report on Risk from Omitting Ideology in EEO Policy</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8"/>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8"/>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0.81</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41,683,792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5,060,353,508</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47,838,714</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6520" w:type="dxa"/>
            <w:vAlign w:val="bottom"/>
            <w:gridSpan w:val="17"/>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Report on Government Takedown Requests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8"/>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8"/>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1.78</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90,459,645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4,990,487,197</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68,929,172</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6520" w:type="dxa"/>
            <w:vAlign w:val="bottom"/>
            <w:gridSpan w:val="17"/>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Report on Risks of Weapons Development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10"/>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10"/>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3"/>
            <w:shd w:val="clear" w:color="auto" w:fill="CCEEFF"/>
          </w:tcPr>
          <w:p>
            <w:pPr>
              <w:spacing w:after="0"/>
              <w:rPr>
                <w:sz w:val="17"/>
                <w:szCs w:val="17"/>
                <w:color w:val="auto"/>
              </w:rPr>
            </w:pPr>
          </w:p>
        </w:tc>
        <w:tc>
          <w:tcPr>
            <w:tcW w:w="7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15.19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772,125,694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4,309,033,970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68,716,350</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7620" w:type="dxa"/>
            <w:vAlign w:val="bottom"/>
            <w:gridSpan w:val="24"/>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Report on Climate Risks to Retirement Plan Beneficiaries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10"/>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10"/>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3"/>
            <w:shd w:val="clear" w:color="auto" w:fill="CCEEFF"/>
          </w:tcPr>
          <w:p>
            <w:pPr>
              <w:spacing w:after="0"/>
              <w:rPr>
                <w:sz w:val="17"/>
                <w:szCs w:val="17"/>
                <w:color w:val="auto"/>
              </w:rPr>
            </w:pPr>
          </w:p>
        </w:tc>
        <w:tc>
          <w:tcPr>
            <w:tcW w:w="7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451,480,750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4,624,893,737</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73,501,527</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Report on Tax Transparency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1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1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240" w:type="dxa"/>
            <w:vAlign w:val="bottom"/>
            <w:tcBorders>
              <w:top w:val="single" w:sz="8" w:color="CCEEFF"/>
            </w:tcBorders>
            <w:gridSpan w:val="3"/>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21.25</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100" w:type="dxa"/>
            <w:vAlign w:val="bottom"/>
            <w:tcBorders>
              <w:top w:val="single" w:sz="8" w:color="auto"/>
            </w:tcBorders>
            <w:gridSpan w:val="9"/>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1,087,190,237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4,026,777,970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35,907,807</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Shareholder Proposal: Report on Data Operations in Human Rights Hotspots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20" w:type="dxa"/>
            <w:vAlign w:val="bottom"/>
          </w:tcPr>
          <w:p>
            <w:pPr>
              <w:spacing w:after="0"/>
              <w:rPr>
                <w:sz w:val="13"/>
                <w:szCs w:val="13"/>
                <w:color w:val="auto"/>
              </w:rPr>
            </w:pPr>
          </w:p>
        </w:tc>
        <w:tc>
          <w:tcPr>
            <w:tcW w:w="9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140" w:type="dxa"/>
            <w:vAlign w:val="bottom"/>
          </w:tcPr>
          <w:p>
            <w:pPr>
              <w:spacing w:after="0"/>
              <w:rPr>
                <w:sz w:val="13"/>
                <w:szCs w:val="13"/>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1,696,197,226</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3,355,297,882</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98,380,906</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32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Mandate for Third-Party Political Reporting</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140" w:type="dxa"/>
            <w:vAlign w:val="bottom"/>
          </w:tcPr>
          <w:p>
            <w:pPr>
              <w:spacing w:after="0"/>
              <w:rPr>
                <w:sz w:val="24"/>
                <w:szCs w:val="24"/>
                <w:color w:val="auto"/>
              </w:rPr>
            </w:pPr>
          </w:p>
        </w:tc>
        <w:tc>
          <w:tcPr>
            <w:tcW w:w="11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260" w:type="dxa"/>
            <w:vAlign w:val="bottom"/>
            <w:tcBorders>
              <w:top w:val="single" w:sz="8" w:color="CCEEFF"/>
            </w:tcBorders>
            <w:gridSpan w:val="3"/>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273,315,956</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4,815,602,915</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60,957,143</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632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Shareholder Proposal: Report on AI Misinformation and Disinformation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20" w:type="dxa"/>
            <w:vAlign w:val="bottom"/>
          </w:tcPr>
          <w:p>
            <w:pPr>
              <w:spacing w:after="0"/>
              <w:rPr>
                <w:sz w:val="24"/>
                <w:szCs w:val="24"/>
                <w:color w:val="auto"/>
              </w:rPr>
            </w:pPr>
          </w:p>
        </w:tc>
        <w:tc>
          <w:tcPr>
            <w:tcW w:w="9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140" w:type="dxa"/>
            <w:vAlign w:val="bottom"/>
          </w:tcPr>
          <w:p>
            <w:pPr>
              <w:spacing w:after="0"/>
              <w:rPr>
                <w:sz w:val="24"/>
                <w:szCs w:val="24"/>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21.16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1,075,050,578</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4,003,579,250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71,246,186</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1,191,099,632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auto"/>
        </w:rPr>
        <w:t>Date: December 8, 2023</w:t>
      </w:r>
      <w:r>
        <w:rPr>
          <w:sz w:val="20"/>
          <w:szCs w:val="20"/>
          <w:color w:val="auto"/>
        </w:rPr>
        <w:tab/>
      </w:r>
      <w:r>
        <w:rPr>
          <w:rFonts w:ascii="Times New Roman" w:cs="Times New Roman" w:eastAsia="Times New Roman" w:hAnsi="Times New Roman"/>
          <w:sz w:val="18"/>
          <w:szCs w:val="18"/>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Keith R. Dolliver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2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2023-12-08T15:36:13Z</dcterms:created>
  <dcterms:modified xsi:type="dcterms:W3CDTF">2023-12-08T15:36:13Z</dcterms:modified>
</cp:coreProperties>
</file>