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152400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11-K</w:t>
      </w:r>
    </w:p>
    <w:p>
      <w:pPr>
        <w:spacing w:after="0" w:line="243" w:lineRule="exact"/>
        <w:rPr>
          <w:sz w:val="24"/>
          <w:szCs w:val="24"/>
          <w:color w:val="auto"/>
        </w:rPr>
      </w:pPr>
    </w:p>
    <w:p>
      <w:pPr>
        <w:ind w:left="3640" w:right="1419" w:hanging="1100"/>
        <w:spacing w:after="0" w:line="261" w:lineRule="auto"/>
        <w:tabs>
          <w:tab w:leader="none" w:pos="278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7"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For the fiscal year ended December 31, 2021</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OR</w:t>
      </w:r>
    </w:p>
    <w:p>
      <w:pPr>
        <w:spacing w:after="0" w:line="211" w:lineRule="exact"/>
        <w:rPr>
          <w:sz w:val="24"/>
          <w:szCs w:val="24"/>
          <w:color w:val="auto"/>
        </w:rPr>
      </w:pPr>
    </w:p>
    <w:p>
      <w:pPr>
        <w:ind w:left="3400" w:right="1459" w:hanging="818"/>
        <w:spacing w:after="0" w:line="261" w:lineRule="auto"/>
        <w:tabs>
          <w:tab w:leader="none" w:pos="2837"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57" w:lineRule="exact"/>
        <w:rPr>
          <w:sz w:val="24"/>
          <w:szCs w:val="24"/>
          <w:color w:val="auto"/>
        </w:rPr>
      </w:pPr>
    </w:p>
    <w:p>
      <w:pPr>
        <w:ind w:left="3380"/>
        <w:spacing w:after="0"/>
        <w:tabs>
          <w:tab w:leader="none" w:pos="696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ind w:left="4020"/>
        <w:spacing w:after="0"/>
        <w:rPr>
          <w:sz w:val="20"/>
          <w:szCs w:val="20"/>
          <w:color w:val="auto"/>
        </w:rPr>
      </w:pPr>
      <w:r>
        <w:rPr>
          <w:rFonts w:ascii="Arial" w:cs="Arial" w:eastAsia="Arial" w:hAnsi="Arial"/>
          <w:sz w:val="20"/>
          <w:szCs w:val="20"/>
          <w:color w:val="auto"/>
        </w:rPr>
        <w:t>Commission File Number 001-37845</w:t>
      </w:r>
    </w:p>
    <w:p>
      <w:pPr>
        <w:spacing w:after="0" w:line="108" w:lineRule="exact"/>
        <w:rPr>
          <w:sz w:val="24"/>
          <w:szCs w:val="24"/>
          <w:color w:val="auto"/>
        </w:rPr>
      </w:pPr>
    </w:p>
    <w:p>
      <w:pPr>
        <w:ind w:left="660" w:hanging="544"/>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 title of the plan and the address of the plan, if different from that of the issuer named below:</w:t>
      </w:r>
    </w:p>
    <w:p>
      <w:pPr>
        <w:spacing w:after="0" w:line="173" w:lineRule="exact"/>
        <w:rPr>
          <w:rFonts w:ascii="Arial" w:cs="Arial" w:eastAsia="Arial" w:hAnsi="Arial"/>
          <w:sz w:val="20"/>
          <w:szCs w:val="20"/>
          <w:color w:val="auto"/>
        </w:rPr>
      </w:pPr>
    </w:p>
    <w:p>
      <w:pPr>
        <w:ind w:left="2140"/>
        <w:spacing w:after="0"/>
        <w:rPr>
          <w:rFonts w:ascii="Arial" w:cs="Arial" w:eastAsia="Arial" w:hAnsi="Arial"/>
          <w:sz w:val="20"/>
          <w:szCs w:val="20"/>
          <w:color w:val="auto"/>
        </w:rPr>
      </w:pPr>
      <w:r>
        <w:rPr>
          <w:rFonts w:ascii="Arial" w:cs="Arial" w:eastAsia="Arial" w:hAnsi="Arial"/>
          <w:sz w:val="22"/>
          <w:szCs w:val="22"/>
          <w:b w:val="1"/>
          <w:bCs w:val="1"/>
          <w:color w:val="auto"/>
        </w:rPr>
        <w:t>MICROSOFT CORPORATION EMPLOYEE STOCK PURCHASE PLAN</w:t>
      </w:r>
    </w:p>
    <w:p>
      <w:pPr>
        <w:spacing w:after="0" w:line="261" w:lineRule="exact"/>
        <w:rPr>
          <w:rFonts w:ascii="Arial" w:cs="Arial" w:eastAsia="Arial" w:hAnsi="Arial"/>
          <w:sz w:val="20"/>
          <w:szCs w:val="20"/>
          <w:color w:val="auto"/>
        </w:rPr>
      </w:pPr>
    </w:p>
    <w:p>
      <w:pPr>
        <w:ind w:left="660" w:hanging="544"/>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Name of issuer of the securities held pursuant to the plan and the address of its principal executive office:</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Microsoft Corporation</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One Microsoft Way</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Redmond, Washington 98052-6399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565785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608965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MICROSOFT CORPORATION</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 STOCK PURCHASE PLAN</w:t>
      </w:r>
    </w:p>
    <w:p>
      <w:pPr>
        <w:jc w:val="center"/>
        <w:ind w:right="-119"/>
        <w:spacing w:after="0"/>
        <w:rPr>
          <w:sz w:val="20"/>
          <w:szCs w:val="20"/>
          <w:color w:val="auto"/>
        </w:rPr>
      </w:pPr>
      <w:r>
        <w:rPr>
          <w:rFonts w:ascii="Arial" w:cs="Arial" w:eastAsia="Arial" w:hAnsi="Arial"/>
          <w:sz w:val="18"/>
          <w:szCs w:val="18"/>
          <w:b w:val="1"/>
          <w:bCs w:val="1"/>
          <w:color w:val="auto"/>
        </w:rPr>
        <w:t>FORM 11-K</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ind w:left="360"/>
              <w:spacing w:after="0"/>
              <w:rPr>
                <w:sz w:val="20"/>
                <w:szCs w:val="20"/>
                <w:color w:val="auto"/>
              </w:rPr>
            </w:pPr>
            <w:r>
              <w:rPr>
                <w:rFonts w:ascii="Arial" w:cs="Arial" w:eastAsia="Arial" w:hAnsi="Arial"/>
                <w:sz w:val="18"/>
                <w:szCs w:val="18"/>
                <w:b w:val="1"/>
                <w:bCs w:val="1"/>
                <w:color w:val="auto"/>
                <w:w w:val="92"/>
              </w:rPr>
              <w:t>Page</w:t>
            </w:r>
          </w:p>
        </w:tc>
      </w:tr>
      <w:tr>
        <w:trPr>
          <w:trHeight w:val="270"/>
        </w:trPr>
        <w:tc>
          <w:tcPr>
            <w:tcW w:w="46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Report of Independent Registered Public Accounting Firm</w:t>
              </w:r>
            </w:hyperlink>
          </w:p>
        </w:tc>
        <w:tc>
          <w:tcPr>
            <w:tcW w:w="5620" w:type="dxa"/>
            <w:vAlign w:val="bottom"/>
            <w:gridSpan w:val="4"/>
          </w:tcPr>
          <w:p>
            <w:pPr>
              <w:spacing w:after="0"/>
              <w:rPr>
                <w:sz w:val="23"/>
                <w:szCs w:val="23"/>
                <w:color w:val="auto"/>
              </w:rPr>
            </w:pPr>
          </w:p>
        </w:tc>
        <w:tc>
          <w:tcPr>
            <w:tcW w:w="780" w:type="dxa"/>
            <w:vAlign w:val="bottom"/>
          </w:tcPr>
          <w:p>
            <w:pPr>
              <w:jc w:val="center"/>
              <w:ind w:left="270"/>
              <w:spacing w:after="0"/>
              <w:rPr>
                <w:sz w:val="20"/>
                <w:szCs w:val="20"/>
                <w:color w:val="auto"/>
              </w:rPr>
            </w:pPr>
            <w:r>
              <w:rPr>
                <w:rFonts w:ascii="Arial" w:cs="Arial" w:eastAsia="Arial" w:hAnsi="Arial"/>
                <w:sz w:val="18"/>
                <w:szCs w:val="18"/>
                <w:color w:val="auto"/>
                <w:w w:val="99"/>
              </w:rPr>
              <w:t>1</w:t>
            </w:r>
          </w:p>
        </w:tc>
      </w:tr>
      <w:tr>
        <w:trPr>
          <w:trHeight w:val="439"/>
        </w:trPr>
        <w:tc>
          <w:tcPr>
            <w:tcW w:w="1022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556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Statements of Financial Condition as of December 31, 2021 and 2020</w:t>
              </w:r>
            </w:hyperlink>
          </w:p>
        </w:tc>
        <w:tc>
          <w:tcPr>
            <w:tcW w:w="4300" w:type="dxa"/>
            <w:vAlign w:val="bottom"/>
            <w:gridSpan w:val="2"/>
          </w:tcPr>
          <w:p>
            <w:pPr>
              <w:spacing w:after="0"/>
              <w:rPr>
                <w:sz w:val="24"/>
                <w:szCs w:val="24"/>
                <w:color w:val="auto"/>
              </w:rPr>
            </w:pPr>
          </w:p>
        </w:tc>
        <w:tc>
          <w:tcPr>
            <w:tcW w:w="780" w:type="dxa"/>
            <w:vAlign w:val="bottom"/>
          </w:tcPr>
          <w:p>
            <w:pPr>
              <w:jc w:val="center"/>
              <w:ind w:left="270"/>
              <w:spacing w:after="0"/>
              <w:rPr>
                <w:sz w:val="20"/>
                <w:szCs w:val="20"/>
                <w:color w:val="auto"/>
              </w:rPr>
            </w:pPr>
            <w:r>
              <w:rPr>
                <w:rFonts w:ascii="Arial" w:cs="Arial" w:eastAsia="Arial" w:hAnsi="Arial"/>
                <w:sz w:val="18"/>
                <w:szCs w:val="18"/>
                <w:color w:val="auto"/>
                <w:w w:val="99"/>
              </w:rPr>
              <w:t>2</w:t>
            </w:r>
          </w:p>
        </w:tc>
      </w:tr>
      <w:tr>
        <w:trPr>
          <w:trHeight w:val="398"/>
        </w:trPr>
        <w:tc>
          <w:tcPr>
            <w:tcW w:w="360" w:type="dxa"/>
            <w:vAlign w:val="bottom"/>
          </w:tcPr>
          <w:p>
            <w:pPr>
              <w:spacing w:after="0"/>
              <w:rPr>
                <w:sz w:val="24"/>
                <w:szCs w:val="24"/>
                <w:color w:val="auto"/>
              </w:rPr>
            </w:pPr>
          </w:p>
        </w:tc>
        <w:tc>
          <w:tcPr>
            <w:tcW w:w="986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Income and Changes in Plan Equity for Each of the Three Years in the Period Ended December 31, 2021</w:t>
              </w:r>
            </w:hyperlink>
          </w:p>
        </w:tc>
        <w:tc>
          <w:tcPr>
            <w:tcW w:w="780" w:type="dxa"/>
            <w:vAlign w:val="bottom"/>
          </w:tcPr>
          <w:p>
            <w:pPr>
              <w:jc w:val="center"/>
              <w:ind w:left="270"/>
              <w:spacing w:after="0"/>
              <w:rPr>
                <w:sz w:val="20"/>
                <w:szCs w:val="20"/>
                <w:color w:val="auto"/>
              </w:rPr>
            </w:pPr>
            <w:r>
              <w:rPr>
                <w:rFonts w:ascii="Arial" w:cs="Arial" w:eastAsia="Arial" w:hAnsi="Arial"/>
                <w:sz w:val="18"/>
                <w:szCs w:val="18"/>
                <w:color w:val="auto"/>
                <w:w w:val="99"/>
              </w:rPr>
              <w:t>3</w:t>
            </w:r>
          </w:p>
        </w:tc>
      </w:tr>
      <w:tr>
        <w:trPr>
          <w:trHeight w:val="398"/>
        </w:trPr>
        <w:tc>
          <w:tcPr>
            <w:tcW w:w="36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Notes to Financial Statements</w:t>
              </w:r>
            </w:hyperlink>
          </w:p>
        </w:tc>
        <w:tc>
          <w:tcPr>
            <w:tcW w:w="7120" w:type="dxa"/>
            <w:vAlign w:val="bottom"/>
            <w:tcBorders>
              <w:top w:val="single" w:sz="8" w:color="0000EE"/>
            </w:tcBorders>
            <w:gridSpan w:val="4"/>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center"/>
              <w:ind w:left="270"/>
              <w:spacing w:after="0"/>
              <w:rPr>
                <w:sz w:val="20"/>
                <w:szCs w:val="20"/>
                <w:color w:val="auto"/>
              </w:rPr>
            </w:pPr>
            <w:r>
              <w:rPr>
                <w:rFonts w:ascii="Arial" w:cs="Arial" w:eastAsia="Arial" w:hAnsi="Arial"/>
                <w:sz w:val="18"/>
                <w:szCs w:val="18"/>
                <w:color w:val="auto"/>
                <w:w w:val="99"/>
              </w:rPr>
              <w:t>4–5</w:t>
            </w:r>
          </w:p>
        </w:tc>
      </w:tr>
      <w:tr>
        <w:trPr>
          <w:trHeight w:val="398"/>
        </w:trPr>
        <w:tc>
          <w:tcPr>
            <w:tcW w:w="1022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Signature</w:t>
              </w:r>
            </w:hyperlink>
          </w:p>
        </w:tc>
        <w:tc>
          <w:tcPr>
            <w:tcW w:w="780" w:type="dxa"/>
            <w:vAlign w:val="bottom"/>
          </w:tcPr>
          <w:p>
            <w:pPr>
              <w:jc w:val="center"/>
              <w:ind w:left="270"/>
              <w:spacing w:after="0"/>
              <w:rPr>
                <w:sz w:val="20"/>
                <w:szCs w:val="20"/>
                <w:color w:val="auto"/>
              </w:rPr>
            </w:pPr>
            <w:r>
              <w:rPr>
                <w:rFonts w:ascii="Arial" w:cs="Arial" w:eastAsia="Arial" w:hAnsi="Arial"/>
                <w:sz w:val="18"/>
                <w:szCs w:val="18"/>
                <w:color w:val="auto"/>
                <w:w w:val="99"/>
              </w:rPr>
              <w:t>6</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8"/>
        </w:trPr>
        <w:tc>
          <w:tcPr>
            <w:tcW w:w="1022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Consent of Independent Registered Public Accounting Firm</w:t>
              </w:r>
            </w:hyperlink>
          </w:p>
        </w:tc>
        <w:tc>
          <w:tcPr>
            <w:tcW w:w="78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To the Plan Participants and Plan Administrator of</w:t>
      </w:r>
    </w:p>
    <w:p>
      <w:pPr>
        <w:ind w:left="120"/>
        <w:spacing w:after="0" w:line="225" w:lineRule="auto"/>
        <w:rPr>
          <w:sz w:val="20"/>
          <w:szCs w:val="20"/>
          <w:color w:val="auto"/>
        </w:rPr>
      </w:pPr>
      <w:r>
        <w:rPr>
          <w:rFonts w:ascii="Arial" w:cs="Arial" w:eastAsia="Arial" w:hAnsi="Arial"/>
          <w:sz w:val="20"/>
          <w:szCs w:val="20"/>
          <w:color w:val="auto"/>
        </w:rPr>
        <w:t>Microsoft Corporation Employee Stock Purchase Plan</w:t>
      </w:r>
    </w:p>
    <w:p>
      <w:pPr>
        <w:ind w:left="120"/>
        <w:spacing w:after="0"/>
        <w:rPr>
          <w:sz w:val="20"/>
          <w:szCs w:val="20"/>
          <w:color w:val="auto"/>
        </w:rPr>
      </w:pPr>
      <w:r>
        <w:rPr>
          <w:rFonts w:ascii="Arial" w:cs="Arial" w:eastAsia="Arial" w:hAnsi="Arial"/>
          <w:sz w:val="20"/>
          <w:szCs w:val="20"/>
          <w:color w:val="auto"/>
        </w:rPr>
        <w:t>Redmond, Washington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Opinion on the Financial Statements</w:t>
      </w:r>
    </w:p>
    <w:p>
      <w:pPr>
        <w:spacing w:after="0" w:line="226"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9"/>
          <w:szCs w:val="19"/>
          <w:color w:val="auto"/>
        </w:rPr>
        <w:t>We have audited the accompanying statements of financial condition of the Microsoft Corporation Employee Stock Purchase Plan (the “Plan”) as of December 31, 2021 and 2020, the related statements of income and changes in plan equity for each of the three years in the period ended December 31, 2021, and the related notes (collectively referred to as the “financial statements”). In our opinion, the financial statements present fairly, in all material respects, the financial condition of the Plan as of December 31, 2021 and 2020, and the income and changes in plan equity for each of the three years in the period ended December 31, 2021, in conformity with accounting principles generally accepted in the United States of America.</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Basis for Opinion</w:t>
      </w:r>
    </w:p>
    <w:p>
      <w:pPr>
        <w:spacing w:after="0" w:line="226"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ind w:left="120" w:right="20"/>
        <w:spacing w:after="0"/>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Deloitte &amp; Touche LLP</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Seattle, Washington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March 21, 2022</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We have served as the auditor of the Plan since 1986.</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56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r>
      <w:tr>
        <w:trPr>
          <w:trHeight w:val="95"/>
        </w:trPr>
        <w:tc>
          <w:tcPr>
            <w:tcW w:w="7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56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line="216" w:lineRule="exact"/>
              <w:rPr>
                <w:sz w:val="20"/>
                <w:szCs w:val="20"/>
                <w:color w:val="auto"/>
              </w:rPr>
            </w:pPr>
            <w:r>
              <w:rPr>
                <w:rFonts w:ascii="Arial" w:cs="Arial" w:eastAsia="Arial" w:hAnsi="Arial"/>
                <w:sz w:val="20"/>
                <w:szCs w:val="20"/>
                <w:color w:val="auto"/>
              </w:rPr>
              <w:t>Plan cash held by Microsoft Corporation</w:t>
            </w:r>
          </w:p>
        </w:tc>
        <w:tc>
          <w:tcPr>
            <w:tcW w:w="340" w:type="dxa"/>
            <w:vAlign w:val="bottom"/>
          </w:tcPr>
          <w:p>
            <w:pPr>
              <w:jc w:val="right"/>
              <w:ind w:right="141"/>
              <w:spacing w:after="0" w:line="216" w:lineRule="exact"/>
              <w:rPr>
                <w:sz w:val="20"/>
                <w:szCs w:val="20"/>
                <w:color w:val="auto"/>
              </w:rPr>
            </w:pPr>
            <w:r>
              <w:rPr>
                <w:rFonts w:ascii="Arial" w:cs="Arial" w:eastAsia="Arial" w:hAnsi="Arial"/>
                <w:sz w:val="20"/>
                <w:szCs w:val="20"/>
                <w:b w:val="1"/>
                <w:bCs w:val="1"/>
                <w:color w:val="auto"/>
                <w:w w:val="71"/>
              </w:rPr>
              <w:t>$</w:t>
            </w:r>
          </w:p>
        </w:tc>
        <w:tc>
          <w:tcPr>
            <w:tcW w:w="1500" w:type="dxa"/>
            <w:vAlign w:val="bottom"/>
            <w:gridSpan w:val="2"/>
          </w:tcPr>
          <w:p>
            <w:pPr>
              <w:jc w:val="right"/>
              <w:ind w:right="300"/>
              <w:spacing w:after="0" w:line="216" w:lineRule="exact"/>
              <w:rPr>
                <w:sz w:val="20"/>
                <w:szCs w:val="20"/>
                <w:color w:val="auto"/>
              </w:rPr>
            </w:pPr>
            <w:r>
              <w:rPr>
                <w:rFonts w:ascii="Arial" w:cs="Arial" w:eastAsia="Arial" w:hAnsi="Arial"/>
                <w:sz w:val="20"/>
                <w:szCs w:val="20"/>
                <w:b w:val="1"/>
                <w:bCs w:val="1"/>
                <w:color w:val="auto"/>
              </w:rPr>
              <w:t>49,453,673</w:t>
            </w:r>
          </w:p>
        </w:tc>
        <w:tc>
          <w:tcPr>
            <w:tcW w:w="320" w:type="dxa"/>
            <w:vAlign w:val="bottom"/>
          </w:tcPr>
          <w:p>
            <w:pPr>
              <w:jc w:val="right"/>
              <w:ind w:right="121"/>
              <w:spacing w:after="0" w:line="216" w:lineRule="exact"/>
              <w:rPr>
                <w:sz w:val="20"/>
                <w:szCs w:val="20"/>
                <w:color w:val="auto"/>
              </w:rPr>
            </w:pPr>
            <w:r>
              <w:rPr>
                <w:rFonts w:ascii="Arial" w:cs="Arial" w:eastAsia="Arial" w:hAnsi="Arial"/>
                <w:sz w:val="20"/>
                <w:szCs w:val="20"/>
                <w:color w:val="auto"/>
                <w:w w:val="71"/>
              </w:rPr>
              <w:t>$</w:t>
            </w:r>
          </w:p>
        </w:tc>
        <w:tc>
          <w:tcPr>
            <w:tcW w:w="130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49,458,890</w:t>
            </w:r>
          </w:p>
        </w:tc>
      </w:tr>
      <w:tr>
        <w:trPr>
          <w:trHeight w:val="27"/>
        </w:trPr>
        <w:tc>
          <w:tcPr>
            <w:tcW w:w="75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7560" w:type="dxa"/>
            <w:vAlign w:val="bottom"/>
            <w:shd w:val="clear" w:color="auto" w:fill="CCEEFF"/>
          </w:tcPr>
          <w:p>
            <w:pPr>
              <w:ind w:left="400"/>
              <w:spacing w:after="0" w:line="216" w:lineRule="exact"/>
              <w:rPr>
                <w:sz w:val="20"/>
                <w:szCs w:val="20"/>
                <w:color w:val="auto"/>
              </w:rPr>
            </w:pPr>
            <w:r>
              <w:rPr>
                <w:rFonts w:ascii="Arial" w:cs="Arial" w:eastAsia="Arial" w:hAnsi="Arial"/>
                <w:sz w:val="20"/>
                <w:szCs w:val="20"/>
                <w:color w:val="auto"/>
              </w:rPr>
              <w:t>Total assets</w:t>
            </w:r>
          </w:p>
        </w:tc>
        <w:tc>
          <w:tcPr>
            <w:tcW w:w="340" w:type="dxa"/>
            <w:vAlign w:val="bottom"/>
            <w:shd w:val="clear" w:color="auto" w:fill="CCEEFF"/>
          </w:tcPr>
          <w:p>
            <w:pPr>
              <w:jc w:val="right"/>
              <w:ind w:right="141"/>
              <w:spacing w:after="0" w:line="216" w:lineRule="exact"/>
              <w:rPr>
                <w:sz w:val="20"/>
                <w:szCs w:val="20"/>
                <w:color w:val="auto"/>
              </w:rPr>
            </w:pPr>
            <w:r>
              <w:rPr>
                <w:rFonts w:ascii="Arial" w:cs="Arial" w:eastAsia="Arial" w:hAnsi="Arial"/>
                <w:sz w:val="20"/>
                <w:szCs w:val="20"/>
                <w:b w:val="1"/>
                <w:bCs w:val="1"/>
                <w:color w:val="auto"/>
                <w:w w:val="71"/>
              </w:rPr>
              <w:t>$</w:t>
            </w:r>
          </w:p>
        </w:tc>
        <w:tc>
          <w:tcPr>
            <w:tcW w:w="1500" w:type="dxa"/>
            <w:vAlign w:val="bottom"/>
            <w:gridSpan w:val="2"/>
            <w:shd w:val="clear" w:color="auto" w:fill="CCEEFF"/>
          </w:tcPr>
          <w:p>
            <w:pPr>
              <w:jc w:val="right"/>
              <w:ind w:right="300"/>
              <w:spacing w:after="0" w:line="216" w:lineRule="exact"/>
              <w:rPr>
                <w:sz w:val="20"/>
                <w:szCs w:val="20"/>
                <w:color w:val="auto"/>
              </w:rPr>
            </w:pPr>
            <w:r>
              <w:rPr>
                <w:rFonts w:ascii="Arial" w:cs="Arial" w:eastAsia="Arial" w:hAnsi="Arial"/>
                <w:sz w:val="20"/>
                <w:szCs w:val="20"/>
                <w:b w:val="1"/>
                <w:bCs w:val="1"/>
                <w:color w:val="auto"/>
              </w:rPr>
              <w:t>49,453,673</w:t>
            </w:r>
          </w:p>
        </w:tc>
        <w:tc>
          <w:tcPr>
            <w:tcW w:w="320" w:type="dxa"/>
            <w:vAlign w:val="bottom"/>
            <w:shd w:val="clear" w:color="auto" w:fill="CCEEFF"/>
          </w:tcPr>
          <w:p>
            <w:pPr>
              <w:jc w:val="right"/>
              <w:ind w:right="121"/>
              <w:spacing w:after="0" w:line="216" w:lineRule="exact"/>
              <w:rPr>
                <w:sz w:val="20"/>
                <w:szCs w:val="20"/>
                <w:color w:val="auto"/>
              </w:rPr>
            </w:pPr>
            <w:r>
              <w:rPr>
                <w:rFonts w:ascii="Arial" w:cs="Arial" w:eastAsia="Arial" w:hAnsi="Arial"/>
                <w:sz w:val="20"/>
                <w:szCs w:val="20"/>
                <w:color w:val="auto"/>
                <w:w w:val="71"/>
              </w:rPr>
              <w:t>$</w:t>
            </w:r>
          </w:p>
        </w:tc>
        <w:tc>
          <w:tcPr>
            <w:tcW w:w="130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49,458,890</w:t>
            </w:r>
          </w:p>
        </w:tc>
      </w:tr>
      <w:tr>
        <w:trPr>
          <w:trHeight w:val="445"/>
        </w:trPr>
        <w:tc>
          <w:tcPr>
            <w:tcW w:w="7560" w:type="dxa"/>
            <w:vAlign w:val="bottom"/>
          </w:tcPr>
          <w:p>
            <w:pPr>
              <w:spacing w:after="0"/>
              <w:rPr>
                <w:sz w:val="20"/>
                <w:szCs w:val="20"/>
                <w:color w:val="auto"/>
              </w:rPr>
            </w:pPr>
            <w:r>
              <w:rPr>
                <w:rFonts w:ascii="Arial" w:cs="Arial" w:eastAsia="Arial" w:hAnsi="Arial"/>
                <w:sz w:val="20"/>
                <w:szCs w:val="20"/>
                <w:b w:val="1"/>
                <w:bCs w:val="1"/>
                <w:color w:val="auto"/>
              </w:rPr>
              <w:t>Liabilities and plan equity</w:t>
            </w: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5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Payable to participants</w:t>
            </w:r>
          </w:p>
        </w:tc>
        <w:tc>
          <w:tcPr>
            <w:tcW w:w="340" w:type="dxa"/>
            <w:vAlign w:val="bottom"/>
            <w:shd w:val="clear" w:color="auto" w:fill="CCEEFF"/>
          </w:tcPr>
          <w:p>
            <w:pPr>
              <w:jc w:val="right"/>
              <w:ind w:right="141"/>
              <w:spacing w:after="0" w:line="216" w:lineRule="exact"/>
              <w:rPr>
                <w:sz w:val="20"/>
                <w:szCs w:val="20"/>
                <w:color w:val="auto"/>
              </w:rPr>
            </w:pPr>
            <w:r>
              <w:rPr>
                <w:rFonts w:ascii="Arial" w:cs="Arial" w:eastAsia="Arial" w:hAnsi="Arial"/>
                <w:sz w:val="20"/>
                <w:szCs w:val="20"/>
                <w:b w:val="1"/>
                <w:bCs w:val="1"/>
                <w:color w:val="auto"/>
                <w:w w:val="71"/>
              </w:rPr>
              <w:t>$</w:t>
            </w:r>
          </w:p>
        </w:tc>
        <w:tc>
          <w:tcPr>
            <w:tcW w:w="1500" w:type="dxa"/>
            <w:vAlign w:val="bottom"/>
            <w:gridSpan w:val="2"/>
            <w:shd w:val="clear" w:color="auto" w:fill="CCEEFF"/>
          </w:tcPr>
          <w:p>
            <w:pPr>
              <w:jc w:val="right"/>
              <w:ind w:right="300"/>
              <w:spacing w:after="0" w:line="216" w:lineRule="exact"/>
              <w:rPr>
                <w:sz w:val="20"/>
                <w:szCs w:val="20"/>
                <w:color w:val="auto"/>
              </w:rPr>
            </w:pPr>
            <w:r>
              <w:rPr>
                <w:rFonts w:ascii="Arial" w:cs="Arial" w:eastAsia="Arial" w:hAnsi="Arial"/>
                <w:sz w:val="20"/>
                <w:szCs w:val="20"/>
                <w:b w:val="1"/>
                <w:bCs w:val="1"/>
                <w:color w:val="auto"/>
              </w:rPr>
              <w:t>49,453,673</w:t>
            </w:r>
          </w:p>
        </w:tc>
        <w:tc>
          <w:tcPr>
            <w:tcW w:w="320" w:type="dxa"/>
            <w:vAlign w:val="bottom"/>
            <w:shd w:val="clear" w:color="auto" w:fill="CCEEFF"/>
          </w:tcPr>
          <w:p>
            <w:pPr>
              <w:jc w:val="right"/>
              <w:ind w:right="121"/>
              <w:spacing w:after="0" w:line="216" w:lineRule="exact"/>
              <w:rPr>
                <w:sz w:val="20"/>
                <w:szCs w:val="20"/>
                <w:color w:val="auto"/>
              </w:rPr>
            </w:pPr>
            <w:r>
              <w:rPr>
                <w:rFonts w:ascii="Arial" w:cs="Arial" w:eastAsia="Arial" w:hAnsi="Arial"/>
                <w:sz w:val="20"/>
                <w:szCs w:val="20"/>
                <w:color w:val="auto"/>
                <w:w w:val="71"/>
              </w:rPr>
              <w:t>$</w:t>
            </w:r>
          </w:p>
        </w:tc>
        <w:tc>
          <w:tcPr>
            <w:tcW w:w="130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49,458,890</w:t>
            </w:r>
          </w:p>
        </w:tc>
      </w:tr>
      <w:tr>
        <w:trPr>
          <w:trHeight w:val="216"/>
        </w:trPr>
        <w:tc>
          <w:tcPr>
            <w:tcW w:w="7560" w:type="dxa"/>
            <w:vAlign w:val="bottom"/>
          </w:tcPr>
          <w:p>
            <w:pPr>
              <w:spacing w:after="0" w:line="216" w:lineRule="exact"/>
              <w:rPr>
                <w:sz w:val="20"/>
                <w:szCs w:val="20"/>
                <w:color w:val="auto"/>
              </w:rPr>
            </w:pPr>
            <w:r>
              <w:rPr>
                <w:rFonts w:ascii="Arial" w:cs="Arial" w:eastAsia="Arial" w:hAnsi="Arial"/>
                <w:sz w:val="20"/>
                <w:szCs w:val="20"/>
                <w:color w:val="auto"/>
              </w:rPr>
              <w:t>Plan equity</w:t>
            </w:r>
          </w:p>
        </w:tc>
        <w:tc>
          <w:tcPr>
            <w:tcW w:w="340" w:type="dxa"/>
            <w:vAlign w:val="bottom"/>
          </w:tcPr>
          <w:p>
            <w:pPr>
              <w:spacing w:after="0"/>
              <w:rPr>
                <w:sz w:val="18"/>
                <w:szCs w:val="18"/>
                <w:color w:val="auto"/>
              </w:rPr>
            </w:pPr>
          </w:p>
        </w:tc>
        <w:tc>
          <w:tcPr>
            <w:tcW w:w="1500" w:type="dxa"/>
            <w:vAlign w:val="bottom"/>
            <w:gridSpan w:val="2"/>
          </w:tcPr>
          <w:p>
            <w:pPr>
              <w:jc w:val="right"/>
              <w:ind w:right="300"/>
              <w:spacing w:after="0" w:line="216" w:lineRule="exact"/>
              <w:rPr>
                <w:sz w:val="20"/>
                <w:szCs w:val="20"/>
                <w:color w:val="auto"/>
              </w:rPr>
            </w:pPr>
            <w:r>
              <w:rPr>
                <w:rFonts w:ascii="Arial" w:cs="Arial" w:eastAsia="Arial" w:hAnsi="Arial"/>
                <w:sz w:val="20"/>
                <w:szCs w:val="20"/>
                <w:b w:val="1"/>
                <w:bCs w:val="1"/>
                <w:color w:val="auto"/>
              </w:rPr>
              <w:t>0</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0</w:t>
            </w:r>
          </w:p>
        </w:tc>
      </w:tr>
      <w:tr>
        <w:trPr>
          <w:trHeight w:val="27"/>
        </w:trPr>
        <w:tc>
          <w:tcPr>
            <w:tcW w:w="75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60" w:type="dxa"/>
            <w:vAlign w:val="bottom"/>
            <w:shd w:val="clear" w:color="auto" w:fill="CCEEFF"/>
          </w:tcPr>
          <w:p>
            <w:pPr>
              <w:ind w:left="400"/>
              <w:spacing w:after="0" w:line="216" w:lineRule="exact"/>
              <w:rPr>
                <w:sz w:val="20"/>
                <w:szCs w:val="20"/>
                <w:color w:val="auto"/>
              </w:rPr>
            </w:pPr>
            <w:r>
              <w:rPr>
                <w:rFonts w:ascii="Arial" w:cs="Arial" w:eastAsia="Arial" w:hAnsi="Arial"/>
                <w:sz w:val="20"/>
                <w:szCs w:val="20"/>
                <w:color w:val="auto"/>
              </w:rPr>
              <w:t>Total liabilities and plan equity</w:t>
            </w:r>
          </w:p>
        </w:tc>
        <w:tc>
          <w:tcPr>
            <w:tcW w:w="340" w:type="dxa"/>
            <w:vAlign w:val="bottom"/>
            <w:shd w:val="clear" w:color="auto" w:fill="CCEEFF"/>
          </w:tcPr>
          <w:p>
            <w:pPr>
              <w:jc w:val="right"/>
              <w:ind w:right="141"/>
              <w:spacing w:after="0" w:line="216" w:lineRule="exact"/>
              <w:rPr>
                <w:sz w:val="20"/>
                <w:szCs w:val="20"/>
                <w:color w:val="auto"/>
              </w:rPr>
            </w:pPr>
            <w:r>
              <w:rPr>
                <w:rFonts w:ascii="Arial" w:cs="Arial" w:eastAsia="Arial" w:hAnsi="Arial"/>
                <w:sz w:val="20"/>
                <w:szCs w:val="20"/>
                <w:b w:val="1"/>
                <w:bCs w:val="1"/>
                <w:color w:val="auto"/>
                <w:w w:val="71"/>
              </w:rPr>
              <w:t>$</w:t>
            </w:r>
          </w:p>
        </w:tc>
        <w:tc>
          <w:tcPr>
            <w:tcW w:w="1500" w:type="dxa"/>
            <w:vAlign w:val="bottom"/>
            <w:gridSpan w:val="2"/>
            <w:shd w:val="clear" w:color="auto" w:fill="CCEEFF"/>
          </w:tcPr>
          <w:p>
            <w:pPr>
              <w:jc w:val="right"/>
              <w:ind w:right="300"/>
              <w:spacing w:after="0" w:line="216" w:lineRule="exact"/>
              <w:rPr>
                <w:sz w:val="20"/>
                <w:szCs w:val="20"/>
                <w:color w:val="auto"/>
              </w:rPr>
            </w:pPr>
            <w:r>
              <w:rPr>
                <w:rFonts w:ascii="Arial" w:cs="Arial" w:eastAsia="Arial" w:hAnsi="Arial"/>
                <w:sz w:val="20"/>
                <w:szCs w:val="20"/>
                <w:b w:val="1"/>
                <w:bCs w:val="1"/>
                <w:color w:val="auto"/>
              </w:rPr>
              <w:t>49,453,673</w:t>
            </w:r>
          </w:p>
        </w:tc>
        <w:tc>
          <w:tcPr>
            <w:tcW w:w="320" w:type="dxa"/>
            <w:vAlign w:val="bottom"/>
            <w:shd w:val="clear" w:color="auto" w:fill="CCEEFF"/>
          </w:tcPr>
          <w:p>
            <w:pPr>
              <w:jc w:val="right"/>
              <w:ind w:right="121"/>
              <w:spacing w:after="0" w:line="216" w:lineRule="exact"/>
              <w:rPr>
                <w:sz w:val="20"/>
                <w:szCs w:val="20"/>
                <w:color w:val="auto"/>
              </w:rPr>
            </w:pPr>
            <w:r>
              <w:rPr>
                <w:rFonts w:ascii="Arial" w:cs="Arial" w:eastAsia="Arial" w:hAnsi="Arial"/>
                <w:sz w:val="20"/>
                <w:szCs w:val="20"/>
                <w:color w:val="auto"/>
                <w:w w:val="71"/>
              </w:rPr>
              <w:t>$</w:t>
            </w:r>
          </w:p>
        </w:tc>
        <w:tc>
          <w:tcPr>
            <w:tcW w:w="130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49,458,890</w:t>
            </w:r>
          </w:p>
        </w:tc>
      </w:tr>
      <w:tr>
        <w:trPr>
          <w:trHeight w:val="27"/>
        </w:trPr>
        <w:tc>
          <w:tcPr>
            <w:tcW w:w="7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2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Refer to accompanying notes.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INCOME AND CHANGES IN PLAN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740" w:type="dxa"/>
            <w:vAlign w:val="bottom"/>
          </w:tcPr>
          <w:p>
            <w:pPr>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95"/>
        </w:trPr>
        <w:tc>
          <w:tcPr>
            <w:tcW w:w="5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20"/>
                <w:szCs w:val="20"/>
                <w:b w:val="1"/>
                <w:bCs w:val="1"/>
                <w:color w:val="auto"/>
              </w:rPr>
              <w:t>Additions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20"/>
                <w:szCs w:val="20"/>
                <w:color w:val="auto"/>
              </w:rPr>
              <w:t>Employee contributions, net of withdrawals</w:t>
            </w:r>
          </w:p>
        </w:tc>
        <w:tc>
          <w:tcPr>
            <w:tcW w:w="220" w:type="dxa"/>
            <w:vAlign w:val="bottom"/>
          </w:tcPr>
          <w:p>
            <w:pPr>
              <w:jc w:val="right"/>
              <w:ind w:right="21"/>
              <w:spacing w:after="0" w:line="216" w:lineRule="exact"/>
              <w:rPr>
                <w:sz w:val="20"/>
                <w:szCs w:val="20"/>
                <w:color w:val="auto"/>
              </w:rPr>
            </w:pPr>
            <w:r>
              <w:rPr>
                <w:rFonts w:ascii="Arial" w:cs="Arial" w:eastAsia="Arial" w:hAnsi="Arial"/>
                <w:sz w:val="20"/>
                <w:szCs w:val="20"/>
                <w:b w:val="1"/>
                <w:bCs w:val="1"/>
                <w:color w:val="auto"/>
                <w:w w:val="71"/>
              </w:rPr>
              <w:t>$</w:t>
            </w:r>
          </w:p>
        </w:tc>
        <w:tc>
          <w:tcPr>
            <w:tcW w:w="140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1,774,440,702</w:t>
            </w:r>
          </w:p>
        </w:tc>
        <w:tc>
          <w:tcPr>
            <w:tcW w:w="160" w:type="dxa"/>
            <w:vAlign w:val="bottom"/>
          </w:tcPr>
          <w:p>
            <w:pPr>
              <w:spacing w:after="0"/>
              <w:rPr>
                <w:sz w:val="18"/>
                <w:szCs w:val="18"/>
                <w:color w:val="auto"/>
              </w:rPr>
            </w:pPr>
          </w:p>
        </w:tc>
        <w:tc>
          <w:tcPr>
            <w:tcW w:w="240" w:type="dxa"/>
            <w:vAlign w:val="bottom"/>
          </w:tcPr>
          <w:p>
            <w:pPr>
              <w:jc w:val="right"/>
              <w:ind w:right="21"/>
              <w:spacing w:after="0" w:line="216" w:lineRule="exact"/>
              <w:rPr>
                <w:sz w:val="20"/>
                <w:szCs w:val="20"/>
                <w:color w:val="auto"/>
              </w:rPr>
            </w:pPr>
            <w:r>
              <w:rPr>
                <w:rFonts w:ascii="Arial" w:cs="Arial" w:eastAsia="Arial" w:hAnsi="Arial"/>
                <w:sz w:val="20"/>
                <w:szCs w:val="20"/>
                <w:color w:val="auto"/>
                <w:w w:val="89"/>
              </w:rPr>
              <w:t>$</w:t>
            </w:r>
          </w:p>
        </w:tc>
        <w:tc>
          <w:tcPr>
            <w:tcW w:w="148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1,534,401,599</w:t>
            </w:r>
          </w:p>
        </w:tc>
        <w:tc>
          <w:tcPr>
            <w:tcW w:w="3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1,265,017,373</w:t>
            </w:r>
          </w:p>
        </w:tc>
        <w:tc>
          <w:tcPr>
            <w:tcW w:w="0" w:type="dxa"/>
            <w:vAlign w:val="bottom"/>
          </w:tcPr>
          <w:p>
            <w:pPr>
              <w:spacing w:after="0"/>
              <w:rPr>
                <w:sz w:val="1"/>
                <w:szCs w:val="1"/>
                <w:color w:val="auto"/>
              </w:rPr>
            </w:pPr>
          </w:p>
        </w:tc>
      </w:tr>
      <w:tr>
        <w:trPr>
          <w:trHeight w:val="27"/>
        </w:trPr>
        <w:tc>
          <w:tcPr>
            <w:tcW w:w="57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400"/>
              <w:spacing w:after="0" w:line="216" w:lineRule="exact"/>
              <w:rPr>
                <w:sz w:val="20"/>
                <w:szCs w:val="20"/>
                <w:color w:val="auto"/>
              </w:rPr>
            </w:pPr>
            <w:r>
              <w:rPr>
                <w:rFonts w:ascii="Arial" w:cs="Arial" w:eastAsia="Arial" w:hAnsi="Arial"/>
                <w:sz w:val="20"/>
                <w:szCs w:val="20"/>
                <w:color w:val="auto"/>
              </w:rPr>
              <w:t>Total additions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1,774,440,702</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1,534,401,599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1,265,017,373</w:t>
            </w:r>
          </w:p>
        </w:tc>
        <w:tc>
          <w:tcPr>
            <w:tcW w:w="0" w:type="dxa"/>
            <w:vAlign w:val="bottom"/>
          </w:tcPr>
          <w:p>
            <w:pPr>
              <w:spacing w:after="0"/>
              <w:rPr>
                <w:sz w:val="1"/>
                <w:szCs w:val="1"/>
                <w:color w:val="auto"/>
              </w:rPr>
            </w:pPr>
          </w:p>
        </w:tc>
      </w:tr>
      <w:tr>
        <w:trPr>
          <w:trHeight w:val="439"/>
        </w:trPr>
        <w:tc>
          <w:tcPr>
            <w:tcW w:w="574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Deductions</w:t>
            </w: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Cost of shares purchased</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1,724,987,029</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1,484,942,709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1,227,514,590</w:t>
            </w:r>
          </w:p>
        </w:tc>
        <w:tc>
          <w:tcPr>
            <w:tcW w:w="0" w:type="dxa"/>
            <w:vAlign w:val="bottom"/>
          </w:tcPr>
          <w:p>
            <w:pPr>
              <w:spacing w:after="0"/>
              <w:rPr>
                <w:sz w:val="1"/>
                <w:szCs w:val="1"/>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20"/>
                <w:szCs w:val="20"/>
                <w:color w:val="auto"/>
              </w:rPr>
              <w:t>Payable to participants</w:t>
            </w:r>
          </w:p>
        </w:tc>
        <w:tc>
          <w:tcPr>
            <w:tcW w:w="22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49,453,673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49,458,890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37,502,783</w:t>
            </w:r>
          </w:p>
        </w:tc>
        <w:tc>
          <w:tcPr>
            <w:tcW w:w="0" w:type="dxa"/>
            <w:vAlign w:val="bottom"/>
          </w:tcPr>
          <w:p>
            <w:pPr>
              <w:spacing w:after="0"/>
              <w:rPr>
                <w:sz w:val="1"/>
                <w:szCs w:val="1"/>
                <w:color w:val="auto"/>
              </w:rPr>
            </w:pPr>
          </w:p>
        </w:tc>
      </w:tr>
      <w:tr>
        <w:trPr>
          <w:trHeight w:val="27"/>
        </w:trPr>
        <w:tc>
          <w:tcPr>
            <w:tcW w:w="57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400"/>
              <w:spacing w:after="0" w:line="216" w:lineRule="exact"/>
              <w:rPr>
                <w:sz w:val="20"/>
                <w:szCs w:val="20"/>
                <w:color w:val="auto"/>
              </w:rPr>
            </w:pPr>
            <w:r>
              <w:rPr>
                <w:rFonts w:ascii="Arial" w:cs="Arial" w:eastAsia="Arial" w:hAnsi="Arial"/>
                <w:sz w:val="20"/>
                <w:szCs w:val="20"/>
                <w:color w:val="auto"/>
              </w:rPr>
              <w:t>Total deductions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1,774,440,702</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1,534,401,599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1,265,017,373</w:t>
            </w:r>
          </w:p>
        </w:tc>
        <w:tc>
          <w:tcPr>
            <w:tcW w:w="0" w:type="dxa"/>
            <w:vAlign w:val="bottom"/>
          </w:tcPr>
          <w:p>
            <w:pPr>
              <w:spacing w:after="0"/>
              <w:rPr>
                <w:sz w:val="1"/>
                <w:szCs w:val="1"/>
                <w:color w:val="auto"/>
              </w:rPr>
            </w:pPr>
          </w:p>
        </w:tc>
      </w:tr>
      <w:tr>
        <w:trPr>
          <w:trHeight w:val="20"/>
        </w:trPr>
        <w:tc>
          <w:tcPr>
            <w:tcW w:w="5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tcPr>
          <w:p>
            <w:pPr>
              <w:spacing w:after="0" w:line="223" w:lineRule="exact"/>
              <w:rPr>
                <w:sz w:val="20"/>
                <w:szCs w:val="20"/>
                <w:color w:val="auto"/>
              </w:rPr>
            </w:pPr>
            <w:r>
              <w:rPr>
                <w:rFonts w:ascii="Arial" w:cs="Arial" w:eastAsia="Arial" w:hAnsi="Arial"/>
                <w:sz w:val="20"/>
                <w:szCs w:val="20"/>
                <w:color w:val="auto"/>
              </w:rPr>
              <w:t>Changes in plan equity</w:t>
            </w:r>
          </w:p>
        </w:tc>
        <w:tc>
          <w:tcPr>
            <w:tcW w:w="220" w:type="dxa"/>
            <w:vAlign w:val="bottom"/>
          </w:tcPr>
          <w:p>
            <w:pPr>
              <w:spacing w:after="0"/>
              <w:rPr>
                <w:sz w:val="19"/>
                <w:szCs w:val="19"/>
                <w:color w:val="auto"/>
              </w:rPr>
            </w:pPr>
          </w:p>
        </w:tc>
        <w:tc>
          <w:tcPr>
            <w:tcW w:w="14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0</w:t>
            </w:r>
          </w:p>
        </w:tc>
        <w:tc>
          <w:tcPr>
            <w:tcW w:w="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auto"/>
              </w:rPr>
              <w:t>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80"/>
              <w:spacing w:after="0" w:line="223"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Plan equity, beginning of year</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b w:val="1"/>
                <w:bCs w:val="1"/>
                <w:color w:val="auto"/>
              </w:rPr>
              <w:t>0</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20"/>
                <w:szCs w:val="20"/>
                <w:color w:val="auto"/>
              </w:rPr>
              <w:t>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
        </w:trPr>
        <w:tc>
          <w:tcPr>
            <w:tcW w:w="5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tcPr>
          <w:p>
            <w:pPr>
              <w:spacing w:after="0" w:line="223" w:lineRule="exact"/>
              <w:rPr>
                <w:sz w:val="20"/>
                <w:szCs w:val="20"/>
                <w:color w:val="auto"/>
              </w:rPr>
            </w:pPr>
            <w:r>
              <w:rPr>
                <w:rFonts w:ascii="Arial" w:cs="Arial" w:eastAsia="Arial" w:hAnsi="Arial"/>
                <w:sz w:val="20"/>
                <w:szCs w:val="20"/>
                <w:color w:val="auto"/>
              </w:rPr>
              <w:t>Plan equity, end of year</w:t>
            </w:r>
          </w:p>
        </w:tc>
        <w:tc>
          <w:tcPr>
            <w:tcW w:w="220" w:type="dxa"/>
            <w:vAlign w:val="bottom"/>
          </w:tcPr>
          <w:p>
            <w:pPr>
              <w:jc w:val="right"/>
              <w:ind w:right="21"/>
              <w:spacing w:after="0" w:line="223" w:lineRule="exact"/>
              <w:rPr>
                <w:sz w:val="20"/>
                <w:szCs w:val="20"/>
                <w:color w:val="auto"/>
              </w:rPr>
            </w:pPr>
            <w:r>
              <w:rPr>
                <w:rFonts w:ascii="Arial" w:cs="Arial" w:eastAsia="Arial" w:hAnsi="Arial"/>
                <w:sz w:val="20"/>
                <w:szCs w:val="20"/>
                <w:b w:val="1"/>
                <w:bCs w:val="1"/>
                <w:color w:val="auto"/>
                <w:w w:val="71"/>
              </w:rPr>
              <w:t>$</w:t>
            </w:r>
          </w:p>
        </w:tc>
        <w:tc>
          <w:tcPr>
            <w:tcW w:w="14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0</w:t>
            </w:r>
          </w:p>
        </w:tc>
        <w:tc>
          <w:tcPr>
            <w:tcW w:w="160" w:type="dxa"/>
            <w:vAlign w:val="bottom"/>
            <w:vMerge w:val="continue"/>
          </w:tcPr>
          <w:p>
            <w:pPr>
              <w:spacing w:after="0"/>
              <w:rPr>
                <w:sz w:val="19"/>
                <w:szCs w:val="19"/>
                <w:color w:val="auto"/>
              </w:rPr>
            </w:pPr>
          </w:p>
        </w:tc>
        <w:tc>
          <w:tcPr>
            <w:tcW w:w="240" w:type="dxa"/>
            <w:vAlign w:val="bottom"/>
          </w:tcPr>
          <w:p>
            <w:pPr>
              <w:jc w:val="right"/>
              <w:ind w:right="21"/>
              <w:spacing w:after="0" w:line="223" w:lineRule="exact"/>
              <w:rPr>
                <w:sz w:val="20"/>
                <w:szCs w:val="20"/>
                <w:color w:val="auto"/>
              </w:rPr>
            </w:pPr>
            <w:r>
              <w:rPr>
                <w:rFonts w:ascii="Arial" w:cs="Arial" w:eastAsia="Arial" w:hAnsi="Arial"/>
                <w:sz w:val="20"/>
                <w:szCs w:val="20"/>
                <w:color w:val="auto"/>
                <w:w w:val="89"/>
              </w:rPr>
              <w:t>$</w:t>
            </w:r>
          </w:p>
        </w:tc>
        <w:tc>
          <w:tcPr>
            <w:tcW w:w="148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auto"/>
              </w:rPr>
              <w:t>0</w:t>
            </w:r>
          </w:p>
        </w:tc>
        <w:tc>
          <w:tcPr>
            <w:tcW w:w="320" w:type="dxa"/>
            <w:vAlign w:val="bottom"/>
            <w:gridSpan w:val="2"/>
          </w:tcPr>
          <w:p>
            <w:pPr>
              <w:jc w:val="right"/>
              <w:ind w:right="120"/>
              <w:spacing w:after="0" w:line="223" w:lineRule="exact"/>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80"/>
              <w:spacing w:after="0" w:line="223"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Refer to accompanying notes.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NOTE 1 — DESCRIPTION OF THE PLAN AND ACCOUNTING POLICIES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Accounting Principles</w:t>
      </w:r>
    </w:p>
    <w:p>
      <w:pPr>
        <w:spacing w:after="0" w:line="22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20"/>
          <w:szCs w:val="20"/>
          <w:color w:val="auto"/>
        </w:rPr>
        <w:t>The financial statements and accompanying notes are prepared in accordance with accounting principles generally accepted in the United States of America.</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General</w:t>
      </w:r>
    </w:p>
    <w:p>
      <w:pPr>
        <w:spacing w:after="0" w:line="226"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auto"/>
        </w:rPr>
        <w:t>The Microsoft Corporation Employee Stock Purchase Plan (the “Plan”) became effective on January 1, 2013. The Plan is intended to provide eligible employees of Microsoft Corporation (the “Company”) who wish to become shareholders of the Company a convenient method of doing so. The Plan covers substantially all employees of the Company who are considered regular employees, whose hire date is before the first business day of the three-month offering period, and whose customary employment is for more than five months in any calendar year.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Plan Administration</w:t>
      </w:r>
    </w:p>
    <w:p>
      <w:pPr>
        <w:spacing w:after="0" w:line="226"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Fidelity is the administrator of the Plan (the “Plan Administrator”). The Plan Administrator believes the Plan meets the qualification standards of Section 423 of the Internal Revenue Code of 1986, pursuant to which the Plan is not subject to taxation. The Plan is not subject to the provisions of the Employee Retirement Income Security Act of 1974.</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Contributions</w:t>
      </w:r>
    </w:p>
    <w:p>
      <w:pPr>
        <w:spacing w:after="0" w:line="22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9"/>
          <w:szCs w:val="19"/>
          <w:color w:val="auto"/>
        </w:rPr>
        <w:t>Plan participants (“Participants”) may make contributions to the Plan through payroll deductions for the purpose of purchasing the Company’s common stock (“Shares”). Participant contributions are recorded in the period that the Participants’ payroll deductions are made. Participant contributions are not subject to vesting and are therefore fully vested at all times.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Share Purchases</w:t>
      </w:r>
    </w:p>
    <w:p>
      <w:pPr>
        <w:spacing w:after="0" w:line="226"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auto"/>
        </w:rPr>
        <w:t>Participants may elect to purchase Shares at 90% of the closing price reported on the exchange where the Shares are traded (“Fair Market Value”) on the last business day of each three-month offering period. The Plan operates with separate consecutive offering periods ending March 31, June 30, September 30, and December 31, with offering dates of April 1, July 1, October 1, and January 1, respectively. Shares are recorded as purchased on the trade date, which is the last business day of each offering period. Once Shares are settled in the subsequent period, they are distributed to each Participant’s account by the stock transfer agent.</w:t>
      </w:r>
    </w:p>
    <w:p>
      <w:pPr>
        <w:spacing w:after="0" w:line="195"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Participants purchased 7,013,581, 8,429,825, and 10,115,416 Shares through the Plan during the years ended December 31, 2021, 2020, and 2019, respectively. Under the Plan, 84,809,502 Shares were reserved for future issuance as of December 31, 2021. The maximum number of Shares that will be offered under the Plan is 200,000,000.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Withdrawals</w:t>
      </w:r>
    </w:p>
    <w:p>
      <w:pPr>
        <w:spacing w:after="0" w:line="226"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auto"/>
        </w:rPr>
        <w:t>If a Participant elects to withdraw from the Plan at any time prior to the first day of the last calendar month of a three-month offering period, or if a Participant’s employment has been terminated at any time, the Plan refunds any amounts withheld during that period back to the Participant. All such amounts are included in employee contributions, net of withdrawals on the Statements of Income and Changes in Plan Equity. Refunds resulting from Participant withdrawals and terminations from the Plan were not significant during any of the periods presented.</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Payable to Participants</w:t>
      </w:r>
    </w:p>
    <w:p>
      <w:pPr>
        <w:spacing w:after="0" w:line="118"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auto"/>
        </w:rPr>
        <w:t>Payable to participants represents cash in Participant accounts that was contributed to the Plan in amounts greater than the cost of the maximum number of Shares allowed to be purchased in a three-month offering period. All such amounts will be refunded to Participants from the Plan in the following offering period and are therefore not included in plan equity on the Statements of Financial Condition.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Limitations</w:t>
      </w:r>
    </w:p>
    <w:p>
      <w:pPr>
        <w:spacing w:after="0" w:line="226" w:lineRule="exact"/>
        <w:rPr>
          <w:sz w:val="20"/>
          <w:szCs w:val="20"/>
          <w:color w:val="auto"/>
        </w:rPr>
      </w:pPr>
    </w:p>
    <w:p>
      <w:pPr>
        <w:jc w:val="both"/>
        <w:ind w:left="120" w:right="20"/>
        <w:spacing w:after="0" w:line="232" w:lineRule="auto"/>
        <w:rPr>
          <w:sz w:val="20"/>
          <w:szCs w:val="20"/>
          <w:color w:val="auto"/>
        </w:rPr>
      </w:pPr>
      <w:r>
        <w:rPr>
          <w:rFonts w:ascii="Arial" w:cs="Arial" w:eastAsia="Arial" w:hAnsi="Arial"/>
          <w:sz w:val="20"/>
          <w:szCs w:val="20"/>
          <w:color w:val="auto"/>
        </w:rPr>
        <w:t>Participants may not make contributions to the Plan exceeding 15% of their compensation. Additionally, Participants are prohibited from purchasing more than 2,000 Shares during a three-month offering period or purchasing Shares with an aggregate Fair Market Value in excess of $25,000 in any calendar year.</w:t>
      </w:r>
    </w:p>
    <w:p>
      <w:pPr>
        <w:spacing w:after="0" w:line="197"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20"/>
          <w:szCs w:val="20"/>
          <w:color w:val="auto"/>
        </w:rPr>
        <w:t>Employees owning shares representing 5% or more of the total combined voting power or value of all classes of shares of the Company’s stock are not permitted to purchase Shares under the Plan.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Administrative Expenses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All Plan administrative expenses are paid by the Company and are not reflected in the accompanying financial statements.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Termination</w:t>
      </w:r>
    </w:p>
    <w:p>
      <w:pPr>
        <w:spacing w:after="0" w:line="226" w:lineRule="exact"/>
        <w:rPr>
          <w:sz w:val="20"/>
          <w:szCs w:val="20"/>
          <w:color w:val="auto"/>
        </w:rPr>
      </w:pPr>
    </w:p>
    <w:p>
      <w:pPr>
        <w:jc w:val="both"/>
        <w:ind w:left="120" w:right="20"/>
        <w:spacing w:after="0" w:line="232" w:lineRule="auto"/>
        <w:rPr>
          <w:sz w:val="20"/>
          <w:szCs w:val="20"/>
          <w:color w:val="auto"/>
        </w:rPr>
      </w:pPr>
      <w:r>
        <w:rPr>
          <w:rFonts w:ascii="Arial" w:cs="Arial" w:eastAsia="Arial" w:hAnsi="Arial"/>
          <w:sz w:val="20"/>
          <w:szCs w:val="20"/>
          <w:color w:val="auto"/>
        </w:rPr>
        <w:t>On November 30, 2021, Microsoft’s shareholders approved a new Plan (the “2022 Plan”), primarily to extend the termination date of the Plan from December 31, 2022 to December 31, 2031. The 2022 Plan became effective on January 1, 2022 and carries forward the material provisions of the Plan.</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2022 Plan shall terminate at the earliest of the following:</w:t>
      </w:r>
    </w:p>
    <w:p>
      <w:pPr>
        <w:spacing w:after="0" w:line="108" w:lineRule="exact"/>
        <w:rPr>
          <w:sz w:val="20"/>
          <w:szCs w:val="20"/>
          <w:color w:val="auto"/>
        </w:rPr>
      </w:pPr>
    </w:p>
    <w:p>
      <w:pPr>
        <w:ind w:left="760" w:hanging="42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December 31, 2031;</w:t>
      </w:r>
    </w:p>
    <w:p>
      <w:pPr>
        <w:spacing w:after="0" w:line="107" w:lineRule="exact"/>
        <w:rPr>
          <w:rFonts w:ascii="Arial" w:cs="Arial" w:eastAsia="Arial" w:hAnsi="Arial"/>
          <w:sz w:val="20"/>
          <w:szCs w:val="20"/>
          <w:color w:val="auto"/>
        </w:rPr>
      </w:pPr>
    </w:p>
    <w:p>
      <w:pPr>
        <w:ind w:left="760" w:right="20" w:hanging="428"/>
        <w:spacing w:after="0" w:line="236"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date of the filing of a Statement of Intent to Dissolve by the Company or the effective date of a merger or consolidation (except with a related company) where the Company is not the surviving corporation;</w:t>
      </w:r>
    </w:p>
    <w:p>
      <w:pPr>
        <w:spacing w:after="0" w:line="101" w:lineRule="exact"/>
        <w:rPr>
          <w:rFonts w:ascii="Arial" w:cs="Arial" w:eastAsia="Arial" w:hAnsi="Arial"/>
          <w:sz w:val="20"/>
          <w:szCs w:val="20"/>
          <w:color w:val="auto"/>
        </w:rPr>
      </w:pPr>
    </w:p>
    <w:p>
      <w:pPr>
        <w:ind w:left="760" w:hanging="42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date the Board of Directors of the Company acts to terminate the 2022 Plan; or</w:t>
      </w:r>
    </w:p>
    <w:p>
      <w:pPr>
        <w:spacing w:after="0" w:line="107" w:lineRule="exact"/>
        <w:rPr>
          <w:rFonts w:ascii="Arial" w:cs="Arial" w:eastAsia="Arial" w:hAnsi="Arial"/>
          <w:sz w:val="20"/>
          <w:szCs w:val="20"/>
          <w:color w:val="auto"/>
        </w:rPr>
      </w:pPr>
    </w:p>
    <w:p>
      <w:pPr>
        <w:ind w:left="760" w:hanging="42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date when all Shares reserved under the 2022 Plan have been purchased.</w:t>
      </w:r>
    </w:p>
    <w:p>
      <w:pPr>
        <w:spacing w:after="0" w:line="202"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In the event of a dissolution, merger, or acquisition of the Company, the Company may permit a Participant to purchase Shares to the extent of accumulated payroll deduction funds in the Participant’s account. In the event of a termination of the 2022 Plan, the assets will be returned to the Participants.</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NOTE 2 — PLAN ASSETS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Plan’s cash is maintained by the Company on behalf of the Plan.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11" w:lineRule="exact"/>
        <w:rPr>
          <w:sz w:val="20"/>
          <w:szCs w:val="20"/>
          <w:color w:val="auto"/>
        </w:rPr>
      </w:pPr>
    </w:p>
    <w:p>
      <w:pPr>
        <w:jc w:val="both"/>
        <w:ind w:left="120"/>
        <w:spacing w:after="0" w:line="239" w:lineRule="auto"/>
        <w:rPr>
          <w:sz w:val="20"/>
          <w:szCs w:val="20"/>
          <w:color w:val="auto"/>
        </w:rPr>
      </w:pPr>
      <w:r>
        <w:rPr>
          <w:rFonts w:ascii="Arial" w:cs="Arial" w:eastAsia="Arial" w:hAnsi="Arial"/>
          <w:sz w:val="20"/>
          <w:szCs w:val="20"/>
          <w:i w:val="1"/>
          <w:iCs w:val="1"/>
          <w:color w:val="auto"/>
        </w:rPr>
        <w:t xml:space="preserve">The Plan. </w:t>
      </w:r>
      <w:r>
        <w:rPr>
          <w:rFonts w:ascii="Arial" w:cs="Arial" w:eastAsia="Arial" w:hAnsi="Arial"/>
          <w:sz w:val="20"/>
          <w:szCs w:val="20"/>
          <w:color w:val="auto"/>
        </w:rPr>
        <w:t>Pursuant to the requirements of the Securities Exchange Act of 1934, the trustees (or other persons who administer</w:t>
      </w:r>
      <w:r>
        <w:rPr>
          <w:rFonts w:ascii="Arial" w:cs="Arial" w:eastAsia="Arial" w:hAnsi="Arial"/>
          <w:sz w:val="20"/>
          <w:szCs w:val="20"/>
          <w:i w:val="1"/>
          <w:iCs w:val="1"/>
          <w:color w:val="auto"/>
        </w:rPr>
        <w:t xml:space="preserve"> </w:t>
      </w:r>
      <w:r>
        <w:rPr>
          <w:rFonts w:ascii="Arial" w:cs="Arial" w:eastAsia="Arial" w:hAnsi="Arial"/>
          <w:sz w:val="20"/>
          <w:szCs w:val="20"/>
          <w:color w:val="auto"/>
        </w:rPr>
        <w:t>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Microsoft Corporation Employee Stock Purchase Plan</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K</w:t>
      </w:r>
      <w:r>
        <w:rPr>
          <w:rFonts w:ascii="Arial" w:cs="Arial" w:eastAsia="Arial" w:hAnsi="Arial"/>
          <w:sz w:val="16"/>
          <w:szCs w:val="16"/>
          <w:color w:val="auto"/>
        </w:rPr>
        <w:t>ATHLEEN</w:t>
      </w:r>
      <w:r>
        <w:rPr>
          <w:rFonts w:ascii="Arial" w:cs="Arial" w:eastAsia="Arial" w:hAnsi="Arial"/>
          <w:sz w:val="20"/>
          <w:szCs w:val="20"/>
          <w:color w:val="auto"/>
        </w:rPr>
        <w:t xml:space="preserve"> H</w:t>
      </w:r>
      <w:r>
        <w:rPr>
          <w:rFonts w:ascii="Arial" w:cs="Arial" w:eastAsia="Arial" w:hAnsi="Arial"/>
          <w:sz w:val="16"/>
          <w:szCs w:val="16"/>
          <w:color w:val="auto"/>
        </w:rPr>
        <w:t>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497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Kathleen Hogan</w:t>
      </w:r>
    </w:p>
    <w:p>
      <w:pPr>
        <w:ind w:left="5620"/>
        <w:spacing w:after="0"/>
        <w:rPr>
          <w:sz w:val="20"/>
          <w:szCs w:val="20"/>
          <w:color w:val="auto"/>
        </w:rPr>
      </w:pPr>
      <w:r>
        <w:rPr>
          <w:rFonts w:ascii="Arial" w:cs="Arial" w:eastAsia="Arial" w:hAnsi="Arial"/>
          <w:sz w:val="20"/>
          <w:szCs w:val="20"/>
          <w:color w:val="auto"/>
        </w:rPr>
        <w:t>Executive Vice President, Human Resources</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March 21, 2022</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6"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We consent to the incorporation by reference in Registration Statement Nos. 333-109185, 333-118764, 333-52852, 333-132100, 333-161516, 333-75243, 333-185757, and 333-221833 on Form S-8 and Registration Statement Nos. 333-240227 and 333-261590 on Form S-3 of our report dated March 21, 2022, relating to the financial statements of the Microsoft Corporation Employee Stock Purchase Plan, appearing in this Annual Report on Form 11-K for the year ended December 31, 2021.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rPr>
          <w:sz w:val="20"/>
          <w:szCs w:val="20"/>
          <w:color w:val="auto"/>
        </w:rPr>
      </w:pPr>
      <w:r>
        <w:rPr>
          <w:rFonts w:ascii="Arial" w:cs="Arial" w:eastAsia="Arial" w:hAnsi="Arial"/>
          <w:sz w:val="20"/>
          <w:szCs w:val="20"/>
          <w:color w:val="auto"/>
        </w:rPr>
        <w:t>March 21, 2022</w:t>
      </w:r>
    </w:p>
    <w:sectPr>
      <w:pgSz w:w="11900" w:h="16838" w:orient="portrait"/>
      <w:cols w:equalWidth="0" w:num="1">
        <w:col w:w="11020"/>
      </w:cols>
      <w:pgMar w:left="44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2022-03-21T15:04:59Z</dcterms:created>
  <dcterms:modified xsi:type="dcterms:W3CDTF">2022-03-21T15:04:59Z</dcterms:modified>
</cp:coreProperties>
</file>