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UNITED STATES</w:t>
      </w: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540"/>
        <w:spacing w:after="0"/>
        <w:rPr>
          <w:sz w:val="20"/>
          <w:szCs w:val="20"/>
          <w:color w:val="auto"/>
        </w:rPr>
      </w:pPr>
      <w:r>
        <w:rPr>
          <w:rFonts w:ascii="Courier New" w:cs="Courier New" w:eastAsia="Courier New" w:hAnsi="Courier New"/>
          <w:sz w:val="15"/>
          <w:szCs w:val="15"/>
          <w:color w:val="auto"/>
        </w:rPr>
        <w:t>Washington, D.C. 20549</w:t>
      </w:r>
    </w:p>
    <w:p>
      <w:pPr>
        <w:ind w:left="2540"/>
        <w:spacing w:after="0" w:line="238" w:lineRule="auto"/>
        <w:rPr>
          <w:sz w:val="20"/>
          <w:szCs w:val="20"/>
          <w:color w:val="auto"/>
        </w:rPr>
      </w:pPr>
      <w:r>
        <w:rPr>
          <w:rFonts w:ascii="Courier New" w:cs="Courier New" w:eastAsia="Courier New" w:hAnsi="Courier New"/>
          <w:sz w:val="15"/>
          <w:szCs w:val="15"/>
          <w:color w:val="auto"/>
        </w:rPr>
        <w:t>----------------------</w:t>
      </w:r>
    </w:p>
    <w:p>
      <w:pPr>
        <w:ind w:left="2540"/>
        <w:spacing w:after="0"/>
        <w:rPr>
          <w:sz w:val="20"/>
          <w:szCs w:val="20"/>
          <w:color w:val="auto"/>
        </w:rPr>
      </w:pPr>
      <w:r>
        <w:rPr>
          <w:rFonts w:ascii="Courier New" w:cs="Courier New" w:eastAsia="Courier New" w:hAnsi="Courier New"/>
          <w:sz w:val="15"/>
          <w:szCs w:val="15"/>
          <w:color w:val="auto"/>
        </w:rPr>
        <w:t>REGISTRATION STATEMENT</w:t>
      </w:r>
    </w:p>
    <w:tbl>
      <w:tblPr>
        <w:tblLayout w:type="fixed"/>
        <w:tblInd w:w="0" w:type="dxa"/>
        <w:tblCellMar>
          <w:top w:w="0" w:type="dxa"/>
          <w:left w:w="0" w:type="dxa"/>
          <w:bottom w:w="0" w:type="dxa"/>
          <w:right w:w="0" w:type="dxa"/>
        </w:tblCellMar>
      </w:tblPr>
      <w:tr>
        <w:trPr>
          <w:trHeight w:val="169"/>
        </w:trPr>
        <w:tc>
          <w:tcPr>
            <w:tcW w:w="536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6"/>
              </w:rPr>
              <w:t>ON FORM S-3</w:t>
            </w:r>
          </w:p>
        </w:tc>
        <w:tc>
          <w:tcPr>
            <w:tcW w:w="1680" w:type="dxa"/>
            <w:vAlign w:val="bottom"/>
          </w:tcPr>
          <w:p>
            <w:pPr>
              <w:spacing w:after="0"/>
              <w:rPr>
                <w:sz w:val="14"/>
                <w:szCs w:val="14"/>
                <w:color w:val="auto"/>
              </w:rPr>
            </w:pPr>
          </w:p>
        </w:tc>
      </w:tr>
      <w:tr>
        <w:trPr>
          <w:trHeight w:val="170"/>
        </w:trPr>
        <w:tc>
          <w:tcPr>
            <w:tcW w:w="536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7"/>
              </w:rPr>
              <w:t>Under</w:t>
            </w:r>
          </w:p>
        </w:tc>
        <w:tc>
          <w:tcPr>
            <w:tcW w:w="1680" w:type="dxa"/>
            <w:vAlign w:val="bottom"/>
          </w:tcPr>
          <w:p>
            <w:pPr>
              <w:spacing w:after="0"/>
              <w:rPr>
                <w:sz w:val="14"/>
                <w:szCs w:val="14"/>
                <w:color w:val="auto"/>
              </w:rPr>
            </w:pPr>
          </w:p>
        </w:tc>
      </w:tr>
      <w:tr>
        <w:trPr>
          <w:trHeight w:val="170"/>
        </w:trPr>
        <w:tc>
          <w:tcPr>
            <w:tcW w:w="536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7"/>
              </w:rPr>
              <w:t>THE SECURITIES ACT OF 1933</w:t>
            </w:r>
          </w:p>
        </w:tc>
        <w:tc>
          <w:tcPr>
            <w:tcW w:w="1680" w:type="dxa"/>
            <w:vAlign w:val="bottom"/>
          </w:tcPr>
          <w:p>
            <w:pPr>
              <w:spacing w:after="0"/>
              <w:rPr>
                <w:sz w:val="14"/>
                <w:szCs w:val="14"/>
                <w:color w:val="auto"/>
              </w:rPr>
            </w:pPr>
          </w:p>
        </w:tc>
      </w:tr>
      <w:tr>
        <w:trPr>
          <w:trHeight w:val="170"/>
        </w:trPr>
        <w:tc>
          <w:tcPr>
            <w:tcW w:w="5360" w:type="dxa"/>
            <w:vAlign w:val="bottom"/>
          </w:tcPr>
          <w:p>
            <w:pPr>
              <w:jc w:val="center"/>
              <w:ind w:left="1707"/>
              <w:spacing w:after="0"/>
              <w:rPr>
                <w:sz w:val="20"/>
                <w:szCs w:val="20"/>
                <w:color w:val="auto"/>
              </w:rPr>
            </w:pPr>
            <w:r>
              <w:rPr>
                <w:rFonts w:ascii="Courier New" w:cs="Courier New" w:eastAsia="Courier New" w:hAnsi="Courier New"/>
                <w:sz w:val="15"/>
                <w:szCs w:val="15"/>
                <w:color w:val="auto"/>
                <w:w w:val="97"/>
              </w:rPr>
              <w:t>COMMISSION FILE NO. 0-14278</w:t>
            </w:r>
          </w:p>
        </w:tc>
        <w:tc>
          <w:tcPr>
            <w:tcW w:w="1680" w:type="dxa"/>
            <w:vAlign w:val="bottom"/>
          </w:tcPr>
          <w:p>
            <w:pPr>
              <w:spacing w:after="0"/>
              <w:rPr>
                <w:sz w:val="14"/>
                <w:szCs w:val="14"/>
                <w:color w:val="auto"/>
              </w:rPr>
            </w:pPr>
          </w:p>
        </w:tc>
      </w:tr>
      <w:tr>
        <w:trPr>
          <w:trHeight w:val="339"/>
        </w:trPr>
        <w:tc>
          <w:tcPr>
            <w:tcW w:w="536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7"/>
              </w:rPr>
              <w:t>MICROSOFT CORPORATION</w:t>
            </w:r>
          </w:p>
        </w:tc>
        <w:tc>
          <w:tcPr>
            <w:tcW w:w="1680" w:type="dxa"/>
            <w:vAlign w:val="bottom"/>
          </w:tcPr>
          <w:p>
            <w:pPr>
              <w:spacing w:after="0"/>
              <w:rPr>
                <w:sz w:val="24"/>
                <w:szCs w:val="24"/>
                <w:color w:val="auto"/>
              </w:rPr>
            </w:pPr>
          </w:p>
        </w:tc>
      </w:tr>
      <w:tr>
        <w:trPr>
          <w:trHeight w:val="170"/>
        </w:trPr>
        <w:tc>
          <w:tcPr>
            <w:tcW w:w="70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(Exact name of registrant as specified in its charter)</w:t>
            </w:r>
          </w:p>
        </w:tc>
      </w:tr>
      <w:tr>
        <w:trPr>
          <w:trHeight w:val="339"/>
        </w:trPr>
        <w:tc>
          <w:tcPr>
            <w:tcW w:w="5360" w:type="dxa"/>
            <w:vAlign w:val="bottom"/>
          </w:tcPr>
          <w:p>
            <w:pPr>
              <w:ind w:left="780"/>
              <w:spacing w:after="0"/>
              <w:rPr>
                <w:sz w:val="20"/>
                <w:szCs w:val="20"/>
                <w:color w:val="auto"/>
              </w:rPr>
            </w:pPr>
            <w:r>
              <w:rPr>
                <w:rFonts w:ascii="Courier New" w:cs="Courier New" w:eastAsia="Courier New" w:hAnsi="Courier New"/>
                <w:sz w:val="15"/>
                <w:szCs w:val="15"/>
                <w:color w:val="auto"/>
              </w:rPr>
              <w:t>WASHINGTON</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91-1144442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(State or other jurisdiction</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(IRS Employer</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of incorporation or organization)</w:t>
            </w:r>
          </w:p>
        </w:tc>
        <w:tc>
          <w:tcPr>
            <w:tcW w:w="1680" w:type="dxa"/>
            <w:vAlign w:val="bottom"/>
          </w:tcPr>
          <w:p>
            <w:pPr>
              <w:spacing w:after="0"/>
              <w:rPr>
                <w:sz w:val="20"/>
                <w:szCs w:val="20"/>
                <w:color w:val="auto"/>
              </w:rPr>
            </w:pPr>
            <w:r>
              <w:rPr>
                <w:rFonts w:ascii="Courier New" w:cs="Courier New" w:eastAsia="Courier New" w:hAnsi="Courier New"/>
                <w:sz w:val="15"/>
                <w:szCs w:val="15"/>
                <w:color w:val="auto"/>
                <w:w w:val="97"/>
              </w:rPr>
              <w:t>Identification No.)</w:t>
            </w:r>
          </w:p>
        </w:tc>
      </w:tr>
      <w:tr>
        <w:trPr>
          <w:trHeight w:val="339"/>
        </w:trPr>
        <w:tc>
          <w:tcPr>
            <w:tcW w:w="536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6"/>
              </w:rPr>
              <w:t>ONE MICROSOFT WAY</w:t>
            </w:r>
          </w:p>
        </w:tc>
        <w:tc>
          <w:tcPr>
            <w:tcW w:w="1680" w:type="dxa"/>
            <w:vAlign w:val="bottom"/>
          </w:tcPr>
          <w:p>
            <w:pPr>
              <w:spacing w:after="0"/>
              <w:rPr>
                <w:sz w:val="24"/>
                <w:szCs w:val="24"/>
                <w:color w:val="auto"/>
              </w:rPr>
            </w:pPr>
          </w:p>
        </w:tc>
      </w:tr>
      <w:tr>
        <w:trPr>
          <w:trHeight w:val="170"/>
        </w:trPr>
        <w:tc>
          <w:tcPr>
            <w:tcW w:w="536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7"/>
              </w:rPr>
              <w:t>REDMOND, WASHINGTON 98052-6399</w:t>
            </w:r>
          </w:p>
        </w:tc>
        <w:tc>
          <w:tcPr>
            <w:tcW w:w="1680" w:type="dxa"/>
            <w:vAlign w:val="bottom"/>
          </w:tcPr>
          <w:p>
            <w:pPr>
              <w:spacing w:after="0"/>
              <w:rPr>
                <w:sz w:val="14"/>
                <w:szCs w:val="14"/>
                <w:color w:val="auto"/>
              </w:rPr>
            </w:pPr>
          </w:p>
        </w:tc>
      </w:tr>
      <w:tr>
        <w:trPr>
          <w:trHeight w:val="170"/>
        </w:trPr>
        <w:tc>
          <w:tcPr>
            <w:tcW w:w="536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8"/>
              </w:rPr>
              <w:t>(206) 882-8080</w:t>
            </w:r>
          </w:p>
        </w:tc>
        <w:tc>
          <w:tcPr>
            <w:tcW w:w="1680" w:type="dxa"/>
            <w:vAlign w:val="bottom"/>
          </w:tcPr>
          <w:p>
            <w:pPr>
              <w:spacing w:after="0"/>
              <w:rPr>
                <w:sz w:val="14"/>
                <w:szCs w:val="14"/>
                <w:color w:val="auto"/>
              </w:rPr>
            </w:pPr>
          </w:p>
        </w:tc>
      </w:tr>
      <w:tr>
        <w:trPr>
          <w:trHeight w:val="170"/>
        </w:trPr>
        <w:tc>
          <w:tcPr>
            <w:tcW w:w="704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8"/>
              </w:rPr>
              <w:t>(Address, including zip code, and telephone</w:t>
            </w:r>
          </w:p>
        </w:tc>
      </w:tr>
      <w:tr>
        <w:trPr>
          <w:trHeight w:val="170"/>
        </w:trPr>
        <w:tc>
          <w:tcPr>
            <w:tcW w:w="704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8"/>
              </w:rPr>
              <w:t>number including area code, of registrant's principal</w:t>
            </w:r>
          </w:p>
        </w:tc>
      </w:tr>
      <w:tr>
        <w:trPr>
          <w:trHeight w:val="170"/>
        </w:trPr>
        <w:tc>
          <w:tcPr>
            <w:tcW w:w="536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6"/>
              </w:rPr>
              <w:t>executive office)</w:t>
            </w:r>
          </w:p>
        </w:tc>
        <w:tc>
          <w:tcPr>
            <w:tcW w:w="1680" w:type="dxa"/>
            <w:vAlign w:val="bottom"/>
          </w:tcPr>
          <w:p>
            <w:pPr>
              <w:spacing w:after="0"/>
              <w:rPr>
                <w:sz w:val="14"/>
                <w:szCs w:val="14"/>
                <w:color w:val="auto"/>
              </w:rPr>
            </w:pPr>
          </w:p>
        </w:tc>
      </w:tr>
      <w:tr>
        <w:trPr>
          <w:trHeight w:val="170"/>
        </w:trPr>
        <w:tc>
          <w:tcPr>
            <w:tcW w:w="5360" w:type="dxa"/>
            <w:vAlign w:val="bottom"/>
          </w:tcPr>
          <w:p>
            <w:pPr>
              <w:jc w:val="center"/>
              <w:ind w:left="1587"/>
              <w:spacing w:after="0"/>
              <w:rPr>
                <w:sz w:val="20"/>
                <w:szCs w:val="20"/>
                <w:color w:val="auto"/>
              </w:rPr>
            </w:pPr>
            <w:r>
              <w:rPr>
                <w:rFonts w:ascii="Courier New" w:cs="Courier New" w:eastAsia="Courier New" w:hAnsi="Courier New"/>
                <w:sz w:val="15"/>
                <w:szCs w:val="15"/>
                <w:color w:val="auto"/>
                <w:w w:val="97"/>
              </w:rPr>
              <w:t>----------------------</w:t>
            </w:r>
          </w:p>
        </w:tc>
        <w:tc>
          <w:tcPr>
            <w:tcW w:w="1680" w:type="dxa"/>
            <w:vAlign w:val="bottom"/>
          </w:tcPr>
          <w:p>
            <w:pPr>
              <w:spacing w:after="0"/>
              <w:rPr>
                <w:sz w:val="14"/>
                <w:szCs w:val="14"/>
                <w:color w:val="auto"/>
              </w:rPr>
            </w:pPr>
          </w:p>
        </w:tc>
      </w:tr>
      <w:tr>
        <w:trPr>
          <w:trHeight w:val="170"/>
        </w:trPr>
        <w:tc>
          <w:tcPr>
            <w:tcW w:w="5360" w:type="dxa"/>
            <w:vAlign w:val="bottom"/>
          </w:tcPr>
          <w:p>
            <w:pPr>
              <w:jc w:val="center"/>
              <w:ind w:left="1587"/>
              <w:spacing w:after="0"/>
              <w:rPr>
                <w:sz w:val="20"/>
                <w:szCs w:val="20"/>
                <w:color w:val="auto"/>
              </w:rPr>
            </w:pPr>
            <w:r>
              <w:rPr>
                <w:rFonts w:ascii="Courier New" w:cs="Courier New" w:eastAsia="Courier New" w:hAnsi="Courier New"/>
                <w:sz w:val="15"/>
                <w:szCs w:val="15"/>
                <w:color w:val="auto"/>
                <w:w w:val="97"/>
              </w:rPr>
              <w:t>Robert A. Eshelman</w:t>
            </w:r>
          </w:p>
        </w:tc>
        <w:tc>
          <w:tcPr>
            <w:tcW w:w="1680" w:type="dxa"/>
            <w:vAlign w:val="bottom"/>
          </w:tcPr>
          <w:p>
            <w:pPr>
              <w:spacing w:after="0"/>
              <w:rPr>
                <w:sz w:val="14"/>
                <w:szCs w:val="14"/>
                <w:color w:val="auto"/>
              </w:rPr>
            </w:pPr>
          </w:p>
        </w:tc>
      </w:tr>
      <w:tr>
        <w:trPr>
          <w:trHeight w:val="170"/>
        </w:trPr>
        <w:tc>
          <w:tcPr>
            <w:tcW w:w="536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7"/>
              </w:rPr>
              <w:t>Associate General Counsel</w:t>
            </w:r>
          </w:p>
        </w:tc>
        <w:tc>
          <w:tcPr>
            <w:tcW w:w="1680" w:type="dxa"/>
            <w:vAlign w:val="bottom"/>
          </w:tcPr>
          <w:p>
            <w:pPr>
              <w:spacing w:after="0"/>
              <w:rPr>
                <w:sz w:val="14"/>
                <w:szCs w:val="14"/>
                <w:color w:val="auto"/>
              </w:rPr>
            </w:pPr>
          </w:p>
        </w:tc>
      </w:tr>
      <w:tr>
        <w:trPr>
          <w:trHeight w:val="170"/>
        </w:trPr>
        <w:tc>
          <w:tcPr>
            <w:tcW w:w="536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6"/>
              </w:rPr>
              <w:t>One Microsoft Way</w:t>
            </w:r>
          </w:p>
        </w:tc>
        <w:tc>
          <w:tcPr>
            <w:tcW w:w="1680" w:type="dxa"/>
            <w:vAlign w:val="bottom"/>
          </w:tcPr>
          <w:p>
            <w:pPr>
              <w:spacing w:after="0"/>
              <w:rPr>
                <w:sz w:val="14"/>
                <w:szCs w:val="14"/>
                <w:color w:val="auto"/>
              </w:rPr>
            </w:pPr>
          </w:p>
        </w:tc>
      </w:tr>
      <w:tr>
        <w:trPr>
          <w:trHeight w:val="170"/>
        </w:trPr>
        <w:tc>
          <w:tcPr>
            <w:tcW w:w="536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7"/>
              </w:rPr>
              <w:t>Redmond, Washington 98052-6399</w:t>
            </w:r>
          </w:p>
        </w:tc>
        <w:tc>
          <w:tcPr>
            <w:tcW w:w="1680" w:type="dxa"/>
            <w:vAlign w:val="bottom"/>
          </w:tcPr>
          <w:p>
            <w:pPr>
              <w:spacing w:after="0"/>
              <w:rPr>
                <w:sz w:val="14"/>
                <w:szCs w:val="14"/>
                <w:color w:val="auto"/>
              </w:rPr>
            </w:pPr>
          </w:p>
        </w:tc>
      </w:tr>
      <w:tr>
        <w:trPr>
          <w:trHeight w:val="170"/>
        </w:trPr>
        <w:tc>
          <w:tcPr>
            <w:tcW w:w="536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8"/>
              </w:rPr>
              <w:t>(206) 882-8080</w:t>
            </w:r>
          </w:p>
        </w:tc>
        <w:tc>
          <w:tcPr>
            <w:tcW w:w="1680" w:type="dxa"/>
            <w:vAlign w:val="bottom"/>
          </w:tcPr>
          <w:p>
            <w:pPr>
              <w:spacing w:after="0"/>
              <w:rPr>
                <w:sz w:val="14"/>
                <w:szCs w:val="14"/>
                <w:color w:val="auto"/>
              </w:rPr>
            </w:pPr>
          </w:p>
        </w:tc>
      </w:tr>
      <w:tr>
        <w:trPr>
          <w:trHeight w:val="339"/>
        </w:trPr>
        <w:tc>
          <w:tcPr>
            <w:tcW w:w="704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8"/>
              </w:rPr>
              <w:t>(Name, address, including zip code, and telephone number,</w:t>
            </w:r>
          </w:p>
        </w:tc>
      </w:tr>
      <w:tr>
        <w:trPr>
          <w:trHeight w:val="170"/>
        </w:trPr>
        <w:tc>
          <w:tcPr>
            <w:tcW w:w="5360" w:type="dxa"/>
            <w:vAlign w:val="bottom"/>
          </w:tcPr>
          <w:p>
            <w:pPr>
              <w:jc w:val="center"/>
              <w:ind w:left="1587"/>
              <w:spacing w:after="0"/>
              <w:rPr>
                <w:sz w:val="20"/>
                <w:szCs w:val="20"/>
                <w:color w:val="auto"/>
              </w:rPr>
            </w:pPr>
            <w:r>
              <w:rPr>
                <w:rFonts w:ascii="Courier New" w:cs="Courier New" w:eastAsia="Courier New" w:hAnsi="Courier New"/>
                <w:sz w:val="15"/>
                <w:szCs w:val="15"/>
                <w:color w:val="auto"/>
                <w:w w:val="97"/>
              </w:rPr>
              <w:t>including area code, of agent for service)</w:t>
            </w:r>
          </w:p>
        </w:tc>
        <w:tc>
          <w:tcPr>
            <w:tcW w:w="1680" w:type="dxa"/>
            <w:vAlign w:val="bottom"/>
          </w:tcPr>
          <w:p>
            <w:pPr>
              <w:spacing w:after="0"/>
              <w:rPr>
                <w:sz w:val="14"/>
                <w:szCs w:val="14"/>
                <w:color w:val="auto"/>
              </w:rPr>
            </w:pPr>
          </w:p>
        </w:tc>
      </w:tr>
      <w:tr>
        <w:trPr>
          <w:trHeight w:val="170"/>
        </w:trPr>
        <w:tc>
          <w:tcPr>
            <w:tcW w:w="5360" w:type="dxa"/>
            <w:vAlign w:val="bottom"/>
          </w:tcPr>
          <w:p>
            <w:pPr>
              <w:jc w:val="center"/>
              <w:ind w:left="1587"/>
              <w:spacing w:after="0"/>
              <w:rPr>
                <w:sz w:val="20"/>
                <w:szCs w:val="20"/>
                <w:color w:val="auto"/>
              </w:rPr>
            </w:pPr>
            <w:r>
              <w:rPr>
                <w:rFonts w:ascii="Courier New" w:cs="Courier New" w:eastAsia="Courier New" w:hAnsi="Courier New"/>
                <w:sz w:val="15"/>
                <w:szCs w:val="15"/>
                <w:color w:val="auto"/>
                <w:w w:val="97"/>
              </w:rPr>
              <w:t>----------------------</w:t>
            </w:r>
          </w:p>
        </w:tc>
        <w:tc>
          <w:tcPr>
            <w:tcW w:w="1680" w:type="dxa"/>
            <w:vAlign w:val="bottom"/>
          </w:tcPr>
          <w:p>
            <w:pPr>
              <w:spacing w:after="0"/>
              <w:rPr>
                <w:sz w:val="14"/>
                <w:szCs w:val="14"/>
                <w:color w:val="auto"/>
              </w:rPr>
            </w:pPr>
          </w:p>
        </w:tc>
      </w:tr>
      <w:tr>
        <w:trPr>
          <w:trHeight w:val="170"/>
        </w:trPr>
        <w:tc>
          <w:tcPr>
            <w:tcW w:w="5360" w:type="dxa"/>
            <w:vAlign w:val="bottom"/>
          </w:tcPr>
          <w:p>
            <w:pPr>
              <w:jc w:val="center"/>
              <w:ind w:left="1587"/>
              <w:spacing w:after="0"/>
              <w:rPr>
                <w:sz w:val="20"/>
                <w:szCs w:val="20"/>
                <w:color w:val="auto"/>
              </w:rPr>
            </w:pPr>
            <w:r>
              <w:rPr>
                <w:rFonts w:ascii="Courier New" w:cs="Courier New" w:eastAsia="Courier New" w:hAnsi="Courier New"/>
                <w:sz w:val="15"/>
                <w:szCs w:val="15"/>
                <w:color w:val="auto"/>
                <w:w w:val="97"/>
              </w:rPr>
              <w:t>Copies of all communications to:</w:t>
            </w:r>
          </w:p>
        </w:tc>
        <w:tc>
          <w:tcPr>
            <w:tcW w:w="1680" w:type="dxa"/>
            <w:vAlign w:val="bottom"/>
          </w:tcPr>
          <w:p>
            <w:pPr>
              <w:spacing w:after="0"/>
              <w:rPr>
                <w:sz w:val="14"/>
                <w:szCs w:val="14"/>
                <w:color w:val="auto"/>
              </w:rPr>
            </w:pPr>
          </w:p>
        </w:tc>
      </w:tr>
      <w:tr>
        <w:trPr>
          <w:trHeight w:val="170"/>
        </w:trPr>
        <w:tc>
          <w:tcPr>
            <w:tcW w:w="536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7"/>
              </w:rPr>
              <w:t>Richard B. Dodd</w:t>
            </w:r>
          </w:p>
        </w:tc>
        <w:tc>
          <w:tcPr>
            <w:tcW w:w="1680" w:type="dxa"/>
            <w:vAlign w:val="bottom"/>
          </w:tcPr>
          <w:p>
            <w:pPr>
              <w:spacing w:after="0"/>
              <w:rPr>
                <w:sz w:val="14"/>
                <w:szCs w:val="14"/>
                <w:color w:val="auto"/>
              </w:rPr>
            </w:pPr>
          </w:p>
        </w:tc>
      </w:tr>
      <w:tr>
        <w:trPr>
          <w:trHeight w:val="170"/>
        </w:trPr>
        <w:tc>
          <w:tcPr>
            <w:tcW w:w="536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7"/>
              </w:rPr>
              <w:t>Christopher H. Cunningham</w:t>
            </w:r>
          </w:p>
        </w:tc>
        <w:tc>
          <w:tcPr>
            <w:tcW w:w="1680" w:type="dxa"/>
            <w:vAlign w:val="bottom"/>
          </w:tcPr>
          <w:p>
            <w:pPr>
              <w:spacing w:after="0"/>
              <w:rPr>
                <w:sz w:val="14"/>
                <w:szCs w:val="14"/>
                <w:color w:val="auto"/>
              </w:rPr>
            </w:pPr>
          </w:p>
        </w:tc>
      </w:tr>
      <w:tr>
        <w:trPr>
          <w:trHeight w:val="170"/>
        </w:trPr>
        <w:tc>
          <w:tcPr>
            <w:tcW w:w="536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7"/>
              </w:rPr>
              <w:t>Preston Gates &amp; Ellis</w:t>
            </w:r>
          </w:p>
        </w:tc>
        <w:tc>
          <w:tcPr>
            <w:tcW w:w="1680" w:type="dxa"/>
            <w:vAlign w:val="bottom"/>
          </w:tcPr>
          <w:p>
            <w:pPr>
              <w:spacing w:after="0"/>
              <w:rPr>
                <w:sz w:val="14"/>
                <w:szCs w:val="14"/>
                <w:color w:val="auto"/>
              </w:rPr>
            </w:pPr>
          </w:p>
        </w:tc>
      </w:tr>
      <w:tr>
        <w:trPr>
          <w:trHeight w:val="170"/>
        </w:trPr>
        <w:tc>
          <w:tcPr>
            <w:tcW w:w="536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7"/>
              </w:rPr>
              <w:t>5000 Columbia Center</w:t>
            </w:r>
          </w:p>
        </w:tc>
        <w:tc>
          <w:tcPr>
            <w:tcW w:w="1680" w:type="dxa"/>
            <w:vAlign w:val="bottom"/>
          </w:tcPr>
          <w:p>
            <w:pPr>
              <w:spacing w:after="0"/>
              <w:rPr>
                <w:sz w:val="14"/>
                <w:szCs w:val="14"/>
                <w:color w:val="auto"/>
              </w:rPr>
            </w:pPr>
          </w:p>
        </w:tc>
      </w:tr>
      <w:tr>
        <w:trPr>
          <w:trHeight w:val="170"/>
        </w:trPr>
        <w:tc>
          <w:tcPr>
            <w:tcW w:w="536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7"/>
              </w:rPr>
              <w:t>701 Fifth Avenue</w:t>
            </w:r>
          </w:p>
        </w:tc>
        <w:tc>
          <w:tcPr>
            <w:tcW w:w="1680" w:type="dxa"/>
            <w:vAlign w:val="bottom"/>
          </w:tcPr>
          <w:p>
            <w:pPr>
              <w:spacing w:after="0"/>
              <w:rPr>
                <w:sz w:val="14"/>
                <w:szCs w:val="14"/>
                <w:color w:val="auto"/>
              </w:rPr>
            </w:pPr>
          </w:p>
        </w:tc>
      </w:tr>
      <w:tr>
        <w:trPr>
          <w:trHeight w:val="170"/>
        </w:trPr>
        <w:tc>
          <w:tcPr>
            <w:tcW w:w="536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7"/>
              </w:rPr>
              <w:t>Seattle, Washington 98104-7078</w:t>
            </w:r>
          </w:p>
        </w:tc>
        <w:tc>
          <w:tcPr>
            <w:tcW w:w="1680" w:type="dxa"/>
            <w:vAlign w:val="bottom"/>
          </w:tcPr>
          <w:p>
            <w:pPr>
              <w:spacing w:after="0"/>
              <w:rPr>
                <w:sz w:val="14"/>
                <w:szCs w:val="14"/>
                <w:color w:val="auto"/>
              </w:rPr>
            </w:pPr>
          </w:p>
        </w:tc>
      </w:tr>
      <w:tr>
        <w:trPr>
          <w:trHeight w:val="170"/>
        </w:trPr>
        <w:tc>
          <w:tcPr>
            <w:tcW w:w="5360" w:type="dxa"/>
            <w:vAlign w:val="bottom"/>
          </w:tcPr>
          <w:p>
            <w:pPr>
              <w:jc w:val="center"/>
              <w:ind w:left="1587"/>
              <w:spacing w:after="0"/>
              <w:rPr>
                <w:sz w:val="20"/>
                <w:szCs w:val="20"/>
                <w:color w:val="auto"/>
              </w:rPr>
            </w:pPr>
            <w:r>
              <w:rPr>
                <w:rFonts w:ascii="Courier New" w:cs="Courier New" w:eastAsia="Courier New" w:hAnsi="Courier New"/>
                <w:sz w:val="15"/>
                <w:szCs w:val="15"/>
                <w:color w:val="auto"/>
                <w:w w:val="97"/>
              </w:rPr>
              <w:t>----------------------</w:t>
            </w:r>
          </w:p>
        </w:tc>
        <w:tc>
          <w:tcPr>
            <w:tcW w:w="1680" w:type="dxa"/>
            <w:vAlign w:val="bottom"/>
          </w:tcPr>
          <w:p>
            <w:pPr>
              <w:spacing w:after="0"/>
              <w:rPr>
                <w:sz w:val="14"/>
                <w:szCs w:val="14"/>
                <w:color w:val="auto"/>
              </w:rPr>
            </w:pP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26"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880" w:firstLine="793"/>
        <w:spacing w:after="0" w:line="237" w:lineRule="auto"/>
        <w:rPr>
          <w:sz w:val="20"/>
          <w:szCs w:val="20"/>
          <w:color w:val="auto"/>
        </w:rPr>
      </w:pPr>
      <w:r>
        <w:rPr>
          <w:rFonts w:ascii="Courier New" w:cs="Courier New" w:eastAsia="Courier New" w:hAnsi="Courier New"/>
          <w:sz w:val="15"/>
          <w:szCs w:val="15"/>
          <w:color w:val="auto"/>
        </w:rPr>
        <w:t>Approximate date of commencement of proposed sale to the public: At such time or times after the effective date of this Registration Statement as the Selling Shareholder shall determine.</w:t>
      </w:r>
    </w:p>
    <w:p>
      <w:pPr>
        <w:spacing w:after="0" w:line="175" w:lineRule="exact"/>
        <w:rPr>
          <w:sz w:val="20"/>
          <w:szCs w:val="20"/>
          <w:color w:val="auto"/>
        </w:rPr>
      </w:pPr>
    </w:p>
    <w:p>
      <w:pPr>
        <w:jc w:val="both"/>
        <w:ind w:right="3700" w:firstLine="793"/>
        <w:spacing w:after="0" w:line="237"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w:t>
      </w:r>
    </w:p>
    <w:p>
      <w:pPr>
        <w:ind w:left="422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880" w:firstLine="793"/>
        <w:spacing w:after="0" w:line="259"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w:t>
      </w:r>
    </w:p>
    <w:p>
      <w:pPr>
        <w:spacing w:after="0" w:line="157"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/X/</w:t>
      </w:r>
    </w:p>
    <w:p>
      <w:pPr>
        <w:spacing w:after="0" w:line="175" w:lineRule="exact"/>
        <w:rPr>
          <w:sz w:val="20"/>
          <w:szCs w:val="20"/>
          <w:color w:val="auto"/>
        </w:rPr>
      </w:pPr>
    </w:p>
    <w:p>
      <w:pPr>
        <w:ind w:right="3700" w:firstLine="793"/>
        <w:spacing w:after="0" w:line="238"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0"/>
          <w:szCs w:val="20"/>
          <w:color w:val="auto"/>
        </w:rPr>
      </w:pPr>
    </w:p>
    <w:p>
      <w:pPr>
        <w:spacing w:after="0" w:line="308"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12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8"/>
              </w:rPr>
              <w:t>Title of each class</w:t>
            </w:r>
          </w:p>
        </w:tc>
        <w:tc>
          <w:tcPr>
            <w:tcW w:w="202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Courier New" w:cs="Courier New" w:eastAsia="Courier New" w:hAnsi="Courier New"/>
                <w:sz w:val="15"/>
                <w:szCs w:val="15"/>
                <w:color w:val="auto"/>
                <w:w w:val="97"/>
              </w:rPr>
              <w:t>Proposed maximum</w:t>
            </w:r>
          </w:p>
        </w:tc>
        <w:tc>
          <w:tcPr>
            <w:tcW w:w="2300" w:type="dxa"/>
            <w:vAlign w:val="bottom"/>
          </w:tcPr>
          <w:p>
            <w:pPr>
              <w:jc w:val="center"/>
              <w:spacing w:after="0"/>
              <w:rPr>
                <w:sz w:val="20"/>
                <w:szCs w:val="20"/>
                <w:color w:val="auto"/>
              </w:rPr>
            </w:pPr>
            <w:r>
              <w:rPr>
                <w:rFonts w:ascii="Courier New" w:cs="Courier New" w:eastAsia="Courier New" w:hAnsi="Courier New"/>
                <w:sz w:val="15"/>
                <w:szCs w:val="15"/>
                <w:color w:val="auto"/>
                <w:w w:val="98"/>
              </w:rPr>
              <w:t>Proposed maximum</w:t>
            </w:r>
          </w:p>
        </w:tc>
        <w:tc>
          <w:tcPr>
            <w:tcW w:w="1760" w:type="dxa"/>
            <w:vAlign w:val="bottom"/>
          </w:tcPr>
          <w:p>
            <w:pPr>
              <w:spacing w:after="0"/>
              <w:rPr>
                <w:sz w:val="14"/>
                <w:szCs w:val="14"/>
                <w:color w:val="auto"/>
              </w:rPr>
            </w:pPr>
          </w:p>
        </w:tc>
      </w:tr>
      <w:tr>
        <w:trPr>
          <w:trHeight w:val="170"/>
        </w:trPr>
        <w:tc>
          <w:tcPr>
            <w:tcW w:w="212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8"/>
              </w:rPr>
              <w:t>of securities to be</w:t>
            </w:r>
          </w:p>
        </w:tc>
        <w:tc>
          <w:tcPr>
            <w:tcW w:w="2020" w:type="dxa"/>
            <w:vAlign w:val="bottom"/>
          </w:tcPr>
          <w:p>
            <w:pPr>
              <w:ind w:left="440"/>
              <w:spacing w:after="0"/>
              <w:rPr>
                <w:sz w:val="20"/>
                <w:szCs w:val="20"/>
                <w:color w:val="auto"/>
              </w:rPr>
            </w:pPr>
            <w:r>
              <w:rPr>
                <w:rFonts w:ascii="Courier New" w:cs="Courier New" w:eastAsia="Courier New" w:hAnsi="Courier New"/>
                <w:sz w:val="15"/>
                <w:szCs w:val="15"/>
                <w:color w:val="auto"/>
              </w:rPr>
              <w:t>Amount to be</w:t>
            </w:r>
          </w:p>
        </w:tc>
        <w:tc>
          <w:tcPr>
            <w:tcW w:w="2300" w:type="dxa"/>
            <w:vAlign w:val="bottom"/>
          </w:tcPr>
          <w:p>
            <w:pPr>
              <w:jc w:val="center"/>
              <w:spacing w:after="0"/>
              <w:rPr>
                <w:sz w:val="20"/>
                <w:szCs w:val="20"/>
                <w:color w:val="auto"/>
              </w:rPr>
            </w:pPr>
            <w:r>
              <w:rPr>
                <w:rFonts w:ascii="Courier New" w:cs="Courier New" w:eastAsia="Courier New" w:hAnsi="Courier New"/>
                <w:sz w:val="15"/>
                <w:szCs w:val="15"/>
                <w:color w:val="auto"/>
                <w:w w:val="97"/>
              </w:rPr>
              <w:t>offering price per</w:t>
            </w:r>
          </w:p>
        </w:tc>
        <w:tc>
          <w:tcPr>
            <w:tcW w:w="2300" w:type="dxa"/>
            <w:vAlign w:val="bottom"/>
          </w:tcPr>
          <w:p>
            <w:pPr>
              <w:jc w:val="center"/>
              <w:spacing w:after="0"/>
              <w:rPr>
                <w:sz w:val="20"/>
                <w:szCs w:val="20"/>
                <w:color w:val="auto"/>
              </w:rPr>
            </w:pPr>
            <w:r>
              <w:rPr>
                <w:rFonts w:ascii="Courier New" w:cs="Courier New" w:eastAsia="Courier New" w:hAnsi="Courier New"/>
                <w:sz w:val="15"/>
                <w:szCs w:val="15"/>
                <w:color w:val="auto"/>
                <w:w w:val="97"/>
              </w:rPr>
              <w:t>aggregate offering</w:t>
            </w:r>
          </w:p>
        </w:tc>
        <w:tc>
          <w:tcPr>
            <w:tcW w:w="1760" w:type="dxa"/>
            <w:vAlign w:val="bottom"/>
          </w:tcPr>
          <w:p>
            <w:pPr>
              <w:ind w:left="700"/>
              <w:spacing w:after="0"/>
              <w:rPr>
                <w:sz w:val="20"/>
                <w:szCs w:val="20"/>
                <w:color w:val="auto"/>
              </w:rPr>
            </w:pPr>
            <w:r>
              <w:rPr>
                <w:rFonts w:ascii="Courier New" w:cs="Courier New" w:eastAsia="Courier New" w:hAnsi="Courier New"/>
                <w:sz w:val="15"/>
                <w:szCs w:val="15"/>
                <w:color w:val="auto"/>
              </w:rPr>
              <w:t>Amount of</w:t>
            </w:r>
          </w:p>
        </w:tc>
      </w:tr>
      <w:tr>
        <w:trPr>
          <w:trHeight w:val="170"/>
        </w:trPr>
        <w:tc>
          <w:tcPr>
            <w:tcW w:w="2120" w:type="dxa"/>
            <w:vAlign w:val="bottom"/>
          </w:tcPr>
          <w:p>
            <w:pPr>
              <w:ind w:left="360"/>
              <w:spacing w:after="0"/>
              <w:rPr>
                <w:sz w:val="20"/>
                <w:szCs w:val="20"/>
                <w:color w:val="auto"/>
              </w:rPr>
            </w:pPr>
            <w:r>
              <w:rPr>
                <w:rFonts w:ascii="Courier New" w:cs="Courier New" w:eastAsia="Courier New" w:hAnsi="Courier New"/>
                <w:sz w:val="15"/>
                <w:szCs w:val="15"/>
                <w:color w:val="auto"/>
              </w:rPr>
              <w:t>registered</w:t>
            </w:r>
          </w:p>
        </w:tc>
        <w:tc>
          <w:tcPr>
            <w:tcW w:w="2020" w:type="dxa"/>
            <w:vAlign w:val="bottom"/>
          </w:tcPr>
          <w:p>
            <w:pPr>
              <w:ind w:left="540"/>
              <w:spacing w:after="0"/>
              <w:rPr>
                <w:sz w:val="20"/>
                <w:szCs w:val="20"/>
                <w:color w:val="auto"/>
              </w:rPr>
            </w:pPr>
            <w:r>
              <w:rPr>
                <w:rFonts w:ascii="Courier New" w:cs="Courier New" w:eastAsia="Courier New" w:hAnsi="Courier New"/>
                <w:sz w:val="15"/>
                <w:szCs w:val="15"/>
                <w:color w:val="auto"/>
              </w:rPr>
              <w:t>registered</w:t>
            </w:r>
          </w:p>
        </w:tc>
        <w:tc>
          <w:tcPr>
            <w:tcW w:w="2300" w:type="dxa"/>
            <w:vAlign w:val="bottom"/>
          </w:tcPr>
          <w:p>
            <w:pPr>
              <w:jc w:val="center"/>
              <w:spacing w:after="0"/>
              <w:rPr>
                <w:sz w:val="20"/>
                <w:szCs w:val="20"/>
                <w:color w:val="auto"/>
              </w:rPr>
            </w:pPr>
            <w:r>
              <w:rPr>
                <w:rFonts w:ascii="Courier New" w:cs="Courier New" w:eastAsia="Courier New" w:hAnsi="Courier New"/>
                <w:sz w:val="15"/>
                <w:szCs w:val="15"/>
                <w:color w:val="auto"/>
                <w:w w:val="96"/>
              </w:rPr>
              <w:t>share*</w:t>
            </w:r>
          </w:p>
        </w:tc>
        <w:tc>
          <w:tcPr>
            <w:tcW w:w="2300" w:type="dxa"/>
            <w:vAlign w:val="bottom"/>
          </w:tcPr>
          <w:p>
            <w:pPr>
              <w:jc w:val="center"/>
              <w:spacing w:after="0"/>
              <w:rPr>
                <w:sz w:val="20"/>
                <w:szCs w:val="20"/>
                <w:color w:val="auto"/>
              </w:rPr>
            </w:pPr>
            <w:r>
              <w:rPr>
                <w:rFonts w:ascii="Courier New" w:cs="Courier New" w:eastAsia="Courier New" w:hAnsi="Courier New"/>
                <w:sz w:val="15"/>
                <w:szCs w:val="15"/>
                <w:color w:val="auto"/>
                <w:w w:val="99"/>
              </w:rPr>
              <w:t>price*</w:t>
            </w:r>
          </w:p>
        </w:tc>
        <w:tc>
          <w:tcPr>
            <w:tcW w:w="1760" w:type="dxa"/>
            <w:vAlign w:val="bottom"/>
          </w:tcPr>
          <w:p>
            <w:pPr>
              <w:ind w:left="340"/>
              <w:spacing w:after="0"/>
              <w:rPr>
                <w:sz w:val="20"/>
                <w:szCs w:val="20"/>
                <w:color w:val="auto"/>
              </w:rPr>
            </w:pPr>
            <w:r>
              <w:rPr>
                <w:rFonts w:ascii="Courier New" w:cs="Courier New" w:eastAsia="Courier New" w:hAnsi="Courier New"/>
                <w:sz w:val="15"/>
                <w:szCs w:val="15"/>
                <w:color w:val="auto"/>
                <w:w w:val="97"/>
              </w:rPr>
              <w:t>registration fee</w:t>
            </w:r>
          </w:p>
        </w:tc>
      </w:tr>
      <w:tr>
        <w:trPr>
          <w:trHeight w:val="170"/>
        </w:trPr>
        <w:tc>
          <w:tcPr>
            <w:tcW w:w="21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w:t>
            </w:r>
          </w:p>
        </w:tc>
        <w:tc>
          <w:tcPr>
            <w:tcW w:w="20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ind w:left="34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12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7"/>
              </w:rPr>
              <w:t>Common shares</w:t>
            </w:r>
          </w:p>
        </w:tc>
        <w:tc>
          <w:tcPr>
            <w:tcW w:w="2020" w:type="dxa"/>
            <w:vAlign w:val="bottom"/>
          </w:tcPr>
          <w:p>
            <w:pPr>
              <w:ind w:left="440"/>
              <w:spacing w:after="0"/>
              <w:rPr>
                <w:sz w:val="20"/>
                <w:szCs w:val="20"/>
                <w:color w:val="auto"/>
              </w:rPr>
            </w:pPr>
            <w:r>
              <w:rPr>
                <w:rFonts w:ascii="Courier New" w:cs="Courier New" w:eastAsia="Courier New" w:hAnsi="Courier New"/>
                <w:sz w:val="15"/>
                <w:szCs w:val="15"/>
                <w:color w:val="auto"/>
              </w:rPr>
              <w:t>953,849 shares</w:t>
            </w:r>
          </w:p>
        </w:tc>
        <w:tc>
          <w:tcPr>
            <w:tcW w:w="23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$96.30</w:t>
            </w:r>
          </w:p>
        </w:tc>
        <w:tc>
          <w:tcPr>
            <w:tcW w:w="2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$91,855,658.70</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$31,674.37</w:t>
            </w:r>
          </w:p>
        </w:tc>
      </w:tr>
      <w:tr>
        <w:trPr>
          <w:trHeight w:val="170"/>
        </w:trPr>
        <w:tc>
          <w:tcPr>
            <w:tcW w:w="212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8"/>
              </w:rPr>
              <w:t>par value</w:t>
            </w:r>
          </w:p>
        </w:tc>
        <w:tc>
          <w:tcPr>
            <w:tcW w:w="20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0"/>
        </w:trPr>
        <w:tc>
          <w:tcPr>
            <w:tcW w:w="21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$.00005</w:t>
            </w:r>
          </w:p>
        </w:tc>
        <w:tc>
          <w:tcPr>
            <w:tcW w:w="20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60" w:type="dxa"/>
            <w:vAlign w:val="bottom"/>
          </w:tcPr>
          <w:p>
            <w:pPr>
              <w:spacing w:after="0"/>
              <w:rPr>
                <w:sz w:val="14"/>
                <w:szCs w:val="14"/>
                <w:color w:val="auto"/>
              </w:rPr>
            </w:pPr>
          </w:p>
        </w:tc>
      </w:tr>
    </w:tbl>
    <w:p>
      <w:pPr>
        <w:spacing w:after="0" w:line="200" w:lineRule="exact"/>
        <w:rPr>
          <w:sz w:val="20"/>
          <w:szCs w:val="20"/>
          <w:color w:val="auto"/>
        </w:rPr>
      </w:pPr>
    </w:p>
    <w:p>
      <w:pPr>
        <w:spacing w:after="0" w:line="314" w:lineRule="exact"/>
        <w:rPr>
          <w:sz w:val="20"/>
          <w:szCs w:val="20"/>
          <w:color w:val="auto"/>
        </w:rPr>
      </w:pPr>
    </w:p>
    <w:p>
      <w:pPr>
        <w:jc w:val="both"/>
        <w:ind w:right="3800" w:firstLine="793"/>
        <w:spacing w:after="0" w:line="260" w:lineRule="auto"/>
        <w:rPr>
          <w:sz w:val="20"/>
          <w:szCs w:val="20"/>
          <w:color w:val="auto"/>
        </w:rPr>
      </w:pPr>
      <w:r>
        <w:rPr>
          <w:rFonts w:ascii="Courier New" w:cs="Courier New" w:eastAsia="Courier New" w:hAnsi="Courier New"/>
          <w:sz w:val="14"/>
          <w:szCs w:val="14"/>
          <w:color w:val="auto"/>
        </w:rPr>
        <w:t>*Estimated pursuant to Rule 457(c) solely for purposes of calculating amount of registration fee, based upon the average of the high and low prices reported on February 7, 1996, as reported on the Nasdaq Stock Market.</w:t>
      </w:r>
    </w:p>
    <w:p>
      <w:pPr>
        <w:spacing w:after="0" w:line="157"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The Index to Exhibits is located at Page II-5.</w:t>
      </w:r>
    </w:p>
    <w:p>
      <w:pPr>
        <w:sectPr>
          <w:pgSz w:w="11900" w:h="16838" w:orient="portrait"/>
          <w:cols w:equalWidth="0" w:num="1">
            <w:col w:w="10660"/>
          </w:cols>
          <w:pgMar w:left="240" w:top="283" w:right="999"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tbl>
      <w:tblPr>
        <w:tblLayout w:type="fixed"/>
        <w:tblInd w:w="0" w:type="dxa"/>
        <w:tblCellMar>
          <w:top w:w="0" w:type="dxa"/>
          <w:left w:w="0" w:type="dxa"/>
          <w:bottom w:w="0" w:type="dxa"/>
          <w:right w:w="0" w:type="dxa"/>
        </w:tblCellMar>
      </w:tblPr>
      <w:tr>
        <w:trPr>
          <w:trHeight w:val="170"/>
        </w:trPr>
        <w:tc>
          <w:tcPr>
            <w:tcW w:w="10120" w:type="dxa"/>
            <w:vAlign w:val="bottom"/>
          </w:tcPr>
          <w:p>
            <w:pPr>
              <w:ind w:left="2820"/>
              <w:spacing w:after="0"/>
              <w:rPr>
                <w:sz w:val="20"/>
                <w:szCs w:val="20"/>
                <w:color w:val="auto"/>
              </w:rPr>
            </w:pPr>
            <w:r>
              <w:rPr>
                <w:rFonts w:ascii="Courier New" w:cs="Courier New" w:eastAsia="Courier New" w:hAnsi="Courier New"/>
                <w:sz w:val="15"/>
                <w:szCs w:val="15"/>
                <w:color w:val="auto"/>
              </w:rPr>
              <w:t>TABLE OF CONTENTS</w:t>
            </w:r>
          </w:p>
        </w:tc>
        <w:tc>
          <w:tcPr>
            <w:tcW w:w="540" w:type="dxa"/>
            <w:vAlign w:val="bottom"/>
          </w:tcPr>
          <w:p>
            <w:pPr>
              <w:spacing w:after="0"/>
              <w:rPr>
                <w:sz w:val="14"/>
                <w:szCs w:val="14"/>
                <w:color w:val="auto"/>
              </w:rPr>
            </w:pPr>
          </w:p>
        </w:tc>
      </w:tr>
      <w:tr>
        <w:trPr>
          <w:trHeight w:val="678"/>
        </w:trPr>
        <w:tc>
          <w:tcPr>
            <w:tcW w:w="101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PAGE</w:t>
            </w:r>
          </w:p>
        </w:tc>
      </w:tr>
      <w:tr>
        <w:trPr>
          <w:trHeight w:val="509"/>
        </w:trPr>
        <w:tc>
          <w:tcPr>
            <w:tcW w:w="10120" w:type="dxa"/>
            <w:vAlign w:val="bottom"/>
          </w:tcPr>
          <w:p>
            <w:pPr>
              <w:spacing w:after="0"/>
              <w:rPr>
                <w:sz w:val="20"/>
                <w:szCs w:val="20"/>
                <w:color w:val="auto"/>
              </w:rPr>
            </w:pPr>
            <w:r>
              <w:rPr>
                <w:rFonts w:ascii="Courier New" w:cs="Courier New" w:eastAsia="Courier New" w:hAnsi="Courier New"/>
                <w:sz w:val="15"/>
                <w:szCs w:val="15"/>
                <w:color w:val="auto"/>
                <w:w w:val="97"/>
              </w:rPr>
              <w:t>AVAILABLE INFORMATION..............................................................................................</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2</w:t>
            </w:r>
          </w:p>
        </w:tc>
      </w:tr>
      <w:tr>
        <w:trPr>
          <w:trHeight w:val="170"/>
        </w:trPr>
        <w:tc>
          <w:tcPr>
            <w:tcW w:w="10120" w:type="dxa"/>
            <w:vAlign w:val="bottom"/>
          </w:tcPr>
          <w:p>
            <w:pPr>
              <w:spacing w:after="0"/>
              <w:rPr>
                <w:sz w:val="20"/>
                <w:szCs w:val="20"/>
                <w:color w:val="auto"/>
              </w:rPr>
            </w:pPr>
            <w:r>
              <w:rPr>
                <w:rFonts w:ascii="Courier New" w:cs="Courier New" w:eastAsia="Courier New" w:hAnsi="Courier New"/>
                <w:sz w:val="15"/>
                <w:szCs w:val="15"/>
                <w:color w:val="auto"/>
                <w:w w:val="97"/>
              </w:rPr>
              <w:t>INCORPORATION OF CERTAIN INFORMATION BY REFERENCE..................................................................</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2</w:t>
            </w:r>
          </w:p>
        </w:tc>
      </w:tr>
      <w:tr>
        <w:trPr>
          <w:trHeight w:val="170"/>
        </w:trPr>
        <w:tc>
          <w:tcPr>
            <w:tcW w:w="10120" w:type="dxa"/>
            <w:vAlign w:val="bottom"/>
          </w:tcPr>
          <w:p>
            <w:pPr>
              <w:spacing w:after="0"/>
              <w:rPr>
                <w:sz w:val="20"/>
                <w:szCs w:val="20"/>
                <w:color w:val="auto"/>
              </w:rPr>
            </w:pPr>
            <w:r>
              <w:rPr>
                <w:rFonts w:ascii="Courier New" w:cs="Courier New" w:eastAsia="Courier New" w:hAnsi="Courier New"/>
                <w:sz w:val="15"/>
                <w:szCs w:val="15"/>
                <w:color w:val="auto"/>
                <w:w w:val="97"/>
              </w:rPr>
              <w:t>THE COMPANY........................................................................................................</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3</w:t>
            </w:r>
          </w:p>
        </w:tc>
      </w:tr>
      <w:tr>
        <w:trPr>
          <w:trHeight w:val="170"/>
        </w:trPr>
        <w:tc>
          <w:tcPr>
            <w:tcW w:w="10120" w:type="dxa"/>
            <w:vAlign w:val="bottom"/>
          </w:tcPr>
          <w:p>
            <w:pPr>
              <w:spacing w:after="0"/>
              <w:rPr>
                <w:sz w:val="20"/>
                <w:szCs w:val="20"/>
                <w:color w:val="auto"/>
              </w:rPr>
            </w:pPr>
            <w:r>
              <w:rPr>
                <w:rFonts w:ascii="Courier New" w:cs="Courier New" w:eastAsia="Courier New" w:hAnsi="Courier New"/>
                <w:sz w:val="15"/>
                <w:szCs w:val="15"/>
                <w:color w:val="auto"/>
                <w:w w:val="97"/>
              </w:rPr>
              <w:t>SELLING SHAREHOLDERS...............................................................................................</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3</w:t>
            </w:r>
          </w:p>
        </w:tc>
      </w:tr>
      <w:tr>
        <w:trPr>
          <w:trHeight w:val="170"/>
        </w:trPr>
        <w:tc>
          <w:tcPr>
            <w:tcW w:w="10120" w:type="dxa"/>
            <w:vAlign w:val="bottom"/>
          </w:tcPr>
          <w:p>
            <w:pPr>
              <w:spacing w:after="0"/>
              <w:rPr>
                <w:sz w:val="20"/>
                <w:szCs w:val="20"/>
                <w:color w:val="auto"/>
              </w:rPr>
            </w:pPr>
            <w:r>
              <w:rPr>
                <w:rFonts w:ascii="Courier New" w:cs="Courier New" w:eastAsia="Courier New" w:hAnsi="Courier New"/>
                <w:sz w:val="15"/>
                <w:szCs w:val="15"/>
                <w:color w:val="auto"/>
                <w:w w:val="97"/>
              </w:rPr>
              <w:t>LEGAL MATTERS......................................................................................................</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4</w:t>
            </w:r>
          </w:p>
        </w:tc>
      </w:tr>
      <w:tr>
        <w:trPr>
          <w:trHeight w:val="170"/>
        </w:trPr>
        <w:tc>
          <w:tcPr>
            <w:tcW w:w="10120" w:type="dxa"/>
            <w:vAlign w:val="bottom"/>
          </w:tcPr>
          <w:p>
            <w:pPr>
              <w:spacing w:after="0"/>
              <w:rPr>
                <w:sz w:val="20"/>
                <w:szCs w:val="20"/>
                <w:color w:val="auto"/>
              </w:rPr>
            </w:pPr>
            <w:r>
              <w:rPr>
                <w:rFonts w:ascii="Courier New" w:cs="Courier New" w:eastAsia="Courier New" w:hAnsi="Courier New"/>
                <w:sz w:val="15"/>
                <w:szCs w:val="15"/>
                <w:color w:val="auto"/>
                <w:w w:val="97"/>
              </w:rPr>
              <w:t>EXPERTS............................................................................................................</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5</w:t>
            </w:r>
          </w:p>
        </w:tc>
      </w:tr>
      <w:tr>
        <w:trPr>
          <w:trHeight w:val="170"/>
        </w:trPr>
        <w:tc>
          <w:tcPr>
            <w:tcW w:w="10120" w:type="dxa"/>
            <w:vAlign w:val="bottom"/>
          </w:tcPr>
          <w:p>
            <w:pPr>
              <w:spacing w:after="0"/>
              <w:rPr>
                <w:sz w:val="20"/>
                <w:szCs w:val="20"/>
                <w:color w:val="auto"/>
              </w:rPr>
            </w:pPr>
            <w:r>
              <w:rPr>
                <w:rFonts w:ascii="Courier New" w:cs="Courier New" w:eastAsia="Courier New" w:hAnsi="Courier New"/>
                <w:sz w:val="15"/>
                <w:szCs w:val="15"/>
                <w:color w:val="auto"/>
              </w:rPr>
              <w:t>DISCLOSURE OF COMMISSION POSITION ON INDEMNIFICATION FOR</w:t>
            </w:r>
          </w:p>
        </w:tc>
        <w:tc>
          <w:tcPr>
            <w:tcW w:w="540" w:type="dxa"/>
            <w:vAlign w:val="bottom"/>
          </w:tcPr>
          <w:p>
            <w:pPr>
              <w:spacing w:after="0"/>
              <w:rPr>
                <w:sz w:val="14"/>
                <w:szCs w:val="14"/>
                <w:color w:val="auto"/>
              </w:rPr>
            </w:pPr>
          </w:p>
        </w:tc>
      </w:tr>
      <w:tr>
        <w:trPr>
          <w:trHeight w:val="170"/>
        </w:trPr>
        <w:tc>
          <w:tcPr>
            <w:tcW w:w="10120" w:type="dxa"/>
            <w:vAlign w:val="bottom"/>
          </w:tcPr>
          <w:p>
            <w:pPr>
              <w:spacing w:after="0"/>
              <w:rPr>
                <w:sz w:val="20"/>
                <w:szCs w:val="20"/>
                <w:color w:val="auto"/>
              </w:rPr>
            </w:pPr>
            <w:r>
              <w:rPr>
                <w:rFonts w:ascii="Courier New" w:cs="Courier New" w:eastAsia="Courier New" w:hAnsi="Courier New"/>
                <w:sz w:val="15"/>
                <w:szCs w:val="15"/>
                <w:color w:val="auto"/>
                <w:w w:val="97"/>
              </w:rPr>
              <w:t>SECURITIES ACT LIABILITIES.........................................................................................</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5</w:t>
            </w:r>
          </w:p>
        </w:tc>
      </w:tr>
      <w:tr>
        <w:trPr>
          <w:trHeight w:val="170"/>
        </w:trPr>
        <w:tc>
          <w:tcPr>
            <w:tcW w:w="10120" w:type="dxa"/>
            <w:vAlign w:val="bottom"/>
          </w:tcPr>
          <w:p>
            <w:pPr>
              <w:spacing w:after="0"/>
              <w:rPr>
                <w:sz w:val="20"/>
                <w:szCs w:val="20"/>
                <w:color w:val="auto"/>
              </w:rPr>
            </w:pPr>
            <w:r>
              <w:rPr>
                <w:rFonts w:ascii="Courier New" w:cs="Courier New" w:eastAsia="Courier New" w:hAnsi="Courier New"/>
                <w:sz w:val="15"/>
                <w:szCs w:val="15"/>
                <w:color w:val="auto"/>
                <w:w w:val="97"/>
              </w:rPr>
              <w:t>OTHER INFORMATION..................................................................................................</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5</w:t>
            </w:r>
          </w:p>
        </w:tc>
      </w:tr>
      <w:tr>
        <w:trPr>
          <w:trHeight w:val="339"/>
        </w:trPr>
        <w:tc>
          <w:tcPr>
            <w:tcW w:w="1012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540" w:type="dxa"/>
            <w:vAlign w:val="bottom"/>
          </w:tcPr>
          <w:p>
            <w:pPr>
              <w:spacing w:after="0"/>
              <w:rPr>
                <w:sz w:val="24"/>
                <w:szCs w:val="24"/>
                <w:color w:val="auto"/>
              </w:rPr>
            </w:pPr>
          </w:p>
        </w:tc>
      </w:tr>
      <w:tr>
        <w:trPr>
          <w:trHeight w:val="170"/>
        </w:trPr>
        <w:tc>
          <w:tcPr>
            <w:tcW w:w="10120" w:type="dxa"/>
            <w:vAlign w:val="bottom"/>
          </w:tcPr>
          <w:p>
            <w:pPr>
              <w:spacing w:after="0"/>
              <w:rPr>
                <w:sz w:val="20"/>
                <w:szCs w:val="20"/>
                <w:color w:val="auto"/>
              </w:rPr>
            </w:pPr>
            <w:r>
              <w:rPr>
                <w:rFonts w:ascii="Courier New" w:cs="Courier New" w:eastAsia="Courier New" w:hAnsi="Courier New"/>
                <w:sz w:val="15"/>
                <w:szCs w:val="15"/>
                <w:color w:val="auto"/>
                <w:w w:val="97"/>
              </w:rPr>
              <w:t>INFORMATION NOT REQUIRED IN PROSPECTUS.............................................................................</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w w:val="94"/>
              </w:rPr>
              <w:t>II-1</w:t>
            </w:r>
          </w:p>
        </w:tc>
      </w:tr>
      <w:tr>
        <w:trPr>
          <w:trHeight w:val="170"/>
        </w:trPr>
        <w:tc>
          <w:tcPr>
            <w:tcW w:w="10120" w:type="dxa"/>
            <w:vAlign w:val="bottom"/>
          </w:tcPr>
          <w:p>
            <w:pPr>
              <w:spacing w:after="0"/>
              <w:rPr>
                <w:sz w:val="20"/>
                <w:szCs w:val="20"/>
                <w:color w:val="auto"/>
              </w:rPr>
            </w:pPr>
            <w:r>
              <w:rPr>
                <w:rFonts w:ascii="Courier New" w:cs="Courier New" w:eastAsia="Courier New" w:hAnsi="Courier New"/>
                <w:sz w:val="15"/>
                <w:szCs w:val="15"/>
                <w:color w:val="auto"/>
                <w:w w:val="97"/>
              </w:rPr>
              <w:t>SIGNATURES.........................................................................................................</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w w:val="94"/>
              </w:rPr>
              <w:t>II-3</w:t>
            </w:r>
          </w:p>
        </w:tc>
      </w:tr>
      <w:tr>
        <w:trPr>
          <w:trHeight w:val="339"/>
        </w:trPr>
        <w:tc>
          <w:tcPr>
            <w:tcW w:w="10120" w:type="dxa"/>
            <w:vAlign w:val="bottom"/>
          </w:tcPr>
          <w:p>
            <w:pPr>
              <w:spacing w:after="0"/>
              <w:rPr>
                <w:sz w:val="20"/>
                <w:szCs w:val="20"/>
                <w:color w:val="auto"/>
              </w:rPr>
            </w:pPr>
            <w:r>
              <w:rPr>
                <w:rFonts w:ascii="Courier New" w:cs="Courier New" w:eastAsia="Courier New" w:hAnsi="Courier New"/>
                <w:sz w:val="15"/>
                <w:szCs w:val="15"/>
                <w:color w:val="auto"/>
                <w:w w:val="97"/>
              </w:rPr>
              <w:t>INDEX TO EXHIBITS..................................................................................................</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w w:val="94"/>
              </w:rPr>
              <w:t>II-5</w:t>
            </w:r>
          </w:p>
        </w:tc>
      </w:tr>
    </w:tbl>
    <w:p>
      <w:pPr>
        <w:spacing w:after="0" w:line="200" w:lineRule="exact"/>
        <w:rPr>
          <w:sz w:val="20"/>
          <w:szCs w:val="20"/>
          <w:color w:val="auto"/>
        </w:rPr>
      </w:pPr>
    </w:p>
    <w:p>
      <w:pPr>
        <w:spacing w:after="0" w:line="30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660"/>
          </w:cols>
          <w:pgMar w:left="240" w:top="283" w:right="99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CROSS REFERENCE SHEET</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MICROSOFT CORPORATION</w:t>
      </w:r>
    </w:p>
    <w:p>
      <w:pPr>
        <w:spacing w:after="0" w:line="200" w:lineRule="exact"/>
        <w:rPr>
          <w:sz w:val="20"/>
          <w:szCs w:val="20"/>
          <w:color w:val="auto"/>
        </w:rPr>
      </w:pPr>
    </w:p>
    <w:p>
      <w:pPr>
        <w:spacing w:after="0" w:line="30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Item No.</w:t>
            </w:r>
          </w:p>
        </w:tc>
        <w:tc>
          <w:tcPr>
            <w:tcW w:w="4720" w:type="dxa"/>
            <w:vAlign w:val="bottom"/>
          </w:tcPr>
          <w:p>
            <w:pPr>
              <w:ind w:left="2380"/>
              <w:spacing w:after="0"/>
              <w:rPr>
                <w:sz w:val="20"/>
                <w:szCs w:val="20"/>
                <w:color w:val="auto"/>
              </w:rPr>
            </w:pPr>
            <w:r>
              <w:rPr>
                <w:rFonts w:ascii="Courier New" w:cs="Courier New" w:eastAsia="Courier New" w:hAnsi="Courier New"/>
                <w:sz w:val="15"/>
                <w:szCs w:val="15"/>
                <w:color w:val="auto"/>
              </w:rPr>
              <w:t>Item</w:t>
            </w:r>
          </w:p>
        </w:tc>
        <w:tc>
          <w:tcPr>
            <w:tcW w:w="3920" w:type="dxa"/>
            <w:vAlign w:val="bottom"/>
          </w:tcPr>
          <w:p>
            <w:pPr>
              <w:ind w:left="1360"/>
              <w:spacing w:after="0"/>
              <w:rPr>
                <w:sz w:val="20"/>
                <w:szCs w:val="20"/>
                <w:color w:val="auto"/>
              </w:rPr>
            </w:pPr>
            <w:r>
              <w:rPr>
                <w:rFonts w:ascii="Courier New" w:cs="Courier New" w:eastAsia="Courier New" w:hAnsi="Courier New"/>
                <w:sz w:val="15"/>
                <w:szCs w:val="15"/>
                <w:color w:val="auto"/>
              </w:rPr>
              <w:t>Location in Prospectus</w:t>
            </w:r>
          </w:p>
        </w:tc>
      </w:t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720" w:type="dxa"/>
            <w:vAlign w:val="bottom"/>
          </w:tcPr>
          <w:p>
            <w:pPr>
              <w:ind w:left="2380"/>
              <w:spacing w:after="0"/>
              <w:rPr>
                <w:sz w:val="20"/>
                <w:szCs w:val="20"/>
                <w:color w:val="auto"/>
              </w:rPr>
            </w:pPr>
            <w:r>
              <w:rPr>
                <w:rFonts w:ascii="Courier New" w:cs="Courier New" w:eastAsia="Courier New" w:hAnsi="Courier New"/>
                <w:sz w:val="15"/>
                <w:szCs w:val="15"/>
                <w:color w:val="auto"/>
              </w:rPr>
              <w:t>----</w:t>
            </w:r>
          </w:p>
        </w:tc>
        <w:tc>
          <w:tcPr>
            <w:tcW w:w="3920" w:type="dxa"/>
            <w:vAlign w:val="bottom"/>
          </w:tcPr>
          <w:p>
            <w:pPr>
              <w:ind w:left="1360"/>
              <w:spacing w:after="0"/>
              <w:rPr>
                <w:sz w:val="20"/>
                <w:szCs w:val="20"/>
                <w:color w:val="auto"/>
              </w:rPr>
            </w:pPr>
            <w:r>
              <w:rPr>
                <w:rFonts w:ascii="Courier New" w:cs="Courier New" w:eastAsia="Courier New" w:hAnsi="Courier New"/>
                <w:sz w:val="15"/>
                <w:szCs w:val="15"/>
                <w:color w:val="auto"/>
              </w:rPr>
              <w:t>----------------------</w:t>
            </w:r>
          </w:p>
        </w:tc>
      </w:tr>
      <w:tr>
        <w:trPr>
          <w:trHeight w:val="339"/>
        </w:trPr>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w:t>
            </w:r>
          </w:p>
        </w:tc>
        <w:tc>
          <w:tcPr>
            <w:tcW w:w="4720" w:type="dxa"/>
            <w:vAlign w:val="bottom"/>
          </w:tcPr>
          <w:p>
            <w:pPr>
              <w:ind w:left="340"/>
              <w:spacing w:after="0"/>
              <w:rPr>
                <w:sz w:val="20"/>
                <w:szCs w:val="20"/>
                <w:color w:val="auto"/>
              </w:rPr>
            </w:pPr>
            <w:r>
              <w:rPr>
                <w:rFonts w:ascii="Courier New" w:cs="Courier New" w:eastAsia="Courier New" w:hAnsi="Courier New"/>
                <w:sz w:val="15"/>
                <w:szCs w:val="15"/>
                <w:color w:val="auto"/>
              </w:rPr>
              <w:t>Forepart of the Registration Statement and</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w w:val="97"/>
              </w:rPr>
              <w:t>Facing page; cross-reference sheet; cover</w:t>
            </w:r>
          </w:p>
        </w:tc>
      </w:tr>
      <w:tr>
        <w:trPr>
          <w:trHeight w:val="170"/>
        </w:trPr>
        <w:tc>
          <w:tcPr>
            <w:tcW w:w="1060" w:type="dxa"/>
            <w:vAlign w:val="bottom"/>
          </w:tcPr>
          <w:p>
            <w:pPr>
              <w:spacing w:after="0"/>
              <w:rPr>
                <w:sz w:val="14"/>
                <w:szCs w:val="14"/>
                <w:color w:val="auto"/>
              </w:rPr>
            </w:pPr>
          </w:p>
        </w:tc>
        <w:tc>
          <w:tcPr>
            <w:tcW w:w="4720" w:type="dxa"/>
            <w:vAlign w:val="bottom"/>
          </w:tcPr>
          <w:p>
            <w:pPr>
              <w:ind w:left="340"/>
              <w:spacing w:after="0"/>
              <w:rPr>
                <w:sz w:val="20"/>
                <w:szCs w:val="20"/>
                <w:color w:val="auto"/>
              </w:rPr>
            </w:pPr>
            <w:r>
              <w:rPr>
                <w:rFonts w:ascii="Courier New" w:cs="Courier New" w:eastAsia="Courier New" w:hAnsi="Courier New"/>
                <w:sz w:val="15"/>
                <w:szCs w:val="15"/>
                <w:color w:val="auto"/>
              </w:rPr>
              <w:t>Outside Front Cover Page of Prospectus</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page of Prospectus</w:t>
            </w:r>
          </w:p>
        </w:tc>
      </w:tr>
      <w:tr>
        <w:trPr>
          <w:trHeight w:val="339"/>
        </w:trPr>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4720" w:type="dxa"/>
            <w:vAlign w:val="bottom"/>
          </w:tcPr>
          <w:p>
            <w:pPr>
              <w:ind w:left="340"/>
              <w:spacing w:after="0"/>
              <w:rPr>
                <w:sz w:val="20"/>
                <w:szCs w:val="20"/>
                <w:color w:val="auto"/>
              </w:rPr>
            </w:pPr>
            <w:r>
              <w:rPr>
                <w:rFonts w:ascii="Courier New" w:cs="Courier New" w:eastAsia="Courier New" w:hAnsi="Courier New"/>
                <w:sz w:val="15"/>
                <w:szCs w:val="15"/>
                <w:color w:val="auto"/>
              </w:rPr>
              <w:t>Inside Front and Outside Back Cover Pages of</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Available Information; Incorporation of</w:t>
            </w:r>
          </w:p>
        </w:tc>
      </w:tr>
      <w:tr>
        <w:trPr>
          <w:trHeight w:val="170"/>
        </w:trPr>
        <w:tc>
          <w:tcPr>
            <w:tcW w:w="1060" w:type="dxa"/>
            <w:vAlign w:val="bottom"/>
          </w:tcPr>
          <w:p>
            <w:pPr>
              <w:spacing w:after="0"/>
              <w:rPr>
                <w:sz w:val="14"/>
                <w:szCs w:val="14"/>
                <w:color w:val="auto"/>
              </w:rPr>
            </w:pPr>
          </w:p>
        </w:tc>
        <w:tc>
          <w:tcPr>
            <w:tcW w:w="4720" w:type="dxa"/>
            <w:vAlign w:val="bottom"/>
          </w:tcPr>
          <w:p>
            <w:pPr>
              <w:ind w:left="340"/>
              <w:spacing w:after="0"/>
              <w:rPr>
                <w:sz w:val="20"/>
                <w:szCs w:val="20"/>
                <w:color w:val="auto"/>
              </w:rPr>
            </w:pPr>
            <w:r>
              <w:rPr>
                <w:rFonts w:ascii="Courier New" w:cs="Courier New" w:eastAsia="Courier New" w:hAnsi="Courier New"/>
                <w:sz w:val="15"/>
                <w:szCs w:val="15"/>
                <w:color w:val="auto"/>
              </w:rPr>
              <w:t>Prospectus</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Certain Documents by Reference</w:t>
            </w:r>
          </w:p>
        </w:tc>
      </w:tr>
      <w:tr>
        <w:trPr>
          <w:trHeight w:val="339"/>
        </w:trPr>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4720" w:type="dxa"/>
            <w:vAlign w:val="bottom"/>
          </w:tcPr>
          <w:p>
            <w:pPr>
              <w:ind w:left="340"/>
              <w:spacing w:after="0"/>
              <w:rPr>
                <w:sz w:val="20"/>
                <w:szCs w:val="20"/>
                <w:color w:val="auto"/>
              </w:rPr>
            </w:pPr>
            <w:r>
              <w:rPr>
                <w:rFonts w:ascii="Courier New" w:cs="Courier New" w:eastAsia="Courier New" w:hAnsi="Courier New"/>
                <w:sz w:val="15"/>
                <w:szCs w:val="15"/>
                <w:color w:val="auto"/>
              </w:rPr>
              <w:t>Summary Information, Risk Factors and Ratio</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Cover Page of Prospectus</w:t>
            </w:r>
          </w:p>
        </w:tc>
      </w:tr>
      <w:tr>
        <w:trPr>
          <w:trHeight w:val="170"/>
        </w:trPr>
        <w:tc>
          <w:tcPr>
            <w:tcW w:w="1060" w:type="dxa"/>
            <w:vAlign w:val="bottom"/>
          </w:tcPr>
          <w:p>
            <w:pPr>
              <w:spacing w:after="0"/>
              <w:rPr>
                <w:sz w:val="14"/>
                <w:szCs w:val="14"/>
                <w:color w:val="auto"/>
              </w:rPr>
            </w:pPr>
          </w:p>
        </w:tc>
        <w:tc>
          <w:tcPr>
            <w:tcW w:w="4720" w:type="dxa"/>
            <w:vAlign w:val="bottom"/>
          </w:tcPr>
          <w:p>
            <w:pPr>
              <w:ind w:left="340"/>
              <w:spacing w:after="0"/>
              <w:rPr>
                <w:sz w:val="20"/>
                <w:szCs w:val="20"/>
                <w:color w:val="auto"/>
              </w:rPr>
            </w:pPr>
            <w:r>
              <w:rPr>
                <w:rFonts w:ascii="Courier New" w:cs="Courier New" w:eastAsia="Courier New" w:hAnsi="Courier New"/>
                <w:sz w:val="15"/>
                <w:szCs w:val="15"/>
                <w:color w:val="auto"/>
              </w:rPr>
              <w:t>of Earnings to Fixed Charges</w:t>
            </w:r>
          </w:p>
        </w:tc>
        <w:tc>
          <w:tcPr>
            <w:tcW w:w="3920" w:type="dxa"/>
            <w:vAlign w:val="bottom"/>
          </w:tcPr>
          <w:p>
            <w:pPr>
              <w:spacing w:after="0"/>
              <w:rPr>
                <w:sz w:val="14"/>
                <w:szCs w:val="14"/>
                <w:color w:val="auto"/>
              </w:rPr>
            </w:pPr>
          </w:p>
        </w:tc>
      </w:tr>
      <w:tr>
        <w:trPr>
          <w:trHeight w:val="339"/>
        </w:trPr>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4720" w:type="dxa"/>
            <w:vAlign w:val="bottom"/>
          </w:tcPr>
          <w:p>
            <w:pPr>
              <w:ind w:left="340"/>
              <w:spacing w:after="0"/>
              <w:rPr>
                <w:sz w:val="20"/>
                <w:szCs w:val="20"/>
                <w:color w:val="auto"/>
              </w:rPr>
            </w:pPr>
            <w:r>
              <w:rPr>
                <w:rFonts w:ascii="Courier New" w:cs="Courier New" w:eastAsia="Courier New" w:hAnsi="Courier New"/>
                <w:sz w:val="15"/>
                <w:szCs w:val="15"/>
                <w:color w:val="auto"/>
              </w:rPr>
              <w:t>Use of Proceeds</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Not Applicable</w:t>
            </w:r>
          </w:p>
        </w:tc>
      </w:tr>
      <w:tr>
        <w:trPr>
          <w:trHeight w:val="339"/>
        </w:trPr>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4720" w:type="dxa"/>
            <w:vAlign w:val="bottom"/>
          </w:tcPr>
          <w:p>
            <w:pPr>
              <w:ind w:left="340"/>
              <w:spacing w:after="0"/>
              <w:rPr>
                <w:sz w:val="20"/>
                <w:szCs w:val="20"/>
                <w:color w:val="auto"/>
              </w:rPr>
            </w:pPr>
            <w:r>
              <w:rPr>
                <w:rFonts w:ascii="Courier New" w:cs="Courier New" w:eastAsia="Courier New" w:hAnsi="Courier New"/>
                <w:sz w:val="15"/>
                <w:szCs w:val="15"/>
                <w:color w:val="auto"/>
              </w:rPr>
              <w:t>Determination of Offering Price</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Not Applicable</w:t>
            </w:r>
          </w:p>
        </w:tc>
      </w:tr>
      <w:tr>
        <w:trPr>
          <w:trHeight w:val="339"/>
        </w:trPr>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6</w:t>
            </w:r>
          </w:p>
        </w:tc>
        <w:tc>
          <w:tcPr>
            <w:tcW w:w="4720" w:type="dxa"/>
            <w:vAlign w:val="bottom"/>
          </w:tcPr>
          <w:p>
            <w:pPr>
              <w:ind w:left="340"/>
              <w:spacing w:after="0"/>
              <w:rPr>
                <w:sz w:val="20"/>
                <w:szCs w:val="20"/>
                <w:color w:val="auto"/>
              </w:rPr>
            </w:pPr>
            <w:r>
              <w:rPr>
                <w:rFonts w:ascii="Courier New" w:cs="Courier New" w:eastAsia="Courier New" w:hAnsi="Courier New"/>
                <w:sz w:val="15"/>
                <w:szCs w:val="15"/>
                <w:color w:val="auto"/>
              </w:rPr>
              <w:t>Dilution</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Not Applicable</w:t>
            </w:r>
          </w:p>
        </w:tc>
      </w:tr>
      <w:tr>
        <w:trPr>
          <w:trHeight w:val="339"/>
        </w:trPr>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7</w:t>
            </w:r>
          </w:p>
        </w:tc>
        <w:tc>
          <w:tcPr>
            <w:tcW w:w="4720" w:type="dxa"/>
            <w:vAlign w:val="bottom"/>
          </w:tcPr>
          <w:p>
            <w:pPr>
              <w:ind w:left="340"/>
              <w:spacing w:after="0"/>
              <w:rPr>
                <w:sz w:val="20"/>
                <w:szCs w:val="20"/>
                <w:color w:val="auto"/>
              </w:rPr>
            </w:pPr>
            <w:r>
              <w:rPr>
                <w:rFonts w:ascii="Courier New" w:cs="Courier New" w:eastAsia="Courier New" w:hAnsi="Courier New"/>
                <w:sz w:val="15"/>
                <w:szCs w:val="15"/>
                <w:color w:val="auto"/>
              </w:rPr>
              <w:t>Selling Shareholders</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Selling Shareholders</w:t>
            </w:r>
          </w:p>
        </w:tc>
      </w:tr>
      <w:tr>
        <w:trPr>
          <w:trHeight w:val="339"/>
        </w:trPr>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8</w:t>
            </w:r>
          </w:p>
        </w:tc>
        <w:tc>
          <w:tcPr>
            <w:tcW w:w="4720" w:type="dxa"/>
            <w:vAlign w:val="bottom"/>
          </w:tcPr>
          <w:p>
            <w:pPr>
              <w:ind w:left="340"/>
              <w:spacing w:after="0"/>
              <w:rPr>
                <w:sz w:val="20"/>
                <w:szCs w:val="20"/>
                <w:color w:val="auto"/>
              </w:rPr>
            </w:pPr>
            <w:r>
              <w:rPr>
                <w:rFonts w:ascii="Courier New" w:cs="Courier New" w:eastAsia="Courier New" w:hAnsi="Courier New"/>
                <w:sz w:val="15"/>
                <w:szCs w:val="15"/>
                <w:color w:val="auto"/>
              </w:rPr>
              <w:t>Plan of Distribution</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Not Applicable</w:t>
            </w:r>
          </w:p>
        </w:tc>
      </w:tr>
      <w:tr>
        <w:trPr>
          <w:trHeight w:val="339"/>
        </w:trPr>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9</w:t>
            </w:r>
          </w:p>
        </w:tc>
        <w:tc>
          <w:tcPr>
            <w:tcW w:w="4720" w:type="dxa"/>
            <w:vAlign w:val="bottom"/>
          </w:tcPr>
          <w:p>
            <w:pPr>
              <w:ind w:left="340"/>
              <w:spacing w:after="0"/>
              <w:rPr>
                <w:sz w:val="20"/>
                <w:szCs w:val="20"/>
                <w:color w:val="auto"/>
              </w:rPr>
            </w:pPr>
            <w:r>
              <w:rPr>
                <w:rFonts w:ascii="Courier New" w:cs="Courier New" w:eastAsia="Courier New" w:hAnsi="Courier New"/>
                <w:sz w:val="15"/>
                <w:szCs w:val="15"/>
                <w:color w:val="auto"/>
              </w:rPr>
              <w:t>Description of Securities to be Registered</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Incorporation of Certain Documents by</w:t>
            </w:r>
          </w:p>
        </w:tc>
      </w:tr>
      <w:tr>
        <w:trPr>
          <w:trHeight w:val="170"/>
        </w:trPr>
        <w:tc>
          <w:tcPr>
            <w:tcW w:w="10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Reference</w:t>
            </w:r>
          </w:p>
        </w:tc>
      </w:tr>
      <w:tr>
        <w:trPr>
          <w:trHeight w:val="339"/>
        </w:trPr>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10</w:t>
            </w:r>
          </w:p>
        </w:tc>
        <w:tc>
          <w:tcPr>
            <w:tcW w:w="4720" w:type="dxa"/>
            <w:vAlign w:val="bottom"/>
          </w:tcPr>
          <w:p>
            <w:pPr>
              <w:ind w:left="340"/>
              <w:spacing w:after="0"/>
              <w:rPr>
                <w:sz w:val="20"/>
                <w:szCs w:val="20"/>
                <w:color w:val="auto"/>
              </w:rPr>
            </w:pPr>
            <w:r>
              <w:rPr>
                <w:rFonts w:ascii="Courier New" w:cs="Courier New" w:eastAsia="Courier New" w:hAnsi="Courier New"/>
                <w:sz w:val="15"/>
                <w:szCs w:val="15"/>
                <w:color w:val="auto"/>
              </w:rPr>
              <w:t>Interest of Named Experts and Counsel</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Experts</w:t>
            </w:r>
          </w:p>
        </w:tc>
      </w:tr>
      <w:tr>
        <w:trPr>
          <w:trHeight w:val="339"/>
        </w:trPr>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11</w:t>
            </w:r>
          </w:p>
        </w:tc>
        <w:tc>
          <w:tcPr>
            <w:tcW w:w="4720" w:type="dxa"/>
            <w:vAlign w:val="bottom"/>
          </w:tcPr>
          <w:p>
            <w:pPr>
              <w:ind w:left="340"/>
              <w:spacing w:after="0"/>
              <w:rPr>
                <w:sz w:val="20"/>
                <w:szCs w:val="20"/>
                <w:color w:val="auto"/>
              </w:rPr>
            </w:pPr>
            <w:r>
              <w:rPr>
                <w:rFonts w:ascii="Courier New" w:cs="Courier New" w:eastAsia="Courier New" w:hAnsi="Courier New"/>
                <w:sz w:val="15"/>
                <w:szCs w:val="15"/>
                <w:color w:val="auto"/>
              </w:rPr>
              <w:t>Material Changes</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Not Applicable</w:t>
            </w:r>
          </w:p>
        </w:tc>
      </w:tr>
      <w:tr>
        <w:trPr>
          <w:trHeight w:val="339"/>
        </w:trPr>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12</w:t>
            </w:r>
          </w:p>
        </w:tc>
        <w:tc>
          <w:tcPr>
            <w:tcW w:w="4720" w:type="dxa"/>
            <w:vAlign w:val="bottom"/>
          </w:tcPr>
          <w:p>
            <w:pPr>
              <w:ind w:left="340"/>
              <w:spacing w:after="0"/>
              <w:rPr>
                <w:sz w:val="20"/>
                <w:szCs w:val="20"/>
                <w:color w:val="auto"/>
              </w:rPr>
            </w:pPr>
            <w:r>
              <w:rPr>
                <w:rFonts w:ascii="Courier New" w:cs="Courier New" w:eastAsia="Courier New" w:hAnsi="Courier New"/>
                <w:sz w:val="15"/>
                <w:szCs w:val="15"/>
                <w:color w:val="auto"/>
              </w:rPr>
              <w:t>Incorporation of Certain Information by</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Incorporation of Certain Information by</w:t>
            </w:r>
          </w:p>
        </w:tc>
      </w:tr>
      <w:tr>
        <w:trPr>
          <w:trHeight w:val="170"/>
        </w:trPr>
        <w:tc>
          <w:tcPr>
            <w:tcW w:w="1060" w:type="dxa"/>
            <w:vAlign w:val="bottom"/>
          </w:tcPr>
          <w:p>
            <w:pPr>
              <w:spacing w:after="0"/>
              <w:rPr>
                <w:sz w:val="14"/>
                <w:szCs w:val="14"/>
                <w:color w:val="auto"/>
              </w:rPr>
            </w:pPr>
          </w:p>
        </w:tc>
        <w:tc>
          <w:tcPr>
            <w:tcW w:w="4720" w:type="dxa"/>
            <w:vAlign w:val="bottom"/>
          </w:tcPr>
          <w:p>
            <w:pPr>
              <w:ind w:left="340"/>
              <w:spacing w:after="0"/>
              <w:rPr>
                <w:sz w:val="20"/>
                <w:szCs w:val="20"/>
                <w:color w:val="auto"/>
              </w:rPr>
            </w:pPr>
            <w:r>
              <w:rPr>
                <w:rFonts w:ascii="Courier New" w:cs="Courier New" w:eastAsia="Courier New" w:hAnsi="Courier New"/>
                <w:sz w:val="15"/>
                <w:szCs w:val="15"/>
                <w:color w:val="auto"/>
              </w:rPr>
              <w:t>Reference</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Reference</w:t>
            </w:r>
          </w:p>
        </w:tc>
      </w:tr>
      <w:tr>
        <w:trPr>
          <w:trHeight w:val="339"/>
        </w:trPr>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13</w:t>
            </w:r>
          </w:p>
        </w:tc>
        <w:tc>
          <w:tcPr>
            <w:tcW w:w="4720" w:type="dxa"/>
            <w:vAlign w:val="bottom"/>
          </w:tcPr>
          <w:p>
            <w:pPr>
              <w:ind w:left="340"/>
              <w:spacing w:after="0"/>
              <w:rPr>
                <w:sz w:val="20"/>
                <w:szCs w:val="20"/>
                <w:color w:val="auto"/>
              </w:rPr>
            </w:pPr>
            <w:r>
              <w:rPr>
                <w:rFonts w:ascii="Courier New" w:cs="Courier New" w:eastAsia="Courier New" w:hAnsi="Courier New"/>
                <w:sz w:val="15"/>
                <w:szCs w:val="15"/>
                <w:color w:val="auto"/>
              </w:rPr>
              <w:t>Disclosure of Commission Position on</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Disclosure Of Commission Position On</w:t>
            </w:r>
          </w:p>
        </w:tc>
      </w:tr>
      <w:tr>
        <w:trPr>
          <w:trHeight w:val="170"/>
        </w:trPr>
        <w:tc>
          <w:tcPr>
            <w:tcW w:w="1060" w:type="dxa"/>
            <w:vAlign w:val="bottom"/>
          </w:tcPr>
          <w:p>
            <w:pPr>
              <w:spacing w:after="0"/>
              <w:rPr>
                <w:sz w:val="14"/>
                <w:szCs w:val="14"/>
                <w:color w:val="auto"/>
              </w:rPr>
            </w:pPr>
          </w:p>
        </w:tc>
        <w:tc>
          <w:tcPr>
            <w:tcW w:w="4720" w:type="dxa"/>
            <w:vAlign w:val="bottom"/>
          </w:tcPr>
          <w:p>
            <w:pPr>
              <w:ind w:left="340"/>
              <w:spacing w:after="0"/>
              <w:rPr>
                <w:sz w:val="20"/>
                <w:szCs w:val="20"/>
                <w:color w:val="auto"/>
              </w:rPr>
            </w:pPr>
            <w:r>
              <w:rPr>
                <w:rFonts w:ascii="Courier New" w:cs="Courier New" w:eastAsia="Courier New" w:hAnsi="Courier New"/>
                <w:sz w:val="15"/>
                <w:szCs w:val="15"/>
                <w:color w:val="auto"/>
              </w:rPr>
              <w:t>Indemnification for Securities Act Liabilities</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Indemnification For Securities Act</w:t>
            </w:r>
          </w:p>
        </w:tc>
      </w:tr>
      <w:tr>
        <w:trPr>
          <w:trHeight w:val="170"/>
        </w:trPr>
        <w:tc>
          <w:tcPr>
            <w:tcW w:w="10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Liabilities</w:t>
            </w:r>
          </w:p>
        </w:tc>
      </w:tr>
      <w:tr>
        <w:trPr>
          <w:trHeight w:val="339"/>
        </w:trPr>
        <w:tc>
          <w:tcPr>
            <w:tcW w:w="1060" w:type="dxa"/>
            <w:vAlign w:val="bottom"/>
          </w:tcPr>
          <w:p>
            <w:pPr>
              <w:spacing w:after="0"/>
              <w:rPr>
                <w:sz w:val="24"/>
                <w:szCs w:val="24"/>
                <w:color w:val="auto"/>
              </w:rPr>
            </w:pPr>
          </w:p>
        </w:tc>
        <w:tc>
          <w:tcPr>
            <w:tcW w:w="4720" w:type="dxa"/>
            <w:vAlign w:val="bottom"/>
          </w:tcPr>
          <w:p>
            <w:pPr>
              <w:ind w:left="340"/>
              <w:spacing w:after="0"/>
              <w:rPr>
                <w:sz w:val="20"/>
                <w:szCs w:val="20"/>
                <w:color w:val="auto"/>
              </w:rPr>
            </w:pPr>
            <w:r>
              <w:rPr>
                <w:rFonts w:ascii="Courier New" w:cs="Courier New" w:eastAsia="Courier New" w:hAnsi="Courier New"/>
                <w:sz w:val="15"/>
                <w:szCs w:val="15"/>
                <w:color w:val="auto"/>
              </w:rPr>
              <w:t>Exhibit Index</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Page II-5</w:t>
            </w:r>
          </w:p>
        </w:tc>
      </w:tr>
    </w:tbl>
    <w:p>
      <w:pPr>
        <w:spacing w:after="0" w:line="3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9960"/>
          </w:cols>
          <w:pgMar w:left="500" w:top="283" w:right="143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0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PROSPECTUS</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MICROSOFT CORPORATION</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953,849 Common Shares</w:t>
      </w:r>
    </w:p>
    <w:p>
      <w:pPr>
        <w:ind w:left="2200"/>
        <w:spacing w:after="0"/>
        <w:rPr>
          <w:sz w:val="20"/>
          <w:szCs w:val="20"/>
          <w:color w:val="auto"/>
        </w:rPr>
      </w:pPr>
      <w:r>
        <w:rPr>
          <w:rFonts w:ascii="Courier New" w:cs="Courier New" w:eastAsia="Courier New" w:hAnsi="Courier New"/>
          <w:sz w:val="15"/>
          <w:szCs w:val="15"/>
          <w:color w:val="auto"/>
        </w:rPr>
        <w:t>Par Value of $.00005 Per Share</w:t>
      </w:r>
    </w:p>
    <w:p>
      <w:pPr>
        <w:ind w:left="25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This Prospectus relates to up to 953,849 shares of common stock (the "Shares") of Microsoft Corporation, a Washington corporation ("Microsoft"), which may be offered from time to time by the selling shareholders named herein (the "Selling Shareholders"). Microsoft will not receive any of the proceeds from the sale of the Shares. Microsoft will bear the costs relating to the registration of the Shares estimated to be approximately $37,000.</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The Shares are registered as a result of a merger (the "Merger") between Microsoft, Bumbershoot, Ltd., a Delaware corporation and wholly owned subsidiary of Microsoft, and Vermeer Technologies, Inc. ("Vermeer"). Pursuant to the Merger, Microsoft agreed to register the Shares received by each Selling Shareholder in the Merger.</w:t>
      </w:r>
    </w:p>
    <w:p>
      <w:pPr>
        <w:spacing w:after="0" w:line="178"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Microsoft has been advised by each Selling Shareholder that he or she expects to offer his or her Shares through brokers and dealers to be selected by him or her from time to time. The Shares may be offered for sale through the Nasdaq Stock Market, in the over-the-counter market, in one or more private transactions, or a combination of such methods of sale, at prices and on terms then prevailing, at prices related to such prices, or at negotiated prices. Certain of the Selling Shareholders may distribute their shares, from time to time, to their limited and/or general partners who may sell Shares pursuant to this Prospectus. Each Selling Shareholder may pledge all or a portion of the Shares owned by him or her as collateral in loan transactions. Upon default by such a Selling Shareholder the pledgee in such loan transaction would have the same rights of sale as the Selling Shareholder under this Prospectus. Each Selling Shareholder may also transfer Shares owned by him by gift and upon any such transfer the donee would have the same rights of sale as such Selling Shareholder under this Prospectus. In addition, any securities covered by this prospectus which qualify for sale pursuant to Rule 144 of the Securities Act of 1933, as amended (the "1933 Act"), may be sold under Rule 144 rather than pursuant to this Prospectus. Finally, each Selling Shareholder and any brokers and dealers through whom sales of the Shares are made may be deemed to be "underwriters" within the meaning of the 1933 Act, and the commissions or discounts and other compensation paid to such persons may be regarded as underwriters' compensation.</w:t>
      </w:r>
    </w:p>
    <w:p>
      <w:pPr>
        <w:spacing w:after="0" w:line="176"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The Shares are traded on the Nasdaq Stock Market. The average of the high and low prices of the Shares as reported on the Nasdaq Stock Market on February 7, 1996 was $96.30 per share.</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w:t>
      </w:r>
    </w:p>
    <w:p>
      <w:pPr>
        <w:spacing w:after="0" w:line="5" w:lineRule="exact"/>
        <w:rPr>
          <w:sz w:val="20"/>
          <w:szCs w:val="20"/>
          <w:color w:val="auto"/>
        </w:rPr>
      </w:pPr>
    </w:p>
    <w:p>
      <w:pPr>
        <w:jc w:val="center"/>
        <w:ind w:right="3179"/>
        <w:spacing w:after="0" w:line="237" w:lineRule="auto"/>
        <w:rPr>
          <w:sz w:val="20"/>
          <w:szCs w:val="20"/>
          <w:color w:val="auto"/>
        </w:rPr>
      </w:pPr>
      <w:r>
        <w:rPr>
          <w:rFonts w:ascii="Courier New" w:cs="Courier New" w:eastAsia="Courier New" w:hAnsi="Courier New"/>
          <w:sz w:val="15"/>
          <w:szCs w:val="15"/>
          <w:color w:val="auto"/>
        </w:rPr>
        <w:t>EXCHANGE COMMISSION NOR HAS THE COMMISSION PASSED UPON THE ACCURACY OR ADEQUACY OF THIS PROSPECTUS. ANY REPRESENTATION TO THE CONTRARY IS A CRIMINAL OFFENSE.</w:t>
      </w:r>
    </w:p>
    <w:p>
      <w:pPr>
        <w:ind w:left="2540"/>
        <w:spacing w:after="0"/>
        <w:rPr>
          <w:sz w:val="20"/>
          <w:szCs w:val="20"/>
          <w:color w:val="auto"/>
        </w:rPr>
      </w:pPr>
      <w:r>
        <w:rPr>
          <w:rFonts w:ascii="Courier New" w:cs="Courier New" w:eastAsia="Courier New" w:hAnsi="Courier New"/>
          <w:sz w:val="15"/>
          <w:szCs w:val="15"/>
          <w:color w:val="auto"/>
        </w:rPr>
        <w:t>----------------------</w:t>
      </w:r>
    </w:p>
    <w:p>
      <w:pPr>
        <w:ind w:left="1400"/>
        <w:spacing w:after="0"/>
        <w:rPr>
          <w:sz w:val="20"/>
          <w:szCs w:val="20"/>
          <w:color w:val="auto"/>
        </w:rPr>
      </w:pPr>
      <w:r>
        <w:rPr>
          <w:rFonts w:ascii="Courier New" w:cs="Courier New" w:eastAsia="Courier New" w:hAnsi="Courier New"/>
          <w:sz w:val="15"/>
          <w:szCs w:val="15"/>
          <w:color w:val="auto"/>
        </w:rPr>
        <w:t>The date of this Prospectus is February __, 1996.</w:t>
      </w:r>
    </w:p>
    <w:p>
      <w:pPr>
        <w:spacing w:after="0" w:line="174"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All of the securities to be registered hereby are to be offered for the account of security holders.</w:t>
      </w:r>
    </w:p>
    <w:p>
      <w:pPr>
        <w:sectPr>
          <w:pgSz w:w="11900" w:h="16838" w:orient="portrait"/>
          <w:cols w:equalWidth="0" w:num="1">
            <w:col w:w="10219"/>
          </w:cols>
          <w:pgMar w:left="24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AVAILABLE INFORMATION</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Microsoft is subject to the informational requirements of the Securities Exchange Act of 1934 and files reports and other information with the Securities and Exchange Commission in accordance therewith. Such reports, proxy statements, and other information filed by Microsoft are available for inspection and copying at the public reference facilities of the Commission at Room 1024, 450 Fifth Street, N.W., Judiciary Plaza, Washington, D.C. 20549, and at the Commission's Regional Offices located at Room 1028, Jacob K. Javits Federal Building, 26 Federal Plaza, New York, New York 10278 and Room 3190, Kluczynski Federal Building, 230 South Dearborn</w:t>
      </w:r>
    </w:p>
    <w:p>
      <w:pPr>
        <w:spacing w:after="0" w:line="179"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Street, Chicago, Illinois 60604. Copies of such material may be obtained by mail from the Public Reference Section of the Commission at 450 Fifth St., N.W., Judiciary Plaza, Washington, D.C. 20549, at prescribed rates. Microsoft's Shares are listed on the Nasdaq Stock Market. In addition to the addresses listed above, reports, proxy statements, and other information concerning Microsoft can be inspected at the offices of the Nasdaq Stock Market.</w:t>
      </w:r>
    </w:p>
    <w:p>
      <w:pPr>
        <w:ind w:left="2540"/>
        <w:spacing w:after="0" w:line="234" w:lineRule="auto"/>
        <w:rPr>
          <w:sz w:val="20"/>
          <w:szCs w:val="20"/>
          <w:color w:val="auto"/>
        </w:rPr>
      </w:pPr>
      <w:r>
        <w:rPr>
          <w:rFonts w:ascii="Courier New" w:cs="Courier New" w:eastAsia="Courier New" w:hAnsi="Courier New"/>
          <w:sz w:val="15"/>
          <w:szCs w:val="15"/>
          <w:color w:val="auto"/>
        </w:rPr>
        <w:t>----------------------</w:t>
      </w:r>
    </w:p>
    <w:p>
      <w:pPr>
        <w:ind w:left="1400"/>
        <w:spacing w:after="0"/>
        <w:rPr>
          <w:sz w:val="20"/>
          <w:szCs w:val="20"/>
          <w:color w:val="auto"/>
        </w:rPr>
      </w:pPr>
      <w:r>
        <w:rPr>
          <w:rFonts w:ascii="Courier New" w:cs="Courier New" w:eastAsia="Courier New" w:hAnsi="Courier New"/>
          <w:sz w:val="15"/>
          <w:szCs w:val="15"/>
          <w:color w:val="auto"/>
        </w:rPr>
        <w:t>INCORPORATION OF CERTAIN INFORMATION BY REFERENCE</w:t>
      </w:r>
    </w:p>
    <w:p>
      <w:pPr>
        <w:spacing w:after="0" w:line="175" w:lineRule="exact"/>
        <w:rPr>
          <w:sz w:val="20"/>
          <w:szCs w:val="20"/>
          <w:color w:val="auto"/>
        </w:rPr>
      </w:pPr>
    </w:p>
    <w:p>
      <w:pPr>
        <w:ind w:right="3619" w:firstLine="793"/>
        <w:spacing w:after="0" w:line="235" w:lineRule="auto"/>
        <w:rPr>
          <w:sz w:val="20"/>
          <w:szCs w:val="20"/>
          <w:color w:val="auto"/>
        </w:rPr>
      </w:pPr>
      <w:r>
        <w:rPr>
          <w:rFonts w:ascii="Courier New" w:cs="Courier New" w:eastAsia="Courier New" w:hAnsi="Courier New"/>
          <w:sz w:val="15"/>
          <w:szCs w:val="15"/>
          <w:color w:val="auto"/>
        </w:rPr>
        <w:t>The following documents filed by Microsoft with the Commission are incorporated by reference in this Prospectus:</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1. Microsoft's Annual Report on Form 10-K for the year ended June 30,</w:t>
      </w:r>
    </w:p>
    <w:p>
      <w:pPr>
        <w:spacing w:after="0"/>
        <w:rPr>
          <w:sz w:val="20"/>
          <w:szCs w:val="20"/>
          <w:color w:val="auto"/>
        </w:rPr>
      </w:pPr>
      <w:r>
        <w:rPr>
          <w:rFonts w:ascii="Courier New" w:cs="Courier New" w:eastAsia="Courier New" w:hAnsi="Courier New"/>
          <w:sz w:val="15"/>
          <w:szCs w:val="15"/>
          <w:color w:val="auto"/>
        </w:rPr>
        <w:t>1995.</w:t>
      </w:r>
    </w:p>
    <w:p>
      <w:pPr>
        <w:spacing w:after="0" w:line="169" w:lineRule="exact"/>
        <w:rPr>
          <w:sz w:val="20"/>
          <w:szCs w:val="20"/>
          <w:color w:val="auto"/>
        </w:rPr>
      </w:pPr>
    </w:p>
    <w:p>
      <w:pPr>
        <w:ind w:left="1040" w:hanging="256"/>
        <w:spacing w:after="0"/>
        <w:tabs>
          <w:tab w:leader="none" w:pos="10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Microsoft's Proxy Statement dated September 25, 1995.</w:t>
      </w:r>
    </w:p>
    <w:p>
      <w:pPr>
        <w:spacing w:after="0" w:line="174" w:lineRule="exact"/>
        <w:rPr>
          <w:rFonts w:ascii="Courier New" w:cs="Courier New" w:eastAsia="Courier New" w:hAnsi="Courier New"/>
          <w:sz w:val="15"/>
          <w:szCs w:val="15"/>
          <w:color w:val="auto"/>
        </w:rPr>
      </w:pPr>
    </w:p>
    <w:p>
      <w:pPr>
        <w:ind w:right="3619" w:firstLine="784"/>
        <w:spacing w:after="0" w:line="235" w:lineRule="auto"/>
        <w:tabs>
          <w:tab w:leader="none" w:pos="105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Microsoft's Quarterly Report on Form 10-Q for the quarter ended September 30, 1995.</w:t>
      </w:r>
    </w:p>
    <w:p>
      <w:pPr>
        <w:spacing w:after="0" w:line="175" w:lineRule="exact"/>
        <w:rPr>
          <w:rFonts w:ascii="Courier New" w:cs="Courier New" w:eastAsia="Courier New" w:hAnsi="Courier New"/>
          <w:sz w:val="15"/>
          <w:szCs w:val="15"/>
          <w:color w:val="auto"/>
        </w:rPr>
      </w:pPr>
    </w:p>
    <w:p>
      <w:pPr>
        <w:ind w:right="3179" w:firstLine="784"/>
        <w:spacing w:after="0" w:line="237" w:lineRule="auto"/>
        <w:tabs>
          <w:tab w:leader="none" w:pos="105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Common Stock of Microsoft which is contained in the registration statement of Microsoft filed on Form S-4, dated February 17, 1995.</w:t>
      </w:r>
    </w:p>
    <w:p>
      <w:pPr>
        <w:spacing w:after="0" w:line="175" w:lineRule="exact"/>
        <w:rPr>
          <w:sz w:val="20"/>
          <w:szCs w:val="20"/>
          <w:color w:val="auto"/>
        </w:rPr>
      </w:pPr>
    </w:p>
    <w:p>
      <w:pPr>
        <w:ind w:right="3179" w:firstLine="793"/>
        <w:spacing w:after="0" w:line="259" w:lineRule="auto"/>
        <w:rPr>
          <w:sz w:val="20"/>
          <w:szCs w:val="20"/>
          <w:color w:val="auto"/>
        </w:rPr>
      </w:pPr>
      <w:r>
        <w:rPr>
          <w:rFonts w:ascii="Courier New" w:cs="Courier New" w:eastAsia="Courier New" w:hAnsi="Courier New"/>
          <w:sz w:val="14"/>
          <w:szCs w:val="14"/>
          <w:color w:val="auto"/>
        </w:rPr>
        <w:t>All documents filed by Microsoft pursuant to Sections 13(a), 13(c), 14, or 15(d) of the Exchange Act subsequent to the date of this Prospectus and prior to the termination of the offering of the Shares offered hereby shall be deemed to be incorporated by reference into this Prospectus and to be a part hereof.</w:t>
      </w:r>
    </w:p>
    <w:p>
      <w:pPr>
        <w:spacing w:after="0" w:line="163"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Microsoft hereby undertakes to provide without charge to each person to whom this Prospectus has been delivered, upon the written or oral request of any such person, a copy of any and all of the foregoing documents incorporated herein by reference (other than exhibits to such documents which are not specifically incorporated by reference into the information that this Prospectus incorporates). Written or telephone requests should be directed to Investor Relations Department, Microsoft Corporation, One Microsoft Way, Redmond, Washington 98052-6399, telephone number (206) 882-8080.</w:t>
      </w:r>
    </w:p>
    <w:p>
      <w:pPr>
        <w:spacing w:after="0" w:line="178"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No dealer, salesman, or any other person has been authorized to give any information or to make any representation not contained in this Prospectus, and, if given or made, such information and representation must not be relied upon as having been authorized by Microsoft. This Prospectus does not constitute an offer to sell or a solicitation of an offer to buy any of the securities offered hereby in any state to any person to whom it is unlawful to make such offer in such state. Neither the delivery of this Prospectus nor any sales made hereunder shall, under any circumstances, create any implication that there has been no change in the affairs of Microsoft since the date hereof.</w:t>
      </w:r>
    </w:p>
    <w:p>
      <w:pPr>
        <w:ind w:left="2540"/>
        <w:spacing w:after="0" w:line="236"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This Prospectus constitutes a part of a Registration Statement which Microsoft has filed with the Commission under the 1933 Act, with respect to the Shares. This Prospectus omits certain of the information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contained in the Registration Statement, and reference is hereby made to the Registration Statement and related Exhibits thereto for further information with respect to Microsoft and the securities offered hereby. Such additional information can be obtained from the Commission's office in Washington, D.C. Any statements contained herein concerning the provisions of any documents are not necessarily complete, and, in each instance, reference is made to the copy of such document filed as an exhibit to the Registration Statement or otherwise filed with the Commission. Each such statement is qualified in its entirety by such reference.</w:t>
      </w:r>
    </w:p>
    <w:p>
      <w:pPr>
        <w:spacing w:after="0" w:line="17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COMPANY</w:t>
      </w:r>
    </w:p>
    <w:p>
      <w:pPr>
        <w:spacing w:after="0" w:line="175"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Microsoft Corporation, a Washington corporation, has its principal executive offices at One Microsoft Way, Redmond, Washington 98052-6399, telephone number (206) 882-8080. Microsoft was founded as a partnership in 1975 and was incorporated in 1981. Microsoft, develops, manufactures, licenses, sells, and supports a wide range of software products, including operating system platforms for personal computers (PCs), workstations, and servers; business and consumer applications for productivity, reference, education, and entertainment; and development tools. Microsoft also offers an online service, sells personal computer books and input devices, and is engaged in the research and potential development of advanced technology software products. Microsoft's products are available for 16-bit and 32-bit microcomputers, including AST Research, Acer, Apple, Digital Equipment Corporation, Dell, Compaq,</w:t>
      </w:r>
    </w:p>
    <w:p>
      <w:pPr>
        <w:spacing w:after="0" w:line="4" w:lineRule="exact"/>
        <w:rPr>
          <w:sz w:val="20"/>
          <w:szCs w:val="20"/>
          <w:color w:val="auto"/>
        </w:rPr>
      </w:pPr>
    </w:p>
    <w:p>
      <w:pPr>
        <w:ind w:right="3539"/>
        <w:spacing w:after="0" w:line="238" w:lineRule="auto"/>
        <w:rPr>
          <w:sz w:val="20"/>
          <w:szCs w:val="20"/>
          <w:color w:val="auto"/>
        </w:rPr>
      </w:pPr>
      <w:r>
        <w:rPr>
          <w:rFonts w:ascii="Courier New" w:cs="Courier New" w:eastAsia="Courier New" w:hAnsi="Courier New"/>
          <w:sz w:val="15"/>
          <w:szCs w:val="15"/>
          <w:color w:val="auto"/>
        </w:rPr>
        <w:t>Gateway 2000, Hewlett-Packard, International Business Machines (IBM), NEC, Olivetti, Packard Bell, and Toshiba. Microsoft develops most of its software products internally using proprietary development tools and methodology. Microsoft markets and distributes its products domestically and internationally through the original equipment manufacturer ("OEM") channel and through the finished goods channels primarily by means of independent distributors and resellers.</w:t>
      </w:r>
    </w:p>
    <w:p>
      <w:pPr>
        <w:spacing w:after="0" w:line="17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SELLING SHAREHOLDERS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904,374 of the Shares described in this Prospectus are owned by the individuals listed below. Some or all of the Additional Shares, defined below, may be distributed, on a pro rata basis, to the Selling Shareholders thereby increasing their ownership accordingly. All of the shares offered hereby were acquired in connection with the Microsoft acquisition of Vermeer. Certain of the Selling Shareholders, indicated below with an asterisk (*), are employees of Microsoft, but otherwise, the Selling Shareholders have no material relationship with Microsoft.</w:t>
      </w:r>
    </w:p>
    <w:p>
      <w:pPr>
        <w:spacing w:after="0" w:line="200" w:lineRule="exact"/>
        <w:rPr>
          <w:sz w:val="20"/>
          <w:szCs w:val="20"/>
          <w:color w:val="auto"/>
        </w:rPr>
      </w:pPr>
    </w:p>
    <w:p>
      <w:pPr>
        <w:spacing w:after="0" w:line="311"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No. of Shares</w:t>
      </w:r>
    </w:p>
    <w:p>
      <w:pPr>
        <w:ind w:left="1760"/>
        <w:spacing w:after="0"/>
        <w:tabs>
          <w:tab w:leader="none" w:pos="4460" w:val="left"/>
          <w:tab w:leader="none" w:pos="5960" w:val="left"/>
          <w:tab w:leader="none" w:pos="7640" w:val="left"/>
        </w:tabs>
        <w:rPr>
          <w:sz w:val="20"/>
          <w:szCs w:val="20"/>
          <w:color w:val="auto"/>
        </w:rPr>
      </w:pPr>
      <w:r>
        <w:rPr>
          <w:rFonts w:ascii="Courier New" w:cs="Courier New" w:eastAsia="Courier New" w:hAnsi="Courier New"/>
          <w:sz w:val="15"/>
          <w:szCs w:val="15"/>
          <w:color w:val="auto"/>
        </w:rPr>
        <w:t>Name of</w:t>
      </w:r>
      <w:r>
        <w:rPr>
          <w:sz w:val="20"/>
          <w:szCs w:val="20"/>
          <w:color w:val="auto"/>
        </w:rPr>
        <w:tab/>
      </w:r>
      <w:r>
        <w:rPr>
          <w:rFonts w:ascii="Courier New" w:cs="Courier New" w:eastAsia="Courier New" w:hAnsi="Courier New"/>
          <w:sz w:val="15"/>
          <w:szCs w:val="15"/>
          <w:color w:val="auto"/>
        </w:rPr>
        <w:t>Owned Prior</w:t>
      </w:r>
      <w:r>
        <w:rPr>
          <w:sz w:val="20"/>
          <w:szCs w:val="20"/>
          <w:color w:val="auto"/>
        </w:rPr>
        <w:tab/>
      </w:r>
      <w:r>
        <w:rPr>
          <w:rFonts w:ascii="Courier New" w:cs="Courier New" w:eastAsia="Courier New" w:hAnsi="Courier New"/>
          <w:sz w:val="15"/>
          <w:szCs w:val="15"/>
          <w:color w:val="auto"/>
        </w:rPr>
        <w:t>Received from</w:t>
      </w:r>
      <w:r>
        <w:rPr>
          <w:sz w:val="20"/>
          <w:szCs w:val="20"/>
          <w:color w:val="auto"/>
        </w:rPr>
        <w:tab/>
      </w:r>
      <w:r>
        <w:rPr>
          <w:rFonts w:ascii="Courier New" w:cs="Courier New" w:eastAsia="Courier New" w:hAnsi="Courier New"/>
          <w:sz w:val="14"/>
          <w:szCs w:val="14"/>
          <w:color w:val="auto"/>
        </w:rPr>
        <w:t>Shares</w:t>
      </w:r>
    </w:p>
    <w:p>
      <w:pPr>
        <w:ind w:left="1040"/>
        <w:spacing w:after="0"/>
        <w:tabs>
          <w:tab w:leader="none" w:pos="4560" w:val="left"/>
          <w:tab w:leader="none" w:pos="6140" w:val="left"/>
          <w:tab w:leader="none" w:pos="7560" w:val="left"/>
        </w:tabs>
        <w:rPr>
          <w:sz w:val="20"/>
          <w:szCs w:val="20"/>
          <w:color w:val="auto"/>
        </w:rPr>
      </w:pPr>
      <w:r>
        <w:rPr>
          <w:rFonts w:ascii="Courier New" w:cs="Courier New" w:eastAsia="Courier New" w:hAnsi="Courier New"/>
          <w:sz w:val="15"/>
          <w:szCs w:val="15"/>
          <w:color w:val="auto"/>
        </w:rPr>
        <w:t>Selling Shareholders (1)</w:t>
      </w:r>
      <w:r>
        <w:rPr>
          <w:sz w:val="20"/>
          <w:szCs w:val="20"/>
          <w:color w:val="auto"/>
        </w:rPr>
        <w:tab/>
      </w:r>
      <w:r>
        <w:rPr>
          <w:rFonts w:ascii="Courier New" w:cs="Courier New" w:eastAsia="Courier New" w:hAnsi="Courier New"/>
          <w:sz w:val="15"/>
          <w:szCs w:val="15"/>
          <w:color w:val="auto"/>
        </w:rPr>
        <w:t>Offering</w:t>
      </w:r>
      <w:r>
        <w:rPr>
          <w:sz w:val="20"/>
          <w:szCs w:val="20"/>
          <w:color w:val="auto"/>
        </w:rPr>
        <w:tab/>
      </w:r>
      <w:r>
        <w:rPr>
          <w:rFonts w:ascii="Courier New" w:cs="Courier New" w:eastAsia="Courier New" w:hAnsi="Courier New"/>
          <w:sz w:val="15"/>
          <w:szCs w:val="15"/>
          <w:color w:val="auto"/>
        </w:rPr>
        <w:t>Microsoft</w:t>
      </w:r>
      <w:r>
        <w:rPr>
          <w:sz w:val="20"/>
          <w:szCs w:val="20"/>
          <w:color w:val="auto"/>
        </w:rPr>
        <w:tab/>
      </w:r>
      <w:r>
        <w:rPr>
          <w:rFonts w:ascii="Courier New" w:cs="Courier New" w:eastAsia="Courier New" w:hAnsi="Courier New"/>
          <w:sz w:val="14"/>
          <w:szCs w:val="14"/>
          <w:color w:val="auto"/>
        </w:rPr>
        <w:t>Owned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Atlas Venture Fund II, L.P.</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164,360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164,360</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Banghart, David and Catherine JTWROS</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327</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Blanchard, Denice</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276</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Blumer, Thomas P.*</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4,134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4,134</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Brown &amp; Bain, P.A</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3,714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3,714</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Clark, Cheryl</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Cuoco, Edmund*</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1,723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1,723</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Davoli, Robert and Eileen McDonagh,</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15,498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15,498</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JTWROS</w:t>
            </w:r>
          </w:p>
        </w:tc>
        <w:tc>
          <w:tcPr>
            <w:tcW w:w="2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Gettys, James</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1,292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1,292</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Harrison, Shelley</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3,445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3,445</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Kaysen, Carl</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227</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Kerr, Andrew</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450</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6,890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7,340</w:t>
            </w:r>
          </w:p>
        </w:tc>
      </w:tr>
      <w:tr>
        <w:trPr>
          <w:trHeight w:val="509"/>
        </w:trPr>
        <w:tc>
          <w:tcPr>
            <w:tcW w:w="3300" w:type="dxa"/>
            <w:vAlign w:val="bottom"/>
          </w:tcPr>
          <w:p>
            <w:pPr>
              <w:spacing w:after="0"/>
              <w:rPr>
                <w:sz w:val="24"/>
                <w:szCs w:val="24"/>
                <w:color w:val="auto"/>
              </w:rPr>
            </w:pPr>
          </w:p>
        </w:tc>
        <w:tc>
          <w:tcPr>
            <w:tcW w:w="2420" w:type="dxa"/>
            <w:vAlign w:val="bottom"/>
          </w:tcPr>
          <w:p>
            <w:pPr>
              <w:jc w:val="right"/>
              <w:ind w:right="2127"/>
              <w:spacing w:after="0"/>
              <w:rPr>
                <w:sz w:val="20"/>
                <w:szCs w:val="20"/>
                <w:color w:val="auto"/>
              </w:rPr>
            </w:pPr>
            <w:r>
              <w:rPr>
                <w:rFonts w:ascii="Courier New" w:cs="Courier New" w:eastAsia="Courier New" w:hAnsi="Courier New"/>
                <w:sz w:val="15"/>
                <w:szCs w:val="15"/>
                <w:color w:val="auto"/>
              </w:rPr>
              <w:t>3</w:t>
            </w: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8</w:t>
            </w:r>
          </w:p>
        </w:tc>
        <w:tc>
          <w:tcPr>
            <w:tcW w:w="1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3960" w:type="dxa"/>
            <w:vAlign w:val="bottom"/>
          </w:tcPr>
          <w:p>
            <w:pPr>
              <w:spacing w:after="0"/>
              <w:rPr>
                <w:sz w:val="20"/>
                <w:szCs w:val="20"/>
                <w:color w:val="auto"/>
              </w:rPr>
            </w:pPr>
            <w:r>
              <w:rPr>
                <w:rFonts w:ascii="Courier New" w:cs="Courier New" w:eastAsia="Courier New" w:hAnsi="Courier New"/>
                <w:sz w:val="15"/>
                <w:szCs w:val="15"/>
                <w:color w:val="auto"/>
              </w:rPr>
              <w:t>LeBlanc, Camilli</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4,134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4,134</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Masciarelli, James P</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3,307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3,307</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Matrix IV Entrepreneurs Fund, L.P.</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16,436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16,436</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Matrix Partners IV, L.P.</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312,285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312,285</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Menlo Entrepreneurs Fund VI, L.P.</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517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517</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Menlo Ventures VI, L.P.</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34,452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34,452</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Miller, Jonathan and Diane Fassino</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550</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227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777</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Nanji, Feisal B</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168</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8,269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8,437</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Pilkington, Cynthia</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4,134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4,134</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Sigma Associates III, L.P.</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27,397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27,397</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Sigma Investors III, L.P.</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4,180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4,180</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Sigma Partners III, L.P.</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281,646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281,646</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The Career Group, Ltd.</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5,512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5,512</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760" w:type="dxa"/>
            <w:vAlign w:val="bottom"/>
          </w:tcPr>
          <w:p>
            <w:pPr>
              <w:spacing w:after="0"/>
              <w:rPr>
                <w:sz w:val="24"/>
                <w:szCs w:val="24"/>
                <w:color w:val="auto"/>
              </w:rPr>
            </w:pP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904,374(3)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905,642</w:t>
            </w:r>
          </w:p>
        </w:tc>
      </w:tr>
    </w:tbl>
    <w:p>
      <w:pPr>
        <w:spacing w:after="0" w:line="344" w:lineRule="exact"/>
        <w:rPr>
          <w:sz w:val="20"/>
          <w:szCs w:val="20"/>
          <w:color w:val="auto"/>
        </w:rPr>
      </w:pPr>
    </w:p>
    <w:p>
      <w:pPr>
        <w:ind w:right="3539" w:firstLine="784"/>
        <w:spacing w:after="0" w:line="235" w:lineRule="auto"/>
        <w:tabs>
          <w:tab w:leader="none" w:pos="114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Selling Shareholders held any office with Microsoft during the last three years.</w:t>
      </w:r>
    </w:p>
    <w:p>
      <w:pPr>
        <w:spacing w:after="0" w:line="175" w:lineRule="exact"/>
        <w:rPr>
          <w:rFonts w:ascii="Courier New" w:cs="Courier New" w:eastAsia="Courier New" w:hAnsi="Courier New"/>
          <w:sz w:val="15"/>
          <w:szCs w:val="15"/>
          <w:color w:val="auto"/>
        </w:rPr>
      </w:pPr>
    </w:p>
    <w:p>
      <w:pPr>
        <w:ind w:right="3359" w:firstLine="784"/>
        <w:spacing w:after="0" w:line="235" w:lineRule="auto"/>
        <w:tabs>
          <w:tab w:leader="none" w:pos="114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are less than 1% of the issued and outstanding shares of common stock of Microsoft.</w:t>
      </w:r>
    </w:p>
    <w:p>
      <w:pPr>
        <w:spacing w:after="0" w:line="175" w:lineRule="exact"/>
        <w:rPr>
          <w:rFonts w:ascii="Courier New" w:cs="Courier New" w:eastAsia="Courier New" w:hAnsi="Courier New"/>
          <w:sz w:val="15"/>
          <w:szCs w:val="15"/>
          <w:color w:val="auto"/>
        </w:rPr>
      </w:pPr>
    </w:p>
    <w:p>
      <w:pPr>
        <w:ind w:right="3179" w:firstLine="784"/>
        <w:spacing w:after="0" w:line="256" w:lineRule="auto"/>
        <w:tabs>
          <w:tab w:leader="none" w:pos="1146"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the Selling Shareholders may receive "Additional Shares" to the extent Vermeer employees who hold restricted shares or unvested options decide not to relocate to Redmond, Washington or are otherwise terminated during a transition period which will end no later than May 12, 1996. The maximum number of such Additional Shares is 49,475. An equivalent number of shares have been included in this Registration Statement but are not included in this table. An amended prospectus will be filed to reflect any change in</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number of shares offered by the individual Selling Shareholders.</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LEGAL MATTERS</w:t>
      </w:r>
    </w:p>
    <w:p>
      <w:pPr>
        <w:spacing w:after="0" w:line="175"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The validity of the Shares offered hereby will be passed upon for Microsoft by Preston Gates &amp; Ellis, 5000 Columbia Center, 701 Fifth Avenue, Seattle, Washington 98104. Attorneys who are partners or employed by Preston Gates &amp; Ellis who have provided advice with respect to the Merger in the aggregate own less than 50,000 Shares.</w:t>
      </w:r>
    </w:p>
    <w:p>
      <w:pPr>
        <w:spacing w:after="0" w:line="17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EXPERTS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consolidated financial statements of Microsoft as of June 30, 1995, and 1994 and for each of the three years in the period ended June 30, 1995, incorporated by reference in this Prospectus from Microsoft's Annual Report on Form 10-K, have been audited by Deloitte &amp; Touche LLP, independent public accountants, as stated in their report which is incorporated herein by reference, and has been so incorporated in reliance upon such report given upon the authority of said firm as experts in accounting and auditing.</w:t>
      </w:r>
    </w:p>
    <w:p>
      <w:pPr>
        <w:spacing w:after="0" w:line="17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DISCLOSURE OF COMMISSION POSITION ON INDEMNIFICATION</w:t>
      </w:r>
    </w:p>
    <w:p>
      <w:pPr>
        <w:jc w:val="center"/>
        <w:ind w:right="3179"/>
        <w:spacing w:after="0"/>
        <w:rPr>
          <w:sz w:val="20"/>
          <w:szCs w:val="20"/>
          <w:color w:val="auto"/>
        </w:rPr>
      </w:pPr>
      <w:r>
        <w:rPr>
          <w:rFonts w:ascii="Courier New" w:cs="Courier New" w:eastAsia="Courier New" w:hAnsi="Courier New"/>
          <w:sz w:val="15"/>
          <w:szCs w:val="15"/>
          <w:color w:val="auto"/>
        </w:rPr>
        <w:t>FOR SECURITIES ACT LIABILITIES</w:t>
      </w:r>
    </w:p>
    <w:p>
      <w:pPr>
        <w:spacing w:after="0" w:line="174"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Article XII of Microsoft's Restated Articles of Incorporation authorizes Microsoft to indemnify any present or former director, officer, employee, or agent of Microsoft, or a person serving in a similar post in another organization at the request of Microsoft, against expenses, judgments, fines, and amounts paid in settlement incurred by him in connection with any threatened, pending, or completed action, suit, or proceeding, whether civil, criminal, administrative, or investigative, to the fullest extent not prohibited by the Washington Business Corporation Act, public policy or other applicable law. Chapter 23B.08.510 and .570 of the Washington Business Corporation Act authorizes a corporation to indemnify its directors, officers, employees, or agents in terms sufficiently broad to permit such indemnification under certain circumstances for liabilities (including provisions permitting advances for expenses incurred) arising under the 1933 Act.</w:t>
      </w:r>
    </w:p>
    <w:p>
      <w:pPr>
        <w:spacing w:after="0" w:line="33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Insofar as indemnification for liabilities arising under the 1933 Act may be permitted to directors, officers, or persons controlling the registrant pursuant to the foregoing provisions, the Registrant has been informed that in the opinion of the Securities and Exchange Commission such indemnification is against public policy as expressed in the 1933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1933 Act and will be governed by the final adjudication of such issue.</w:t>
      </w:r>
    </w:p>
    <w:p>
      <w:pPr>
        <w:spacing w:after="0" w:line="17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OTHER INFORMATION</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Microsoft's revenues and net income for the 30-day period ended February 11, 1996 were $725 Million and $180 Million, respectively. The Merger, described above, which closed January 12, 1996, has been accounted for as a pooling of interests. The revenue and net income amounts set forth above include 30 days of combined operations with Vermeer. This information is reported for purposes of complying with the Securities and Exchange Commission's Accounting Series Release 135. This information includes operations from part of the third quarter of Microsoft's fiscal year, which quarter will end March 31, 1996, and is not necessarily indicative of the results of operations for Microsoft's third quarter ending March 31, 1996 or the fiscal year ending June 30, 1996.</w:t>
      </w:r>
    </w:p>
    <w:p>
      <w:pPr>
        <w:spacing w:after="0" w:line="16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jc w:val="center"/>
        <w:ind w:right="3099"/>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Other Expenses of Issuance and Distribution.</w:t>
      </w:r>
    </w:p>
    <w:p>
      <w:pPr>
        <w:spacing w:after="0" w:line="175" w:lineRule="exact"/>
        <w:rPr>
          <w:sz w:val="20"/>
          <w:szCs w:val="20"/>
          <w:color w:val="auto"/>
        </w:rPr>
      </w:pPr>
    </w:p>
    <w:p>
      <w:pPr>
        <w:ind w:right="3439" w:firstLine="793"/>
        <w:spacing w:after="0" w:line="235" w:lineRule="auto"/>
        <w:rPr>
          <w:sz w:val="20"/>
          <w:szCs w:val="20"/>
          <w:color w:val="auto"/>
        </w:rPr>
      </w:pPr>
      <w:r>
        <w:rPr>
          <w:rFonts w:ascii="Courier New" w:cs="Courier New" w:eastAsia="Courier New" w:hAnsi="Courier New"/>
          <w:sz w:val="15"/>
          <w:szCs w:val="15"/>
          <w:color w:val="auto"/>
        </w:rPr>
        <w:t>The expenses relating to the registration of Shares will be borne by the registrant. Such expenses are estimated to be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Registration Fee--</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31,674.37</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Securities and Exchange Commission</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Accountant's Fees</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Legal Fees</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3,000.00</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Miscellaneous</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0"/>
        </w:trPr>
        <w:tc>
          <w:tcPr>
            <w:tcW w:w="330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36,174.37</w:t>
            </w:r>
          </w:p>
        </w:tc>
      </w:tr>
      <w:tr>
        <w:trPr>
          <w:trHeight w:val="170"/>
        </w:trPr>
        <w:tc>
          <w:tcPr>
            <w:tcW w:w="330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Indemnification of Directors and Officers.</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Article XII of the Restated Articles of Incorporation of Microsoft authorizes Microsoft to indemnify any present or former director or officer to the fullest extent not prohibited by the Washington Business Corporation Act, public policy or other applicable law. Chapter 23B.8.510 and .570 of the Washington Business Corporation Act authorizes a corporation to indemnify its directors, officers, employees, or agents in terms sufficiently broad to permit such indemnification under certain circumstances for liabilities (including provisions permitting advances for expenses incurred) arising under the 1933 Act.</w:t>
      </w:r>
    </w:p>
    <w:p>
      <w:pPr>
        <w:spacing w:after="0" w:line="179"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directors and officers of Microsoft are entitled to indemnification by the Selling Shareholders against any cause of action, loss, claim, damage, or liability to the extent it arises out of or is based upon the failure of the Selling Shareholder (or his donees, legatees, or pledgees) and each underwriter to comply with the Prospectus delivery requirements under the federal securities laws or any applicable state securities laws or upon any untrue statement or alleged untrue statement or omission or alleged omission made in this Registration Statement and the Prospectus contained herein, as the same shall be amended or supplemented, made in reliance upon or in conformity with written information furnished to Microsoft by such Selling Shareholder or such underwriter.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List of Exhibits.</w:t>
      </w:r>
    </w:p>
    <w:p>
      <w:pPr>
        <w:spacing w:after="0" w:line="175"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The Exhibits to this registration statement are listed in the Index to Exhibits on page II-5.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17. Undertakings.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5" w:lineRule="exact"/>
        <w:rPr>
          <w:sz w:val="20"/>
          <w:szCs w:val="20"/>
          <w:color w:val="auto"/>
        </w:rPr>
      </w:pPr>
    </w:p>
    <w:p>
      <w:pPr>
        <w:ind w:right="3179" w:firstLine="784"/>
        <w:spacing w:after="0" w:line="235" w:lineRule="auto"/>
        <w:tabs>
          <w:tab w:leader="none" w:pos="114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8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 w:right="3699" w:firstLine="4"/>
        <w:spacing w:after="0" w:line="235" w:lineRule="auto"/>
        <w:tabs>
          <w:tab w:leader="none" w:pos="87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5" w:lineRule="exact"/>
        <w:rPr>
          <w:rFonts w:ascii="Courier New" w:cs="Courier New" w:eastAsia="Courier New" w:hAnsi="Courier New"/>
          <w:sz w:val="15"/>
          <w:szCs w:val="15"/>
          <w:color w:val="auto"/>
        </w:rPr>
      </w:pPr>
    </w:p>
    <w:p>
      <w:pPr>
        <w:ind w:left="520" w:right="3179" w:firstLine="4"/>
        <w:spacing w:after="0" w:line="257" w:lineRule="auto"/>
        <w:tabs>
          <w:tab w:leader="none" w:pos="961"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65" w:lineRule="exact"/>
        <w:rPr>
          <w:rFonts w:ascii="Courier New" w:cs="Courier New" w:eastAsia="Courier New" w:hAnsi="Courier New"/>
          <w:sz w:val="14"/>
          <w:szCs w:val="14"/>
          <w:color w:val="auto"/>
        </w:rPr>
      </w:pPr>
    </w:p>
    <w:p>
      <w:pPr>
        <w:ind w:left="520" w:right="3179" w:firstLine="4"/>
        <w:spacing w:after="0" w:line="260" w:lineRule="auto"/>
        <w:tabs>
          <w:tab w:leader="none" w:pos="104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this Registration Statement or any material change to such information in this Registration Statement;</w:t>
      </w:r>
    </w:p>
    <w:p>
      <w:pPr>
        <w:spacing w:after="0" w:line="163" w:lineRule="exact"/>
        <w:rPr>
          <w:sz w:val="20"/>
          <w:szCs w:val="20"/>
          <w:color w:val="auto"/>
        </w:rPr>
      </w:pPr>
    </w:p>
    <w:p>
      <w:pPr>
        <w:ind w:left="520" w:right="3179"/>
        <w:spacing w:after="0" w:line="238" w:lineRule="auto"/>
        <w:rPr>
          <w:sz w:val="20"/>
          <w:szCs w:val="20"/>
          <w:color w:val="auto"/>
        </w:rPr>
      </w:pPr>
      <w:r>
        <w:rPr>
          <w:rFonts w:ascii="Courier New" w:cs="Courier New" w:eastAsia="Courier New" w:hAnsi="Courier New"/>
          <w:sz w:val="15"/>
          <w:szCs w:val="15"/>
          <w:color w:val="auto"/>
        </w:rPr>
        <w:t>provided, however, that paragraphs (1)(i) and (1)(ii) do not apply if the information required to be included in a post-effective amendment by those paragraphs is contained in periodic reports filed by Microsoft pursuant to Section 13 or Section 15(d) of the Securities Exchange Act of 1934, as amended (the "Exchange Act") that are incorporated by reference in this Registration Statement.</w:t>
      </w:r>
    </w:p>
    <w:p>
      <w:pPr>
        <w:spacing w:after="0" w:line="176" w:lineRule="exact"/>
        <w:rPr>
          <w:sz w:val="20"/>
          <w:szCs w:val="20"/>
          <w:color w:val="auto"/>
        </w:rPr>
      </w:pPr>
    </w:p>
    <w:p>
      <w:pPr>
        <w:ind w:left="-260" w:right="3179" w:firstLine="784"/>
        <w:spacing w:after="0" w:line="237" w:lineRule="auto"/>
        <w:tabs>
          <w:tab w:leader="none" w:pos="88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260" w:right="3179" w:firstLine="784"/>
        <w:spacing w:after="0" w:line="237" w:lineRule="auto"/>
        <w:tabs>
          <w:tab w:leader="none" w:pos="88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4" w:lineRule="exact"/>
        <w:rPr>
          <w:rFonts w:ascii="Courier New" w:cs="Courier New" w:eastAsia="Courier New" w:hAnsi="Courier New"/>
          <w:sz w:val="15"/>
          <w:szCs w:val="15"/>
          <w:color w:val="auto"/>
        </w:rPr>
      </w:pPr>
    </w:p>
    <w:p>
      <w:pPr>
        <w:ind w:left="-260" w:right="3179" w:firstLine="784"/>
        <w:spacing w:after="0" w:line="257" w:lineRule="auto"/>
        <w:tabs>
          <w:tab w:leader="none" w:pos="886"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9959"/>
          </w:cols>
          <w:pgMar w:left="500" w:top="283" w:right="1440" w:bottom="1440" w:gutter="0" w:footer="0" w:header="0"/>
        </w:sectPr>
      </w:pPr>
    </w:p>
    <w:bookmarkStart w:id="11" w:name="page12"/>
    <w:bookmarkEnd w:id="11"/>
    <w:p>
      <w:pPr>
        <w:ind w:left="270"/>
        <w:spacing w:after="0"/>
        <w:rPr>
          <w:sz w:val="20"/>
          <w:szCs w:val="20"/>
          <w:color w:val="auto"/>
        </w:rPr>
      </w:pPr>
      <w:r>
        <w:rPr>
          <w:rFonts w:ascii="Courier New" w:cs="Courier New" w:eastAsia="Courier New" w:hAnsi="Courier New"/>
          <w:sz w:val="15"/>
          <w:szCs w:val="15"/>
          <w:color w:val="auto"/>
        </w:rPr>
        <w:t>12</w:t>
      </w:r>
    </w:p>
    <w:p>
      <w:pPr>
        <w:ind w:left="309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left="10" w:right="4840"/>
        <w:spacing w:after="0" w:line="238"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Redmond, State of Washington on the 7th day of February 1996.</w:t>
      </w:r>
    </w:p>
    <w:p>
      <w:pPr>
        <w:spacing w:after="0" w:line="170"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MICROSOFT CORPORATION</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\s\ William H. Gates III</w:t>
      </w:r>
    </w:p>
    <w:p>
      <w:pPr>
        <w:ind w:left="3710"/>
        <w:spacing w:after="0"/>
        <w:rPr>
          <w:sz w:val="20"/>
          <w:szCs w:val="20"/>
          <w:color w:val="auto"/>
        </w:rPr>
      </w:pPr>
      <w:r>
        <w:rPr>
          <w:rFonts w:ascii="Courier New" w:cs="Courier New" w:eastAsia="Courier New" w:hAnsi="Courier New"/>
          <w:sz w:val="15"/>
          <w:szCs w:val="15"/>
          <w:color w:val="auto"/>
        </w:rPr>
        <w:t>------------------------------------</w:t>
      </w:r>
    </w:p>
    <w:p>
      <w:pPr>
        <w:ind w:left="3710"/>
        <w:spacing w:after="0"/>
        <w:rPr>
          <w:sz w:val="20"/>
          <w:szCs w:val="20"/>
          <w:color w:val="auto"/>
        </w:rPr>
      </w:pPr>
      <w:r>
        <w:rPr>
          <w:rFonts w:ascii="Courier New" w:cs="Courier New" w:eastAsia="Courier New" w:hAnsi="Courier New"/>
          <w:sz w:val="15"/>
          <w:szCs w:val="15"/>
          <w:color w:val="auto"/>
        </w:rPr>
        <w:t>William H. Gates III</w:t>
      </w:r>
    </w:p>
    <w:p>
      <w:pPr>
        <w:ind w:left="3710"/>
        <w:spacing w:after="0" w:line="238" w:lineRule="auto"/>
        <w:rPr>
          <w:sz w:val="20"/>
          <w:szCs w:val="20"/>
          <w:color w:val="auto"/>
        </w:rPr>
      </w:pPr>
      <w:r>
        <w:rPr>
          <w:rFonts w:ascii="Courier New" w:cs="Courier New" w:eastAsia="Courier New" w:hAnsi="Courier New"/>
          <w:sz w:val="15"/>
          <w:szCs w:val="15"/>
          <w:color w:val="auto"/>
        </w:rPr>
        <w:t>Chairman and Chief Executive Officer</w:t>
      </w:r>
    </w:p>
    <w:p>
      <w:pPr>
        <w:spacing w:after="0" w:line="169" w:lineRule="exact"/>
        <w:rPr>
          <w:sz w:val="20"/>
          <w:szCs w:val="20"/>
          <w:color w:val="auto"/>
        </w:rPr>
      </w:pPr>
    </w:p>
    <w:p>
      <w:pPr>
        <w:jc w:val="center"/>
        <w:ind w:right="4370"/>
        <w:spacing w:after="0"/>
        <w:rPr>
          <w:sz w:val="20"/>
          <w:szCs w:val="20"/>
          <w:color w:val="auto"/>
        </w:rPr>
      </w:pPr>
      <w:r>
        <w:rPr>
          <w:rFonts w:ascii="Courier New" w:cs="Courier New" w:eastAsia="Courier New" w:hAnsi="Courier New"/>
          <w:sz w:val="15"/>
          <w:szCs w:val="15"/>
          <w:color w:val="auto"/>
        </w:rPr>
        <w:t>POWER OF ATTORNEY</w:t>
      </w:r>
    </w:p>
    <w:p>
      <w:pPr>
        <w:spacing w:after="0" w:line="175" w:lineRule="exact"/>
        <w:rPr>
          <w:sz w:val="20"/>
          <w:szCs w:val="20"/>
          <w:color w:val="auto"/>
        </w:rPr>
      </w:pPr>
    </w:p>
    <w:p>
      <w:pPr>
        <w:ind w:left="10" w:right="4660" w:firstLine="793"/>
        <w:spacing w:after="0" w:line="238" w:lineRule="auto"/>
        <w:rPr>
          <w:sz w:val="20"/>
          <w:szCs w:val="20"/>
          <w:color w:val="auto"/>
        </w:rPr>
      </w:pPr>
      <w:r>
        <w:rPr>
          <w:rFonts w:ascii="Courier New" w:cs="Courier New" w:eastAsia="Courier New" w:hAnsi="Courier New"/>
          <w:sz w:val="15"/>
          <w:szCs w:val="15"/>
          <w:color w:val="auto"/>
        </w:rPr>
        <w:t>KNOW ALL MEN BY THESE PRESENTS, that each person whose signature appears below constitutes and appoints William H. Gates III, his attorney-in-fact, for him in any and all capacities, to sign any amendments to this Registration Statement, and to file the same, with exhibits thereto, and other documents in connection therewith, with the Securities and Exchange Commission, hereby ratifying and confirming all that said attorney-in-fact, or his substitute, may do or cause to be done by virtue hereof.</w:t>
      </w:r>
    </w:p>
    <w:p>
      <w:pPr>
        <w:spacing w:after="0" w:line="177" w:lineRule="exact"/>
        <w:rPr>
          <w:sz w:val="20"/>
          <w:szCs w:val="20"/>
          <w:color w:val="auto"/>
        </w:rPr>
      </w:pPr>
    </w:p>
    <w:p>
      <w:pPr>
        <w:ind w:left="10" w:right="5100" w:firstLine="793"/>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314" w:lineRule="exact"/>
        <w:rPr>
          <w:sz w:val="20"/>
          <w:szCs w:val="20"/>
          <w:color w:val="auto"/>
        </w:rPr>
      </w:pPr>
    </w:p>
    <w:p>
      <w:pPr>
        <w:ind w:left="10050"/>
        <w:spacing w:after="0"/>
        <w:rPr>
          <w:sz w:val="20"/>
          <w:szCs w:val="20"/>
          <w:color w:val="auto"/>
        </w:rPr>
      </w:pPr>
      <w:r>
        <w:rPr>
          <w:rFonts w:ascii="Courier New" w:cs="Courier New" w:eastAsia="Courier New" w:hAnsi="Courier New"/>
          <w:sz w:val="14"/>
          <w:szCs w:val="14"/>
          <w:color w:val="auto"/>
        </w:rPr>
        <w:t>Dated:</w:t>
      </w:r>
    </w:p>
    <w:p>
      <w:pPr>
        <w:sectPr>
          <w:pgSz w:w="11900" w:h="16838" w:orient="portrait"/>
          <w:cols w:equalWidth="0" w:num="1">
            <w:col w:w="11530"/>
          </w:cols>
          <w:pgMar w:left="230" w:top="283" w:right="139" w:bottom="1440" w:gutter="0" w:footer="0" w:header="0"/>
        </w:sectPr>
      </w:pP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Michael W. Brown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Finance; Chief Financial Officer</w:t>
      </w:r>
    </w:p>
    <w:p>
      <w:pPr>
        <w:spacing w:after="0" w:line="5" w:lineRule="exact"/>
        <w:rPr>
          <w:sz w:val="20"/>
          <w:szCs w:val="20"/>
          <w:color w:val="auto"/>
        </w:rPr>
      </w:pPr>
    </w:p>
    <w:p>
      <w:pPr>
        <w:ind w:left="180"/>
        <w:spacing w:after="0"/>
        <w:tabs>
          <w:tab w:leader="none" w:pos="3420" w:val="left"/>
        </w:tabs>
        <w:rPr>
          <w:sz w:val="20"/>
          <w:szCs w:val="20"/>
          <w:color w:val="auto"/>
        </w:rPr>
      </w:pPr>
      <w:r>
        <w:rPr>
          <w:rFonts w:ascii="Courier New" w:cs="Courier New" w:eastAsia="Courier New" w:hAnsi="Courier New"/>
          <w:sz w:val="15"/>
          <w:szCs w:val="15"/>
          <w:color w:val="auto"/>
        </w:rPr>
        <w:t>(Principal Financial and Accounting</w:t>
      </w:r>
      <w:r>
        <w:rPr>
          <w:sz w:val="20"/>
          <w:szCs w:val="20"/>
          <w:color w:val="auto"/>
        </w:rPr>
        <w:tab/>
      </w:r>
      <w:r>
        <w:rPr>
          <w:rFonts w:ascii="Courier New" w:cs="Courier New" w:eastAsia="Courier New" w:hAnsi="Courier New"/>
          <w:sz w:val="14"/>
          <w:szCs w:val="14"/>
          <w:color w:val="auto"/>
        </w:rPr>
        <w:t>Officer)</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1996</w:t>
      </w:r>
    </w:p>
    <w:p>
      <w:pPr>
        <w:spacing w:after="0" w:line="180" w:lineRule="exact"/>
        <w:rPr>
          <w:sz w:val="20"/>
          <w:szCs w:val="20"/>
          <w:color w:val="auto"/>
        </w:rPr>
      </w:pPr>
    </w:p>
    <w:p>
      <w:pPr>
        <w:sectPr>
          <w:pgSz w:w="11900" w:h="16838" w:orient="portrait"/>
          <w:cols w:equalWidth="0" w:num="3">
            <w:col w:w="4750" w:space="720"/>
            <w:col w:w="4220" w:space="360"/>
            <w:col w:w="1480"/>
          </w:cols>
          <w:pgMar w:left="230" w:top="283" w:right="139"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Michael W. Brown</w:t>
      </w:r>
    </w:p>
    <w:p>
      <w:pPr>
        <w:sectPr>
          <w:pgSz w:w="11900" w:h="16838" w:orient="portrait"/>
          <w:cols w:equalWidth="0" w:num="1">
            <w:col w:w="11530"/>
          </w:cols>
          <w:pgMar w:left="230" w:top="283" w:right="139" w:bottom="1440" w:gutter="0" w:footer="0" w:header="0"/>
          <w:type w:val="continuous"/>
        </w:sectPr>
      </w:pP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William H. Gates III</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Chief Executive Officer,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Director (Principal Executive Officer)</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1996</w:t>
      </w:r>
    </w:p>
    <w:p>
      <w:pPr>
        <w:spacing w:after="0" w:line="180" w:lineRule="exact"/>
        <w:rPr>
          <w:sz w:val="20"/>
          <w:szCs w:val="20"/>
          <w:color w:val="auto"/>
        </w:rPr>
      </w:pPr>
    </w:p>
    <w:p>
      <w:pPr>
        <w:sectPr>
          <w:pgSz w:w="11900" w:h="16838" w:orient="portrait"/>
          <w:cols w:equalWidth="0" w:num="3">
            <w:col w:w="4750" w:space="720"/>
            <w:col w:w="3940" w:space="720"/>
            <w:col w:w="1400"/>
          </w:cols>
          <w:pgMar w:left="230" w:top="283" w:right="139"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William H. Gates III</w:t>
      </w:r>
    </w:p>
    <w:p>
      <w:pPr>
        <w:sectPr>
          <w:pgSz w:w="11900" w:h="16838" w:orient="portrait"/>
          <w:cols w:equalWidth="0" w:num="1">
            <w:col w:w="11530"/>
          </w:cols>
          <w:pgMar w:left="230" w:top="283" w:right="139" w:bottom="1440" w:gutter="0" w:footer="0" w:header="0"/>
          <w:type w:val="continuous"/>
        </w:sectPr>
      </w:pPr>
    </w:p>
    <w:p>
      <w:pPr>
        <w:spacing w:after="0" w:line="35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 Paul G. Allen</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1996</w:t>
      </w:r>
    </w:p>
    <w:p>
      <w:pPr>
        <w:spacing w:after="0" w:line="5" w:lineRule="exact"/>
        <w:rPr>
          <w:sz w:val="20"/>
          <w:szCs w:val="20"/>
          <w:color w:val="auto"/>
        </w:rPr>
      </w:pPr>
    </w:p>
    <w:p>
      <w:pPr>
        <w:sectPr>
          <w:pgSz w:w="11900" w:h="16838" w:orient="portrait"/>
          <w:cols w:equalWidth="0" w:num="3">
            <w:col w:w="4750" w:space="720"/>
            <w:col w:w="3940" w:space="720"/>
            <w:col w:w="1400"/>
          </w:cols>
          <w:pgMar w:left="230" w:top="283" w:right="139" w:bottom="1440" w:gutter="0" w:footer="0" w:header="0"/>
          <w:type w:val="continuous"/>
        </w:sectPr>
      </w:pPr>
    </w:p>
    <w:p>
      <w:pPr>
        <w:ind w:left="170" w:hanging="170"/>
        <w:spacing w:after="0"/>
        <w:tabs>
          <w:tab w:leader="none" w:pos="17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Paul G. Allen</w:t>
      </w:r>
    </w:p>
    <w:p>
      <w:pPr>
        <w:spacing w:after="0" w:line="169" w:lineRule="exact"/>
        <w:rPr>
          <w:sz w:val="20"/>
          <w:szCs w:val="20"/>
          <w:color w:val="auto"/>
        </w:rPr>
      </w:pPr>
    </w:p>
    <w:p>
      <w:pPr>
        <w:ind w:left="10"/>
        <w:spacing w:after="0"/>
        <w:tabs>
          <w:tab w:leader="none" w:pos="5449" w:val="left"/>
          <w:tab w:leader="none" w:pos="10109" w:val="left"/>
        </w:tabs>
        <w:rPr>
          <w:sz w:val="20"/>
          <w:szCs w:val="20"/>
          <w:color w:val="auto"/>
        </w:rPr>
      </w:pPr>
      <w:r>
        <w:rPr>
          <w:rFonts w:ascii="Courier New" w:cs="Courier New" w:eastAsia="Courier New" w:hAnsi="Courier New"/>
          <w:sz w:val="15"/>
          <w:szCs w:val="15"/>
          <w:color w:val="auto"/>
        </w:rPr>
        <w:t>\s\ Richard A. Hackborn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January 31, 1996</w:t>
      </w:r>
    </w:p>
    <w:p>
      <w:pPr>
        <w:ind w:left="170" w:hanging="170"/>
        <w:spacing w:after="0"/>
        <w:tabs>
          <w:tab w:leader="none" w:pos="17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A. Hackborn</w:t>
      </w:r>
    </w:p>
    <w:p>
      <w:pPr>
        <w:spacing w:after="0" w:line="169" w:lineRule="exact"/>
        <w:rPr>
          <w:sz w:val="20"/>
          <w:szCs w:val="20"/>
          <w:color w:val="auto"/>
        </w:rPr>
      </w:pPr>
    </w:p>
    <w:p>
      <w:pPr>
        <w:ind w:left="10"/>
        <w:spacing w:after="0"/>
        <w:tabs>
          <w:tab w:leader="none" w:pos="5449" w:val="left"/>
          <w:tab w:leader="none" w:pos="10109" w:val="left"/>
        </w:tabs>
        <w:rPr>
          <w:sz w:val="20"/>
          <w:szCs w:val="20"/>
          <w:color w:val="auto"/>
        </w:rPr>
      </w:pPr>
      <w:r>
        <w:rPr>
          <w:rFonts w:ascii="Courier New" w:cs="Courier New" w:eastAsia="Courier New" w:hAnsi="Courier New"/>
          <w:sz w:val="15"/>
          <w:szCs w:val="15"/>
          <w:color w:val="auto"/>
        </w:rPr>
        <w:t>\s\ David F. Marquardt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January 31, 1996</w:t>
      </w:r>
    </w:p>
    <w:p>
      <w:pPr>
        <w:ind w:left="170" w:hanging="170"/>
        <w:spacing w:after="0"/>
        <w:tabs>
          <w:tab w:leader="none" w:pos="17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F. Marquardt</w:t>
      </w:r>
    </w:p>
    <w:p>
      <w:pPr>
        <w:spacing w:after="0" w:line="169" w:lineRule="exact"/>
        <w:rPr>
          <w:sz w:val="20"/>
          <w:szCs w:val="20"/>
          <w:color w:val="auto"/>
        </w:rPr>
      </w:pPr>
    </w:p>
    <w:p>
      <w:pPr>
        <w:ind w:left="10"/>
        <w:spacing w:after="0"/>
        <w:tabs>
          <w:tab w:leader="none" w:pos="5449" w:val="left"/>
          <w:tab w:leader="none" w:pos="10109" w:val="left"/>
        </w:tabs>
        <w:rPr>
          <w:sz w:val="20"/>
          <w:szCs w:val="20"/>
          <w:color w:val="auto"/>
        </w:rPr>
      </w:pPr>
      <w:r>
        <w:rPr>
          <w:rFonts w:ascii="Courier New" w:cs="Courier New" w:eastAsia="Courier New" w:hAnsi="Courier New"/>
          <w:sz w:val="15"/>
          <w:szCs w:val="15"/>
          <w:color w:val="auto"/>
        </w:rPr>
        <w:t>\s\ Robert D. O'Brien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January 31, 1996</w:t>
      </w:r>
    </w:p>
    <w:p>
      <w:pPr>
        <w:ind w:left="170" w:hanging="170"/>
        <w:spacing w:after="0"/>
        <w:tabs>
          <w:tab w:leader="none" w:pos="1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 D. O'Brien</w:t>
      </w:r>
    </w:p>
    <w:p>
      <w:pPr>
        <w:spacing w:after="0" w:line="33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1530"/>
          </w:cols>
          <w:pgMar w:left="230" w:top="283" w:right="139" w:bottom="1440" w:gutter="0" w:footer="0" w:header="0"/>
          <w:type w:val="continuous"/>
        </w:sectPr>
      </w:pPr>
    </w:p>
    <w:bookmarkStart w:id="12" w:name="page13"/>
    <w:bookmarkEnd w:id="12"/>
    <w:p>
      <w:pPr>
        <w:ind w:left="27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
        <w:spacing w:after="0"/>
        <w:tabs>
          <w:tab w:leader="none" w:pos="5449" w:val="left"/>
          <w:tab w:leader="none" w:pos="10109" w:val="left"/>
        </w:tabs>
        <w:rPr>
          <w:sz w:val="20"/>
          <w:szCs w:val="20"/>
          <w:color w:val="auto"/>
        </w:rPr>
      </w:pPr>
      <w:r>
        <w:rPr>
          <w:rFonts w:ascii="Courier New" w:cs="Courier New" w:eastAsia="Courier New" w:hAnsi="Courier New"/>
          <w:sz w:val="15"/>
          <w:szCs w:val="15"/>
          <w:color w:val="auto"/>
        </w:rPr>
        <w:t>\s\ William G. Reed, Jr.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January 31, 1996</w:t>
      </w:r>
    </w:p>
    <w:p>
      <w:pPr>
        <w:ind w:left="170" w:hanging="170"/>
        <w:spacing w:after="0"/>
        <w:tabs>
          <w:tab w:leader="none" w:pos="17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G. Reed, Jr.</w:t>
      </w:r>
    </w:p>
    <w:p>
      <w:pPr>
        <w:spacing w:after="0" w:line="338" w:lineRule="exact"/>
        <w:rPr>
          <w:sz w:val="20"/>
          <w:szCs w:val="20"/>
          <w:color w:val="auto"/>
        </w:rPr>
      </w:pPr>
    </w:p>
    <w:p>
      <w:pPr>
        <w:ind w:left="10"/>
        <w:spacing w:after="0"/>
        <w:tabs>
          <w:tab w:leader="none" w:pos="5449" w:val="left"/>
          <w:tab w:leader="none" w:pos="10109" w:val="left"/>
        </w:tabs>
        <w:rPr>
          <w:sz w:val="20"/>
          <w:szCs w:val="20"/>
          <w:color w:val="auto"/>
        </w:rPr>
      </w:pPr>
      <w:r>
        <w:rPr>
          <w:rFonts w:ascii="Courier New" w:cs="Courier New" w:eastAsia="Courier New" w:hAnsi="Courier New"/>
          <w:sz w:val="15"/>
          <w:szCs w:val="15"/>
          <w:color w:val="auto"/>
        </w:rPr>
        <w:t>\s\ Jon A. Shirley</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January 31, 1996</w:t>
      </w:r>
    </w:p>
    <w:p>
      <w:pPr>
        <w:ind w:left="170" w:hanging="170"/>
        <w:spacing w:after="0"/>
        <w:tabs>
          <w:tab w:leader="none" w:pos="1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Jon A. Shirley</w:t>
      </w:r>
    </w:p>
    <w:p>
      <w:pPr>
        <w:spacing w:after="0" w:line="169" w:lineRule="exact"/>
        <w:rPr>
          <w:sz w:val="20"/>
          <w:szCs w:val="20"/>
          <w:color w:val="auto"/>
        </w:rPr>
      </w:pPr>
    </w:p>
    <w:p>
      <w:pPr>
        <w:jc w:val="both"/>
        <w:ind w:left="5470"/>
        <w:spacing w:after="0"/>
        <w:tabs>
          <w:tab w:leader="none" w:pos="10109" w:val="left"/>
        </w:tabs>
        <w:rPr>
          <w:sz w:val="20"/>
          <w:szCs w:val="20"/>
          <w:color w:val="auto"/>
        </w:rPr>
      </w:pP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January __, 1996</w:t>
      </w:r>
    </w:p>
    <w:p>
      <w:pPr>
        <w:ind w:left="170" w:hanging="170"/>
        <w:spacing w:after="0"/>
        <w:tabs>
          <w:tab w:leader="none" w:pos="17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Jill E. Barad</w:t>
      </w:r>
    </w:p>
    <w:p>
      <w:pPr>
        <w:spacing w:after="0" w:line="33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1530"/>
          </w:cols>
          <w:pgMar w:left="230" w:top="283" w:right="139" w:bottom="1440" w:gutter="0" w:footer="0" w:header="0"/>
        </w:sectPr>
      </w:pPr>
    </w:p>
    <w:bookmarkStart w:id="13" w:name="page14"/>
    <w:bookmarkEnd w:id="13"/>
    <w:p>
      <w:pPr>
        <w:ind w:left="270"/>
        <w:spacing w:after="0"/>
        <w:rPr>
          <w:sz w:val="20"/>
          <w:szCs w:val="20"/>
          <w:color w:val="auto"/>
        </w:rPr>
      </w:pPr>
      <w:r>
        <w:rPr>
          <w:rFonts w:ascii="Courier New" w:cs="Courier New" w:eastAsia="Courier New" w:hAnsi="Courier New"/>
          <w:sz w:val="15"/>
          <w:szCs w:val="15"/>
          <w:color w:val="auto"/>
        </w:rPr>
        <w:t>14</w:t>
      </w:r>
    </w:p>
    <w:tbl>
      <w:tblPr>
        <w:tblLayout w:type="fixed"/>
        <w:tblInd w:w="1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6600" w:type="dxa"/>
            <w:vAlign w:val="bottom"/>
          </w:tcPr>
          <w:p>
            <w:pPr>
              <w:ind w:left="840"/>
              <w:spacing w:after="0"/>
              <w:rPr>
                <w:sz w:val="20"/>
                <w:szCs w:val="20"/>
                <w:color w:val="auto"/>
              </w:rPr>
            </w:pPr>
            <w:r>
              <w:rPr>
                <w:rFonts w:ascii="Courier New" w:cs="Courier New" w:eastAsia="Courier New" w:hAnsi="Courier New"/>
                <w:sz w:val="15"/>
                <w:szCs w:val="15"/>
                <w:color w:val="auto"/>
              </w:rPr>
              <w:t>INDEX TO EXHIBITS</w:t>
            </w:r>
          </w:p>
        </w:tc>
        <w:tc>
          <w:tcPr>
            <w:tcW w:w="1820" w:type="dxa"/>
            <w:vAlign w:val="bottom"/>
          </w:tcPr>
          <w:p>
            <w:pPr>
              <w:spacing w:after="0"/>
              <w:rPr>
                <w:sz w:val="14"/>
                <w:szCs w:val="14"/>
                <w:color w:val="auto"/>
              </w:rPr>
            </w:pPr>
          </w:p>
        </w:tc>
      </w:tr>
      <w:tr>
        <w:trPr>
          <w:trHeight w:val="678"/>
        </w:trPr>
        <w:tc>
          <w:tcPr>
            <w:tcW w:w="198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6600" w:type="dxa"/>
            <w:vAlign w:val="bottom"/>
          </w:tcPr>
          <w:p>
            <w:pPr>
              <w:ind w:left="2160"/>
              <w:spacing w:after="0"/>
              <w:rPr>
                <w:sz w:val="20"/>
                <w:szCs w:val="20"/>
                <w:color w:val="auto"/>
              </w:rPr>
            </w:pPr>
            <w:r>
              <w:rPr>
                <w:rFonts w:ascii="Courier New" w:cs="Courier New" w:eastAsia="Courier New" w:hAnsi="Courier New"/>
                <w:sz w:val="15"/>
                <w:szCs w:val="15"/>
                <w:color w:val="auto"/>
              </w:rPr>
              <w:t>Description</w:t>
            </w:r>
          </w:p>
        </w:tc>
        <w:tc>
          <w:tcPr>
            <w:tcW w:w="1820" w:type="dxa"/>
            <w:vAlign w:val="bottom"/>
          </w:tcPr>
          <w:p>
            <w:pPr>
              <w:ind w:left="220"/>
              <w:spacing w:after="0"/>
              <w:rPr>
                <w:sz w:val="20"/>
                <w:szCs w:val="20"/>
                <w:color w:val="auto"/>
              </w:rPr>
            </w:pPr>
            <w:r>
              <w:rPr>
                <w:rFonts w:ascii="Courier New" w:cs="Courier New" w:eastAsia="Courier New" w:hAnsi="Courier New"/>
                <w:sz w:val="15"/>
                <w:szCs w:val="15"/>
                <w:color w:val="auto"/>
              </w:rPr>
              <w:t>Page or Footnote</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600" w:type="dxa"/>
            <w:vAlign w:val="bottom"/>
          </w:tcPr>
          <w:p>
            <w:pPr>
              <w:ind w:left="232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ind w:left="40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6600" w:type="dxa"/>
            <w:vAlign w:val="bottom"/>
          </w:tcPr>
          <w:p>
            <w:pPr>
              <w:ind w:left="1180"/>
              <w:spacing w:after="0"/>
              <w:rPr>
                <w:sz w:val="20"/>
                <w:szCs w:val="20"/>
                <w:color w:val="auto"/>
              </w:rPr>
            </w:pPr>
            <w:r>
              <w:rPr>
                <w:rFonts w:ascii="Courier New" w:cs="Courier New" w:eastAsia="Courier New" w:hAnsi="Courier New"/>
                <w:sz w:val="15"/>
                <w:szCs w:val="15"/>
                <w:color w:val="auto"/>
              </w:rPr>
              <w:t>Restated Articles of Incorporation</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(1)</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6600" w:type="dxa"/>
            <w:vAlign w:val="bottom"/>
          </w:tcPr>
          <w:p>
            <w:pPr>
              <w:ind w:left="1180"/>
              <w:spacing w:after="0"/>
              <w:rPr>
                <w:sz w:val="20"/>
                <w:szCs w:val="20"/>
                <w:color w:val="auto"/>
              </w:rPr>
            </w:pPr>
            <w:r>
              <w:rPr>
                <w:rFonts w:ascii="Courier New" w:cs="Courier New" w:eastAsia="Courier New" w:hAnsi="Courier New"/>
                <w:sz w:val="15"/>
                <w:szCs w:val="15"/>
                <w:color w:val="auto"/>
              </w:rPr>
              <w:t>Bylaws</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(1)</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6600" w:type="dxa"/>
            <w:vAlign w:val="bottom"/>
          </w:tcPr>
          <w:p>
            <w:pPr>
              <w:ind w:left="1180"/>
              <w:spacing w:after="0"/>
              <w:rPr>
                <w:sz w:val="20"/>
                <w:szCs w:val="20"/>
                <w:color w:val="auto"/>
              </w:rPr>
            </w:pPr>
            <w:r>
              <w:rPr>
                <w:rFonts w:ascii="Courier New" w:cs="Courier New" w:eastAsia="Courier New" w:hAnsi="Courier New"/>
                <w:sz w:val="15"/>
                <w:szCs w:val="15"/>
                <w:color w:val="auto"/>
              </w:rPr>
              <w:t>Opinion of Counsel re: legality</w:t>
            </w:r>
          </w:p>
        </w:tc>
        <w:tc>
          <w:tcPr>
            <w:tcW w:w="1820" w:type="dxa"/>
            <w:vAlign w:val="bottom"/>
          </w:tcPr>
          <w:p>
            <w:pPr>
              <w:spacing w:after="0"/>
              <w:rPr>
                <w:sz w:val="24"/>
                <w:szCs w:val="24"/>
                <w:color w:val="auto"/>
              </w:rPr>
            </w:pP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6600" w:type="dxa"/>
            <w:vAlign w:val="bottom"/>
          </w:tcPr>
          <w:p>
            <w:pPr>
              <w:ind w:left="1180"/>
              <w:spacing w:after="0"/>
              <w:rPr>
                <w:sz w:val="20"/>
                <w:szCs w:val="20"/>
                <w:color w:val="auto"/>
              </w:rPr>
            </w:pPr>
            <w:r>
              <w:rPr>
                <w:rFonts w:ascii="Courier New" w:cs="Courier New" w:eastAsia="Courier New" w:hAnsi="Courier New"/>
                <w:sz w:val="15"/>
                <w:szCs w:val="15"/>
                <w:color w:val="auto"/>
              </w:rPr>
              <w:t>1995 Annual Report to Shareholders</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(1)</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6600" w:type="dxa"/>
            <w:vAlign w:val="bottom"/>
          </w:tcPr>
          <w:p>
            <w:pPr>
              <w:ind w:left="1180"/>
              <w:spacing w:after="0"/>
              <w:rPr>
                <w:sz w:val="20"/>
                <w:szCs w:val="20"/>
                <w:color w:val="auto"/>
              </w:rPr>
            </w:pPr>
            <w:r>
              <w:rPr>
                <w:rFonts w:ascii="Courier New" w:cs="Courier New" w:eastAsia="Courier New" w:hAnsi="Courier New"/>
                <w:sz w:val="15"/>
                <w:szCs w:val="15"/>
                <w:color w:val="auto"/>
              </w:rPr>
              <w:t>Consent of Deloitte &amp; Touche LLP as Independent Accountants</w:t>
            </w:r>
          </w:p>
        </w:tc>
        <w:tc>
          <w:tcPr>
            <w:tcW w:w="1820" w:type="dxa"/>
            <w:vAlign w:val="bottom"/>
          </w:tcPr>
          <w:p>
            <w:pPr>
              <w:spacing w:after="0"/>
              <w:rPr>
                <w:sz w:val="24"/>
                <w:szCs w:val="24"/>
                <w:color w:val="auto"/>
              </w:rPr>
            </w:pP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6600" w:type="dxa"/>
            <w:vAlign w:val="bottom"/>
          </w:tcPr>
          <w:p>
            <w:pPr>
              <w:ind w:left="1180"/>
              <w:spacing w:after="0"/>
              <w:rPr>
                <w:sz w:val="20"/>
                <w:szCs w:val="20"/>
                <w:color w:val="auto"/>
              </w:rPr>
            </w:pPr>
            <w:r>
              <w:rPr>
                <w:rFonts w:ascii="Courier New" w:cs="Courier New" w:eastAsia="Courier New" w:hAnsi="Courier New"/>
                <w:sz w:val="15"/>
                <w:szCs w:val="15"/>
                <w:color w:val="auto"/>
              </w:rPr>
              <w:t>Consent of Preston Gates &amp; Ellis</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(2)</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6600" w:type="dxa"/>
            <w:vAlign w:val="bottom"/>
          </w:tcPr>
          <w:p>
            <w:pPr>
              <w:ind w:left="1180"/>
              <w:spacing w:after="0"/>
              <w:rPr>
                <w:sz w:val="20"/>
                <w:szCs w:val="20"/>
                <w:color w:val="auto"/>
              </w:rPr>
            </w:pPr>
            <w:r>
              <w:rPr>
                <w:rFonts w:ascii="Courier New" w:cs="Courier New" w:eastAsia="Courier New" w:hAnsi="Courier New"/>
                <w:sz w:val="15"/>
                <w:szCs w:val="15"/>
                <w:color w:val="auto"/>
              </w:rPr>
              <w:t>Power of Attorney</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II-3</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0" w:right="3880" w:hanging="350"/>
        <w:spacing w:after="0" w:line="235"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Microsoft's Form 10-K for the fiscal year ended June 30, 1995.</w:t>
      </w:r>
    </w:p>
    <w:p>
      <w:pPr>
        <w:spacing w:after="0" w:line="170"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Contained within Exhibit 5.</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410"/>
          </w:cols>
          <w:pgMar w:left="230" w:top="283" w:right="1259"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14"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February 12, 1996</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Corporation</w:t>
      </w:r>
    </w:p>
    <w:p>
      <w:pPr>
        <w:spacing w:after="0"/>
        <w:rPr>
          <w:sz w:val="20"/>
          <w:szCs w:val="20"/>
          <w:color w:val="auto"/>
        </w:rPr>
      </w:pPr>
      <w:r>
        <w:rPr>
          <w:rFonts w:ascii="Courier New" w:cs="Courier New" w:eastAsia="Courier New" w:hAnsi="Courier New"/>
          <w:sz w:val="15"/>
          <w:szCs w:val="15"/>
          <w:color w:val="auto"/>
        </w:rPr>
        <w:t>One Microsoft Way</w:t>
      </w:r>
    </w:p>
    <w:p>
      <w:pPr>
        <w:spacing w:after="0"/>
        <w:rPr>
          <w:sz w:val="20"/>
          <w:szCs w:val="20"/>
          <w:color w:val="auto"/>
        </w:rPr>
      </w:pPr>
      <w:r>
        <w:rPr>
          <w:rFonts w:ascii="Courier New" w:cs="Courier New" w:eastAsia="Courier New" w:hAnsi="Courier New"/>
          <w:sz w:val="15"/>
          <w:szCs w:val="15"/>
          <w:color w:val="auto"/>
        </w:rPr>
        <w:t>Redmond, WA 98052</w:t>
      </w:r>
    </w:p>
    <w:p>
      <w:pPr>
        <w:sectPr>
          <w:pgSz w:w="11900" w:h="16838" w:orient="portrait"/>
          <w:cols w:equalWidth="0" w:num="1">
            <w:col w:w="10219"/>
          </w:cols>
          <w:pgMar w:left="240" w:top="136" w:right="1440" w:bottom="1440" w:gutter="0" w:footer="0" w:header="0"/>
        </w:sectPr>
      </w:pP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 on Form S-3</w:t>
      </w:r>
    </w:p>
    <w:p>
      <w:pPr>
        <w:spacing w:after="0" w:line="180" w:lineRule="exact"/>
        <w:rPr>
          <w:sz w:val="20"/>
          <w:szCs w:val="20"/>
          <w:color w:val="auto"/>
        </w:rPr>
      </w:pPr>
    </w:p>
    <w:p>
      <w:pPr>
        <w:sectPr>
          <w:pgSz w:w="11900" w:h="16838" w:orient="portrait"/>
          <w:cols w:equalWidth="0" w:num="2">
            <w:col w:w="1040" w:space="540"/>
            <w:col w:w="863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Gentleman:</w:t>
      </w:r>
    </w:p>
    <w:p>
      <w:pPr>
        <w:sectPr>
          <w:pgSz w:w="11900" w:h="16838" w:orient="portrait"/>
          <w:cols w:equalWidth="0" w:num="1">
            <w:col w:w="10219"/>
          </w:cols>
          <w:pgMar w:left="240" w:top="136" w:right="1440" w:bottom="1440" w:gutter="0" w:footer="0" w:header="0"/>
          <w:type w:val="continuous"/>
        </w:sectPr>
      </w:pPr>
    </w:p>
    <w:p>
      <w:pPr>
        <w:spacing w:after="0" w:line="17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 connection with the registration of 953,849 shares of common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par value $.00005 per share (the "Shares") of Microsoft Corporation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with the Securities and Exchange Commission on a Registration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 on Form S-3 (the "Registration Statement"), relating to the sales, if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of the Shares by the selling shareholders, (the "Selling Shareholders"), we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have examined such documents, records and matters of law as we have considered</w:t>
      </w:r>
    </w:p>
    <w:p>
      <w:pPr>
        <w:spacing w:after="0"/>
        <w:rPr>
          <w:sz w:val="20"/>
          <w:szCs w:val="20"/>
          <w:color w:val="auto"/>
        </w:rPr>
      </w:pPr>
      <w:r>
        <w:rPr>
          <w:rFonts w:ascii="Courier New" w:cs="Courier New" w:eastAsia="Courier New" w:hAnsi="Courier New"/>
          <w:sz w:val="15"/>
          <w:szCs w:val="15"/>
          <w:color w:val="auto"/>
        </w:rPr>
        <w:t>relevant. Based upon such examination and upon our familiarity as counsel for</w:t>
      </w:r>
    </w:p>
    <w:p>
      <w:pPr>
        <w:spacing w:after="0"/>
        <w:rPr>
          <w:sz w:val="20"/>
          <w:szCs w:val="20"/>
          <w:color w:val="auto"/>
        </w:rPr>
      </w:pPr>
      <w:r>
        <w:rPr>
          <w:rFonts w:ascii="Courier New" w:cs="Courier New" w:eastAsia="Courier New" w:hAnsi="Courier New"/>
          <w:sz w:val="15"/>
          <w:szCs w:val="15"/>
          <w:color w:val="auto"/>
        </w:rPr>
        <w:t>the Company with its general affairs, it is our opinion that:</w:t>
      </w:r>
    </w:p>
    <w:p>
      <w:pPr>
        <w:spacing w:after="0" w:line="174" w:lineRule="exact"/>
        <w:rPr>
          <w:sz w:val="20"/>
          <w:szCs w:val="20"/>
          <w:color w:val="auto"/>
        </w:rPr>
      </w:pPr>
    </w:p>
    <w:p>
      <w:pPr>
        <w:ind w:right="3879" w:firstLine="793"/>
        <w:spacing w:after="0" w:line="235" w:lineRule="auto"/>
        <w:rPr>
          <w:sz w:val="20"/>
          <w:szCs w:val="20"/>
          <w:color w:val="auto"/>
        </w:rPr>
      </w:pPr>
      <w:r>
        <w:rPr>
          <w:rFonts w:ascii="Courier New" w:cs="Courier New" w:eastAsia="Courier New" w:hAnsi="Courier New"/>
          <w:sz w:val="15"/>
          <w:szCs w:val="15"/>
          <w:color w:val="auto"/>
        </w:rPr>
        <w:t>The Shares being registered are legally issued, fully paid, and nonassessable.</w:t>
      </w:r>
    </w:p>
    <w:p>
      <w:pPr>
        <w:spacing w:after="0" w:line="176" w:lineRule="exact"/>
        <w:rPr>
          <w:sz w:val="20"/>
          <w:szCs w:val="20"/>
          <w:color w:val="auto"/>
        </w:rPr>
      </w:pPr>
    </w:p>
    <w:p>
      <w:pPr>
        <w:ind w:right="3439" w:firstLine="793"/>
        <w:spacing w:after="0" w:line="235" w:lineRule="auto"/>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w:t>
      </w:r>
    </w:p>
    <w:p>
      <w:pPr>
        <w:spacing w:after="0" w:line="170"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PRESTON GATES &amp; ELLIS</w:t>
      </w:r>
    </w:p>
    <w:p>
      <w:pPr>
        <w:spacing w:after="0" w:line="339" w:lineRule="exact"/>
        <w:rPr>
          <w:sz w:val="20"/>
          <w:szCs w:val="20"/>
          <w:color w:val="auto"/>
        </w:rPr>
      </w:pPr>
    </w:p>
    <w:p>
      <w:pPr>
        <w:ind w:left="4660"/>
        <w:spacing w:after="0"/>
        <w:tabs>
          <w:tab w:leader="none" w:pos="534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Richard B. Dodd</w:t>
      </w:r>
    </w:p>
    <w:p>
      <w:pPr>
        <w:ind w:left="4920"/>
        <w:spacing w:after="0"/>
        <w:rPr>
          <w:sz w:val="20"/>
          <w:szCs w:val="20"/>
          <w:color w:val="auto"/>
        </w:rPr>
      </w:pPr>
      <w:r>
        <w:rPr>
          <w:rFonts w:ascii="Courier New" w:cs="Courier New" w:eastAsia="Courier New" w:hAnsi="Courier New"/>
          <w:sz w:val="15"/>
          <w:szCs w:val="15"/>
          <w:color w:val="auto"/>
        </w:rPr>
        <w:t>____________________</w:t>
      </w:r>
    </w:p>
    <w:p>
      <w:pPr>
        <w:ind w:left="4920"/>
        <w:spacing w:after="0"/>
        <w:rPr>
          <w:sz w:val="20"/>
          <w:szCs w:val="20"/>
          <w:color w:val="auto"/>
        </w:rPr>
      </w:pPr>
      <w:r>
        <w:rPr>
          <w:rFonts w:ascii="Courier New" w:cs="Courier New" w:eastAsia="Courier New" w:hAnsi="Courier New"/>
          <w:sz w:val="15"/>
          <w:szCs w:val="15"/>
          <w:color w:val="auto"/>
        </w:rPr>
        <w:t>Richard B. Dodd</w:t>
      </w:r>
    </w:p>
    <w:p>
      <w:pPr>
        <w:sectPr>
          <w:pgSz w:w="11900" w:h="16838" w:orient="portrait"/>
          <w:cols w:equalWidth="0" w:num="1">
            <w:col w:w="10219"/>
          </w:cols>
          <w:pgMar w:left="240" w:top="136"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EXHIBIT 23.1</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INDEPENDENT AUDITIORS' CONSENT</w:t>
      </w:r>
    </w:p>
    <w:p>
      <w:pPr>
        <w:spacing w:after="0" w:line="200" w:lineRule="exact"/>
        <w:rPr>
          <w:sz w:val="20"/>
          <w:szCs w:val="20"/>
          <w:color w:val="auto"/>
        </w:rPr>
      </w:pPr>
    </w:p>
    <w:p>
      <w:pPr>
        <w:spacing w:after="0" w:line="31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Microsoft Corporation on Form S-3 of the reports of Deloitte &amp; Touche LLP dated July 17, 1995 (August 21, 1995 as to Contingencies Note) incorporated by reference in the Annual Report on Form 10-K of Microsoft Corporation for the year ended June 30, 1995, and to the reference to Deloitte &amp; Touche LLP under the heading "Experts" in the Prospectus, which is part of this Registration Statement.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rPr>
          <w:sz w:val="20"/>
          <w:szCs w:val="20"/>
          <w:color w:val="auto"/>
        </w:rPr>
      </w:pPr>
      <w:r>
        <w:rPr>
          <w:rFonts w:ascii="Courier New" w:cs="Courier New" w:eastAsia="Courier New" w:hAnsi="Courier New"/>
          <w:sz w:val="15"/>
          <w:szCs w:val="15"/>
          <w:color w:val="auto"/>
        </w:rPr>
        <w:t>February 12, 1996</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2"/>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lowerRoman"/>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2019-12-13T16:30:01Z</dcterms:created>
  <dcterms:modified xsi:type="dcterms:W3CDTF">2019-12-13T16:30:01Z</dcterms:modified>
</cp:coreProperties>
</file>