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229235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252730</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237490</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2451100</wp:posOffset>
            </wp:positionH>
            <wp:positionV relativeFrom="paragraph">
              <wp:posOffset>268605</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tbl>
      <w:tblPr>
        <w:tblLayout w:type="fixed"/>
        <w:tblInd w:w="960" w:type="dxa"/>
        <w:tblCellMar>
          <w:top w:w="0" w:type="dxa"/>
          <w:left w:w="0" w:type="dxa"/>
          <w:bottom w:w="0" w:type="dxa"/>
          <w:right w:w="0" w:type="dxa"/>
        </w:tblCellMar>
      </w:tblPr>
      <w:tr>
        <w:trPr>
          <w:trHeight w:val="209"/>
        </w:trPr>
        <w:tc>
          <w:tcPr>
            <w:tcW w:w="3940" w:type="dxa"/>
            <w:vAlign w:val="bottom"/>
          </w:tcPr>
          <w:p>
            <w:pPr>
              <w:jc w:val="center"/>
              <w:ind w:right="2061"/>
              <w:spacing w:after="0"/>
              <w:rPr>
                <w:sz w:val="20"/>
                <w:szCs w:val="20"/>
                <w:color w:val="auto"/>
              </w:rPr>
            </w:pPr>
            <w:r>
              <w:rPr>
                <w:rFonts w:ascii="Arial" w:cs="Arial" w:eastAsia="Arial" w:hAnsi="Arial"/>
                <w:sz w:val="18"/>
                <w:szCs w:val="18"/>
                <w:b w:val="1"/>
                <w:bCs w:val="1"/>
                <w:color w:val="auto"/>
              </w:rPr>
              <w:t>Washington</w:t>
            </w:r>
          </w:p>
        </w:tc>
        <w:tc>
          <w:tcPr>
            <w:tcW w:w="2060" w:type="dxa"/>
            <w:vAlign w:val="bottom"/>
          </w:tcPr>
          <w:p>
            <w:pPr>
              <w:ind w:left="300"/>
              <w:spacing w:after="0"/>
              <w:rPr>
                <w:sz w:val="20"/>
                <w:szCs w:val="20"/>
                <w:color w:val="auto"/>
              </w:rPr>
            </w:pPr>
            <w:r>
              <w:rPr>
                <w:rFonts w:ascii="Arial" w:cs="Arial" w:eastAsia="Arial" w:hAnsi="Arial"/>
                <w:sz w:val="18"/>
                <w:szCs w:val="18"/>
                <w:b w:val="1"/>
                <w:bCs w:val="1"/>
                <w:color w:val="auto"/>
              </w:rPr>
              <w:t>001-37845</w:t>
            </w:r>
          </w:p>
        </w:tc>
        <w:tc>
          <w:tcPr>
            <w:tcW w:w="2900" w:type="dxa"/>
            <w:vAlign w:val="bottom"/>
          </w:tcPr>
          <w:p>
            <w:pPr>
              <w:jc w:val="center"/>
              <w:ind w:left="1661"/>
              <w:spacing w:after="0"/>
              <w:rPr>
                <w:sz w:val="20"/>
                <w:szCs w:val="20"/>
                <w:color w:val="auto"/>
              </w:rPr>
            </w:pPr>
            <w:r>
              <w:rPr>
                <w:rFonts w:ascii="Arial" w:cs="Arial" w:eastAsia="Arial" w:hAnsi="Arial"/>
                <w:sz w:val="18"/>
                <w:szCs w:val="18"/>
                <w:b w:val="1"/>
                <w:bCs w:val="1"/>
                <w:color w:val="auto"/>
                <w:w w:val="99"/>
              </w:rPr>
              <w:t>91-1144442</w:t>
            </w:r>
          </w:p>
        </w:tc>
      </w:tr>
      <w:tr>
        <w:trPr>
          <w:trHeight w:val="149"/>
        </w:trPr>
        <w:tc>
          <w:tcPr>
            <w:tcW w:w="3940" w:type="dxa"/>
            <w:vAlign w:val="bottom"/>
          </w:tcPr>
          <w:p>
            <w:pPr>
              <w:jc w:val="center"/>
              <w:ind w:right="2061"/>
              <w:spacing w:after="0" w:line="149" w:lineRule="exact"/>
              <w:rPr>
                <w:sz w:val="20"/>
                <w:szCs w:val="20"/>
                <w:color w:val="auto"/>
              </w:rPr>
            </w:pPr>
            <w:r>
              <w:rPr>
                <w:rFonts w:ascii="Arial" w:cs="Arial" w:eastAsia="Arial" w:hAnsi="Arial"/>
                <w:sz w:val="14"/>
                <w:szCs w:val="14"/>
                <w:b w:val="1"/>
                <w:bCs w:val="1"/>
                <w:color w:val="auto"/>
                <w:w w:val="97"/>
              </w:rPr>
              <w:t>(State or Other Jurisdiction</w:t>
            </w:r>
          </w:p>
        </w:tc>
        <w:tc>
          <w:tcPr>
            <w:tcW w:w="20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(Commission</w:t>
            </w:r>
          </w:p>
        </w:tc>
        <w:tc>
          <w:tcPr>
            <w:tcW w:w="2900" w:type="dxa"/>
            <w:vAlign w:val="bottom"/>
          </w:tcPr>
          <w:p>
            <w:pPr>
              <w:jc w:val="center"/>
              <w:ind w:left="16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78"/>
        </w:trPr>
        <w:tc>
          <w:tcPr>
            <w:tcW w:w="3940" w:type="dxa"/>
            <w:vAlign w:val="bottom"/>
          </w:tcPr>
          <w:p>
            <w:pPr>
              <w:jc w:val="center"/>
              <w:ind w:right="2061"/>
              <w:spacing w:after="0"/>
              <w:rPr>
                <w:sz w:val="20"/>
                <w:szCs w:val="20"/>
                <w:color w:val="auto"/>
              </w:rPr>
            </w:pPr>
            <w:r>
              <w:rPr>
                <w:rFonts w:ascii="Arial" w:cs="Arial" w:eastAsia="Arial" w:hAnsi="Arial"/>
                <w:sz w:val="14"/>
                <w:szCs w:val="14"/>
                <w:b w:val="1"/>
                <w:bCs w:val="1"/>
                <w:color w:val="auto"/>
                <w:w w:val="96"/>
              </w:rPr>
              <w:t>of Incorporation)</w:t>
            </w:r>
          </w:p>
        </w:tc>
        <w:tc>
          <w:tcPr>
            <w:tcW w:w="2060" w:type="dxa"/>
            <w:vAlign w:val="bottom"/>
          </w:tcPr>
          <w:p>
            <w:pPr>
              <w:ind w:left="320"/>
              <w:spacing w:after="0"/>
              <w:rPr>
                <w:sz w:val="20"/>
                <w:szCs w:val="20"/>
                <w:color w:val="auto"/>
              </w:rPr>
            </w:pPr>
            <w:r>
              <w:rPr>
                <w:rFonts w:ascii="Arial" w:cs="Arial" w:eastAsia="Arial" w:hAnsi="Arial"/>
                <w:sz w:val="14"/>
                <w:szCs w:val="14"/>
                <w:b w:val="1"/>
                <w:bCs w:val="1"/>
                <w:color w:val="auto"/>
              </w:rPr>
              <w:t>File Number)</w:t>
            </w:r>
          </w:p>
        </w:tc>
        <w:tc>
          <w:tcPr>
            <w:tcW w:w="2900" w:type="dxa"/>
            <w:vAlign w:val="bottom"/>
          </w:tcPr>
          <w:p>
            <w:pPr>
              <w:jc w:val="center"/>
              <w:ind w:left="1681"/>
              <w:spacing w:after="0"/>
              <w:rPr>
                <w:sz w:val="20"/>
                <w:szCs w:val="20"/>
                <w:color w:val="auto"/>
              </w:rPr>
            </w:pPr>
            <w:r>
              <w:rPr>
                <w:rFonts w:ascii="Arial" w:cs="Arial" w:eastAsia="Arial" w:hAnsi="Arial"/>
                <w:sz w:val="14"/>
                <w:szCs w:val="14"/>
                <w:b w:val="1"/>
                <w:bCs w:val="1"/>
                <w:color w:val="auto"/>
                <w:w w:val="96"/>
              </w:rPr>
              <w:t>Identification No.)</w:t>
            </w:r>
          </w:p>
        </w:tc>
      </w:tr>
      <w:tr>
        <w:trPr>
          <w:trHeight w:val="460"/>
        </w:trPr>
        <w:tc>
          <w:tcPr>
            <w:tcW w:w="3940" w:type="dxa"/>
            <w:vAlign w:val="bottom"/>
          </w:tcPr>
          <w:p>
            <w:pPr>
              <w:spacing w:after="0"/>
              <w:rPr>
                <w:sz w:val="20"/>
                <w:szCs w:val="20"/>
                <w:color w:val="auto"/>
              </w:rPr>
            </w:pPr>
            <w:r>
              <w:rPr>
                <w:rFonts w:ascii="Arial" w:cs="Arial" w:eastAsia="Arial" w:hAnsi="Arial"/>
                <w:sz w:val="18"/>
                <w:szCs w:val="18"/>
                <w:b w:val="1"/>
                <w:bCs w:val="1"/>
                <w:color w:val="auto"/>
              </w:rPr>
              <w:t>One Microsoft Way, Redmond, Washington</w:t>
            </w:r>
          </w:p>
        </w:tc>
        <w:tc>
          <w:tcPr>
            <w:tcW w:w="2060" w:type="dxa"/>
            <w:vAlign w:val="bottom"/>
          </w:tcPr>
          <w:p>
            <w:pPr>
              <w:spacing w:after="0"/>
              <w:rPr>
                <w:sz w:val="24"/>
                <w:szCs w:val="24"/>
                <w:color w:val="auto"/>
              </w:rPr>
            </w:pPr>
          </w:p>
        </w:tc>
        <w:tc>
          <w:tcPr>
            <w:tcW w:w="2900" w:type="dxa"/>
            <w:vAlign w:val="bottom"/>
          </w:tcPr>
          <w:p>
            <w:pPr>
              <w:jc w:val="right"/>
              <w:ind w:right="941"/>
              <w:spacing w:after="0"/>
              <w:rPr>
                <w:sz w:val="20"/>
                <w:szCs w:val="20"/>
                <w:color w:val="auto"/>
              </w:rPr>
            </w:pPr>
            <w:r>
              <w:rPr>
                <w:rFonts w:ascii="Arial" w:cs="Arial" w:eastAsia="Arial" w:hAnsi="Arial"/>
                <w:sz w:val="18"/>
                <w:szCs w:val="18"/>
                <w:b w:val="1"/>
                <w:bCs w:val="1"/>
                <w:color w:val="auto"/>
              </w:rPr>
              <w:t>98052-6399</w:t>
            </w:r>
          </w:p>
        </w:tc>
      </w:tr>
    </w:tbl>
    <w:p>
      <w:pPr>
        <w:spacing w:after="0" w:line="18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(425) 882-8080</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www.microsoft.com/investor</w:t>
      </w:r>
    </w:p>
    <w:p>
      <w:pPr>
        <w:spacing w:after="0" w:line="176" w:lineRule="exact"/>
        <w:rPr>
          <w:sz w:val="24"/>
          <w:szCs w:val="24"/>
          <w:color w:val="auto"/>
        </w:rPr>
      </w:pPr>
    </w:p>
    <w:p>
      <w:pPr>
        <w:ind w:right="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2"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20" w:hanging="316"/>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20" w:hanging="316"/>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20" w:hanging="316"/>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gridSpan w:val="2"/>
          </w:tcPr>
          <w:p>
            <w:pPr>
              <w:ind w:left="2620"/>
              <w:spacing w:after="0"/>
              <w:rPr>
                <w:sz w:val="20"/>
                <w:szCs w:val="20"/>
                <w:color w:val="auto"/>
              </w:rPr>
            </w:pPr>
            <w:r>
              <w:rPr>
                <w:rFonts w:ascii="Arial" w:cs="Arial" w:eastAsia="Arial" w:hAnsi="Arial"/>
                <w:sz w:val="14"/>
                <w:szCs w:val="14"/>
                <w:color w:val="auto"/>
              </w:rPr>
              <w:t>Title of each class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 Symbol</w:t>
            </w:r>
          </w:p>
        </w:tc>
        <w:tc>
          <w:tcPr>
            <w:tcW w:w="2840" w:type="dxa"/>
            <w:vAlign w:val="bottom"/>
          </w:tcPr>
          <w:p>
            <w:pPr>
              <w:jc w:val="center"/>
              <w:spacing w:after="0"/>
              <w:rPr>
                <w:sz w:val="20"/>
                <w:szCs w:val="20"/>
                <w:color w:val="auto"/>
              </w:rPr>
            </w:pPr>
            <w:r>
              <w:rPr>
                <w:rFonts w:ascii="Arial" w:cs="Arial" w:eastAsia="Arial" w:hAnsi="Arial"/>
                <w:sz w:val="14"/>
                <w:szCs w:val="14"/>
                <w:color w:val="auto"/>
              </w:rPr>
              <w:t>Name of exchange on which registered</w:t>
            </w:r>
          </w:p>
        </w:tc>
      </w:tr>
      <w:tr>
        <w:trPr>
          <w:trHeight w:val="173"/>
        </w:trPr>
        <w:tc>
          <w:tcPr>
            <w:tcW w:w="20" w:type="dxa"/>
            <w:vAlign w:val="bottom"/>
          </w:tcPr>
          <w:p>
            <w:pPr>
              <w:spacing w:after="0"/>
              <w:rPr>
                <w:sz w:val="15"/>
                <w:szCs w:val="15"/>
                <w:color w:val="auto"/>
              </w:rPr>
            </w:pPr>
          </w:p>
        </w:tc>
        <w:tc>
          <w:tcPr>
            <w:tcW w:w="64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COMMON STOCK, $0.00000625 par value per share</w:t>
            </w:r>
          </w:p>
        </w:tc>
        <w:tc>
          <w:tcPr>
            <w:tcW w:w="32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MSFT</w:t>
            </w:r>
          </w:p>
        </w:tc>
        <w:tc>
          <w:tcPr>
            <w:tcW w:w="120" w:type="dxa"/>
            <w:vAlign w:val="bottom"/>
          </w:tcPr>
          <w:p>
            <w:pPr>
              <w:spacing w:after="0"/>
              <w:rPr>
                <w:sz w:val="15"/>
                <w:szCs w:val="15"/>
                <w:color w:val="auto"/>
              </w:rPr>
            </w:pPr>
          </w:p>
        </w:tc>
        <w:tc>
          <w:tcPr>
            <w:tcW w:w="284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NASDAQ</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2.125% Notes due 2021</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MSFT</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3.125% Notes due 2028</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MSFT</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r>
        <w:trPr>
          <w:trHeight w:val="239"/>
        </w:trPr>
        <w:tc>
          <w:tcPr>
            <w:tcW w:w="6740" w:type="dxa"/>
            <w:vAlign w:val="bottom"/>
            <w:gridSpan w:val="3"/>
          </w:tcPr>
          <w:p>
            <w:pPr>
              <w:spacing w:after="0"/>
              <w:rPr>
                <w:sz w:val="20"/>
                <w:szCs w:val="20"/>
                <w:color w:val="auto"/>
              </w:rPr>
            </w:pPr>
            <w:r>
              <w:rPr>
                <w:rFonts w:ascii="Arial" w:cs="Arial" w:eastAsia="Arial" w:hAnsi="Arial"/>
                <w:sz w:val="18"/>
                <w:szCs w:val="18"/>
                <w:b w:val="1"/>
                <w:bCs w:val="1"/>
                <w:color w:val="auto"/>
              </w:rPr>
              <w:t>2.625% Notes due 2033</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MSFT</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9"/>
              </w:rPr>
              <w:t>New York Stock Exchange</w:t>
            </w:r>
          </w:p>
        </w:tc>
      </w:tr>
    </w:tbl>
    <w:p>
      <w:pPr>
        <w:spacing w:after="0" w:line="215"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6" w:lineRule="exact"/>
        <w:rPr>
          <w:sz w:val="24"/>
          <w:szCs w:val="24"/>
          <w:color w:val="auto"/>
        </w:rPr>
      </w:pPr>
    </w:p>
    <w:p>
      <w:pPr>
        <w:jc w:val="both"/>
        <w:ind w:right="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177165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06"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8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July 18, 2019, Microsoft Corporation issued a press release announcing its financial results for the fiscal quarter and year ended June 30, 2019. A copy of the press release is furnished as Exhibit 99.1 to this report.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July 18, 2019, issued by Microsoft Corporation</w:t>
        </w:r>
      </w:hyperlink>
    </w:p>
    <w:p>
      <w:pPr>
        <w:sectPr>
          <w:pgSz w:w="11900" w:h="16838" w:orient="portrait"/>
          <w:cols w:equalWidth="0" w:num="1">
            <w:col w:w="11020"/>
          </w:cols>
          <w:pgMar w:left="440" w:top="265"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MICROSOFT CORPORATION</w:t>
      </w:r>
    </w:p>
    <w:p>
      <w:pPr>
        <w:jc w:val="center"/>
        <w:ind w:left="564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560" w:val="left"/>
        </w:tabs>
        <w:rPr>
          <w:sz w:val="20"/>
          <w:szCs w:val="20"/>
          <w:color w:val="auto"/>
        </w:rPr>
      </w:pPr>
      <w:r>
        <w:rPr>
          <w:rFonts w:ascii="Arial" w:cs="Arial" w:eastAsia="Arial" w:hAnsi="Arial"/>
          <w:sz w:val="18"/>
          <w:szCs w:val="18"/>
          <w:color w:val="auto"/>
        </w:rPr>
        <w:t>Date: July 18, 2019</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F</w:t>
      </w:r>
      <w:r>
        <w:rPr>
          <w:rFonts w:ascii="Arial" w:cs="Arial" w:eastAsia="Arial" w:hAnsi="Arial"/>
          <w:sz w:val="14"/>
          <w:szCs w:val="14"/>
          <w:color w:val="auto"/>
        </w:rPr>
        <w:t>RANK</w:t>
      </w:r>
      <w:r>
        <w:rPr>
          <w:rFonts w:ascii="Arial" w:cs="Arial" w:eastAsia="Arial" w:hAnsi="Arial"/>
          <w:sz w:val="17"/>
          <w:szCs w:val="17"/>
          <w:color w:val="auto"/>
        </w:rPr>
        <w:t xml:space="preserve"> H. B</w:t>
      </w:r>
      <w:r>
        <w:rPr>
          <w:rFonts w:ascii="Arial" w:cs="Arial" w:eastAsia="Arial" w:hAnsi="Arial"/>
          <w:sz w:val="14"/>
          <w:szCs w:val="14"/>
          <w:color w:val="auto"/>
        </w:rPr>
        <w:t>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-1905</wp:posOffset>
            </wp:positionV>
            <wp:extent cx="3422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jc w:val="center"/>
        <w:ind w:left="5640"/>
        <w:spacing w:after="0"/>
        <w:rPr>
          <w:sz w:val="20"/>
          <w:szCs w:val="20"/>
          <w:color w:val="auto"/>
        </w:rPr>
      </w:pPr>
      <w:r>
        <w:rPr>
          <w:rFonts w:ascii="Arial" w:cs="Arial" w:eastAsia="Arial" w:hAnsi="Arial"/>
          <w:sz w:val="18"/>
          <w:szCs w:val="18"/>
          <w:color w:val="auto"/>
        </w:rPr>
        <w:t>Frank H. Brod</w:t>
      </w:r>
    </w:p>
    <w:p>
      <w:pPr>
        <w:jc w:val="center"/>
        <w:ind w:left="5640"/>
        <w:spacing w:after="0" w:line="234" w:lineRule="auto"/>
        <w:rPr>
          <w:sz w:val="20"/>
          <w:szCs w:val="20"/>
          <w:color w:val="auto"/>
        </w:rPr>
      </w:pPr>
      <w:r>
        <w:rPr>
          <w:rFonts w:ascii="Arial" w:cs="Arial" w:eastAsia="Arial" w:hAnsi="Arial"/>
          <w:sz w:val="18"/>
          <w:szCs w:val="18"/>
          <w:color w:val="auto"/>
        </w:rPr>
        <w:t>Corporate Vice President, Finance and</w:t>
      </w:r>
    </w:p>
    <w:p>
      <w:pPr>
        <w:jc w:val="center"/>
        <w:ind w:left="5640"/>
        <w:spacing w:after="0" w:line="235" w:lineRule="auto"/>
        <w:rPr>
          <w:sz w:val="20"/>
          <w:szCs w:val="20"/>
          <w:color w:val="auto"/>
        </w:rPr>
      </w:pPr>
      <w:r>
        <w:rPr>
          <w:rFonts w:ascii="Arial" w:cs="Arial" w:eastAsia="Arial" w:hAnsi="Arial"/>
          <w:sz w:val="18"/>
          <w:szCs w:val="18"/>
          <w:color w:val="auto"/>
        </w:rPr>
        <w:t>Administration;</w:t>
      </w:r>
    </w:p>
    <w:p>
      <w:pPr>
        <w:spacing w:after="0" w:line="1" w:lineRule="exact"/>
        <w:rPr>
          <w:sz w:val="20"/>
          <w:szCs w:val="20"/>
          <w:color w:val="auto"/>
        </w:rPr>
      </w:pPr>
    </w:p>
    <w:p>
      <w:pPr>
        <w:jc w:val="center"/>
        <w:ind w:left="5640"/>
        <w:spacing w:after="0"/>
        <w:rPr>
          <w:sz w:val="20"/>
          <w:szCs w:val="20"/>
          <w:color w:val="auto"/>
        </w:rPr>
      </w:pPr>
      <w:r>
        <w:rPr>
          <w:rFonts w:ascii="Arial" w:cs="Arial" w:eastAsia="Arial" w:hAnsi="Arial"/>
          <w:sz w:val="18"/>
          <w:szCs w:val="18"/>
          <w:color w:val="auto"/>
        </w:rPr>
        <w:t>Chief Accounting Officer</w:t>
      </w:r>
    </w:p>
    <w:p>
      <w:pPr>
        <w:sectPr>
          <w:pgSz w:w="11900" w:h="16838" w:orient="portrait"/>
          <w:cols w:equalWidth="0" w:num="1">
            <w:col w:w="11020"/>
          </w:cols>
          <w:pgMar w:left="440" w:top="265" w:right="439" w:bottom="1440" w:gutter="0" w:footer="0" w:header="0"/>
        </w:sectPr>
      </w:pPr>
    </w:p>
    <w:bookmarkStart w:id="3" w:name="page4"/>
    <w:bookmarkEnd w:id="3"/>
    <w:p>
      <w:pPr>
        <w:ind w:left="10080"/>
        <w:spacing w:after="0"/>
        <w:rPr>
          <w:sz w:val="20"/>
          <w:szCs w:val="20"/>
          <w:color w:val="auto"/>
        </w:rPr>
      </w:pPr>
      <w:r>
        <w:rPr>
          <w:rFonts w:ascii="Arial" w:cs="Arial" w:eastAsia="Arial" w:hAnsi="Arial"/>
          <w:sz w:val="18"/>
          <w:szCs w:val="18"/>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color w:val="666666"/>
        </w:rPr>
        <w:t>Microsoft Cloud Powers Record Fourth Quarter Results</w:t>
      </w:r>
    </w:p>
    <w:p>
      <w:pPr>
        <w:spacing w:after="0" w:line="20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666666"/>
        </w:rPr>
        <w:t xml:space="preserve">REDMOND, Wash. — July 18, 2019 — </w:t>
      </w:r>
      <w:r>
        <w:rPr>
          <w:rFonts w:ascii="Arial" w:cs="Arial" w:eastAsia="Arial" w:hAnsi="Arial"/>
          <w:sz w:val="18"/>
          <w:szCs w:val="18"/>
          <w:color w:val="666666"/>
        </w:rPr>
        <w:t>Microsoft Corp. today announced the following results for the quarter ended June 30, 2019, as</w:t>
      </w:r>
      <w:r>
        <w:rPr>
          <w:rFonts w:ascii="Arial" w:cs="Arial" w:eastAsia="Arial" w:hAnsi="Arial"/>
          <w:sz w:val="18"/>
          <w:szCs w:val="18"/>
          <w:b w:val="1"/>
          <w:bCs w:val="1"/>
          <w:color w:val="666666"/>
        </w:rPr>
        <w:t xml:space="preserve"> </w:t>
      </w:r>
      <w:r>
        <w:rPr>
          <w:rFonts w:ascii="Arial" w:cs="Arial" w:eastAsia="Arial" w:hAnsi="Arial"/>
          <w:sz w:val="18"/>
          <w:szCs w:val="18"/>
          <w:color w:val="666666"/>
        </w:rPr>
        <w:t>compared to the corresponding period of last fiscal year:</w:t>
      </w:r>
    </w:p>
    <w:p>
      <w:pPr>
        <w:spacing w:after="0" w:line="198" w:lineRule="exact"/>
        <w:rPr>
          <w:sz w:val="20"/>
          <w:szCs w:val="20"/>
          <w:color w:val="auto"/>
        </w:rPr>
      </w:pPr>
    </w:p>
    <w:p>
      <w:pPr>
        <w:ind w:left="860" w:hanging="316"/>
        <w:spacing w:after="0"/>
        <w:tabs>
          <w:tab w:leader="none" w:pos="8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Revenue was $33.7 billion and increased 12%</w:t>
      </w:r>
    </w:p>
    <w:p>
      <w:pPr>
        <w:ind w:left="860" w:hanging="316"/>
        <w:spacing w:after="0" w:line="234" w:lineRule="auto"/>
        <w:tabs>
          <w:tab w:leader="none" w:pos="8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Operating income was $12.4 billion and increased 20%</w:t>
      </w:r>
    </w:p>
    <w:p>
      <w:pPr>
        <w:ind w:left="860" w:hanging="316"/>
        <w:spacing w:after="0" w:line="234" w:lineRule="auto"/>
        <w:tabs>
          <w:tab w:leader="none" w:pos="8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Net income was $13.2 billion GAAP and $10.6 billion non-GAAP, and increased 49% and 21%, respectively</w:t>
      </w:r>
    </w:p>
    <w:p>
      <w:pPr>
        <w:ind w:left="860" w:hanging="316"/>
        <w:spacing w:after="0" w:line="234" w:lineRule="auto"/>
        <w:tabs>
          <w:tab w:leader="none" w:pos="8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Diluted earnings per share was $1.71 GAAP and $1.37 non-GAAP, and increased 50% and 21%, respectively</w:t>
      </w:r>
    </w:p>
    <w:p>
      <w:pPr>
        <w:ind w:left="860" w:hanging="316"/>
        <w:spacing w:after="0"/>
        <w:tabs>
          <w:tab w:leader="none" w:pos="8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GAAP results include a $2.6 billion net income tax benefit explained in the Non-GAAP Definition section below</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666666"/>
        </w:rPr>
        <w:t>“It was a record fiscal year for Microsoft, a result of our deep partnerships with leading companies in every industry,” said Satya Nadella, chief executive officer of Microsoft. “Every day we work alongside our customers to help them build their own digital capability — innovating with them, creating new businesses with them, and earning their trust. This commitment to our customers’ success is resulting in larger, multi-year commercial cloud agreements and growing momentum across every layer of our technology stack.”</w:t>
      </w:r>
    </w:p>
    <w:p>
      <w:pPr>
        <w:spacing w:after="0" w:line="202" w:lineRule="exact"/>
        <w:rPr>
          <w:sz w:val="20"/>
          <w:szCs w:val="20"/>
          <w:color w:val="auto"/>
        </w:rPr>
      </w:pPr>
    </w:p>
    <w:p>
      <w:pPr>
        <w:ind w:right="160"/>
        <w:spacing w:after="0"/>
        <w:rPr>
          <w:sz w:val="20"/>
          <w:szCs w:val="20"/>
          <w:color w:val="auto"/>
        </w:rPr>
      </w:pPr>
      <w:r>
        <w:rPr>
          <w:rFonts w:ascii="Arial" w:cs="Arial" w:eastAsia="Arial" w:hAnsi="Arial"/>
          <w:sz w:val="18"/>
          <w:szCs w:val="18"/>
          <w:color w:val="666666"/>
        </w:rPr>
        <w:t>The following table reconciles our financial results reported in accordance with generally accepted accounting principles (GAAP) to non-GAAP financial results. Additional information regarding our non-GAAP definition is provided below. All growth comparisons relate to the corresponding period in the last fiscal year.</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666666"/>
              </w:rPr>
              <w:t>Three Months Ended June 30,</w:t>
            </w:r>
          </w:p>
        </w:tc>
        <w:tc>
          <w:tcPr>
            <w:tcW w:w="1260" w:type="dxa"/>
            <w:vAlign w:val="bottom"/>
          </w:tcPr>
          <w:p>
            <w:pPr>
              <w:spacing w:after="0"/>
              <w:rPr>
                <w:sz w:val="16"/>
                <w:szCs w:val="16"/>
                <w:color w:val="auto"/>
              </w:rPr>
            </w:pPr>
          </w:p>
        </w:tc>
      </w:tr>
      <w:tr>
        <w:trPr>
          <w:trHeight w:val="80"/>
        </w:trPr>
        <w:tc>
          <w:tcPr>
            <w:tcW w:w="400" w:type="dxa"/>
            <w:vAlign w:val="bottom"/>
            <w:tcBorders>
              <w:bottom w:val="single" w:sz="8" w:color="auto"/>
            </w:tcBorders>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142"/>
        </w:trPr>
        <w:tc>
          <w:tcPr>
            <w:tcW w:w="4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60" w:type="dxa"/>
            <w:vAlign w:val="bottom"/>
          </w:tcPr>
          <w:p>
            <w:pPr>
              <w:jc w:val="center"/>
              <w:ind w:left="28"/>
              <w:spacing w:after="0" w:line="143"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666666"/>
              </w:rPr>
              <w:t>Operating</w:t>
            </w:r>
          </w:p>
        </w:tc>
        <w:tc>
          <w:tcPr>
            <w:tcW w:w="142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666666"/>
              </w:rPr>
              <w:t>Earnings per</w:t>
            </w:r>
          </w:p>
        </w:tc>
      </w:tr>
      <w:tr>
        <w:trPr>
          <w:trHeight w:val="190"/>
        </w:trPr>
        <w:tc>
          <w:tcPr>
            <w:tcW w:w="4880" w:type="dxa"/>
            <w:vAlign w:val="bottom"/>
            <w:gridSpan w:val="2"/>
          </w:tcPr>
          <w:p>
            <w:pPr>
              <w:ind w:left="100"/>
              <w:spacing w:after="0"/>
              <w:rPr>
                <w:sz w:val="20"/>
                <w:szCs w:val="20"/>
                <w:color w:val="auto"/>
              </w:rPr>
            </w:pPr>
            <w:r>
              <w:rPr>
                <w:rFonts w:ascii="Arial" w:cs="Arial" w:eastAsia="Arial" w:hAnsi="Arial"/>
                <w:sz w:val="14"/>
                <w:szCs w:val="14"/>
                <w:color w:val="666666"/>
              </w:rPr>
              <w:t>($ in millions, except per share amounts)</w:t>
            </w:r>
          </w:p>
        </w:tc>
        <w:tc>
          <w:tcPr>
            <w:tcW w:w="2140" w:type="dxa"/>
            <w:vAlign w:val="bottom"/>
          </w:tcPr>
          <w:p>
            <w:pPr>
              <w:jc w:val="right"/>
              <w:ind w:right="268"/>
              <w:spacing w:after="0"/>
              <w:rPr>
                <w:sz w:val="20"/>
                <w:szCs w:val="20"/>
                <w:color w:val="auto"/>
              </w:rPr>
            </w:pPr>
            <w:r>
              <w:rPr>
                <w:rFonts w:ascii="Arial" w:cs="Arial" w:eastAsia="Arial" w:hAnsi="Arial"/>
                <w:sz w:val="14"/>
                <w:szCs w:val="14"/>
                <w:b w:val="1"/>
                <w:bCs w:val="1"/>
                <w:color w:val="666666"/>
              </w:rPr>
              <w:t>Revenue</w:t>
            </w:r>
          </w:p>
        </w:tc>
        <w:tc>
          <w:tcPr>
            <w:tcW w:w="1320" w:type="dxa"/>
            <w:vAlign w:val="bottom"/>
          </w:tcPr>
          <w:p>
            <w:pPr>
              <w:jc w:val="right"/>
              <w:ind w:right="388"/>
              <w:spacing w:after="0"/>
              <w:rPr>
                <w:sz w:val="20"/>
                <w:szCs w:val="20"/>
                <w:color w:val="auto"/>
              </w:rPr>
            </w:pPr>
            <w:r>
              <w:rPr>
                <w:rFonts w:ascii="Arial" w:cs="Arial" w:eastAsia="Arial" w:hAnsi="Arial"/>
                <w:sz w:val="14"/>
                <w:szCs w:val="14"/>
                <w:b w:val="1"/>
                <w:bCs w:val="1"/>
                <w:color w:val="666666"/>
              </w:rPr>
              <w:t>Income</w:t>
            </w: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666666"/>
              </w:rPr>
              <w:t>Net Income</w:t>
            </w: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666666"/>
              </w:rPr>
              <w:t>Share</w:t>
            </w:r>
          </w:p>
        </w:tc>
      </w:tr>
      <w:tr>
        <w:trPr>
          <w:trHeight w:val="80"/>
        </w:trPr>
        <w:tc>
          <w:tcPr>
            <w:tcW w:w="400" w:type="dxa"/>
            <w:vAlign w:val="bottom"/>
            <w:tcBorders>
              <w:bottom w:val="single" w:sz="8" w:color="666666"/>
            </w:tcBorders>
          </w:tcPr>
          <w:p>
            <w:pPr>
              <w:spacing w:after="0"/>
              <w:rPr>
                <w:sz w:val="6"/>
                <w:szCs w:val="6"/>
                <w:color w:val="auto"/>
              </w:rPr>
            </w:pPr>
          </w:p>
        </w:tc>
        <w:tc>
          <w:tcPr>
            <w:tcW w:w="4480" w:type="dxa"/>
            <w:vAlign w:val="bottom"/>
            <w:tcBorders>
              <w:bottom w:val="single" w:sz="8" w:color="666666"/>
            </w:tcBorders>
          </w:tcPr>
          <w:p>
            <w:pPr>
              <w:spacing w:after="0"/>
              <w:rPr>
                <w:sz w:val="6"/>
                <w:szCs w:val="6"/>
                <w:color w:val="auto"/>
              </w:rPr>
            </w:pPr>
          </w:p>
        </w:tc>
        <w:tc>
          <w:tcPr>
            <w:tcW w:w="2140" w:type="dxa"/>
            <w:vAlign w:val="bottom"/>
            <w:tcBorders>
              <w:bottom w:val="single" w:sz="8" w:color="666666"/>
            </w:tcBorders>
          </w:tcPr>
          <w:p>
            <w:pPr>
              <w:spacing w:after="0"/>
              <w:rPr>
                <w:sz w:val="6"/>
                <w:szCs w:val="6"/>
                <w:color w:val="auto"/>
              </w:rPr>
            </w:pPr>
          </w:p>
        </w:tc>
        <w:tc>
          <w:tcPr>
            <w:tcW w:w="1320" w:type="dxa"/>
            <w:vAlign w:val="bottom"/>
            <w:tcBorders>
              <w:bottom w:val="single" w:sz="8" w:color="666666"/>
            </w:tcBorders>
          </w:tcPr>
          <w:p>
            <w:pPr>
              <w:spacing w:after="0"/>
              <w:rPr>
                <w:sz w:val="6"/>
                <w:szCs w:val="6"/>
                <w:color w:val="auto"/>
              </w:rPr>
            </w:pPr>
          </w:p>
        </w:tc>
        <w:tc>
          <w:tcPr>
            <w:tcW w:w="142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2018</w:t>
            </w: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$30,085</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$10,379</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666666"/>
              </w:rPr>
              <w:t>$8,873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$1.14</w:t>
            </w:r>
          </w:p>
        </w:tc>
      </w:tr>
      <w:tr>
        <w:trPr>
          <w:trHeight w:val="211"/>
        </w:trPr>
        <w:tc>
          <w:tcPr>
            <w:tcW w:w="48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666666"/>
              </w:rPr>
              <w:t>Net Impact of the Tax Cuts and Jobs Act (TCJA)</w:t>
            </w:r>
          </w:p>
        </w:tc>
        <w:tc>
          <w:tcPr>
            <w:tcW w:w="21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666666"/>
              </w:rPr>
              <w:t>-</w:t>
            </w:r>
          </w:p>
        </w:tc>
        <w:tc>
          <w:tcPr>
            <w:tcW w:w="13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w:t>
            </w:r>
          </w:p>
        </w:tc>
        <w:tc>
          <w:tcPr>
            <w:tcW w:w="14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666666"/>
              </w:rPr>
              <w:t>(104)</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(0.01)</w:t>
            </w:r>
          </w:p>
        </w:tc>
      </w:tr>
      <w:tr>
        <w:trPr>
          <w:trHeight w:val="26"/>
        </w:trPr>
        <w:tc>
          <w:tcPr>
            <w:tcW w:w="4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2018</w:t>
            </w: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$30,085</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$10,379</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666666"/>
              </w:rPr>
              <w:t>$8,769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$1.13</w:t>
            </w:r>
          </w:p>
        </w:tc>
      </w:tr>
      <w:tr>
        <w:trPr>
          <w:trHeight w:val="211"/>
        </w:trPr>
        <w:tc>
          <w:tcPr>
            <w:tcW w:w="4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2019</w:t>
            </w: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Reported (GAAP)</w:t>
            </w:r>
          </w:p>
        </w:tc>
        <w:tc>
          <w:tcPr>
            <w:tcW w:w="21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$33,717</w:t>
            </w:r>
          </w:p>
        </w:tc>
        <w:tc>
          <w:tcPr>
            <w:tcW w:w="13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$12,405</w:t>
            </w:r>
          </w:p>
        </w:tc>
        <w:tc>
          <w:tcPr>
            <w:tcW w:w="14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666666"/>
              </w:rPr>
              <w:t>$13,187</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$1.71</w:t>
            </w:r>
          </w:p>
        </w:tc>
      </w:tr>
      <w:tr>
        <w:trPr>
          <w:trHeight w:val="26"/>
        </w:trPr>
        <w:tc>
          <w:tcPr>
            <w:tcW w:w="48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2"/>
        </w:trPr>
        <w:tc>
          <w:tcPr>
            <w:tcW w:w="4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666666"/>
              </w:rPr>
              <w:t>Net Tax Impact of Transfer of Intangible Properties</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666666"/>
              </w:rPr>
              <w:t>(2,567)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(0.34)</w:t>
            </w:r>
          </w:p>
        </w:tc>
      </w:tr>
      <w:tr>
        <w:trPr>
          <w:trHeight w:val="211"/>
        </w:trPr>
        <w:tc>
          <w:tcPr>
            <w:tcW w:w="4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2019</w:t>
            </w: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21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$33,717</w:t>
            </w:r>
          </w:p>
        </w:tc>
        <w:tc>
          <w:tcPr>
            <w:tcW w:w="13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$12,405</w:t>
            </w:r>
          </w:p>
        </w:tc>
        <w:tc>
          <w:tcPr>
            <w:tcW w:w="14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666666"/>
              </w:rPr>
              <w:t>$10,620</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$1.37</w:t>
            </w:r>
          </w:p>
        </w:tc>
      </w:tr>
      <w:tr>
        <w:trPr>
          <w:trHeight w:val="26"/>
        </w:trPr>
        <w:tc>
          <w:tcPr>
            <w:tcW w:w="48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48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666666"/>
              </w:rPr>
              <w:t>Percentage Change Y/Y (GAAP)</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12%</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20%</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666666"/>
              </w:rPr>
              <w:t>49%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50%</w:t>
            </w:r>
          </w:p>
        </w:tc>
      </w:tr>
      <w:tr>
        <w:trPr>
          <w:trHeight w:val="218"/>
        </w:trPr>
        <w:tc>
          <w:tcPr>
            <w:tcW w:w="4880" w:type="dxa"/>
            <w:vAlign w:val="bottom"/>
            <w:gridSpan w:val="2"/>
          </w:tcPr>
          <w:p>
            <w:pPr>
              <w:ind w:left="60"/>
              <w:spacing w:after="0"/>
              <w:rPr>
                <w:sz w:val="20"/>
                <w:szCs w:val="20"/>
                <w:color w:val="auto"/>
              </w:rPr>
            </w:pPr>
            <w:r>
              <w:rPr>
                <w:rFonts w:ascii="Arial" w:cs="Arial" w:eastAsia="Arial" w:hAnsi="Arial"/>
                <w:sz w:val="14"/>
                <w:szCs w:val="14"/>
                <w:color w:val="666666"/>
              </w:rPr>
              <w:t>Percentage Change Y/Y (non-GAAP)</w:t>
            </w:r>
          </w:p>
        </w:tc>
        <w:tc>
          <w:tcPr>
            <w:tcW w:w="2140" w:type="dxa"/>
            <w:vAlign w:val="bottom"/>
          </w:tcPr>
          <w:p>
            <w:pPr>
              <w:jc w:val="right"/>
              <w:ind w:right="188"/>
              <w:spacing w:after="0"/>
              <w:rPr>
                <w:sz w:val="20"/>
                <w:szCs w:val="20"/>
                <w:color w:val="auto"/>
              </w:rPr>
            </w:pPr>
            <w:r>
              <w:rPr>
                <w:rFonts w:ascii="Arial" w:cs="Arial" w:eastAsia="Arial" w:hAnsi="Arial"/>
                <w:sz w:val="14"/>
                <w:szCs w:val="14"/>
                <w:color w:val="666666"/>
              </w:rPr>
              <w:t>12%</w:t>
            </w:r>
          </w:p>
        </w:tc>
        <w:tc>
          <w:tcPr>
            <w:tcW w:w="1320" w:type="dxa"/>
            <w:vAlign w:val="bottom"/>
          </w:tcPr>
          <w:p>
            <w:pPr>
              <w:jc w:val="right"/>
              <w:ind w:right="208"/>
              <w:spacing w:after="0"/>
              <w:rPr>
                <w:sz w:val="20"/>
                <w:szCs w:val="20"/>
                <w:color w:val="auto"/>
              </w:rPr>
            </w:pPr>
            <w:r>
              <w:rPr>
                <w:rFonts w:ascii="Arial" w:cs="Arial" w:eastAsia="Arial" w:hAnsi="Arial"/>
                <w:sz w:val="14"/>
                <w:szCs w:val="14"/>
                <w:color w:val="666666"/>
              </w:rPr>
              <w:t>20%</w:t>
            </w:r>
          </w:p>
        </w:tc>
        <w:tc>
          <w:tcPr>
            <w:tcW w:w="1420" w:type="dxa"/>
            <w:vAlign w:val="bottom"/>
          </w:tcPr>
          <w:p>
            <w:pPr>
              <w:jc w:val="right"/>
              <w:ind w:right="228"/>
              <w:spacing w:after="0"/>
              <w:rPr>
                <w:sz w:val="20"/>
                <w:szCs w:val="20"/>
                <w:color w:val="auto"/>
              </w:rPr>
            </w:pPr>
            <w:r>
              <w:rPr>
                <w:rFonts w:ascii="Arial" w:cs="Arial" w:eastAsia="Arial" w:hAnsi="Arial"/>
                <w:sz w:val="14"/>
                <w:szCs w:val="14"/>
                <w:color w:val="666666"/>
              </w:rPr>
              <w:t>21%</w:t>
            </w:r>
          </w:p>
        </w:tc>
        <w:tc>
          <w:tcPr>
            <w:tcW w:w="1260" w:type="dxa"/>
            <w:vAlign w:val="bottom"/>
          </w:tcPr>
          <w:p>
            <w:pPr>
              <w:jc w:val="right"/>
              <w:spacing w:after="0"/>
              <w:rPr>
                <w:sz w:val="20"/>
                <w:szCs w:val="20"/>
                <w:color w:val="auto"/>
              </w:rPr>
            </w:pPr>
            <w:r>
              <w:rPr>
                <w:rFonts w:ascii="Arial" w:cs="Arial" w:eastAsia="Arial" w:hAnsi="Arial"/>
                <w:sz w:val="14"/>
                <w:szCs w:val="14"/>
                <w:color w:val="666666"/>
              </w:rPr>
              <w:t>21%</w:t>
            </w:r>
          </w:p>
        </w:tc>
      </w:tr>
      <w:tr>
        <w:trPr>
          <w:trHeight w:val="26"/>
        </w:trPr>
        <w:tc>
          <w:tcPr>
            <w:tcW w:w="488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48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666666"/>
              </w:rPr>
              <w:t>Percentage Change Y/Y (non-GAAP) Constant Currency</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14%</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24%</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666666"/>
              </w:rPr>
              <w:t>24%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24%</w:t>
            </w:r>
          </w:p>
        </w:tc>
      </w:tr>
      <w:tr>
        <w:trPr>
          <w:trHeight w:val="20"/>
        </w:trPr>
        <w:tc>
          <w:tcPr>
            <w:tcW w:w="400" w:type="dxa"/>
            <w:vAlign w:val="bottom"/>
            <w:shd w:val="clear" w:color="auto" w:fill="000000"/>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1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666666"/>
        </w:rPr>
        <w:t>The current quarter effective tax rate was (5)% and 16% on a GAAP and non-GAAP basis, respectively. GAAP results include a net income tax benefit of $2.6 billion for the fourth quarter of fiscal year 2019 and a net income tax benefit of $104 million for the fourth quarter of fiscal year 2018. These net tax benefits are excluded from our non-GAAP results and explained in the Non-GAAP Definition section below.</w:t>
      </w:r>
    </w:p>
    <w:p>
      <w:pPr>
        <w:sectPr>
          <w:pgSz w:w="11900" w:h="16838" w:orient="portrait"/>
          <w:cols w:equalWidth="0" w:num="1">
            <w:col w:w="11040"/>
          </w:cols>
          <w:pgMar w:left="440" w:top="140"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Microsoft returned $7.7 billion to shareholders in the form of share repurchases and dividends in the fourth quarter of fiscal year 2019.</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666666"/>
        </w:rPr>
        <w:t>“Q4 commercial cloud revenue increased 39% year-over-year to $11.0 billion, driving our strongest commercial quarter ever,” said Amy Hood, executive vice president and chief financial officer of Microsoft.</w:t>
      </w:r>
    </w:p>
    <w:p>
      <w:pPr>
        <w:spacing w:after="0" w:line="19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666666"/>
        </w:rPr>
        <w:t>Revenue in Productivity and Business Processes was $11.0 billion and increased 14% (up 17% in constant currency), with the following business highlights:</w:t>
      </w:r>
    </w:p>
    <w:p>
      <w:pPr>
        <w:spacing w:after="0" w:line="224" w:lineRule="exact"/>
        <w:rPr>
          <w:sz w:val="20"/>
          <w:szCs w:val="20"/>
          <w:color w:val="auto"/>
        </w:rPr>
      </w:pPr>
    </w:p>
    <w:p>
      <w:pPr>
        <w:ind w:left="860" w:right="340" w:hanging="316"/>
        <w:spacing w:after="0" w:line="234" w:lineRule="auto"/>
        <w:tabs>
          <w:tab w:leader="none" w:pos="8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Office Commercial products and cloud services revenue increased 14% (up 16% in constant currency) driven by Office 365 Commercial revenue growth of 31% (up 34% in constant currency)</w:t>
      </w:r>
    </w:p>
    <w:p>
      <w:pPr>
        <w:spacing w:after="0" w:line="1" w:lineRule="exact"/>
        <w:rPr>
          <w:rFonts w:ascii="Arial" w:cs="Arial" w:eastAsia="Arial" w:hAnsi="Arial"/>
          <w:sz w:val="18"/>
          <w:szCs w:val="18"/>
          <w:color w:val="666666"/>
        </w:rPr>
      </w:pPr>
    </w:p>
    <w:p>
      <w:pPr>
        <w:ind w:left="860" w:right="220" w:hanging="316"/>
        <w:spacing w:after="0" w:line="234" w:lineRule="auto"/>
        <w:tabs>
          <w:tab w:leader="none" w:pos="8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Office Consumer products and cloud services revenue increased 6% (up 8% in constant currency) and Office 365 Consumer subscribers increased to 34.8 million</w:t>
      </w:r>
    </w:p>
    <w:p>
      <w:pPr>
        <w:spacing w:after="0" w:line="1" w:lineRule="exact"/>
        <w:rPr>
          <w:rFonts w:ascii="Arial" w:cs="Arial" w:eastAsia="Arial" w:hAnsi="Arial"/>
          <w:sz w:val="18"/>
          <w:szCs w:val="18"/>
          <w:color w:val="666666"/>
        </w:rPr>
      </w:pPr>
    </w:p>
    <w:p>
      <w:pPr>
        <w:ind w:left="860" w:right="480" w:hanging="316"/>
        <w:spacing w:after="0" w:line="234" w:lineRule="auto"/>
        <w:tabs>
          <w:tab w:leader="none" w:pos="8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LinkedIn revenue increased 25% (up 28% in constant currency) with record levels of engagement highlighted by LinkedIn sessions growth of 22%</w:t>
      </w:r>
    </w:p>
    <w:p>
      <w:pPr>
        <w:spacing w:after="0" w:line="1" w:lineRule="exact"/>
        <w:rPr>
          <w:rFonts w:ascii="Arial" w:cs="Arial" w:eastAsia="Arial" w:hAnsi="Arial"/>
          <w:sz w:val="18"/>
          <w:szCs w:val="18"/>
          <w:color w:val="666666"/>
        </w:rPr>
      </w:pPr>
    </w:p>
    <w:p>
      <w:pPr>
        <w:ind w:left="860" w:hanging="316"/>
        <w:spacing w:after="0" w:line="246" w:lineRule="auto"/>
        <w:tabs>
          <w:tab w:leader="none" w:pos="8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Dynamics products and cloud services revenue increased 12% (up 15% in constant currency) driven by Dynamics 365 revenue growth of 45% (up 48% in constant currency)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66666"/>
        </w:rPr>
        <w:t>Revenue in Intelligent Cloud was $11.4 billion and increased 19% (up 21% in constant currency), with the following business highlights:</w:t>
      </w:r>
    </w:p>
    <w:p>
      <w:pPr>
        <w:spacing w:after="0" w:line="239" w:lineRule="exact"/>
        <w:rPr>
          <w:sz w:val="20"/>
          <w:szCs w:val="20"/>
          <w:color w:val="auto"/>
        </w:rPr>
      </w:pPr>
    </w:p>
    <w:p>
      <w:pPr>
        <w:ind w:left="860" w:right="160" w:hanging="316"/>
        <w:spacing w:after="0" w:line="234" w:lineRule="auto"/>
        <w:tabs>
          <w:tab w:leader="none" w:pos="86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Server products and cloud services revenue increased 22% (up 24% in constant currency) driven by Azure revenue growth of 64% (up 68% in constant currency)</w:t>
      </w:r>
    </w:p>
    <w:p>
      <w:pPr>
        <w:spacing w:after="0" w:line="1" w:lineRule="exact"/>
        <w:rPr>
          <w:rFonts w:ascii="Arial" w:cs="Arial" w:eastAsia="Arial" w:hAnsi="Arial"/>
          <w:sz w:val="18"/>
          <w:szCs w:val="18"/>
          <w:color w:val="666666"/>
        </w:rPr>
      </w:pPr>
    </w:p>
    <w:p>
      <w:pPr>
        <w:ind w:left="860" w:hanging="316"/>
        <w:spacing w:after="0"/>
        <w:tabs>
          <w:tab w:leader="none" w:pos="86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Enterprise Services revenue increased 4% (up 6% in constant currency)</w:t>
      </w:r>
    </w:p>
    <w:p>
      <w:pPr>
        <w:spacing w:after="0" w:line="21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666666"/>
        </w:rPr>
        <w:t>Revenue in More Personal Computing was $11.3 billion and increased 4% (up 6% in constant currency), with the following business highlights:</w:t>
      </w:r>
    </w:p>
    <w:p>
      <w:pPr>
        <w:spacing w:after="0" w:line="220" w:lineRule="exact"/>
        <w:rPr>
          <w:sz w:val="20"/>
          <w:szCs w:val="20"/>
          <w:color w:val="auto"/>
        </w:rPr>
      </w:pPr>
    </w:p>
    <w:p>
      <w:pPr>
        <w:ind w:left="860" w:hanging="316"/>
        <w:spacing w:after="0"/>
        <w:tabs>
          <w:tab w:leader="none" w:pos="8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Windows OEM revenue increased 9% (up 9% in constant currency)</w:t>
      </w:r>
    </w:p>
    <w:p>
      <w:pPr>
        <w:ind w:left="860" w:hanging="316"/>
        <w:spacing w:after="0" w:line="234" w:lineRule="auto"/>
        <w:tabs>
          <w:tab w:leader="none" w:pos="8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Windows Commercial products and cloud services revenue increased 13% (up 16% in constant currency)</w:t>
      </w:r>
    </w:p>
    <w:p>
      <w:pPr>
        <w:ind w:left="860" w:hanging="316"/>
        <w:spacing w:after="0" w:line="234" w:lineRule="auto"/>
        <w:tabs>
          <w:tab w:leader="none" w:pos="8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Surface revenue increased 14% (up 17% in constant currency)</w:t>
      </w:r>
    </w:p>
    <w:p>
      <w:pPr>
        <w:ind w:left="860" w:hanging="316"/>
        <w:spacing w:after="0" w:line="234" w:lineRule="auto"/>
        <w:tabs>
          <w:tab w:leader="none" w:pos="8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Search advertising revenue excluding traffic acquisition costs increased 9% (up 10% in constant currency)</w:t>
      </w:r>
    </w:p>
    <w:p>
      <w:pPr>
        <w:ind w:left="860" w:right="140" w:hanging="316"/>
        <w:spacing w:after="0" w:line="246" w:lineRule="auto"/>
        <w:tabs>
          <w:tab w:leader="none" w:pos="8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Gaming revenue declined 10% (down 8% in constant currency) with Xbox software and services revenue down 3% (down 1% in constant currency)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Fiscal Year 2019 Results</w:t>
      </w:r>
    </w:p>
    <w:p>
      <w:pPr>
        <w:spacing w:after="0" w:line="23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666666"/>
        </w:rPr>
        <w:t>Microsoft Corp. today announced the following results for the fiscal year ended June 30, 2019, as compared to the corresponding period of last fiscal year:</w:t>
      </w:r>
    </w:p>
    <w:p>
      <w:pPr>
        <w:spacing w:after="0" w:line="220" w:lineRule="exact"/>
        <w:rPr>
          <w:sz w:val="20"/>
          <w:szCs w:val="20"/>
          <w:color w:val="auto"/>
        </w:rPr>
      </w:pPr>
    </w:p>
    <w:p>
      <w:pPr>
        <w:ind w:left="860" w:hanging="316"/>
        <w:spacing w:after="0"/>
        <w:tabs>
          <w:tab w:leader="none" w:pos="8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Revenue was $125.8 billion and increased 14%</w:t>
      </w:r>
    </w:p>
    <w:p>
      <w:pPr>
        <w:ind w:left="860" w:hanging="316"/>
        <w:spacing w:after="0"/>
        <w:tabs>
          <w:tab w:leader="none" w:pos="8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Operating income was $43.0 billion and increased 23%</w:t>
      </w:r>
    </w:p>
    <w:p>
      <w:pPr>
        <w:sectPr>
          <w:pgSz w:w="11900" w:h="16838" w:orient="portrait"/>
          <w:cols w:equalWidth="0" w:num="1">
            <w:col w:w="11000"/>
          </w:cols>
          <w:pgMar w:left="440" w:top="287" w:right="459" w:bottom="1440" w:gutter="0" w:footer="0" w:header="0"/>
        </w:sectPr>
      </w:pPr>
    </w:p>
    <w:bookmarkStart w:id="5" w:name="page6"/>
    <w:bookmarkEnd w:id="5"/>
    <w:p>
      <w:pPr>
        <w:ind w:left="860" w:hanging="316"/>
        <w:spacing w:after="0"/>
        <w:tabs>
          <w:tab w:leader="none" w:pos="8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income was $39.2 billion GAAP and $36.8 billion non-GAAP, and increased 137% and 22%, respectively</w:t>
      </w:r>
    </w:p>
    <w:p>
      <w:pPr>
        <w:ind w:left="860" w:hanging="316"/>
        <w:spacing w:after="0" w:line="234" w:lineRule="auto"/>
        <w:tabs>
          <w:tab w:leader="none" w:pos="8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Diluted earnings per share was $5.06 GAAP and $4.75 non-GAAP, and increased 138% and 22%, respectively</w:t>
      </w:r>
    </w:p>
    <w:p>
      <w:pPr>
        <w:ind w:left="860" w:hanging="316"/>
        <w:spacing w:after="0"/>
        <w:tabs>
          <w:tab w:leader="none" w:pos="8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GAAP results include a $2.6 billion net income tax benefit explained in the Non-GAAP Definition section below</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666666"/>
        </w:rPr>
        <w:t>The following table reconciles our financial results reported in accordance with GAAP to non-GAAP financial results. Additional information regarding our non-GAAP definition is provided below. All growth comparisons relate to the corresponding period in the last fiscal year.</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666666"/>
              </w:rPr>
              <w:t>Twelve Months Ended June 30,</w:t>
            </w:r>
          </w:p>
        </w:tc>
        <w:tc>
          <w:tcPr>
            <w:tcW w:w="1260" w:type="dxa"/>
            <w:vAlign w:val="bottom"/>
          </w:tcPr>
          <w:p>
            <w:pPr>
              <w:spacing w:after="0"/>
              <w:rPr>
                <w:sz w:val="16"/>
                <w:szCs w:val="16"/>
                <w:color w:val="auto"/>
              </w:rPr>
            </w:pPr>
          </w:p>
        </w:tc>
      </w:tr>
      <w:tr>
        <w:trPr>
          <w:trHeight w:val="80"/>
        </w:trPr>
        <w:tc>
          <w:tcPr>
            <w:tcW w:w="400" w:type="dxa"/>
            <w:vAlign w:val="bottom"/>
            <w:tcBorders>
              <w:bottom w:val="single" w:sz="8" w:color="auto"/>
            </w:tcBorders>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142"/>
        </w:trPr>
        <w:tc>
          <w:tcPr>
            <w:tcW w:w="4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60" w:type="dxa"/>
            <w:vAlign w:val="bottom"/>
          </w:tcPr>
          <w:p>
            <w:pPr>
              <w:jc w:val="center"/>
              <w:ind w:left="28"/>
              <w:spacing w:after="0" w:line="143"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666666"/>
              </w:rPr>
              <w:t>Operating</w:t>
            </w:r>
          </w:p>
        </w:tc>
        <w:tc>
          <w:tcPr>
            <w:tcW w:w="1420" w:type="dxa"/>
            <w:vAlign w:val="bottom"/>
          </w:tcPr>
          <w:p>
            <w:pPr>
              <w:spacing w:after="0"/>
              <w:rPr>
                <w:sz w:val="14"/>
                <w:szCs w:val="14"/>
                <w:color w:val="auto"/>
              </w:rPr>
            </w:pP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666666"/>
              </w:rPr>
              <w:t>Earnings per</w:t>
            </w:r>
          </w:p>
        </w:tc>
      </w:tr>
      <w:tr>
        <w:trPr>
          <w:trHeight w:val="190"/>
        </w:trPr>
        <w:tc>
          <w:tcPr>
            <w:tcW w:w="4880" w:type="dxa"/>
            <w:vAlign w:val="bottom"/>
            <w:gridSpan w:val="2"/>
          </w:tcPr>
          <w:p>
            <w:pPr>
              <w:ind w:left="100"/>
              <w:spacing w:after="0"/>
              <w:rPr>
                <w:sz w:val="20"/>
                <w:szCs w:val="20"/>
                <w:color w:val="auto"/>
              </w:rPr>
            </w:pPr>
            <w:r>
              <w:rPr>
                <w:rFonts w:ascii="Arial" w:cs="Arial" w:eastAsia="Arial" w:hAnsi="Arial"/>
                <w:sz w:val="14"/>
                <w:szCs w:val="14"/>
                <w:color w:val="666666"/>
              </w:rPr>
              <w:t>($ in millions, except per share amounts)</w:t>
            </w:r>
          </w:p>
        </w:tc>
        <w:tc>
          <w:tcPr>
            <w:tcW w:w="2140" w:type="dxa"/>
            <w:vAlign w:val="bottom"/>
          </w:tcPr>
          <w:p>
            <w:pPr>
              <w:jc w:val="right"/>
              <w:ind w:right="288"/>
              <w:spacing w:after="0"/>
              <w:rPr>
                <w:sz w:val="20"/>
                <w:szCs w:val="20"/>
                <w:color w:val="auto"/>
              </w:rPr>
            </w:pPr>
            <w:r>
              <w:rPr>
                <w:rFonts w:ascii="Arial" w:cs="Arial" w:eastAsia="Arial" w:hAnsi="Arial"/>
                <w:sz w:val="14"/>
                <w:szCs w:val="14"/>
                <w:b w:val="1"/>
                <w:bCs w:val="1"/>
                <w:color w:val="666666"/>
              </w:rPr>
              <w:t>Revenue</w:t>
            </w:r>
          </w:p>
        </w:tc>
        <w:tc>
          <w:tcPr>
            <w:tcW w:w="1320" w:type="dxa"/>
            <w:vAlign w:val="bottom"/>
          </w:tcPr>
          <w:p>
            <w:pPr>
              <w:jc w:val="right"/>
              <w:ind w:right="388"/>
              <w:spacing w:after="0"/>
              <w:rPr>
                <w:sz w:val="20"/>
                <w:szCs w:val="20"/>
                <w:color w:val="auto"/>
              </w:rPr>
            </w:pPr>
            <w:r>
              <w:rPr>
                <w:rFonts w:ascii="Arial" w:cs="Arial" w:eastAsia="Arial" w:hAnsi="Arial"/>
                <w:sz w:val="14"/>
                <w:szCs w:val="14"/>
                <w:b w:val="1"/>
                <w:bCs w:val="1"/>
                <w:color w:val="666666"/>
              </w:rPr>
              <w:t>Income</w:t>
            </w: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666666"/>
              </w:rPr>
              <w:t>Net Income</w:t>
            </w:r>
          </w:p>
        </w:tc>
        <w:tc>
          <w:tcPr>
            <w:tcW w:w="1260" w:type="dxa"/>
            <w:vAlign w:val="bottom"/>
          </w:tcPr>
          <w:p>
            <w:pPr>
              <w:jc w:val="center"/>
              <w:ind w:left="28"/>
              <w:spacing w:after="0"/>
              <w:rPr>
                <w:sz w:val="20"/>
                <w:szCs w:val="20"/>
                <w:color w:val="auto"/>
              </w:rPr>
            </w:pPr>
            <w:r>
              <w:rPr>
                <w:rFonts w:ascii="Arial" w:cs="Arial" w:eastAsia="Arial" w:hAnsi="Arial"/>
                <w:sz w:val="14"/>
                <w:szCs w:val="14"/>
                <w:b w:val="1"/>
                <w:bCs w:val="1"/>
                <w:color w:val="666666"/>
              </w:rPr>
              <w:t>Share</w:t>
            </w:r>
          </w:p>
        </w:tc>
      </w:tr>
      <w:tr>
        <w:trPr>
          <w:trHeight w:val="80"/>
        </w:trPr>
        <w:tc>
          <w:tcPr>
            <w:tcW w:w="400" w:type="dxa"/>
            <w:vAlign w:val="bottom"/>
            <w:tcBorders>
              <w:bottom w:val="single" w:sz="8" w:color="666666"/>
            </w:tcBorders>
          </w:tcPr>
          <w:p>
            <w:pPr>
              <w:spacing w:after="0"/>
              <w:rPr>
                <w:sz w:val="6"/>
                <w:szCs w:val="6"/>
                <w:color w:val="auto"/>
              </w:rPr>
            </w:pPr>
          </w:p>
        </w:tc>
        <w:tc>
          <w:tcPr>
            <w:tcW w:w="4480" w:type="dxa"/>
            <w:vAlign w:val="bottom"/>
            <w:tcBorders>
              <w:bottom w:val="single" w:sz="8" w:color="666666"/>
            </w:tcBorders>
          </w:tcPr>
          <w:p>
            <w:pPr>
              <w:spacing w:after="0"/>
              <w:rPr>
                <w:sz w:val="6"/>
                <w:szCs w:val="6"/>
                <w:color w:val="auto"/>
              </w:rPr>
            </w:pPr>
          </w:p>
        </w:tc>
        <w:tc>
          <w:tcPr>
            <w:tcW w:w="2140" w:type="dxa"/>
            <w:vAlign w:val="bottom"/>
            <w:tcBorders>
              <w:bottom w:val="single" w:sz="8" w:color="666666"/>
            </w:tcBorders>
          </w:tcPr>
          <w:p>
            <w:pPr>
              <w:spacing w:after="0"/>
              <w:rPr>
                <w:sz w:val="6"/>
                <w:szCs w:val="6"/>
                <w:color w:val="auto"/>
              </w:rPr>
            </w:pPr>
          </w:p>
        </w:tc>
        <w:tc>
          <w:tcPr>
            <w:tcW w:w="1320" w:type="dxa"/>
            <w:vAlign w:val="bottom"/>
            <w:tcBorders>
              <w:bottom w:val="single" w:sz="8" w:color="666666"/>
            </w:tcBorders>
          </w:tcPr>
          <w:p>
            <w:pPr>
              <w:spacing w:after="0"/>
              <w:rPr>
                <w:sz w:val="6"/>
                <w:szCs w:val="6"/>
                <w:color w:val="auto"/>
              </w:rPr>
            </w:pPr>
          </w:p>
        </w:tc>
        <w:tc>
          <w:tcPr>
            <w:tcW w:w="1420" w:type="dxa"/>
            <w:vAlign w:val="bottom"/>
            <w:tcBorders>
              <w:bottom w:val="single" w:sz="8" w:color="666666"/>
            </w:tcBorders>
          </w:tcPr>
          <w:p>
            <w:pPr>
              <w:spacing w:after="0"/>
              <w:rPr>
                <w:sz w:val="6"/>
                <w:szCs w:val="6"/>
                <w:color w:val="auto"/>
              </w:rPr>
            </w:pPr>
          </w:p>
        </w:tc>
        <w:tc>
          <w:tcPr>
            <w:tcW w:w="1260" w:type="dxa"/>
            <w:vAlign w:val="bottom"/>
            <w:tcBorders>
              <w:bottom w:val="single" w:sz="8" w:color="666666"/>
            </w:tcBorders>
          </w:tcPr>
          <w:p>
            <w:pPr>
              <w:spacing w:after="0"/>
              <w:rPr>
                <w:sz w:val="6"/>
                <w:szCs w:val="6"/>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2018</w:t>
            </w: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$110,360</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$35,058</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666666"/>
              </w:rPr>
              <w:t>$16,571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$2.13</w:t>
            </w:r>
          </w:p>
        </w:tc>
      </w:tr>
      <w:tr>
        <w:trPr>
          <w:trHeight w:val="211"/>
        </w:trPr>
        <w:tc>
          <w:tcPr>
            <w:tcW w:w="48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666666"/>
              </w:rPr>
              <w:t>Net Impact of the TCJA</w:t>
            </w:r>
          </w:p>
        </w:tc>
        <w:tc>
          <w:tcPr>
            <w:tcW w:w="21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666666"/>
              </w:rPr>
              <w:t>-</w:t>
            </w:r>
          </w:p>
        </w:tc>
        <w:tc>
          <w:tcPr>
            <w:tcW w:w="13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w:t>
            </w:r>
          </w:p>
        </w:tc>
        <w:tc>
          <w:tcPr>
            <w:tcW w:w="14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666666"/>
              </w:rPr>
              <w:t>13,696</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1.75</w:t>
            </w:r>
          </w:p>
        </w:tc>
      </w:tr>
      <w:tr>
        <w:trPr>
          <w:trHeight w:val="26"/>
        </w:trPr>
        <w:tc>
          <w:tcPr>
            <w:tcW w:w="4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2018</w:t>
            </w: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$110,360</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$35,058</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666666"/>
              </w:rPr>
              <w:t>$30,267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$3.88</w:t>
            </w:r>
          </w:p>
        </w:tc>
      </w:tr>
      <w:tr>
        <w:trPr>
          <w:trHeight w:val="211"/>
        </w:trPr>
        <w:tc>
          <w:tcPr>
            <w:tcW w:w="4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2019</w:t>
            </w: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Reported (GAAP)</w:t>
            </w:r>
          </w:p>
        </w:tc>
        <w:tc>
          <w:tcPr>
            <w:tcW w:w="21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$125,843</w:t>
            </w:r>
          </w:p>
        </w:tc>
        <w:tc>
          <w:tcPr>
            <w:tcW w:w="13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$42,959</w:t>
            </w:r>
          </w:p>
        </w:tc>
        <w:tc>
          <w:tcPr>
            <w:tcW w:w="14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666666"/>
              </w:rPr>
              <w:t>$39,240</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$5.06</w:t>
            </w:r>
          </w:p>
        </w:tc>
      </w:tr>
      <w:tr>
        <w:trPr>
          <w:trHeight w:val="26"/>
        </w:trPr>
        <w:tc>
          <w:tcPr>
            <w:tcW w:w="488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2"/>
        </w:trPr>
        <w:tc>
          <w:tcPr>
            <w:tcW w:w="4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666666"/>
              </w:rPr>
              <w:t>Net Tax Impact of Transfer of Intangible Properties</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666666"/>
              </w:rPr>
              <w:t>(2,567)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(0.33)</w:t>
            </w:r>
          </w:p>
        </w:tc>
      </w:tr>
      <w:tr>
        <w:trPr>
          <w:trHeight w:val="211"/>
        </w:trPr>
        <w:tc>
          <w:tcPr>
            <w:tcW w:w="48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666666"/>
              </w:rPr>
              <w:t>Net Impact of the TCJA</w:t>
            </w:r>
          </w:p>
        </w:tc>
        <w:tc>
          <w:tcPr>
            <w:tcW w:w="21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666666"/>
              </w:rPr>
              <w:t>-</w:t>
            </w:r>
          </w:p>
        </w:tc>
        <w:tc>
          <w:tcPr>
            <w:tcW w:w="13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w:t>
            </w:r>
          </w:p>
        </w:tc>
        <w:tc>
          <w:tcPr>
            <w:tcW w:w="14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666666"/>
              </w:rPr>
              <w:t>157</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0.02</w:t>
            </w:r>
          </w:p>
        </w:tc>
      </w:tr>
      <w:tr>
        <w:trPr>
          <w:trHeight w:val="26"/>
        </w:trPr>
        <w:tc>
          <w:tcPr>
            <w:tcW w:w="4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2019</w:t>
            </w: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$125,843</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$42,959</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666666"/>
              </w:rPr>
              <w:t>$36,830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$4.75</w:t>
            </w:r>
          </w:p>
        </w:tc>
      </w:tr>
      <w:tr>
        <w:trPr>
          <w:trHeight w:val="211"/>
        </w:trPr>
        <w:tc>
          <w:tcPr>
            <w:tcW w:w="48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666666"/>
              </w:rPr>
              <w:t>Percentage Change Y/Y (GAAP)</w:t>
            </w:r>
          </w:p>
        </w:tc>
        <w:tc>
          <w:tcPr>
            <w:tcW w:w="21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666666"/>
              </w:rPr>
              <w:t>14%</w:t>
            </w:r>
          </w:p>
        </w:tc>
        <w:tc>
          <w:tcPr>
            <w:tcW w:w="13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23%</w:t>
            </w:r>
          </w:p>
        </w:tc>
        <w:tc>
          <w:tcPr>
            <w:tcW w:w="14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666666"/>
              </w:rPr>
              <w:t>137%</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138%</w:t>
            </w:r>
          </w:p>
        </w:tc>
      </w:tr>
      <w:tr>
        <w:trPr>
          <w:trHeight w:val="26"/>
        </w:trPr>
        <w:tc>
          <w:tcPr>
            <w:tcW w:w="488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48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666666"/>
              </w:rPr>
              <w:t>Percentage Change Y/Y (non-GAAP)</w:t>
            </w:r>
          </w:p>
        </w:tc>
        <w:tc>
          <w:tcPr>
            <w:tcW w:w="21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14%</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23%</w:t>
            </w:r>
          </w:p>
        </w:tc>
        <w:tc>
          <w:tcPr>
            <w:tcW w:w="142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666666"/>
              </w:rPr>
              <w:t>22%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22%</w:t>
            </w:r>
          </w:p>
        </w:tc>
      </w:tr>
      <w:tr>
        <w:trPr>
          <w:trHeight w:val="218"/>
        </w:trPr>
        <w:tc>
          <w:tcPr>
            <w:tcW w:w="4880" w:type="dxa"/>
            <w:vAlign w:val="bottom"/>
            <w:gridSpan w:val="2"/>
          </w:tcPr>
          <w:p>
            <w:pPr>
              <w:ind w:left="60"/>
              <w:spacing w:after="0"/>
              <w:rPr>
                <w:sz w:val="20"/>
                <w:szCs w:val="20"/>
                <w:color w:val="auto"/>
              </w:rPr>
            </w:pPr>
            <w:r>
              <w:rPr>
                <w:rFonts w:ascii="Arial" w:cs="Arial" w:eastAsia="Arial" w:hAnsi="Arial"/>
                <w:sz w:val="14"/>
                <w:szCs w:val="14"/>
                <w:color w:val="666666"/>
              </w:rPr>
              <w:t>Percentage Change Y/Y (non-GAAP) Constant Currency</w:t>
            </w:r>
          </w:p>
        </w:tc>
        <w:tc>
          <w:tcPr>
            <w:tcW w:w="2140" w:type="dxa"/>
            <w:vAlign w:val="bottom"/>
          </w:tcPr>
          <w:p>
            <w:pPr>
              <w:jc w:val="right"/>
              <w:ind w:right="188"/>
              <w:spacing w:after="0"/>
              <w:rPr>
                <w:sz w:val="20"/>
                <w:szCs w:val="20"/>
                <w:color w:val="auto"/>
              </w:rPr>
            </w:pPr>
            <w:r>
              <w:rPr>
                <w:rFonts w:ascii="Arial" w:cs="Arial" w:eastAsia="Arial" w:hAnsi="Arial"/>
                <w:sz w:val="14"/>
                <w:szCs w:val="14"/>
                <w:color w:val="666666"/>
              </w:rPr>
              <w:t>15%</w:t>
            </w:r>
          </w:p>
        </w:tc>
        <w:tc>
          <w:tcPr>
            <w:tcW w:w="1320" w:type="dxa"/>
            <w:vAlign w:val="bottom"/>
          </w:tcPr>
          <w:p>
            <w:pPr>
              <w:jc w:val="right"/>
              <w:ind w:right="208"/>
              <w:spacing w:after="0"/>
              <w:rPr>
                <w:sz w:val="20"/>
                <w:szCs w:val="20"/>
                <w:color w:val="auto"/>
              </w:rPr>
            </w:pPr>
            <w:r>
              <w:rPr>
                <w:rFonts w:ascii="Arial" w:cs="Arial" w:eastAsia="Arial" w:hAnsi="Arial"/>
                <w:sz w:val="14"/>
                <w:szCs w:val="14"/>
                <w:color w:val="666666"/>
              </w:rPr>
              <w:t>24%</w:t>
            </w:r>
          </w:p>
        </w:tc>
        <w:tc>
          <w:tcPr>
            <w:tcW w:w="1420" w:type="dxa"/>
            <w:vAlign w:val="bottom"/>
          </w:tcPr>
          <w:p>
            <w:pPr>
              <w:jc w:val="right"/>
              <w:ind w:right="228"/>
              <w:spacing w:after="0"/>
              <w:rPr>
                <w:sz w:val="20"/>
                <w:szCs w:val="20"/>
                <w:color w:val="auto"/>
              </w:rPr>
            </w:pPr>
            <w:r>
              <w:rPr>
                <w:rFonts w:ascii="Arial" w:cs="Arial" w:eastAsia="Arial" w:hAnsi="Arial"/>
                <w:sz w:val="14"/>
                <w:szCs w:val="14"/>
                <w:color w:val="666666"/>
              </w:rPr>
              <w:t>22%</w:t>
            </w:r>
          </w:p>
        </w:tc>
        <w:tc>
          <w:tcPr>
            <w:tcW w:w="1260" w:type="dxa"/>
            <w:vAlign w:val="bottom"/>
          </w:tcPr>
          <w:p>
            <w:pPr>
              <w:jc w:val="right"/>
              <w:spacing w:after="0"/>
              <w:rPr>
                <w:sz w:val="20"/>
                <w:szCs w:val="20"/>
                <w:color w:val="auto"/>
              </w:rPr>
            </w:pPr>
            <w:r>
              <w:rPr>
                <w:rFonts w:ascii="Arial" w:cs="Arial" w:eastAsia="Arial" w:hAnsi="Arial"/>
                <w:sz w:val="14"/>
                <w:szCs w:val="14"/>
                <w:color w:val="666666"/>
              </w:rPr>
              <w:t>23%</w:t>
            </w:r>
          </w:p>
        </w:tc>
      </w:tr>
      <w:tr>
        <w:trPr>
          <w:trHeight w:val="26"/>
        </w:trPr>
        <w:tc>
          <w:tcPr>
            <w:tcW w:w="40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666666"/>
        </w:rPr>
        <w:t>The current year effective tax rate was 10% and 16% on a GAAP and non-GAAP basis, respectively. GAAP results include a net income tax benefit of $ 2.6 billion and a net income tax charge of $157 million for the twelve months ended June 30, 2019. GAAP results include a net income tax charge of $13.7 billion for the twelve months ended June 30, 2018. These net tax impacts are excluded from our non-GAAP results and explained in the Non-GAAP Definition section below</w:t>
      </w:r>
      <w:r>
        <w:rPr>
          <w:rFonts w:ascii="Arial" w:cs="Arial" w:eastAsia="Arial" w:hAnsi="Arial"/>
          <w:sz w:val="18"/>
          <w:szCs w:val="18"/>
          <w:b w:val="1"/>
          <w:bCs w:val="1"/>
          <w:color w:val="666666"/>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Business Outlook</w:t>
      </w:r>
    </w:p>
    <w:p>
      <w:pPr>
        <w:spacing w:after="0" w:line="2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666666"/>
        </w:rPr>
        <w:t>Microsoft will provide forward-looking guidance in connection with this quarterly earnings announcement on its earnings conference call and webcast.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Quarterly Highlights, Product Releases, and Enhancements</w:t>
      </w:r>
    </w:p>
    <w:p>
      <w:pPr>
        <w:spacing w:after="0" w:line="234" w:lineRule="exact"/>
        <w:rPr>
          <w:sz w:val="20"/>
          <w:szCs w:val="20"/>
          <w:color w:val="auto"/>
        </w:rPr>
      </w:pPr>
    </w:p>
    <w:p>
      <w:pPr>
        <w:ind w:right="320"/>
        <w:spacing w:after="0"/>
        <w:rPr>
          <w:sz w:val="20"/>
          <w:szCs w:val="20"/>
          <w:color w:val="auto"/>
        </w:rPr>
      </w:pPr>
      <w:r>
        <w:rPr>
          <w:rFonts w:ascii="Arial" w:cs="Arial" w:eastAsia="Arial" w:hAnsi="Arial"/>
          <w:sz w:val="18"/>
          <w:szCs w:val="18"/>
          <w:color w:val="666666"/>
        </w:rPr>
        <w:t>Every quarter Microsoft delivers hundreds of products, either as new releases, services, or enhancements to current products and services. These releases are a result of significant research and development investments, made over multiple years, designed to help customers be more productive and secure and to deliver differentiated value across the cloud and the edge.</w:t>
      </w:r>
    </w:p>
    <w:p>
      <w:pPr>
        <w:sectPr>
          <w:pgSz w:w="11900" w:h="16838" w:orient="portrait"/>
          <w:cols w:equalWidth="0" w:num="1">
            <w:col w:w="11040"/>
          </w:cols>
          <w:pgMar w:left="440" w:top="283" w:right="419" w:bottom="1440" w:gutter="0" w:footer="0" w:header="0"/>
        </w:sectPr>
      </w:pPr>
    </w:p>
    <w:bookmarkStart w:id="6" w:name="page7"/>
    <w:bookmarkEnd w:id="6"/>
    <w:p>
      <w:pPr>
        <w:ind w:right="320"/>
        <w:spacing w:after="0" w:line="246" w:lineRule="auto"/>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Here are the </w:t>
      </w:r>
      <w:r>
        <w:rPr>
          <w:rFonts w:ascii="Arial" w:cs="Arial" w:eastAsia="Arial" w:hAnsi="Arial"/>
          <w:sz w:val="18"/>
          <w:szCs w:val="18"/>
          <w:u w:val="single" w:color="auto"/>
          <w:color w:val="666666"/>
        </w:rPr>
        <w:t>major product releases and other highlights</w:t>
      </w:r>
      <w:r>
        <w:rPr>
          <w:rFonts w:ascii="Arial" w:cs="Arial" w:eastAsia="Arial" w:hAnsi="Arial"/>
          <w:sz w:val="18"/>
          <w:szCs w:val="18"/>
          <w:color w:val="666666"/>
        </w:rPr>
        <w:t xml:space="preserve"> for the quarter, organized by product categories, to help illustrate how we are accelerating innovation across our businesses while expanding our market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Webcast Details</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666666"/>
        </w:rPr>
        <w:t xml:space="preserve">Satya Nadella, chief executive officer, Amy Hood, executive vice president and chief financial officer, Frank Brod, chief accounting officer, Keith Dolliver, deputy general counsel, and Michael Spencer, general manager of investor relations, will host a conference call and webcast at 2:30 p.m. Pacific time (5:30 p.m. Eastern time) today to discuss details of the company’s performance for the quarter and certain forward-looking information. The session may be accessed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 The webcast will be available for replay through the close of business on July 18,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Non-GAAP Definition</w:t>
      </w:r>
    </w:p>
    <w:p>
      <w:pPr>
        <w:spacing w:after="0" w:line="21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i w:val="1"/>
          <w:iCs w:val="1"/>
          <w:color w:val="666666"/>
        </w:rPr>
        <w:t>Transfer of Intangible Properties</w:t>
      </w:r>
      <w:r>
        <w:rPr>
          <w:rFonts w:ascii="Arial" w:cs="Arial" w:eastAsia="Arial" w:hAnsi="Arial"/>
          <w:sz w:val="18"/>
          <w:szCs w:val="18"/>
          <w:color w:val="666666"/>
        </w:rPr>
        <w:t>. In the fourth quarter of fiscal year 2019, in response to the TCJA and recently issued regulations, we</w:t>
      </w:r>
      <w:r>
        <w:rPr>
          <w:rFonts w:ascii="Arial" w:cs="Arial" w:eastAsia="Arial" w:hAnsi="Arial"/>
          <w:sz w:val="18"/>
          <w:szCs w:val="18"/>
          <w:i w:val="1"/>
          <w:iCs w:val="1"/>
          <w:color w:val="666666"/>
        </w:rPr>
        <w:t xml:space="preserve"> </w:t>
      </w:r>
      <w:r>
        <w:rPr>
          <w:rFonts w:ascii="Arial" w:cs="Arial" w:eastAsia="Arial" w:hAnsi="Arial"/>
          <w:sz w:val="18"/>
          <w:szCs w:val="18"/>
          <w:color w:val="666666"/>
        </w:rPr>
        <w:t>transferred certain intangible properties held by our foreign subsidiaries to the United States and Ireland. The transfers of intangible properties resulted in a net $2.6 billion tax benefit recorded in the fourth quarter of fiscal year 2019, as the value of future tax deductions exceeded the current tax liability from foreign jurisdictions and United States Global Intangible Low-Taxed Income (GILTI) tax.</w:t>
      </w:r>
    </w:p>
    <w:p>
      <w:pPr>
        <w:spacing w:after="0" w:line="181" w:lineRule="exact"/>
        <w:rPr>
          <w:sz w:val="20"/>
          <w:szCs w:val="20"/>
          <w:color w:val="auto"/>
        </w:rPr>
      </w:pPr>
    </w:p>
    <w:p>
      <w:pPr>
        <w:ind w:right="300"/>
        <w:spacing w:after="0" w:line="251" w:lineRule="auto"/>
        <w:rPr>
          <w:sz w:val="20"/>
          <w:szCs w:val="20"/>
          <w:color w:val="auto"/>
        </w:rPr>
      </w:pPr>
      <w:r>
        <w:rPr>
          <w:rFonts w:ascii="Arial" w:cs="Arial" w:eastAsia="Arial" w:hAnsi="Arial"/>
          <w:sz w:val="18"/>
          <w:szCs w:val="18"/>
          <w:i w:val="1"/>
          <w:iCs w:val="1"/>
          <w:color w:val="666666"/>
        </w:rPr>
        <w:t>The TCJA Impact</w:t>
      </w:r>
      <w:r>
        <w:rPr>
          <w:rFonts w:ascii="Arial" w:cs="Arial" w:eastAsia="Arial" w:hAnsi="Arial"/>
          <w:sz w:val="18"/>
          <w:szCs w:val="18"/>
          <w:color w:val="666666"/>
        </w:rPr>
        <w:t>. We recorded a net charge of $157 million during the twelve months ended June 30, 2019 related to the TCJA. We</w:t>
      </w:r>
      <w:r>
        <w:rPr>
          <w:rFonts w:ascii="Arial" w:cs="Arial" w:eastAsia="Arial" w:hAnsi="Arial"/>
          <w:sz w:val="18"/>
          <w:szCs w:val="18"/>
          <w:i w:val="1"/>
          <w:iCs w:val="1"/>
          <w:color w:val="666666"/>
        </w:rPr>
        <w:t xml:space="preserve"> </w:t>
      </w:r>
      <w:r>
        <w:rPr>
          <w:rFonts w:ascii="Arial" w:cs="Arial" w:eastAsia="Arial" w:hAnsi="Arial"/>
          <w:sz w:val="18"/>
          <w:szCs w:val="18"/>
          <w:color w:val="666666"/>
        </w:rPr>
        <w:t>recorded a net benefit of $104 million during the three months ended June 30, 2018 and a net charge of $13.7 billion during the twelve months ended June 30, 2018 related to the TCJA.</w:t>
      </w:r>
    </w:p>
    <w:p>
      <w:pPr>
        <w:spacing w:after="0" w:line="19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666666"/>
        </w:rPr>
        <w:t>We have provided non-GAAP financial measures related to the transfer of intangible properties and the TCJA to aid investors in better understanding our performance. We believe these non-GAAP measures assist investors by providing additional insight into our operational performance and help clarify trends affecting our business. For comparability of reporting, management considers non-GAAP measures in conjunction with GAAP financial results in evaluating business performance. The non-GAAP financial measures presented in this release should not be considered as a substitute for, or superior to, the measures of financial performance prepared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Constant Currency</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666666"/>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sectPr>
          <w:pgSz w:w="11900" w:h="16838" w:orient="portrait"/>
          <w:cols w:equalWidth="0" w:num="1">
            <w:col w:w="10980"/>
          </w:cols>
          <w:pgMar w:left="440" w:top="287" w:right="479" w:bottom="1440" w:gutter="0" w:footer="0" w:header="0"/>
        </w:sectPr>
      </w:pPr>
    </w:p>
    <w:bookmarkStart w:id="7" w:name="page8"/>
    <w:bookmarkEnd w:id="7"/>
    <w:p>
      <w:pPr>
        <w:ind w:left="860"/>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Performance Constant Currency Reconciliation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20" w:type="dxa"/>
            <w:vAlign w:val="bottom"/>
            <w:gridSpan w:val="2"/>
          </w:tcPr>
          <w:p>
            <w:pPr>
              <w:jc w:val="center"/>
              <w:ind w:right="8"/>
              <w:spacing w:after="0"/>
              <w:rPr>
                <w:sz w:val="20"/>
                <w:szCs w:val="20"/>
                <w:color w:val="auto"/>
              </w:rPr>
            </w:pPr>
            <w:r>
              <w:rPr>
                <w:rFonts w:ascii="Arial" w:cs="Arial" w:eastAsia="Arial" w:hAnsi="Arial"/>
                <w:sz w:val="14"/>
                <w:szCs w:val="14"/>
                <w:b w:val="1"/>
                <w:bCs w:val="1"/>
                <w:color w:val="666666"/>
              </w:rPr>
              <w:t>Three Months Ended June 30,</w:t>
            </w:r>
          </w:p>
        </w:tc>
        <w:tc>
          <w:tcPr>
            <w:tcW w:w="1340" w:type="dxa"/>
            <w:vAlign w:val="bottom"/>
          </w:tcPr>
          <w:p>
            <w:pPr>
              <w:spacing w:after="0"/>
              <w:rPr>
                <w:sz w:val="16"/>
                <w:szCs w:val="16"/>
                <w:color w:val="auto"/>
              </w:rPr>
            </w:pPr>
          </w:p>
        </w:tc>
      </w:tr>
      <w:tr>
        <w:trPr>
          <w:trHeight w:val="80"/>
        </w:trPr>
        <w:tc>
          <w:tcPr>
            <w:tcW w:w="400" w:type="dxa"/>
            <w:vAlign w:val="bottom"/>
            <w:tcBorders>
              <w:bottom w:val="single" w:sz="8" w:color="auto"/>
            </w:tcBorders>
          </w:tcPr>
          <w:p>
            <w:pPr>
              <w:spacing w:after="0"/>
              <w:rPr>
                <w:sz w:val="6"/>
                <w:szCs w:val="6"/>
                <w:color w:val="auto"/>
              </w:rPr>
            </w:pPr>
          </w:p>
        </w:tc>
        <w:tc>
          <w:tcPr>
            <w:tcW w:w="52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142"/>
        </w:trPr>
        <w:tc>
          <w:tcPr>
            <w:tcW w:w="4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Pr>
          <w:p>
            <w:pPr>
              <w:jc w:val="center"/>
              <w:ind w:left="108"/>
              <w:spacing w:after="0" w:line="143"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60" w:type="dxa"/>
            <w:vAlign w:val="bottom"/>
            <w:gridSpan w:val="2"/>
          </w:tcPr>
          <w:p>
            <w:pPr>
              <w:jc w:val="center"/>
              <w:ind w:left="1228"/>
              <w:spacing w:after="0"/>
              <w:rPr>
                <w:sz w:val="20"/>
                <w:szCs w:val="20"/>
                <w:color w:val="auto"/>
              </w:rPr>
            </w:pPr>
            <w:r>
              <w:rPr>
                <w:rFonts w:ascii="Arial" w:cs="Arial" w:eastAsia="Arial" w:hAnsi="Arial"/>
                <w:sz w:val="14"/>
                <w:szCs w:val="14"/>
                <w:b w:val="1"/>
                <w:bCs w:val="1"/>
                <w:color w:val="666666"/>
              </w:rPr>
              <w:t>Operating</w:t>
            </w:r>
          </w:p>
        </w:tc>
        <w:tc>
          <w:tcPr>
            <w:tcW w:w="1360" w:type="dxa"/>
            <w:vAlign w:val="bottom"/>
          </w:tcPr>
          <w:p>
            <w:pPr>
              <w:spacing w:after="0"/>
              <w:rPr>
                <w:sz w:val="14"/>
                <w:szCs w:val="14"/>
                <w:color w:val="auto"/>
              </w:rPr>
            </w:pPr>
          </w:p>
        </w:tc>
        <w:tc>
          <w:tcPr>
            <w:tcW w:w="1340" w:type="dxa"/>
            <w:vAlign w:val="bottom"/>
          </w:tcPr>
          <w:p>
            <w:pPr>
              <w:jc w:val="center"/>
              <w:ind w:left="108"/>
              <w:spacing w:after="0"/>
              <w:rPr>
                <w:sz w:val="20"/>
                <w:szCs w:val="20"/>
                <w:color w:val="auto"/>
              </w:rPr>
            </w:pPr>
            <w:r>
              <w:rPr>
                <w:rFonts w:ascii="Arial" w:cs="Arial" w:eastAsia="Arial" w:hAnsi="Arial"/>
                <w:sz w:val="14"/>
                <w:szCs w:val="14"/>
                <w:b w:val="1"/>
                <w:bCs w:val="1"/>
                <w:color w:val="666666"/>
              </w:rPr>
              <w:t>Earnings per</w:t>
            </w:r>
          </w:p>
        </w:tc>
      </w:tr>
      <w:tr>
        <w:trPr>
          <w:trHeight w:val="190"/>
        </w:trPr>
        <w:tc>
          <w:tcPr>
            <w:tcW w:w="5660" w:type="dxa"/>
            <w:vAlign w:val="bottom"/>
            <w:gridSpan w:val="2"/>
          </w:tcPr>
          <w:p>
            <w:pPr>
              <w:ind w:left="100"/>
              <w:spacing w:after="0"/>
              <w:rPr>
                <w:sz w:val="20"/>
                <w:szCs w:val="20"/>
                <w:color w:val="auto"/>
              </w:rPr>
            </w:pPr>
            <w:r>
              <w:rPr>
                <w:rFonts w:ascii="Arial" w:cs="Arial" w:eastAsia="Arial" w:hAnsi="Arial"/>
                <w:sz w:val="14"/>
                <w:szCs w:val="14"/>
                <w:color w:val="666666"/>
              </w:rPr>
              <w:t>($ in millions, except per share amounts)</w:t>
            </w:r>
          </w:p>
        </w:tc>
        <w:tc>
          <w:tcPr>
            <w:tcW w:w="1700" w:type="dxa"/>
            <w:vAlign w:val="bottom"/>
          </w:tcPr>
          <w:p>
            <w:pPr>
              <w:ind w:left="400"/>
              <w:spacing w:after="0"/>
              <w:rPr>
                <w:sz w:val="20"/>
                <w:szCs w:val="20"/>
                <w:color w:val="auto"/>
              </w:rPr>
            </w:pPr>
            <w:r>
              <w:rPr>
                <w:rFonts w:ascii="Arial" w:cs="Arial" w:eastAsia="Arial" w:hAnsi="Arial"/>
                <w:sz w:val="14"/>
                <w:szCs w:val="14"/>
                <w:b w:val="1"/>
                <w:bCs w:val="1"/>
                <w:color w:val="666666"/>
              </w:rPr>
              <w:t>Revenue</w:t>
            </w:r>
          </w:p>
        </w:tc>
        <w:tc>
          <w:tcPr>
            <w:tcW w:w="960" w:type="dxa"/>
            <w:vAlign w:val="bottom"/>
          </w:tcPr>
          <w:p>
            <w:pPr>
              <w:jc w:val="center"/>
              <w:ind w:right="348"/>
              <w:spacing w:after="0"/>
              <w:rPr>
                <w:sz w:val="20"/>
                <w:szCs w:val="20"/>
                <w:color w:val="auto"/>
              </w:rPr>
            </w:pPr>
            <w:r>
              <w:rPr>
                <w:rFonts w:ascii="Arial" w:cs="Arial" w:eastAsia="Arial" w:hAnsi="Arial"/>
                <w:sz w:val="14"/>
                <w:szCs w:val="14"/>
                <w:b w:val="1"/>
                <w:bCs w:val="1"/>
                <w:color w:val="666666"/>
              </w:rPr>
              <w:t>Income</w:t>
            </w:r>
          </w:p>
        </w:tc>
        <w:tc>
          <w:tcPr>
            <w:tcW w:w="1360" w:type="dxa"/>
            <w:vAlign w:val="bottom"/>
          </w:tcPr>
          <w:p>
            <w:pPr>
              <w:jc w:val="right"/>
              <w:ind w:right="228"/>
              <w:spacing w:after="0"/>
              <w:rPr>
                <w:sz w:val="20"/>
                <w:szCs w:val="20"/>
                <w:color w:val="auto"/>
              </w:rPr>
            </w:pPr>
            <w:r>
              <w:rPr>
                <w:rFonts w:ascii="Arial" w:cs="Arial" w:eastAsia="Arial" w:hAnsi="Arial"/>
                <w:sz w:val="14"/>
                <w:szCs w:val="14"/>
                <w:b w:val="1"/>
                <w:bCs w:val="1"/>
                <w:color w:val="666666"/>
              </w:rPr>
              <w:t>Net Income</w:t>
            </w:r>
          </w:p>
        </w:tc>
        <w:tc>
          <w:tcPr>
            <w:tcW w:w="1340" w:type="dxa"/>
            <w:vAlign w:val="bottom"/>
          </w:tcPr>
          <w:p>
            <w:pPr>
              <w:jc w:val="center"/>
              <w:ind w:left="108"/>
              <w:spacing w:after="0"/>
              <w:rPr>
                <w:sz w:val="20"/>
                <w:szCs w:val="20"/>
                <w:color w:val="auto"/>
              </w:rPr>
            </w:pPr>
            <w:r>
              <w:rPr>
                <w:rFonts w:ascii="Arial" w:cs="Arial" w:eastAsia="Arial" w:hAnsi="Arial"/>
                <w:sz w:val="14"/>
                <w:szCs w:val="14"/>
                <w:b w:val="1"/>
                <w:bCs w:val="1"/>
                <w:color w:val="666666"/>
              </w:rPr>
              <w:t>Share</w:t>
            </w:r>
          </w:p>
        </w:tc>
      </w:tr>
      <w:tr>
        <w:trPr>
          <w:trHeight w:val="80"/>
        </w:trPr>
        <w:tc>
          <w:tcPr>
            <w:tcW w:w="400" w:type="dxa"/>
            <w:vAlign w:val="bottom"/>
            <w:tcBorders>
              <w:bottom w:val="single" w:sz="8" w:color="666666"/>
            </w:tcBorders>
          </w:tcPr>
          <w:p>
            <w:pPr>
              <w:spacing w:after="0"/>
              <w:rPr>
                <w:sz w:val="6"/>
                <w:szCs w:val="6"/>
                <w:color w:val="auto"/>
              </w:rPr>
            </w:pPr>
          </w:p>
        </w:tc>
        <w:tc>
          <w:tcPr>
            <w:tcW w:w="5260" w:type="dxa"/>
            <w:vAlign w:val="bottom"/>
            <w:tcBorders>
              <w:bottom w:val="single" w:sz="8" w:color="666666"/>
            </w:tcBorders>
          </w:tcPr>
          <w:p>
            <w:pPr>
              <w:spacing w:after="0"/>
              <w:rPr>
                <w:sz w:val="6"/>
                <w:szCs w:val="6"/>
                <w:color w:val="auto"/>
              </w:rPr>
            </w:pPr>
          </w:p>
        </w:tc>
        <w:tc>
          <w:tcPr>
            <w:tcW w:w="1700" w:type="dxa"/>
            <w:vAlign w:val="bottom"/>
            <w:tcBorders>
              <w:bottom w:val="single" w:sz="8" w:color="666666"/>
            </w:tcBorders>
          </w:tcPr>
          <w:p>
            <w:pPr>
              <w:spacing w:after="0"/>
              <w:rPr>
                <w:sz w:val="6"/>
                <w:szCs w:val="6"/>
                <w:color w:val="auto"/>
              </w:rPr>
            </w:pPr>
          </w:p>
        </w:tc>
        <w:tc>
          <w:tcPr>
            <w:tcW w:w="960" w:type="dxa"/>
            <w:vAlign w:val="bottom"/>
            <w:tcBorders>
              <w:bottom w:val="single" w:sz="8" w:color="666666"/>
            </w:tcBorders>
          </w:tcPr>
          <w:p>
            <w:pPr>
              <w:spacing w:after="0"/>
              <w:rPr>
                <w:sz w:val="6"/>
                <w:szCs w:val="6"/>
                <w:color w:val="auto"/>
              </w:rPr>
            </w:pPr>
          </w:p>
        </w:tc>
        <w:tc>
          <w:tcPr>
            <w:tcW w:w="1360" w:type="dxa"/>
            <w:vAlign w:val="bottom"/>
            <w:tcBorders>
              <w:bottom w:val="single" w:sz="8" w:color="666666"/>
            </w:tcBorders>
          </w:tcPr>
          <w:p>
            <w:pPr>
              <w:spacing w:after="0"/>
              <w:rPr>
                <w:sz w:val="6"/>
                <w:szCs w:val="6"/>
                <w:color w:val="auto"/>
              </w:rPr>
            </w:pPr>
          </w:p>
        </w:tc>
        <w:tc>
          <w:tcPr>
            <w:tcW w:w="1340" w:type="dxa"/>
            <w:vAlign w:val="bottom"/>
            <w:tcBorders>
              <w:bottom w:val="single" w:sz="8" w:color="666666"/>
            </w:tcBorders>
          </w:tcPr>
          <w:p>
            <w:pPr>
              <w:spacing w:after="0"/>
              <w:rPr>
                <w:sz w:val="6"/>
                <w:szCs w:val="6"/>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2018</w:t>
            </w: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700" w:type="dxa"/>
            <w:vAlign w:val="bottom"/>
            <w:tcBorders>
              <w:bottom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666666"/>
              </w:rPr>
              <w:t>$30,085</w:t>
            </w:r>
          </w:p>
        </w:tc>
        <w:tc>
          <w:tcPr>
            <w:tcW w:w="9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$10,379</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$8,873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$1.14</w:t>
            </w:r>
          </w:p>
        </w:tc>
      </w:tr>
      <w:tr>
        <w:trPr>
          <w:trHeight w:val="211"/>
        </w:trPr>
        <w:tc>
          <w:tcPr>
            <w:tcW w:w="4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2018</w:t>
            </w: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70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666666"/>
              </w:rPr>
              <w:t>$30,085</w:t>
            </w:r>
          </w:p>
        </w:tc>
        <w:tc>
          <w:tcPr>
            <w:tcW w:w="9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$10,379</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$8,769</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$1.13</w:t>
            </w:r>
          </w:p>
        </w:tc>
      </w:tr>
      <w:tr>
        <w:trPr>
          <w:trHeight w:val="26"/>
        </w:trPr>
        <w:tc>
          <w:tcPr>
            <w:tcW w:w="40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2019</w:t>
            </w: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w:t>
            </w:r>
          </w:p>
        </w:tc>
        <w:tc>
          <w:tcPr>
            <w:tcW w:w="1700" w:type="dxa"/>
            <w:vAlign w:val="bottom"/>
            <w:tcBorders>
              <w:bottom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666666"/>
              </w:rPr>
              <w:t>$33,717</w:t>
            </w:r>
          </w:p>
        </w:tc>
        <w:tc>
          <w:tcPr>
            <w:tcW w:w="9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$12,405</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$13,187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$1.71</w:t>
            </w:r>
          </w:p>
        </w:tc>
      </w:tr>
      <w:tr>
        <w:trPr>
          <w:trHeight w:val="211"/>
        </w:trPr>
        <w:tc>
          <w:tcPr>
            <w:tcW w:w="4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2019</w:t>
            </w: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70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b w:val="1"/>
                <w:bCs w:val="1"/>
                <w:color w:val="666666"/>
              </w:rPr>
              <w:t>$33,717</w:t>
            </w:r>
          </w:p>
        </w:tc>
        <w:tc>
          <w:tcPr>
            <w:tcW w:w="9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$12,405</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$10,620</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$1.37</w:t>
            </w:r>
          </w:p>
        </w:tc>
      </w:tr>
      <w:tr>
        <w:trPr>
          <w:trHeight w:val="26"/>
        </w:trPr>
        <w:tc>
          <w:tcPr>
            <w:tcW w:w="56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5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666666"/>
              </w:rPr>
              <w:t>Percentage Change Y/Y (GAAP)</w:t>
            </w:r>
          </w:p>
        </w:tc>
        <w:tc>
          <w:tcPr>
            <w:tcW w:w="1700" w:type="dxa"/>
            <w:vAlign w:val="bottom"/>
            <w:tcBorders>
              <w:bottom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color w:val="666666"/>
              </w:rPr>
              <w:t>12%</w:t>
            </w:r>
          </w:p>
        </w:tc>
        <w:tc>
          <w:tcPr>
            <w:tcW w:w="9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20%</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666666"/>
              </w:rPr>
              <w:t>49%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50%</w:t>
            </w:r>
          </w:p>
        </w:tc>
      </w:tr>
      <w:tr>
        <w:trPr>
          <w:trHeight w:val="211"/>
        </w:trPr>
        <w:tc>
          <w:tcPr>
            <w:tcW w:w="5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666666"/>
              </w:rPr>
              <w:t>Percentage Change Y/Y (non-GAAP)</w:t>
            </w:r>
          </w:p>
        </w:tc>
        <w:tc>
          <w:tcPr>
            <w:tcW w:w="170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666666"/>
              </w:rPr>
              <w:t>12%</w:t>
            </w:r>
          </w:p>
        </w:tc>
        <w:tc>
          <w:tcPr>
            <w:tcW w:w="9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666666"/>
              </w:rPr>
              <w:t>20%</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666666"/>
              </w:rPr>
              <w:t>21%</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21%</w:t>
            </w:r>
          </w:p>
        </w:tc>
      </w:tr>
      <w:tr>
        <w:trPr>
          <w:trHeight w:val="26"/>
        </w:trPr>
        <w:tc>
          <w:tcPr>
            <w:tcW w:w="56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5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666666"/>
              </w:rPr>
              <w:t>Constant Currency Impact</w:t>
            </w:r>
          </w:p>
        </w:tc>
        <w:tc>
          <w:tcPr>
            <w:tcW w:w="1700" w:type="dxa"/>
            <w:vAlign w:val="bottom"/>
            <w:tcBorders>
              <w:bottom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b w:val="1"/>
                <w:bCs w:val="1"/>
                <w:color w:val="666666"/>
              </w:rPr>
              <w:t>$(639)</w:t>
            </w:r>
          </w:p>
        </w:tc>
        <w:tc>
          <w:tcPr>
            <w:tcW w:w="9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$(444)</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$(250)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$(0.03)</w:t>
            </w:r>
          </w:p>
        </w:tc>
      </w:tr>
      <w:tr>
        <w:trPr>
          <w:trHeight w:val="211"/>
        </w:trPr>
        <w:tc>
          <w:tcPr>
            <w:tcW w:w="5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666666"/>
              </w:rPr>
              <w:t>Percentage Change Y/Y (non-GAAP) Constant Currency</w:t>
            </w:r>
          </w:p>
        </w:tc>
        <w:tc>
          <w:tcPr>
            <w:tcW w:w="170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666666"/>
              </w:rPr>
              <w:t>14%</w:t>
            </w:r>
          </w:p>
        </w:tc>
        <w:tc>
          <w:tcPr>
            <w:tcW w:w="9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666666"/>
              </w:rPr>
              <w:t>24%</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666666"/>
              </w:rPr>
              <w:t>24%</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24%</w:t>
            </w:r>
          </w:p>
        </w:tc>
      </w:tr>
      <w:tr>
        <w:trPr>
          <w:trHeight w:val="26"/>
        </w:trPr>
        <w:tc>
          <w:tcPr>
            <w:tcW w:w="40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14"/>
        </w:trPr>
        <w:tc>
          <w:tcPr>
            <w:tcW w:w="4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666666"/>
              </w:rPr>
              <w:t>Twelve Months Ended June 30,</w:t>
            </w:r>
          </w:p>
        </w:tc>
        <w:tc>
          <w:tcPr>
            <w:tcW w:w="1340" w:type="dxa"/>
            <w:vAlign w:val="bottom"/>
          </w:tcPr>
          <w:p>
            <w:pPr>
              <w:spacing w:after="0"/>
              <w:rPr>
                <w:sz w:val="24"/>
                <w:szCs w:val="24"/>
                <w:color w:val="auto"/>
              </w:rPr>
            </w:pPr>
          </w:p>
        </w:tc>
      </w:tr>
      <w:tr>
        <w:trPr>
          <w:trHeight w:val="80"/>
        </w:trPr>
        <w:tc>
          <w:tcPr>
            <w:tcW w:w="400" w:type="dxa"/>
            <w:vAlign w:val="bottom"/>
            <w:tcBorders>
              <w:bottom w:val="single" w:sz="8" w:color="auto"/>
            </w:tcBorders>
          </w:tcPr>
          <w:p>
            <w:pPr>
              <w:spacing w:after="0"/>
              <w:rPr>
                <w:sz w:val="6"/>
                <w:szCs w:val="6"/>
                <w:color w:val="auto"/>
              </w:rPr>
            </w:pPr>
          </w:p>
        </w:tc>
        <w:tc>
          <w:tcPr>
            <w:tcW w:w="52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142"/>
        </w:trPr>
        <w:tc>
          <w:tcPr>
            <w:tcW w:w="4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Pr>
          <w:p>
            <w:pPr>
              <w:jc w:val="center"/>
              <w:ind w:left="108"/>
              <w:spacing w:after="0" w:line="143"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60" w:type="dxa"/>
            <w:vAlign w:val="bottom"/>
            <w:gridSpan w:val="2"/>
          </w:tcPr>
          <w:p>
            <w:pPr>
              <w:jc w:val="center"/>
              <w:ind w:left="1188"/>
              <w:spacing w:after="0"/>
              <w:rPr>
                <w:sz w:val="20"/>
                <w:szCs w:val="20"/>
                <w:color w:val="auto"/>
              </w:rPr>
            </w:pPr>
            <w:r>
              <w:rPr>
                <w:rFonts w:ascii="Arial" w:cs="Arial" w:eastAsia="Arial" w:hAnsi="Arial"/>
                <w:sz w:val="14"/>
                <w:szCs w:val="14"/>
                <w:b w:val="1"/>
                <w:bCs w:val="1"/>
                <w:color w:val="666666"/>
              </w:rPr>
              <w:t>Operating</w:t>
            </w:r>
          </w:p>
        </w:tc>
        <w:tc>
          <w:tcPr>
            <w:tcW w:w="1360" w:type="dxa"/>
            <w:vAlign w:val="bottom"/>
          </w:tcPr>
          <w:p>
            <w:pPr>
              <w:spacing w:after="0"/>
              <w:rPr>
                <w:sz w:val="14"/>
                <w:szCs w:val="14"/>
                <w:color w:val="auto"/>
              </w:rPr>
            </w:pPr>
          </w:p>
        </w:tc>
        <w:tc>
          <w:tcPr>
            <w:tcW w:w="1340" w:type="dxa"/>
            <w:vAlign w:val="bottom"/>
          </w:tcPr>
          <w:p>
            <w:pPr>
              <w:jc w:val="center"/>
              <w:ind w:left="108"/>
              <w:spacing w:after="0"/>
              <w:rPr>
                <w:sz w:val="20"/>
                <w:szCs w:val="20"/>
                <w:color w:val="auto"/>
              </w:rPr>
            </w:pPr>
            <w:r>
              <w:rPr>
                <w:rFonts w:ascii="Arial" w:cs="Arial" w:eastAsia="Arial" w:hAnsi="Arial"/>
                <w:sz w:val="14"/>
                <w:szCs w:val="14"/>
                <w:b w:val="1"/>
                <w:bCs w:val="1"/>
                <w:color w:val="666666"/>
              </w:rPr>
              <w:t>Earnings per</w:t>
            </w:r>
          </w:p>
        </w:tc>
      </w:tr>
      <w:tr>
        <w:trPr>
          <w:trHeight w:val="190"/>
        </w:trPr>
        <w:tc>
          <w:tcPr>
            <w:tcW w:w="5660" w:type="dxa"/>
            <w:vAlign w:val="bottom"/>
            <w:gridSpan w:val="2"/>
          </w:tcPr>
          <w:p>
            <w:pPr>
              <w:ind w:left="100"/>
              <w:spacing w:after="0"/>
              <w:rPr>
                <w:sz w:val="20"/>
                <w:szCs w:val="20"/>
                <w:color w:val="auto"/>
              </w:rPr>
            </w:pPr>
            <w:r>
              <w:rPr>
                <w:rFonts w:ascii="Arial" w:cs="Arial" w:eastAsia="Arial" w:hAnsi="Arial"/>
                <w:sz w:val="14"/>
                <w:szCs w:val="14"/>
                <w:color w:val="666666"/>
              </w:rPr>
              <w:t>($ in millions, except per share amounts)</w:t>
            </w:r>
          </w:p>
        </w:tc>
        <w:tc>
          <w:tcPr>
            <w:tcW w:w="1700" w:type="dxa"/>
            <w:vAlign w:val="bottom"/>
          </w:tcPr>
          <w:p>
            <w:pPr>
              <w:ind w:left="400"/>
              <w:spacing w:after="0"/>
              <w:rPr>
                <w:sz w:val="20"/>
                <w:szCs w:val="20"/>
                <w:color w:val="auto"/>
              </w:rPr>
            </w:pPr>
            <w:r>
              <w:rPr>
                <w:rFonts w:ascii="Arial" w:cs="Arial" w:eastAsia="Arial" w:hAnsi="Arial"/>
                <w:sz w:val="14"/>
                <w:szCs w:val="14"/>
                <w:b w:val="1"/>
                <w:bCs w:val="1"/>
                <w:color w:val="666666"/>
              </w:rPr>
              <w:t>Revenue</w:t>
            </w:r>
          </w:p>
        </w:tc>
        <w:tc>
          <w:tcPr>
            <w:tcW w:w="960" w:type="dxa"/>
            <w:vAlign w:val="bottom"/>
          </w:tcPr>
          <w:p>
            <w:pPr>
              <w:jc w:val="center"/>
              <w:ind w:right="368"/>
              <w:spacing w:after="0"/>
              <w:rPr>
                <w:sz w:val="20"/>
                <w:szCs w:val="20"/>
                <w:color w:val="auto"/>
              </w:rPr>
            </w:pPr>
            <w:r>
              <w:rPr>
                <w:rFonts w:ascii="Arial" w:cs="Arial" w:eastAsia="Arial" w:hAnsi="Arial"/>
                <w:sz w:val="14"/>
                <w:szCs w:val="14"/>
                <w:b w:val="1"/>
                <w:bCs w:val="1"/>
                <w:color w:val="666666"/>
              </w:rPr>
              <w:t>Income</w:t>
            </w: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666666"/>
              </w:rPr>
              <w:t>Net Income</w:t>
            </w:r>
          </w:p>
        </w:tc>
        <w:tc>
          <w:tcPr>
            <w:tcW w:w="1340" w:type="dxa"/>
            <w:vAlign w:val="bottom"/>
          </w:tcPr>
          <w:p>
            <w:pPr>
              <w:jc w:val="center"/>
              <w:ind w:left="108"/>
              <w:spacing w:after="0"/>
              <w:rPr>
                <w:sz w:val="20"/>
                <w:szCs w:val="20"/>
                <w:color w:val="auto"/>
              </w:rPr>
            </w:pPr>
            <w:r>
              <w:rPr>
                <w:rFonts w:ascii="Arial" w:cs="Arial" w:eastAsia="Arial" w:hAnsi="Arial"/>
                <w:sz w:val="14"/>
                <w:szCs w:val="14"/>
                <w:b w:val="1"/>
                <w:bCs w:val="1"/>
                <w:color w:val="666666"/>
              </w:rPr>
              <w:t>Share</w:t>
            </w:r>
          </w:p>
        </w:tc>
      </w:tr>
      <w:tr>
        <w:trPr>
          <w:trHeight w:val="80"/>
        </w:trPr>
        <w:tc>
          <w:tcPr>
            <w:tcW w:w="400" w:type="dxa"/>
            <w:vAlign w:val="bottom"/>
            <w:tcBorders>
              <w:bottom w:val="single" w:sz="8" w:color="666666"/>
            </w:tcBorders>
          </w:tcPr>
          <w:p>
            <w:pPr>
              <w:spacing w:after="0"/>
              <w:rPr>
                <w:sz w:val="6"/>
                <w:szCs w:val="6"/>
                <w:color w:val="auto"/>
              </w:rPr>
            </w:pPr>
          </w:p>
        </w:tc>
        <w:tc>
          <w:tcPr>
            <w:tcW w:w="5260" w:type="dxa"/>
            <w:vAlign w:val="bottom"/>
            <w:tcBorders>
              <w:bottom w:val="single" w:sz="8" w:color="666666"/>
            </w:tcBorders>
          </w:tcPr>
          <w:p>
            <w:pPr>
              <w:spacing w:after="0"/>
              <w:rPr>
                <w:sz w:val="6"/>
                <w:szCs w:val="6"/>
                <w:color w:val="auto"/>
              </w:rPr>
            </w:pPr>
          </w:p>
        </w:tc>
        <w:tc>
          <w:tcPr>
            <w:tcW w:w="1700" w:type="dxa"/>
            <w:vAlign w:val="bottom"/>
            <w:tcBorders>
              <w:bottom w:val="single" w:sz="8" w:color="666666"/>
            </w:tcBorders>
          </w:tcPr>
          <w:p>
            <w:pPr>
              <w:spacing w:after="0"/>
              <w:rPr>
                <w:sz w:val="6"/>
                <w:szCs w:val="6"/>
                <w:color w:val="auto"/>
              </w:rPr>
            </w:pPr>
          </w:p>
        </w:tc>
        <w:tc>
          <w:tcPr>
            <w:tcW w:w="960" w:type="dxa"/>
            <w:vAlign w:val="bottom"/>
            <w:tcBorders>
              <w:bottom w:val="single" w:sz="8" w:color="666666"/>
            </w:tcBorders>
          </w:tcPr>
          <w:p>
            <w:pPr>
              <w:spacing w:after="0"/>
              <w:rPr>
                <w:sz w:val="6"/>
                <w:szCs w:val="6"/>
                <w:color w:val="auto"/>
              </w:rPr>
            </w:pPr>
          </w:p>
        </w:tc>
        <w:tc>
          <w:tcPr>
            <w:tcW w:w="1360" w:type="dxa"/>
            <w:vAlign w:val="bottom"/>
            <w:tcBorders>
              <w:bottom w:val="single" w:sz="8" w:color="666666"/>
            </w:tcBorders>
          </w:tcPr>
          <w:p>
            <w:pPr>
              <w:spacing w:after="0"/>
              <w:rPr>
                <w:sz w:val="6"/>
                <w:szCs w:val="6"/>
                <w:color w:val="auto"/>
              </w:rPr>
            </w:pPr>
          </w:p>
        </w:tc>
        <w:tc>
          <w:tcPr>
            <w:tcW w:w="1340" w:type="dxa"/>
            <w:vAlign w:val="bottom"/>
            <w:tcBorders>
              <w:bottom w:val="single" w:sz="8" w:color="666666"/>
            </w:tcBorders>
          </w:tcPr>
          <w:p>
            <w:pPr>
              <w:spacing w:after="0"/>
              <w:rPr>
                <w:sz w:val="6"/>
                <w:szCs w:val="6"/>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2018</w:t>
            </w: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 (GAAP)</w:t>
            </w:r>
          </w:p>
        </w:tc>
        <w:tc>
          <w:tcPr>
            <w:tcW w:w="170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666666"/>
              </w:rPr>
              <w:t>$110,360</w:t>
            </w:r>
          </w:p>
        </w:tc>
        <w:tc>
          <w:tcPr>
            <w:tcW w:w="9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$35,058</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$16,571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$2.13</w:t>
            </w:r>
          </w:p>
        </w:tc>
      </w:tr>
      <w:tr>
        <w:trPr>
          <w:trHeight w:val="211"/>
        </w:trPr>
        <w:tc>
          <w:tcPr>
            <w:tcW w:w="4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2018</w:t>
            </w: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70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666666"/>
              </w:rPr>
              <w:t>$110,360</w:t>
            </w:r>
          </w:p>
        </w:tc>
        <w:tc>
          <w:tcPr>
            <w:tcW w:w="9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$35,058</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$30,267</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$3.88</w:t>
            </w:r>
          </w:p>
        </w:tc>
      </w:tr>
      <w:tr>
        <w:trPr>
          <w:trHeight w:val="26"/>
        </w:trPr>
        <w:tc>
          <w:tcPr>
            <w:tcW w:w="40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2019</w:t>
            </w: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w:t>
            </w:r>
          </w:p>
        </w:tc>
        <w:tc>
          <w:tcPr>
            <w:tcW w:w="170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666666"/>
              </w:rPr>
              <w:t>$125,843</w:t>
            </w:r>
          </w:p>
        </w:tc>
        <w:tc>
          <w:tcPr>
            <w:tcW w:w="9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$42,959</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$39,240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$5.06</w:t>
            </w:r>
          </w:p>
        </w:tc>
      </w:tr>
      <w:tr>
        <w:trPr>
          <w:trHeight w:val="211"/>
        </w:trPr>
        <w:tc>
          <w:tcPr>
            <w:tcW w:w="4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2019</w:t>
            </w: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Adjusted (non-GAAP)</w:t>
            </w:r>
          </w:p>
        </w:tc>
        <w:tc>
          <w:tcPr>
            <w:tcW w:w="170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666666"/>
              </w:rPr>
              <w:t>$125,843</w:t>
            </w:r>
          </w:p>
        </w:tc>
        <w:tc>
          <w:tcPr>
            <w:tcW w:w="9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$42,959</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666666"/>
              </w:rPr>
              <w:t>$36,830</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$4.75</w:t>
            </w:r>
          </w:p>
        </w:tc>
      </w:tr>
      <w:tr>
        <w:trPr>
          <w:trHeight w:val="26"/>
        </w:trPr>
        <w:tc>
          <w:tcPr>
            <w:tcW w:w="56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5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666666"/>
              </w:rPr>
              <w:t>Percentage Change Y/Y (GAAP)</w:t>
            </w:r>
          </w:p>
        </w:tc>
        <w:tc>
          <w:tcPr>
            <w:tcW w:w="170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color w:val="666666"/>
              </w:rPr>
              <w:t>14%</w:t>
            </w:r>
          </w:p>
        </w:tc>
        <w:tc>
          <w:tcPr>
            <w:tcW w:w="9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23%</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666666"/>
              </w:rPr>
              <w:t>137%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138%</w:t>
            </w:r>
          </w:p>
        </w:tc>
      </w:tr>
      <w:tr>
        <w:trPr>
          <w:trHeight w:val="211"/>
        </w:trPr>
        <w:tc>
          <w:tcPr>
            <w:tcW w:w="5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666666"/>
              </w:rPr>
              <w:t>Percentage Change Y/Y (non-GAAP)</w:t>
            </w:r>
          </w:p>
        </w:tc>
        <w:tc>
          <w:tcPr>
            <w:tcW w:w="170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666666"/>
              </w:rPr>
              <w:t>14%</w:t>
            </w:r>
          </w:p>
        </w:tc>
        <w:tc>
          <w:tcPr>
            <w:tcW w:w="9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23%</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666666"/>
              </w:rPr>
              <w:t>22%</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22%</w:t>
            </w:r>
          </w:p>
        </w:tc>
      </w:tr>
      <w:tr>
        <w:trPr>
          <w:trHeight w:val="26"/>
        </w:trPr>
        <w:tc>
          <w:tcPr>
            <w:tcW w:w="56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5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666666"/>
              </w:rPr>
              <w:t>Constant Currency Impact</w:t>
            </w:r>
          </w:p>
        </w:tc>
        <w:tc>
          <w:tcPr>
            <w:tcW w:w="1700" w:type="dxa"/>
            <w:vAlign w:val="bottom"/>
            <w:tcBorders>
              <w:bottom w:val="single" w:sz="8" w:color="CCEEFF"/>
            </w:tcBorders>
            <w:shd w:val="clear" w:color="auto" w:fill="CCEEFF"/>
          </w:tcPr>
          <w:p>
            <w:pPr>
              <w:jc w:val="right"/>
              <w:ind w:right="548"/>
              <w:spacing w:after="0"/>
              <w:rPr>
                <w:sz w:val="20"/>
                <w:szCs w:val="20"/>
                <w:color w:val="auto"/>
              </w:rPr>
            </w:pPr>
            <w:r>
              <w:rPr>
                <w:rFonts w:ascii="Arial" w:cs="Arial" w:eastAsia="Arial" w:hAnsi="Arial"/>
                <w:sz w:val="14"/>
                <w:szCs w:val="14"/>
                <w:b w:val="1"/>
                <w:bCs w:val="1"/>
                <w:color w:val="666666"/>
              </w:rPr>
              <w:t>$(1,116)</w:t>
            </w:r>
          </w:p>
        </w:tc>
        <w:tc>
          <w:tcPr>
            <w:tcW w:w="9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$(505)</w:t>
            </w:r>
          </w:p>
        </w:tc>
        <w:tc>
          <w:tcPr>
            <w:tcW w:w="13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666666"/>
              </w:rPr>
              <w:t>$(147)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$(0.02)</w:t>
            </w:r>
          </w:p>
        </w:tc>
      </w:tr>
      <w:tr>
        <w:trPr>
          <w:trHeight w:val="211"/>
        </w:trPr>
        <w:tc>
          <w:tcPr>
            <w:tcW w:w="5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color w:val="666666"/>
              </w:rPr>
              <w:t>Percentage Change Y/Y (non-GAAP) Constant Currency</w:t>
            </w:r>
          </w:p>
        </w:tc>
        <w:tc>
          <w:tcPr>
            <w:tcW w:w="170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color w:val="666666"/>
              </w:rPr>
              <w:t>15%</w:t>
            </w:r>
          </w:p>
        </w:tc>
        <w:tc>
          <w:tcPr>
            <w:tcW w:w="9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666666"/>
              </w:rPr>
              <w:t>24%</w:t>
            </w:r>
          </w:p>
        </w:tc>
        <w:tc>
          <w:tcPr>
            <w:tcW w:w="13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666666"/>
              </w:rPr>
              <w:t>22%</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666666"/>
              </w:rPr>
              <w:t>23%</w:t>
            </w:r>
          </w:p>
        </w:tc>
      </w:tr>
      <w:tr>
        <w:trPr>
          <w:trHeight w:val="26"/>
        </w:trPr>
        <w:tc>
          <w:tcPr>
            <w:tcW w:w="40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426"/>
        </w:trPr>
        <w:tc>
          <w:tcPr>
            <w:tcW w:w="400" w:type="dxa"/>
            <w:vAlign w:val="bottom"/>
          </w:tcPr>
          <w:p>
            <w:pPr>
              <w:spacing w:after="0"/>
              <w:rPr>
                <w:sz w:val="24"/>
                <w:szCs w:val="24"/>
                <w:color w:val="auto"/>
              </w:rPr>
            </w:pPr>
          </w:p>
        </w:tc>
        <w:tc>
          <w:tcPr>
            <w:tcW w:w="5260" w:type="dxa"/>
            <w:vAlign w:val="bottom"/>
          </w:tcPr>
          <w:p>
            <w:pPr>
              <w:ind w:left="460"/>
              <w:spacing w:after="0"/>
              <w:rPr>
                <w:sz w:val="20"/>
                <w:szCs w:val="20"/>
                <w:color w:val="auto"/>
              </w:rPr>
            </w:pPr>
            <w:r>
              <w:rPr>
                <w:rFonts w:ascii="Arial" w:cs="Arial" w:eastAsia="Arial" w:hAnsi="Arial"/>
                <w:sz w:val="18"/>
                <w:szCs w:val="18"/>
                <w:b w:val="1"/>
                <w:bCs w:val="1"/>
                <w:color w:val="666666"/>
              </w:rPr>
              <w:t>Segment Revenue Constant Currency Reconciliation</w:t>
            </w: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7"/>
        </w:trPr>
        <w:tc>
          <w:tcPr>
            <w:tcW w:w="4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666666"/>
              </w:rPr>
              <w:t>Three Months Ended June 30,</w:t>
            </w:r>
          </w:p>
        </w:tc>
        <w:tc>
          <w:tcPr>
            <w:tcW w:w="1340" w:type="dxa"/>
            <w:vAlign w:val="bottom"/>
          </w:tcPr>
          <w:p>
            <w:pPr>
              <w:spacing w:after="0"/>
              <w:rPr>
                <w:sz w:val="24"/>
                <w:szCs w:val="24"/>
                <w:color w:val="auto"/>
              </w:rPr>
            </w:pPr>
          </w:p>
        </w:tc>
      </w:tr>
      <w:tr>
        <w:trPr>
          <w:trHeight w:val="80"/>
        </w:trPr>
        <w:tc>
          <w:tcPr>
            <w:tcW w:w="400" w:type="dxa"/>
            <w:vAlign w:val="bottom"/>
            <w:tcBorders>
              <w:bottom w:val="single" w:sz="8" w:color="auto"/>
            </w:tcBorders>
          </w:tcPr>
          <w:p>
            <w:pPr>
              <w:spacing w:after="0"/>
              <w:rPr>
                <w:sz w:val="6"/>
                <w:szCs w:val="6"/>
                <w:color w:val="auto"/>
              </w:rPr>
            </w:pPr>
          </w:p>
        </w:tc>
        <w:tc>
          <w:tcPr>
            <w:tcW w:w="52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r>
      <w:tr>
        <w:trPr>
          <w:trHeight w:val="142"/>
        </w:trPr>
        <w:tc>
          <w:tcPr>
            <w:tcW w:w="4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700" w:type="dxa"/>
            <w:vAlign w:val="bottom"/>
          </w:tcPr>
          <w:p>
            <w:pPr>
              <w:ind w:left="420"/>
              <w:spacing w:after="0" w:line="143" w:lineRule="exact"/>
              <w:rPr>
                <w:sz w:val="20"/>
                <w:szCs w:val="20"/>
                <w:color w:val="auto"/>
              </w:rPr>
            </w:pPr>
            <w:r>
              <w:rPr>
                <w:rFonts w:ascii="Arial" w:cs="Arial" w:eastAsia="Arial" w:hAnsi="Arial"/>
                <w:sz w:val="14"/>
                <w:szCs w:val="14"/>
                <w:b w:val="1"/>
                <w:bCs w:val="1"/>
                <w:color w:val="666666"/>
              </w:rPr>
              <w:t>Productivity and</w:t>
            </w:r>
          </w:p>
        </w:tc>
        <w:tc>
          <w:tcPr>
            <w:tcW w:w="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tcPr>
          <w:p>
            <w:pPr>
              <w:jc w:val="right"/>
              <w:ind w:right="108"/>
              <w:spacing w:after="0" w:line="143" w:lineRule="exact"/>
              <w:rPr>
                <w:sz w:val="20"/>
                <w:szCs w:val="20"/>
                <w:color w:val="auto"/>
              </w:rPr>
            </w:pPr>
            <w:r>
              <w:rPr>
                <w:rFonts w:ascii="Arial" w:cs="Arial" w:eastAsia="Arial" w:hAnsi="Arial"/>
                <w:sz w:val="14"/>
                <w:szCs w:val="14"/>
                <w:b w:val="1"/>
                <w:bCs w:val="1"/>
                <w:color w:val="666666"/>
              </w:rPr>
              <w:t>More Personal</w:t>
            </w:r>
          </w:p>
        </w:tc>
      </w:tr>
      <w:tr>
        <w:trPr>
          <w:trHeight w:val="190"/>
        </w:trPr>
        <w:tc>
          <w:tcPr>
            <w:tcW w:w="5660" w:type="dxa"/>
            <w:vAlign w:val="bottom"/>
            <w:gridSpan w:val="2"/>
          </w:tcPr>
          <w:p>
            <w:pPr>
              <w:ind w:left="100"/>
              <w:spacing w:after="0"/>
              <w:rPr>
                <w:sz w:val="20"/>
                <w:szCs w:val="20"/>
                <w:color w:val="auto"/>
              </w:rPr>
            </w:pPr>
            <w:r>
              <w:rPr>
                <w:rFonts w:ascii="Arial" w:cs="Arial" w:eastAsia="Arial" w:hAnsi="Arial"/>
                <w:sz w:val="14"/>
                <w:szCs w:val="14"/>
                <w:color w:val="666666"/>
              </w:rPr>
              <w:t>($ in millions)</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666666"/>
              </w:rPr>
              <w:t>Business Processes</w:t>
            </w:r>
          </w:p>
        </w:tc>
        <w:tc>
          <w:tcPr>
            <w:tcW w:w="232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666666"/>
              </w:rPr>
              <w:t>Intelligent Cloud</w:t>
            </w:r>
          </w:p>
        </w:tc>
        <w:tc>
          <w:tcPr>
            <w:tcW w:w="1340" w:type="dxa"/>
            <w:vAlign w:val="bottom"/>
          </w:tcPr>
          <w:p>
            <w:pPr>
              <w:jc w:val="right"/>
              <w:ind w:right="228"/>
              <w:spacing w:after="0"/>
              <w:rPr>
                <w:sz w:val="20"/>
                <w:szCs w:val="20"/>
                <w:color w:val="auto"/>
              </w:rPr>
            </w:pPr>
            <w:r>
              <w:rPr>
                <w:rFonts w:ascii="Arial" w:cs="Arial" w:eastAsia="Arial" w:hAnsi="Arial"/>
                <w:sz w:val="14"/>
                <w:szCs w:val="14"/>
                <w:b w:val="1"/>
                <w:bCs w:val="1"/>
                <w:color w:val="666666"/>
              </w:rPr>
              <w:t>Computing</w:t>
            </w:r>
          </w:p>
        </w:tc>
      </w:tr>
      <w:tr>
        <w:trPr>
          <w:trHeight w:val="80"/>
        </w:trPr>
        <w:tc>
          <w:tcPr>
            <w:tcW w:w="400" w:type="dxa"/>
            <w:vAlign w:val="bottom"/>
            <w:tcBorders>
              <w:bottom w:val="single" w:sz="8" w:color="666666"/>
            </w:tcBorders>
          </w:tcPr>
          <w:p>
            <w:pPr>
              <w:spacing w:after="0"/>
              <w:rPr>
                <w:sz w:val="6"/>
                <w:szCs w:val="6"/>
                <w:color w:val="auto"/>
              </w:rPr>
            </w:pPr>
          </w:p>
        </w:tc>
        <w:tc>
          <w:tcPr>
            <w:tcW w:w="5260" w:type="dxa"/>
            <w:vAlign w:val="bottom"/>
            <w:tcBorders>
              <w:bottom w:val="single" w:sz="8" w:color="666666"/>
            </w:tcBorders>
          </w:tcPr>
          <w:p>
            <w:pPr>
              <w:spacing w:after="0"/>
              <w:rPr>
                <w:sz w:val="6"/>
                <w:szCs w:val="6"/>
                <w:color w:val="auto"/>
              </w:rPr>
            </w:pPr>
          </w:p>
        </w:tc>
        <w:tc>
          <w:tcPr>
            <w:tcW w:w="1700" w:type="dxa"/>
            <w:vAlign w:val="bottom"/>
            <w:tcBorders>
              <w:bottom w:val="single" w:sz="8" w:color="666666"/>
            </w:tcBorders>
          </w:tcPr>
          <w:p>
            <w:pPr>
              <w:spacing w:after="0"/>
              <w:rPr>
                <w:sz w:val="6"/>
                <w:szCs w:val="6"/>
                <w:color w:val="auto"/>
              </w:rPr>
            </w:pPr>
          </w:p>
        </w:tc>
        <w:tc>
          <w:tcPr>
            <w:tcW w:w="960" w:type="dxa"/>
            <w:vAlign w:val="bottom"/>
            <w:tcBorders>
              <w:bottom w:val="single" w:sz="8" w:color="666666"/>
            </w:tcBorders>
          </w:tcPr>
          <w:p>
            <w:pPr>
              <w:spacing w:after="0"/>
              <w:rPr>
                <w:sz w:val="6"/>
                <w:szCs w:val="6"/>
                <w:color w:val="auto"/>
              </w:rPr>
            </w:pPr>
          </w:p>
        </w:tc>
        <w:tc>
          <w:tcPr>
            <w:tcW w:w="1360" w:type="dxa"/>
            <w:vAlign w:val="bottom"/>
            <w:tcBorders>
              <w:bottom w:val="single" w:sz="8" w:color="666666"/>
            </w:tcBorders>
          </w:tcPr>
          <w:p>
            <w:pPr>
              <w:spacing w:after="0"/>
              <w:rPr>
                <w:sz w:val="6"/>
                <w:szCs w:val="6"/>
                <w:color w:val="auto"/>
              </w:rPr>
            </w:pPr>
          </w:p>
        </w:tc>
        <w:tc>
          <w:tcPr>
            <w:tcW w:w="1340" w:type="dxa"/>
            <w:vAlign w:val="bottom"/>
            <w:tcBorders>
              <w:bottom w:val="single" w:sz="8" w:color="666666"/>
            </w:tcBorders>
          </w:tcPr>
          <w:p>
            <w:pPr>
              <w:spacing w:after="0"/>
              <w:rPr>
                <w:sz w:val="6"/>
                <w:szCs w:val="6"/>
                <w:color w:val="auto"/>
              </w:rPr>
            </w:pPr>
          </w:p>
        </w:tc>
      </w:tr>
      <w:tr>
        <w:trPr>
          <w:trHeight w:val="242"/>
        </w:trPr>
        <w:tc>
          <w:tcPr>
            <w:tcW w:w="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2018</w:t>
            </w: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666666"/>
              </w:rPr>
              <w:t>As Reported</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$9,668</w:t>
            </w:r>
          </w:p>
        </w:tc>
        <w:tc>
          <w:tcPr>
            <w:tcW w:w="9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666666"/>
              </w:rPr>
              <w:t>$9,606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$10,811</w:t>
            </w:r>
          </w:p>
        </w:tc>
      </w:tr>
      <w:tr>
        <w:trPr>
          <w:trHeight w:val="211"/>
        </w:trPr>
        <w:tc>
          <w:tcPr>
            <w:tcW w:w="4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2019</w:t>
            </w:r>
          </w:p>
        </w:tc>
        <w:tc>
          <w:tcPr>
            <w:tcW w:w="5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666666"/>
              </w:rPr>
              <w:t>As Reported</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$11,047</w:t>
            </w:r>
          </w:p>
        </w:tc>
        <w:tc>
          <w:tcPr>
            <w:tcW w:w="9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666666"/>
              </w:rPr>
              <w:t>$11,391</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$11,279</w:t>
            </w:r>
          </w:p>
        </w:tc>
      </w:tr>
      <w:tr>
        <w:trPr>
          <w:trHeight w:val="26"/>
        </w:trPr>
        <w:tc>
          <w:tcPr>
            <w:tcW w:w="56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5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666666"/>
              </w:rPr>
              <w:t>Percentage Change Y/Y</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14%</w:t>
            </w:r>
          </w:p>
        </w:tc>
        <w:tc>
          <w:tcPr>
            <w:tcW w:w="9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666666"/>
              </w:rPr>
              <w:t>19%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4%</w:t>
            </w:r>
          </w:p>
        </w:tc>
      </w:tr>
      <w:tr>
        <w:trPr>
          <w:trHeight w:val="211"/>
        </w:trPr>
        <w:tc>
          <w:tcPr>
            <w:tcW w:w="56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666666"/>
              </w:rPr>
              <w:t>Constant Currency Impact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$(249)</w:t>
            </w:r>
          </w:p>
        </w:tc>
        <w:tc>
          <w:tcPr>
            <w:tcW w:w="9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08"/>
              <w:spacing w:after="0"/>
              <w:rPr>
                <w:sz w:val="20"/>
                <w:szCs w:val="20"/>
                <w:color w:val="auto"/>
              </w:rPr>
            </w:pPr>
            <w:r>
              <w:rPr>
                <w:rFonts w:ascii="Arial" w:cs="Arial" w:eastAsia="Arial" w:hAnsi="Arial"/>
                <w:sz w:val="14"/>
                <w:szCs w:val="14"/>
                <w:b w:val="1"/>
                <w:bCs w:val="1"/>
                <w:color w:val="666666"/>
              </w:rPr>
              <w:t>$(229)</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$(161)</w:t>
            </w:r>
          </w:p>
        </w:tc>
      </w:tr>
      <w:tr>
        <w:trPr>
          <w:trHeight w:val="26"/>
        </w:trPr>
        <w:tc>
          <w:tcPr>
            <w:tcW w:w="566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56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666666"/>
              </w:rPr>
              <w:t>Percentage Change Y/Y Constant Currency</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17%</w:t>
            </w:r>
          </w:p>
        </w:tc>
        <w:tc>
          <w:tcPr>
            <w:tcW w:w="9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666666"/>
              </w:rPr>
              <w:t>21%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6%</w:t>
            </w:r>
          </w:p>
        </w:tc>
      </w:tr>
      <w:tr>
        <w:trPr>
          <w:trHeight w:val="20"/>
        </w:trPr>
        <w:tc>
          <w:tcPr>
            <w:tcW w:w="400" w:type="dxa"/>
            <w:vAlign w:val="bottom"/>
            <w:shd w:val="clear" w:color="auto" w:fill="000000"/>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60" w:top="265" w:right="419" w:bottom="1440" w:gutter="0" w:footer="0" w:header="0"/>
        </w:sectPr>
      </w:pPr>
    </w:p>
    <w:bookmarkStart w:id="8" w:name="page9"/>
    <w:bookmarkEnd w:id="8"/>
    <w:p>
      <w:pPr>
        <w:ind w:left="880"/>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Product and Service Revenue Constant Currency Reconciliation</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780" w:type="dxa"/>
            <w:vAlign w:val="bottom"/>
          </w:tcPr>
          <w:p>
            <w:pPr>
              <w:jc w:val="right"/>
              <w:ind w:right="128"/>
              <w:spacing w:after="0"/>
              <w:rPr>
                <w:sz w:val="20"/>
                <w:szCs w:val="20"/>
                <w:color w:val="auto"/>
              </w:rPr>
            </w:pPr>
            <w:r>
              <w:rPr>
                <w:rFonts w:ascii="Arial" w:cs="Arial" w:eastAsia="Arial" w:hAnsi="Arial"/>
                <w:sz w:val="14"/>
                <w:szCs w:val="14"/>
                <w:b w:val="1"/>
                <w:bCs w:val="1"/>
                <w:color w:val="666666"/>
              </w:rPr>
              <w:t>Three Months Ended June 30, 2019</w:t>
            </w:r>
          </w:p>
        </w:tc>
        <w:tc>
          <w:tcPr>
            <w:tcW w:w="1580" w:type="dxa"/>
            <w:vAlign w:val="bottom"/>
          </w:tcPr>
          <w:p>
            <w:pPr>
              <w:spacing w:after="0"/>
              <w:rPr>
                <w:sz w:val="16"/>
                <w:szCs w:val="16"/>
                <w:color w:val="auto"/>
              </w:rPr>
            </w:pPr>
          </w:p>
        </w:tc>
      </w:tr>
      <w:tr>
        <w:trPr>
          <w:trHeight w:val="80"/>
        </w:trPr>
        <w:tc>
          <w:tcPr>
            <w:tcW w:w="44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142"/>
        </w:trPr>
        <w:tc>
          <w:tcPr>
            <w:tcW w:w="44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80" w:type="dxa"/>
            <w:vAlign w:val="bottom"/>
          </w:tcPr>
          <w:p>
            <w:pPr>
              <w:jc w:val="center"/>
              <w:ind w:left="48"/>
              <w:spacing w:after="0" w:line="143" w:lineRule="exact"/>
              <w:rPr>
                <w:sz w:val="20"/>
                <w:szCs w:val="20"/>
                <w:color w:val="auto"/>
              </w:rPr>
            </w:pPr>
            <w:r>
              <w:rPr>
                <w:rFonts w:ascii="Arial" w:cs="Arial" w:eastAsia="Arial" w:hAnsi="Arial"/>
                <w:sz w:val="14"/>
                <w:szCs w:val="14"/>
                <w:b w:val="1"/>
                <w:bCs w:val="1"/>
                <w:color w:val="666666"/>
              </w:rPr>
              <w:t>Percentage Change</w:t>
            </w:r>
          </w:p>
        </w:tc>
      </w:tr>
      <w:tr>
        <w:trPr>
          <w:trHeight w:val="162"/>
        </w:trPr>
        <w:tc>
          <w:tcPr>
            <w:tcW w:w="4420" w:type="dxa"/>
            <w:vAlign w:val="bottom"/>
          </w:tcPr>
          <w:p>
            <w:pPr>
              <w:spacing w:after="0"/>
              <w:rPr>
                <w:sz w:val="14"/>
                <w:szCs w:val="14"/>
                <w:color w:val="auto"/>
              </w:rPr>
            </w:pPr>
          </w:p>
        </w:tc>
        <w:tc>
          <w:tcPr>
            <w:tcW w:w="2240" w:type="dxa"/>
            <w:vAlign w:val="bottom"/>
          </w:tcPr>
          <w:p>
            <w:pPr>
              <w:jc w:val="right"/>
              <w:ind w:right="108"/>
              <w:spacing w:after="0"/>
              <w:rPr>
                <w:sz w:val="20"/>
                <w:szCs w:val="20"/>
                <w:color w:val="auto"/>
              </w:rPr>
            </w:pPr>
            <w:r>
              <w:rPr>
                <w:rFonts w:ascii="Arial" w:cs="Arial" w:eastAsia="Arial" w:hAnsi="Arial"/>
                <w:sz w:val="14"/>
                <w:szCs w:val="14"/>
                <w:b w:val="1"/>
                <w:bCs w:val="1"/>
                <w:color w:val="666666"/>
              </w:rPr>
              <w:t>Percentage Change</w:t>
            </w:r>
          </w:p>
        </w:tc>
        <w:tc>
          <w:tcPr>
            <w:tcW w:w="2780" w:type="dxa"/>
            <w:vAlign w:val="bottom"/>
          </w:tcPr>
          <w:p>
            <w:pPr>
              <w:jc w:val="right"/>
              <w:ind w:right="668"/>
              <w:spacing w:after="0"/>
              <w:rPr>
                <w:sz w:val="20"/>
                <w:szCs w:val="20"/>
                <w:color w:val="auto"/>
              </w:rPr>
            </w:pPr>
            <w:r>
              <w:rPr>
                <w:rFonts w:ascii="Arial" w:cs="Arial" w:eastAsia="Arial" w:hAnsi="Arial"/>
                <w:sz w:val="14"/>
                <w:szCs w:val="14"/>
                <w:b w:val="1"/>
                <w:bCs w:val="1"/>
                <w:color w:val="666666"/>
              </w:rPr>
              <w:t>Constant Currency</w:t>
            </w:r>
          </w:p>
        </w:tc>
        <w:tc>
          <w:tcPr>
            <w:tcW w:w="1580" w:type="dxa"/>
            <w:vAlign w:val="bottom"/>
          </w:tcPr>
          <w:p>
            <w:pPr>
              <w:jc w:val="center"/>
              <w:ind w:left="48"/>
              <w:spacing w:after="0"/>
              <w:rPr>
                <w:sz w:val="20"/>
                <w:szCs w:val="20"/>
                <w:color w:val="auto"/>
              </w:rPr>
            </w:pPr>
            <w:r>
              <w:rPr>
                <w:rFonts w:ascii="Arial" w:cs="Arial" w:eastAsia="Arial" w:hAnsi="Arial"/>
                <w:sz w:val="14"/>
                <w:szCs w:val="14"/>
                <w:b w:val="1"/>
                <w:bCs w:val="1"/>
                <w:color w:val="666666"/>
              </w:rPr>
              <w:t>Y/Y Constant</w:t>
            </w:r>
          </w:p>
        </w:tc>
      </w:tr>
      <w:tr>
        <w:trPr>
          <w:trHeight w:val="190"/>
        </w:trPr>
        <w:tc>
          <w:tcPr>
            <w:tcW w:w="4420" w:type="dxa"/>
            <w:vAlign w:val="bottom"/>
          </w:tcPr>
          <w:p>
            <w:pPr>
              <w:spacing w:after="0"/>
              <w:rPr>
                <w:sz w:val="16"/>
                <w:szCs w:val="16"/>
                <w:color w:val="auto"/>
              </w:rPr>
            </w:pPr>
          </w:p>
        </w:tc>
        <w:tc>
          <w:tcPr>
            <w:tcW w:w="2240" w:type="dxa"/>
            <w:vAlign w:val="bottom"/>
          </w:tcPr>
          <w:p>
            <w:pPr>
              <w:jc w:val="right"/>
              <w:ind w:right="388"/>
              <w:spacing w:after="0"/>
              <w:rPr>
                <w:sz w:val="20"/>
                <w:szCs w:val="20"/>
                <w:color w:val="auto"/>
              </w:rPr>
            </w:pPr>
            <w:r>
              <w:rPr>
                <w:rFonts w:ascii="Arial" w:cs="Arial" w:eastAsia="Arial" w:hAnsi="Arial"/>
                <w:sz w:val="14"/>
                <w:szCs w:val="14"/>
                <w:b w:val="1"/>
                <w:bCs w:val="1"/>
                <w:color w:val="666666"/>
              </w:rPr>
              <w:t>Y/Y (GAAP)</w:t>
            </w:r>
          </w:p>
        </w:tc>
        <w:tc>
          <w:tcPr>
            <w:tcW w:w="2780" w:type="dxa"/>
            <w:vAlign w:val="bottom"/>
          </w:tcPr>
          <w:p>
            <w:pPr>
              <w:jc w:val="right"/>
              <w:ind w:right="1088"/>
              <w:spacing w:after="0"/>
              <w:rPr>
                <w:sz w:val="20"/>
                <w:szCs w:val="20"/>
                <w:color w:val="auto"/>
              </w:rPr>
            </w:pPr>
            <w:r>
              <w:rPr>
                <w:rFonts w:ascii="Arial" w:cs="Arial" w:eastAsia="Arial" w:hAnsi="Arial"/>
                <w:sz w:val="14"/>
                <w:szCs w:val="14"/>
                <w:b w:val="1"/>
                <w:bCs w:val="1"/>
                <w:color w:val="666666"/>
              </w:rPr>
              <w:t>Impact</w:t>
            </w:r>
          </w:p>
        </w:tc>
        <w:tc>
          <w:tcPr>
            <w:tcW w:w="1580" w:type="dxa"/>
            <w:vAlign w:val="bottom"/>
          </w:tcPr>
          <w:p>
            <w:pPr>
              <w:jc w:val="center"/>
              <w:ind w:left="48"/>
              <w:spacing w:after="0"/>
              <w:rPr>
                <w:sz w:val="20"/>
                <w:szCs w:val="20"/>
                <w:color w:val="auto"/>
              </w:rPr>
            </w:pPr>
            <w:r>
              <w:rPr>
                <w:rFonts w:ascii="Arial" w:cs="Arial" w:eastAsia="Arial" w:hAnsi="Arial"/>
                <w:sz w:val="14"/>
                <w:szCs w:val="14"/>
                <w:b w:val="1"/>
                <w:bCs w:val="1"/>
                <w:color w:val="666666"/>
              </w:rPr>
              <w:t>Currency</w:t>
            </w:r>
          </w:p>
        </w:tc>
      </w:tr>
      <w:tr>
        <w:trPr>
          <w:trHeight w:val="80"/>
        </w:trPr>
        <w:tc>
          <w:tcPr>
            <w:tcW w:w="4420" w:type="dxa"/>
            <w:vAlign w:val="bottom"/>
            <w:tcBorders>
              <w:bottom w:val="single" w:sz="8" w:color="666666"/>
            </w:tcBorders>
          </w:tcPr>
          <w:p>
            <w:pPr>
              <w:spacing w:after="0"/>
              <w:rPr>
                <w:sz w:val="6"/>
                <w:szCs w:val="6"/>
                <w:color w:val="auto"/>
              </w:rPr>
            </w:pPr>
          </w:p>
        </w:tc>
        <w:tc>
          <w:tcPr>
            <w:tcW w:w="2240" w:type="dxa"/>
            <w:vAlign w:val="bottom"/>
            <w:tcBorders>
              <w:bottom w:val="single" w:sz="8" w:color="666666"/>
            </w:tcBorders>
          </w:tcPr>
          <w:p>
            <w:pPr>
              <w:spacing w:after="0"/>
              <w:rPr>
                <w:sz w:val="6"/>
                <w:szCs w:val="6"/>
                <w:color w:val="auto"/>
              </w:rPr>
            </w:pPr>
          </w:p>
        </w:tc>
        <w:tc>
          <w:tcPr>
            <w:tcW w:w="2780" w:type="dxa"/>
            <w:vAlign w:val="bottom"/>
            <w:tcBorders>
              <w:bottom w:val="single" w:sz="8" w:color="666666"/>
            </w:tcBorders>
          </w:tcPr>
          <w:p>
            <w:pPr>
              <w:spacing w:after="0"/>
              <w:rPr>
                <w:sz w:val="6"/>
                <w:szCs w:val="6"/>
                <w:color w:val="auto"/>
              </w:rPr>
            </w:pPr>
          </w:p>
        </w:tc>
        <w:tc>
          <w:tcPr>
            <w:tcW w:w="1580" w:type="dxa"/>
            <w:vAlign w:val="bottom"/>
            <w:tcBorders>
              <w:bottom w:val="single" w:sz="8" w:color="666666"/>
            </w:tcBorders>
          </w:tcPr>
          <w:p>
            <w:pPr>
              <w:spacing w:after="0"/>
              <w:rPr>
                <w:sz w:val="6"/>
                <w:szCs w:val="6"/>
                <w:color w:val="auto"/>
              </w:rPr>
            </w:pPr>
          </w:p>
        </w:tc>
      </w:tr>
      <w:tr>
        <w:trPr>
          <w:trHeight w:val="242"/>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Office Commercial products and cloud services</w:t>
            </w:r>
          </w:p>
        </w:tc>
        <w:tc>
          <w:tcPr>
            <w:tcW w:w="2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666666"/>
              </w:rPr>
              <w:t>14%</w:t>
            </w:r>
          </w:p>
        </w:tc>
        <w:tc>
          <w:tcPr>
            <w:tcW w:w="278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666666"/>
              </w:rPr>
              <w:t>2%</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16%</w:t>
            </w:r>
          </w:p>
        </w:tc>
      </w:tr>
      <w:tr>
        <w:trPr>
          <w:trHeight w:val="211"/>
        </w:trPr>
        <w:tc>
          <w:tcPr>
            <w:tcW w:w="44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Office 365 Commercial</w:t>
            </w:r>
          </w:p>
        </w:tc>
        <w:tc>
          <w:tcPr>
            <w:tcW w:w="2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666666"/>
              </w:rPr>
              <w:t>31%</w:t>
            </w:r>
          </w:p>
        </w:tc>
        <w:tc>
          <w:tcPr>
            <w:tcW w:w="27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666666"/>
              </w:rPr>
              <w:t>3%</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34%</w:t>
            </w:r>
          </w:p>
        </w:tc>
      </w:tr>
      <w:tr>
        <w:trPr>
          <w:trHeight w:val="26"/>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2"/>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Office Consumer products and cloud services</w:t>
            </w:r>
          </w:p>
        </w:tc>
        <w:tc>
          <w:tcPr>
            <w:tcW w:w="2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666666"/>
              </w:rPr>
              <w:t>6%</w:t>
            </w:r>
          </w:p>
        </w:tc>
        <w:tc>
          <w:tcPr>
            <w:tcW w:w="278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666666"/>
              </w:rPr>
              <w:t>2%</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8%</w:t>
            </w:r>
          </w:p>
        </w:tc>
      </w:tr>
      <w:tr>
        <w:trPr>
          <w:trHeight w:val="211"/>
        </w:trPr>
        <w:tc>
          <w:tcPr>
            <w:tcW w:w="44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LinkedIn</w:t>
            </w:r>
          </w:p>
        </w:tc>
        <w:tc>
          <w:tcPr>
            <w:tcW w:w="2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666666"/>
              </w:rPr>
              <w:t>25%</w:t>
            </w:r>
          </w:p>
        </w:tc>
        <w:tc>
          <w:tcPr>
            <w:tcW w:w="27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666666"/>
              </w:rPr>
              <w:t>3%</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28%</w:t>
            </w:r>
          </w:p>
        </w:tc>
      </w:tr>
      <w:tr>
        <w:trPr>
          <w:trHeight w:val="26"/>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2"/>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Dynamics products and cloud services</w:t>
            </w:r>
          </w:p>
        </w:tc>
        <w:tc>
          <w:tcPr>
            <w:tcW w:w="2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666666"/>
              </w:rPr>
              <w:t>12%</w:t>
            </w:r>
          </w:p>
        </w:tc>
        <w:tc>
          <w:tcPr>
            <w:tcW w:w="278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666666"/>
              </w:rPr>
              <w:t>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15%</w:t>
            </w:r>
          </w:p>
        </w:tc>
      </w:tr>
      <w:tr>
        <w:trPr>
          <w:trHeight w:val="211"/>
        </w:trPr>
        <w:tc>
          <w:tcPr>
            <w:tcW w:w="44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Dynamics 365</w:t>
            </w:r>
          </w:p>
        </w:tc>
        <w:tc>
          <w:tcPr>
            <w:tcW w:w="2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666666"/>
              </w:rPr>
              <w:t>45%</w:t>
            </w:r>
          </w:p>
        </w:tc>
        <w:tc>
          <w:tcPr>
            <w:tcW w:w="27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666666"/>
              </w:rPr>
              <w:t>3%</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48%</w:t>
            </w:r>
          </w:p>
        </w:tc>
      </w:tr>
      <w:tr>
        <w:trPr>
          <w:trHeight w:val="26"/>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2"/>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Server products and cloud services</w:t>
            </w:r>
          </w:p>
        </w:tc>
        <w:tc>
          <w:tcPr>
            <w:tcW w:w="2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666666"/>
              </w:rPr>
              <w:t>22%</w:t>
            </w:r>
          </w:p>
        </w:tc>
        <w:tc>
          <w:tcPr>
            <w:tcW w:w="278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666666"/>
              </w:rPr>
              <w:t>2%</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24%</w:t>
            </w:r>
          </w:p>
        </w:tc>
      </w:tr>
      <w:tr>
        <w:trPr>
          <w:trHeight w:val="211"/>
        </w:trPr>
        <w:tc>
          <w:tcPr>
            <w:tcW w:w="44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Azure</w:t>
            </w:r>
          </w:p>
        </w:tc>
        <w:tc>
          <w:tcPr>
            <w:tcW w:w="2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666666"/>
              </w:rPr>
              <w:t>64%</w:t>
            </w:r>
          </w:p>
        </w:tc>
        <w:tc>
          <w:tcPr>
            <w:tcW w:w="27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666666"/>
              </w:rPr>
              <w:t>4%</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68%</w:t>
            </w:r>
          </w:p>
        </w:tc>
      </w:tr>
      <w:tr>
        <w:trPr>
          <w:trHeight w:val="26"/>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2"/>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Enterprise Services</w:t>
            </w:r>
          </w:p>
        </w:tc>
        <w:tc>
          <w:tcPr>
            <w:tcW w:w="2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666666"/>
              </w:rPr>
              <w:t>4%</w:t>
            </w:r>
          </w:p>
        </w:tc>
        <w:tc>
          <w:tcPr>
            <w:tcW w:w="278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666666"/>
              </w:rPr>
              <w:t>2%</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6%</w:t>
            </w:r>
          </w:p>
        </w:tc>
      </w:tr>
      <w:tr>
        <w:trPr>
          <w:trHeight w:val="211"/>
        </w:trPr>
        <w:tc>
          <w:tcPr>
            <w:tcW w:w="44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Windows OEM</w:t>
            </w:r>
          </w:p>
        </w:tc>
        <w:tc>
          <w:tcPr>
            <w:tcW w:w="2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666666"/>
              </w:rPr>
              <w:t>9%</w:t>
            </w:r>
          </w:p>
        </w:tc>
        <w:tc>
          <w:tcPr>
            <w:tcW w:w="27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666666"/>
              </w:rPr>
              <w:t>0%</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9%</w:t>
            </w:r>
          </w:p>
        </w:tc>
      </w:tr>
      <w:tr>
        <w:trPr>
          <w:trHeight w:val="26"/>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2"/>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Windows Commercial products and cloud services</w:t>
            </w:r>
          </w:p>
        </w:tc>
        <w:tc>
          <w:tcPr>
            <w:tcW w:w="2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666666"/>
              </w:rPr>
              <w:t>13%</w:t>
            </w:r>
          </w:p>
        </w:tc>
        <w:tc>
          <w:tcPr>
            <w:tcW w:w="278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666666"/>
              </w:rPr>
              <w:t>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16%</w:t>
            </w:r>
          </w:p>
        </w:tc>
      </w:tr>
      <w:tr>
        <w:trPr>
          <w:trHeight w:val="211"/>
        </w:trPr>
        <w:tc>
          <w:tcPr>
            <w:tcW w:w="44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Search advertising excluding traffic acquisition costs</w:t>
            </w:r>
          </w:p>
        </w:tc>
        <w:tc>
          <w:tcPr>
            <w:tcW w:w="2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666666"/>
              </w:rPr>
              <w:t>9%</w:t>
            </w:r>
          </w:p>
        </w:tc>
        <w:tc>
          <w:tcPr>
            <w:tcW w:w="27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666666"/>
              </w:rPr>
              <w:t>1%</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10%</w:t>
            </w:r>
          </w:p>
        </w:tc>
      </w:tr>
      <w:tr>
        <w:trPr>
          <w:trHeight w:val="26"/>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2"/>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Surface</w:t>
            </w:r>
          </w:p>
        </w:tc>
        <w:tc>
          <w:tcPr>
            <w:tcW w:w="2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666666"/>
              </w:rPr>
              <w:t>14%</w:t>
            </w:r>
          </w:p>
        </w:tc>
        <w:tc>
          <w:tcPr>
            <w:tcW w:w="278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666666"/>
              </w:rPr>
              <w:t>3%</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17%</w:t>
            </w:r>
          </w:p>
        </w:tc>
      </w:tr>
      <w:tr>
        <w:trPr>
          <w:trHeight w:val="211"/>
        </w:trPr>
        <w:tc>
          <w:tcPr>
            <w:tcW w:w="442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666666"/>
              </w:rPr>
              <w:t>Gaming</w:t>
            </w:r>
          </w:p>
        </w:tc>
        <w:tc>
          <w:tcPr>
            <w:tcW w:w="22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666666"/>
              </w:rPr>
              <w:t>(10)%</w:t>
            </w:r>
          </w:p>
        </w:tc>
        <w:tc>
          <w:tcPr>
            <w:tcW w:w="278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b w:val="1"/>
                <w:bCs w:val="1"/>
                <w:color w:val="666666"/>
              </w:rPr>
              <w:t>2%</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(8)%</w:t>
            </w:r>
          </w:p>
        </w:tc>
      </w:tr>
      <w:tr>
        <w:trPr>
          <w:trHeight w:val="26"/>
        </w:trPr>
        <w:tc>
          <w:tcPr>
            <w:tcW w:w="4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4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b w:val="1"/>
                <w:bCs w:val="1"/>
                <w:color w:val="666666"/>
              </w:rPr>
              <w:t>Xbox software and services</w:t>
            </w:r>
          </w:p>
        </w:tc>
        <w:tc>
          <w:tcPr>
            <w:tcW w:w="22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666666"/>
              </w:rPr>
              <w:t>(3)%</w:t>
            </w:r>
          </w:p>
        </w:tc>
        <w:tc>
          <w:tcPr>
            <w:tcW w:w="278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b w:val="1"/>
                <w:bCs w:val="1"/>
                <w:color w:val="666666"/>
              </w:rPr>
              <w:t>2%</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w:t>
            </w:r>
          </w:p>
        </w:tc>
      </w:tr>
      <w:tr>
        <w:trPr>
          <w:trHeight w:val="20"/>
        </w:trPr>
        <w:tc>
          <w:tcPr>
            <w:tcW w:w="44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About Microsoft</w:t>
      </w:r>
    </w:p>
    <w:p>
      <w:pPr>
        <w:spacing w:after="0" w:line="234"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666666"/>
        </w:rPr>
        <w:t>Microsoft (Nasdaq “MSFT” @microsoft) enables digital transformation for the era of an intelligent cloud and an intelligent edge. Its mission is to empower every person and every organization on the planet to achieve more.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Forward-Looking Statements</w:t>
      </w:r>
    </w:p>
    <w:p>
      <w:pPr>
        <w:spacing w:after="0" w:line="23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666666"/>
        </w:rPr>
        <w:t>Statements in this release that are “forward-looking statements” are based on current expectations and assumptions that are subject to risks and uncertainties. Actual results could differ materially because of factors such as:</w:t>
      </w:r>
    </w:p>
    <w:p>
      <w:pPr>
        <w:spacing w:after="0" w:line="224" w:lineRule="exact"/>
        <w:rPr>
          <w:sz w:val="20"/>
          <w:szCs w:val="20"/>
          <w:color w:val="auto"/>
        </w:rPr>
      </w:pPr>
    </w:p>
    <w:p>
      <w:pPr>
        <w:ind w:left="860" w:hanging="316"/>
        <w:spacing w:after="0"/>
        <w:tabs>
          <w:tab w:leader="none" w:pos="8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intense competition in all of our markets that may lead to lower revenue or operating margins;</w:t>
      </w:r>
    </w:p>
    <w:p>
      <w:pPr>
        <w:spacing w:after="0" w:line="238" w:lineRule="exact"/>
        <w:rPr>
          <w:rFonts w:ascii="Arial" w:cs="Arial" w:eastAsia="Arial" w:hAnsi="Arial"/>
          <w:sz w:val="18"/>
          <w:szCs w:val="18"/>
          <w:color w:val="666666"/>
        </w:rPr>
      </w:pPr>
    </w:p>
    <w:p>
      <w:pPr>
        <w:ind w:left="860" w:hanging="316"/>
        <w:spacing w:after="0"/>
        <w:tabs>
          <w:tab w:leader="none" w:pos="8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increasing focus on cloud-based services presenting execution and competitive risks;</w:t>
      </w:r>
    </w:p>
    <w:p>
      <w:pPr>
        <w:spacing w:after="0" w:line="238" w:lineRule="exact"/>
        <w:rPr>
          <w:rFonts w:ascii="Arial" w:cs="Arial" w:eastAsia="Arial" w:hAnsi="Arial"/>
          <w:sz w:val="18"/>
          <w:szCs w:val="18"/>
          <w:color w:val="666666"/>
        </w:rPr>
      </w:pPr>
    </w:p>
    <w:p>
      <w:pPr>
        <w:ind w:left="860" w:hanging="316"/>
        <w:spacing w:after="0"/>
        <w:tabs>
          <w:tab w:leader="none" w:pos="8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significant investments in products and services that may not achieve expected returns;</w:t>
      </w:r>
    </w:p>
    <w:p>
      <w:pPr>
        <w:spacing w:after="0" w:line="238" w:lineRule="exact"/>
        <w:rPr>
          <w:rFonts w:ascii="Arial" w:cs="Arial" w:eastAsia="Arial" w:hAnsi="Arial"/>
          <w:sz w:val="18"/>
          <w:szCs w:val="18"/>
          <w:color w:val="666666"/>
        </w:rPr>
      </w:pPr>
    </w:p>
    <w:p>
      <w:pPr>
        <w:ind w:left="860" w:hanging="316"/>
        <w:spacing w:after="0"/>
        <w:tabs>
          <w:tab w:leader="none" w:pos="8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acquisitions, joint ventures, and strategic alliances that may have an adverse effect on our business;</w:t>
      </w:r>
    </w:p>
    <w:p>
      <w:pPr>
        <w:spacing w:after="0" w:line="238" w:lineRule="exact"/>
        <w:rPr>
          <w:rFonts w:ascii="Arial" w:cs="Arial" w:eastAsia="Arial" w:hAnsi="Arial"/>
          <w:sz w:val="18"/>
          <w:szCs w:val="18"/>
          <w:color w:val="666666"/>
        </w:rPr>
      </w:pPr>
    </w:p>
    <w:p>
      <w:pPr>
        <w:ind w:left="860" w:hanging="316"/>
        <w:spacing w:after="0"/>
        <w:tabs>
          <w:tab w:leader="none" w:pos="8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impairment of goodwill or amortizable intangible assets causing a significant charge to earnings;</w:t>
      </w:r>
    </w:p>
    <w:p>
      <w:pPr>
        <w:spacing w:after="0" w:line="238" w:lineRule="exact"/>
        <w:rPr>
          <w:rFonts w:ascii="Arial" w:cs="Arial" w:eastAsia="Arial" w:hAnsi="Arial"/>
          <w:sz w:val="18"/>
          <w:szCs w:val="18"/>
          <w:color w:val="666666"/>
        </w:rPr>
      </w:pPr>
    </w:p>
    <w:p>
      <w:pPr>
        <w:ind w:left="860" w:right="400" w:hanging="316"/>
        <w:spacing w:after="0" w:line="246" w:lineRule="auto"/>
        <w:tabs>
          <w:tab w:leader="none" w:pos="8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cyberattacks and security vulnerabilities that could lead to reduced revenue, increased costs, liability claims, or harm to our reputation or competitive position;</w:t>
      </w:r>
    </w:p>
    <w:p>
      <w:pPr>
        <w:sectPr>
          <w:pgSz w:w="11900" w:h="16838" w:orient="portrait"/>
          <w:cols w:equalWidth="0" w:num="1">
            <w:col w:w="11040"/>
          </w:cols>
          <w:pgMar w:left="440" w:top="265" w:right="419" w:bottom="1440" w:gutter="0" w:footer="0" w:header="0"/>
        </w:sectPr>
      </w:pPr>
    </w:p>
    <w:bookmarkStart w:id="9" w:name="page10"/>
    <w:bookmarkEnd w:id="9"/>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and misuse of personal data that could cause liability and harm to our reputation;</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the possibility that we may not be able to protect information stored in our products and services from use by others;</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abuse of our advertising or social platforms that may harm our reputation or user engagement;</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the development of the internet of things presenting security, privacy, and execution risks;</w:t>
      </w:r>
    </w:p>
    <w:p>
      <w:pPr>
        <w:spacing w:after="0" w:line="238" w:lineRule="exact"/>
        <w:rPr>
          <w:rFonts w:ascii="Arial" w:cs="Arial" w:eastAsia="Arial" w:hAnsi="Arial"/>
          <w:sz w:val="18"/>
          <w:szCs w:val="18"/>
          <w:color w:val="666666"/>
        </w:rPr>
      </w:pPr>
    </w:p>
    <w:p>
      <w:pPr>
        <w:ind w:left="316" w:right="260" w:hanging="316"/>
        <w:spacing w:after="0" w:line="246" w:lineRule="auto"/>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issues about the use of artificial intelligence in our offerings that may result in competitive harm, legal liability, or reputational harm; and</w:t>
      </w:r>
    </w:p>
    <w:p>
      <w:pPr>
        <w:spacing w:after="0" w:line="223" w:lineRule="exact"/>
        <w:rPr>
          <w:rFonts w:ascii="Arial" w:cs="Arial" w:eastAsia="Arial" w:hAnsi="Arial"/>
          <w:sz w:val="18"/>
          <w:szCs w:val="18"/>
          <w:color w:val="666666"/>
        </w:rPr>
      </w:pPr>
    </w:p>
    <w:p>
      <w:pPr>
        <w:ind w:left="316" w:right="980" w:hanging="316"/>
        <w:spacing w:after="0" w:line="246" w:lineRule="auto"/>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excessive outages, data losses, and disruptions of our online services if we fail to maintain an adequate operations infrastructure;</w:t>
      </w:r>
    </w:p>
    <w:p>
      <w:pPr>
        <w:spacing w:after="0" w:line="223"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quality or supply problems;</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the possibility that we may fail to protect our source code;</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legal changes, our evolving business model, piracy, and other factors may decrease the value of our intellectual property;</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claims that Microsoft has infringed the intellectual property rights of others;</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claims against us that may result in adverse outcomes in legal disputes;</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government litigation and regulatory activity relating to competition rules that may limit how we design and market our products;</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potential liability under trade protection, anti-corruption, and other laws resulting from our global operations;</w:t>
      </w:r>
    </w:p>
    <w:p>
      <w:pPr>
        <w:spacing w:after="0" w:line="238" w:lineRule="exact"/>
        <w:rPr>
          <w:rFonts w:ascii="Arial" w:cs="Arial" w:eastAsia="Arial" w:hAnsi="Arial"/>
          <w:sz w:val="18"/>
          <w:szCs w:val="18"/>
          <w:color w:val="666666"/>
        </w:rPr>
      </w:pPr>
    </w:p>
    <w:p>
      <w:pPr>
        <w:ind w:left="316" w:right="720" w:hanging="316"/>
        <w:spacing w:after="0" w:line="246" w:lineRule="auto"/>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laws and regulations relating to the handling of personal data that may impede the adoption of our services or result in increased costs, legal claims, fines, or reputational damage;</w:t>
      </w:r>
    </w:p>
    <w:p>
      <w:pPr>
        <w:spacing w:after="0" w:line="223"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additional tax liabilities;</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damage to our reputation or our brands that may harm our business and operating results.</w:t>
      </w:r>
    </w:p>
    <w:p>
      <w:pPr>
        <w:spacing w:after="0" w:line="238" w:lineRule="exact"/>
        <w:rPr>
          <w:rFonts w:ascii="Arial" w:cs="Arial" w:eastAsia="Arial" w:hAnsi="Arial"/>
          <w:sz w:val="18"/>
          <w:szCs w:val="18"/>
          <w:color w:val="666666"/>
        </w:rPr>
      </w:pPr>
    </w:p>
    <w:p>
      <w:pPr>
        <w:ind w:left="316" w:right="20" w:hanging="316"/>
        <w:spacing w:after="0" w:line="246" w:lineRule="auto"/>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exposure to increased economic and operational uncertainties from operating a global business, including the effects of foreign currency exchange;</w:t>
      </w:r>
    </w:p>
    <w:p>
      <w:pPr>
        <w:spacing w:after="0" w:line="223"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adverse economic or market conditions that may harm our business;</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catastrophic events or geo-political conditions that may disrupt our business;</w:t>
      </w:r>
    </w:p>
    <w:p>
      <w:pPr>
        <w:spacing w:after="0" w:line="238" w:lineRule="exact"/>
        <w:rPr>
          <w:rFonts w:ascii="Arial" w:cs="Arial" w:eastAsia="Arial" w:hAnsi="Arial"/>
          <w:sz w:val="18"/>
          <w:szCs w:val="18"/>
          <w:color w:val="666666"/>
        </w:rPr>
      </w:pPr>
    </w:p>
    <w:p>
      <w:pPr>
        <w:ind w:left="316" w:hanging="316"/>
        <w:spacing w:after="0"/>
        <w:tabs>
          <w:tab w:leader="none" w:pos="316" w:val="left"/>
        </w:tabs>
        <w:numPr>
          <w:ilvl w:val="0"/>
          <w:numId w:val="9"/>
        </w:numPr>
        <w:rPr>
          <w:rFonts w:ascii="Arial" w:cs="Arial" w:eastAsia="Arial" w:hAnsi="Arial"/>
          <w:sz w:val="18"/>
          <w:szCs w:val="18"/>
          <w:color w:val="666666"/>
        </w:rPr>
      </w:pPr>
      <w:r>
        <w:rPr>
          <w:rFonts w:ascii="Arial" w:cs="Arial" w:eastAsia="Arial" w:hAnsi="Arial"/>
          <w:sz w:val="18"/>
          <w:szCs w:val="18"/>
          <w:color w:val="666666"/>
        </w:rPr>
        <w:t>the dependence of our business on our ability to attract and retain talented employees; and</w:t>
      </w:r>
    </w:p>
    <w:p>
      <w:pPr>
        <w:sectPr>
          <w:pgSz w:w="11900" w:h="16838" w:orient="portrait"/>
          <w:cols w:equalWidth="0" w:num="1">
            <w:col w:w="10436"/>
          </w:cols>
          <w:pgMar w:left="984" w:top="287" w:right="479" w:bottom="1440" w:gutter="0" w:footer="0" w:header="0"/>
        </w:sectPr>
      </w:pPr>
    </w:p>
    <w:bookmarkStart w:id="10" w:name="page11"/>
    <w:bookmarkEnd w:id="10"/>
    <w:p>
      <w:pPr>
        <w:ind w:left="860" w:hanging="316"/>
        <w:spacing w:after="0"/>
        <w:tabs>
          <w:tab w:leader="none" w:pos="860" w:val="left"/>
        </w:tabs>
        <w:numPr>
          <w:ilvl w:val="0"/>
          <w:numId w:val="10"/>
        </w:numPr>
        <w:rPr>
          <w:rFonts w:ascii="Arial" w:cs="Arial" w:eastAsia="Arial" w:hAnsi="Arial"/>
          <w:sz w:val="18"/>
          <w:szCs w:val="18"/>
          <w:color w:val="666666"/>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our sales organization that may impact revenues.</w:t>
      </w: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666666"/>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cs="Arial" w:eastAsia="Arial" w:hAnsi="Arial"/>
          <w:sz w:val="18"/>
          <w:szCs w:val="18"/>
          <w:u w:val="single" w:color="auto"/>
          <w:color w:val="666666"/>
        </w:rPr>
        <w:t>http://www.microsoft.com/en-us/investor.</w:t>
      </w:r>
    </w:p>
    <w:p>
      <w:pPr>
        <w:spacing w:after="0" w:line="202"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666666"/>
        </w:rPr>
        <w:t>All information in this release is as of June 30, 2019. The company undertakes no duty to update any forward-looking statement to conform the statement to actual results or changes in the company’s expectations.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press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 xml:space="preserve">Microsoft Media Relations, WE Communications for Microsoft, (425) 638-7777, </w:t>
      </w:r>
      <w:r>
        <w:rPr>
          <w:rFonts w:ascii="Arial" w:cs="Arial" w:eastAsia="Arial" w:hAnsi="Arial"/>
          <w:sz w:val="18"/>
          <w:szCs w:val="18"/>
          <w:u w:val="single" w:color="auto"/>
          <w:color w:val="666666"/>
        </w:rPr>
        <w:t>rrt@we-worldwide.com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financial analysts and investors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Michael Spencer, General Manager, Investor Relations, (425) 706-4400</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666666"/>
        </w:rPr>
        <w:t xml:space="preserve">Note to editors: For more information, news and perspectives from Microsoft, please visit the Microsoft News Center at </w:t>
      </w:r>
      <w:r>
        <w:rPr>
          <w:rFonts w:ascii="Arial" w:cs="Arial" w:eastAsia="Arial" w:hAnsi="Arial"/>
          <w:sz w:val="18"/>
          <w:szCs w:val="18"/>
          <w:u w:val="single" w:color="auto"/>
          <w:color w:val="666666"/>
        </w:rPr>
        <w:t>http://www.microsoft.com/news</w:t>
      </w:r>
      <w:r>
        <w:rPr>
          <w:rFonts w:ascii="Arial" w:cs="Arial" w:eastAsia="Arial" w:hAnsi="Arial"/>
          <w:sz w:val="18"/>
          <w:szCs w:val="18"/>
          <w:color w:val="666666"/>
        </w:rPr>
        <w:t xml:space="preserve">. Web links, telephone numbers, and titles were correct at time of publication, but may since have changed. Shareholder and financial information, as well as today’s 2:30 p.m. Pacific time conference call with investors and analysts, is available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w:t>
      </w:r>
    </w:p>
    <w:p>
      <w:pPr>
        <w:sectPr>
          <w:pgSz w:w="11900" w:h="16838" w:orient="portrait"/>
          <w:cols w:equalWidth="0" w:num="1">
            <w:col w:w="11000"/>
          </w:cols>
          <w:pgMar w:left="440" w:top="287" w:right="4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3380" w:type="dxa"/>
            <w:vAlign w:val="bottom"/>
            <w:gridSpan w:val="2"/>
          </w:tcPr>
          <w:p>
            <w:pPr>
              <w:spacing w:after="0"/>
              <w:rPr>
                <w:sz w:val="20"/>
                <w:szCs w:val="20"/>
                <w:color w:val="auto"/>
              </w:rPr>
            </w:pPr>
            <w:r>
              <w:rPr>
                <w:rFonts w:ascii="Arial" w:cs="Arial" w:eastAsia="Arial" w:hAnsi="Arial"/>
                <w:sz w:val="18"/>
                <w:szCs w:val="18"/>
                <w:b w:val="1"/>
                <w:bCs w:val="1"/>
                <w:color w:val="666666"/>
              </w:rPr>
              <w:t>MICROSOFT CORPORATION</w:t>
            </w:r>
          </w:p>
        </w:tc>
        <w:tc>
          <w:tcPr>
            <w:tcW w:w="3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2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260" w:type="dxa"/>
            <w:vAlign w:val="bottom"/>
            <w:gridSpan w:val="2"/>
          </w:tcPr>
          <w:p>
            <w:pPr>
              <w:jc w:val="right"/>
              <w:ind w:right="1050"/>
              <w:spacing w:after="0"/>
              <w:rPr>
                <w:sz w:val="20"/>
                <w:szCs w:val="20"/>
                <w:color w:val="auto"/>
              </w:rPr>
            </w:pPr>
            <w:r>
              <w:rPr>
                <w:rFonts w:ascii="Arial" w:cs="Arial" w:eastAsia="Arial" w:hAnsi="Arial"/>
                <w:sz w:val="18"/>
                <w:szCs w:val="18"/>
                <w:color w:val="666666"/>
              </w:rPr>
              <w:t>INCOME STATEMENTS</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260" w:type="dxa"/>
            <w:vAlign w:val="bottom"/>
            <w:gridSpan w:val="2"/>
          </w:tcPr>
          <w:p>
            <w:pPr>
              <w:jc w:val="right"/>
              <w:spacing w:after="0"/>
              <w:rPr>
                <w:sz w:val="20"/>
                <w:szCs w:val="20"/>
                <w:color w:val="auto"/>
              </w:rPr>
            </w:pPr>
            <w:r>
              <w:rPr>
                <w:rFonts w:ascii="Arial" w:cs="Arial" w:eastAsia="Arial" w:hAnsi="Arial"/>
                <w:sz w:val="18"/>
                <w:szCs w:val="18"/>
                <w:color w:val="666666"/>
              </w:rPr>
              <w:t>(In millions, except per share amounts) (Unaudited)</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666666"/>
              </w:rPr>
              <w:t>Three Months Ended</w:t>
            </w:r>
          </w:p>
        </w:tc>
        <w:tc>
          <w:tcPr>
            <w:tcW w:w="260" w:type="dxa"/>
            <w:vAlign w:val="bottom"/>
          </w:tcPr>
          <w:p>
            <w:pPr>
              <w:spacing w:after="0"/>
              <w:rPr>
                <w:sz w:val="24"/>
                <w:szCs w:val="24"/>
                <w:color w:val="auto"/>
              </w:rPr>
            </w:pPr>
          </w:p>
        </w:tc>
        <w:tc>
          <w:tcPr>
            <w:tcW w:w="2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Twelve Months Ended</w:t>
            </w:r>
          </w:p>
        </w:tc>
      </w:tr>
      <w:tr>
        <w:trPr>
          <w:trHeight w:val="243"/>
        </w:trPr>
        <w:tc>
          <w:tcPr>
            <w:tcW w:w="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666666"/>
              </w:rPr>
              <w:t>June 30,</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June 30,</w:t>
            </w:r>
          </w:p>
        </w:tc>
      </w:tr>
      <w:tr>
        <w:trPr>
          <w:trHeight w:val="270"/>
        </w:trPr>
        <w:tc>
          <w:tcPr>
            <w:tcW w:w="20" w:type="dxa"/>
            <w:vAlign w:val="bottom"/>
          </w:tcPr>
          <w:p>
            <w:pPr>
              <w:spacing w:after="0"/>
              <w:rPr>
                <w:sz w:val="23"/>
                <w:szCs w:val="23"/>
                <w:color w:val="auto"/>
              </w:rPr>
            </w:pPr>
          </w:p>
        </w:tc>
        <w:tc>
          <w:tcPr>
            <w:tcW w:w="336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2018</w:t>
            </w: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666666"/>
              </w:rPr>
              <w:t>2019</w:t>
            </w: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666666"/>
              </w:rPr>
              <w:t>2018</w:t>
            </w:r>
          </w:p>
        </w:tc>
        <w:tc>
          <w:tcPr>
            <w:tcW w:w="60" w:type="dxa"/>
            <w:vAlign w:val="bottom"/>
          </w:tcPr>
          <w:p>
            <w:pPr>
              <w:spacing w:after="0"/>
              <w:rPr>
                <w:sz w:val="23"/>
                <w:szCs w:val="23"/>
                <w:color w:val="auto"/>
              </w:rPr>
            </w:pPr>
          </w:p>
        </w:tc>
      </w:tr>
      <w:tr>
        <w:trPr>
          <w:trHeight w:val="311"/>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Revenue:</w:t>
            </w:r>
          </w:p>
        </w:tc>
        <w:tc>
          <w:tcPr>
            <w:tcW w:w="34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360" w:type="dxa"/>
            <w:vAlign w:val="bottom"/>
          </w:tcPr>
          <w:p>
            <w:pPr>
              <w:ind w:left="220"/>
              <w:spacing w:after="0"/>
              <w:rPr>
                <w:sz w:val="20"/>
                <w:szCs w:val="20"/>
                <w:color w:val="auto"/>
              </w:rPr>
            </w:pPr>
            <w:r>
              <w:rPr>
                <w:rFonts w:ascii="Arial" w:cs="Arial" w:eastAsia="Arial" w:hAnsi="Arial"/>
                <w:sz w:val="18"/>
                <w:szCs w:val="18"/>
                <w:color w:val="666666"/>
              </w:rPr>
              <w:t>Product</w:t>
            </w: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$17,103</w:t>
            </w:r>
          </w:p>
        </w:tc>
        <w:tc>
          <w:tcPr>
            <w:tcW w:w="1100" w:type="dxa"/>
            <w:vAlign w:val="bottom"/>
            <w:gridSpan w:val="2"/>
          </w:tcPr>
          <w:p>
            <w:pPr>
              <w:jc w:val="right"/>
              <w:spacing w:after="0"/>
              <w:rPr>
                <w:sz w:val="20"/>
                <w:szCs w:val="20"/>
                <w:color w:val="auto"/>
              </w:rPr>
            </w:pPr>
            <w:r>
              <w:rPr>
                <w:rFonts w:ascii="Arial" w:cs="Arial" w:eastAsia="Arial" w:hAnsi="Arial"/>
                <w:sz w:val="18"/>
                <w:szCs w:val="18"/>
                <w:color w:val="666666"/>
              </w:rPr>
              <w:t>$17,159</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$66,069</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$64,497</w:t>
            </w:r>
          </w:p>
        </w:tc>
        <w:tc>
          <w:tcPr>
            <w:tcW w:w="60" w:type="dxa"/>
            <w:vAlign w:val="bottom"/>
          </w:tcPr>
          <w:p>
            <w:pPr>
              <w:spacing w:after="0"/>
              <w:rPr>
                <w:sz w:val="23"/>
                <w:szCs w:val="23"/>
                <w:color w:val="auto"/>
              </w:rPr>
            </w:pPr>
          </w:p>
        </w:tc>
      </w:tr>
      <w:tr>
        <w:trPr>
          <w:trHeight w:val="54"/>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2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Service and other</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16,614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12,926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59,774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45,863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33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Total revenue</w:t>
            </w:r>
          </w:p>
        </w:tc>
        <w:tc>
          <w:tcPr>
            <w:tcW w:w="4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33,717</w:t>
            </w:r>
          </w:p>
        </w:tc>
        <w:tc>
          <w:tcPr>
            <w:tcW w:w="28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30,085</w:t>
            </w:r>
          </w:p>
        </w:tc>
        <w:tc>
          <w:tcPr>
            <w:tcW w:w="26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125,843</w:t>
            </w:r>
          </w:p>
        </w:tc>
        <w:tc>
          <w:tcPr>
            <w:tcW w:w="28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110,360</w:t>
            </w:r>
          </w:p>
        </w:tc>
        <w:tc>
          <w:tcPr>
            <w:tcW w:w="6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Cost of revenue:</w:t>
            </w:r>
          </w:p>
        </w:tc>
        <w:tc>
          <w:tcPr>
            <w:tcW w:w="34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360" w:type="dxa"/>
            <w:vAlign w:val="bottom"/>
          </w:tcPr>
          <w:p>
            <w:pPr>
              <w:ind w:left="220"/>
              <w:spacing w:after="0"/>
              <w:rPr>
                <w:sz w:val="20"/>
                <w:szCs w:val="20"/>
                <w:color w:val="auto"/>
              </w:rPr>
            </w:pPr>
            <w:r>
              <w:rPr>
                <w:rFonts w:ascii="Arial" w:cs="Arial" w:eastAsia="Arial" w:hAnsi="Arial"/>
                <w:sz w:val="18"/>
                <w:szCs w:val="18"/>
                <w:color w:val="666666"/>
              </w:rPr>
              <w:t>Product</w:t>
            </w: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3,298</w:t>
            </w:r>
          </w:p>
        </w:tc>
        <w:tc>
          <w:tcPr>
            <w:tcW w:w="1100" w:type="dxa"/>
            <w:vAlign w:val="bottom"/>
            <w:gridSpan w:val="2"/>
          </w:tcPr>
          <w:p>
            <w:pPr>
              <w:jc w:val="right"/>
              <w:spacing w:after="0"/>
              <w:rPr>
                <w:sz w:val="20"/>
                <w:szCs w:val="20"/>
                <w:color w:val="auto"/>
              </w:rPr>
            </w:pPr>
            <w:r>
              <w:rPr>
                <w:rFonts w:ascii="Arial" w:cs="Arial" w:eastAsia="Arial" w:hAnsi="Arial"/>
                <w:sz w:val="18"/>
                <w:szCs w:val="18"/>
                <w:color w:val="666666"/>
              </w:rPr>
              <w:t>3,517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16,273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15,420</w:t>
            </w:r>
          </w:p>
        </w:tc>
        <w:tc>
          <w:tcPr>
            <w:tcW w:w="60" w:type="dxa"/>
            <w:vAlign w:val="bottom"/>
          </w:tcPr>
          <w:p>
            <w:pPr>
              <w:spacing w:after="0"/>
              <w:rPr>
                <w:sz w:val="23"/>
                <w:szCs w:val="23"/>
                <w:color w:val="auto"/>
              </w:rPr>
            </w:pPr>
          </w:p>
        </w:tc>
      </w:tr>
      <w:tr>
        <w:trPr>
          <w:trHeight w:val="54"/>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2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Service and other</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7,114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6,225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26,637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22,933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33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Total cost of revenue</w:t>
            </w:r>
          </w:p>
        </w:tc>
        <w:tc>
          <w:tcPr>
            <w:tcW w:w="4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10,412</w:t>
            </w:r>
          </w:p>
        </w:tc>
        <w:tc>
          <w:tcPr>
            <w:tcW w:w="28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9,742</w:t>
            </w:r>
          </w:p>
        </w:tc>
        <w:tc>
          <w:tcPr>
            <w:tcW w:w="26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42,910</w:t>
            </w:r>
          </w:p>
        </w:tc>
        <w:tc>
          <w:tcPr>
            <w:tcW w:w="28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38,353</w:t>
            </w:r>
          </w:p>
        </w:tc>
        <w:tc>
          <w:tcPr>
            <w:tcW w:w="6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666666"/>
              </w:rPr>
              <w:t>Gross margin</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23,305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20,343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82,933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72,007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666666"/>
              </w:rPr>
              <w:t>Research and development</w:t>
            </w: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4,513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666666"/>
              </w:rPr>
              <w:t>3,933</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16,876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14,726</w:t>
            </w:r>
          </w:p>
        </w:tc>
        <w:tc>
          <w:tcPr>
            <w:tcW w:w="60" w:type="dxa"/>
            <w:vAlign w:val="bottom"/>
          </w:tcPr>
          <w:p>
            <w:pPr>
              <w:spacing w:after="0"/>
              <w:rPr>
                <w:sz w:val="23"/>
                <w:szCs w:val="23"/>
                <w:color w:val="auto"/>
              </w:rPr>
            </w:pPr>
          </w:p>
        </w:tc>
      </w:tr>
      <w:tr>
        <w:trPr>
          <w:trHeight w:val="54"/>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Sales and marketing</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4,962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4,760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18,213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17,469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666666"/>
              </w:rPr>
              <w:t>General and administrative</w:t>
            </w: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1,425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666666"/>
              </w:rPr>
              <w:t>1,271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4,885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4,754</w:t>
            </w:r>
          </w:p>
        </w:tc>
        <w:tc>
          <w:tcPr>
            <w:tcW w:w="60" w:type="dxa"/>
            <w:vAlign w:val="bottom"/>
          </w:tcPr>
          <w:p>
            <w:pPr>
              <w:spacing w:after="0"/>
              <w:rPr>
                <w:sz w:val="23"/>
                <w:szCs w:val="23"/>
                <w:color w:val="auto"/>
              </w:rPr>
            </w:pPr>
          </w:p>
        </w:tc>
      </w:tr>
      <w:tr>
        <w:trPr>
          <w:trHeight w:val="61"/>
        </w:trPr>
        <w:tc>
          <w:tcPr>
            <w:tcW w:w="20" w:type="dxa"/>
            <w:vAlign w:val="bottom"/>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Operating income</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12,405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10,379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42,959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35,058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666666"/>
              </w:rPr>
              <w:t>Other income, net</w:t>
            </w: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666666"/>
              </w:rPr>
              <w:t>301</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729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1,416</w:t>
            </w:r>
          </w:p>
        </w:tc>
        <w:tc>
          <w:tcPr>
            <w:tcW w:w="60" w:type="dxa"/>
            <w:vAlign w:val="bottom"/>
          </w:tcPr>
          <w:p>
            <w:pPr>
              <w:spacing w:after="0"/>
              <w:rPr>
                <w:sz w:val="23"/>
                <w:szCs w:val="23"/>
                <w:color w:val="auto"/>
              </w:rPr>
            </w:pPr>
          </w:p>
        </w:tc>
      </w:tr>
      <w:tr>
        <w:trPr>
          <w:trHeight w:val="61"/>
        </w:trPr>
        <w:tc>
          <w:tcPr>
            <w:tcW w:w="20" w:type="dxa"/>
            <w:vAlign w:val="bottom"/>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Income before income taxes</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12,596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10,680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43,688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36,474</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666666"/>
              </w:rPr>
              <w:t>Provision for (benefit from) income taxes</w:t>
            </w: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(591)</w:t>
            </w:r>
          </w:p>
        </w:tc>
        <w:tc>
          <w:tcPr>
            <w:tcW w:w="1100" w:type="dxa"/>
            <w:vAlign w:val="bottom"/>
            <w:gridSpan w:val="2"/>
          </w:tcPr>
          <w:p>
            <w:pPr>
              <w:jc w:val="right"/>
              <w:spacing w:after="0"/>
              <w:rPr>
                <w:sz w:val="20"/>
                <w:szCs w:val="20"/>
                <w:color w:val="auto"/>
              </w:rPr>
            </w:pPr>
            <w:r>
              <w:rPr>
                <w:rFonts w:ascii="Arial" w:cs="Arial" w:eastAsia="Arial" w:hAnsi="Arial"/>
                <w:sz w:val="18"/>
                <w:szCs w:val="18"/>
                <w:color w:val="666666"/>
              </w:rPr>
              <w:t>1,807</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4,448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19,903</w:t>
            </w:r>
          </w:p>
        </w:tc>
        <w:tc>
          <w:tcPr>
            <w:tcW w:w="60" w:type="dxa"/>
            <w:vAlign w:val="bottom"/>
          </w:tcPr>
          <w:p>
            <w:pPr>
              <w:spacing w:after="0"/>
              <w:rPr>
                <w:sz w:val="23"/>
                <w:szCs w:val="23"/>
                <w:color w:val="auto"/>
              </w:rPr>
            </w:pPr>
          </w:p>
        </w:tc>
      </w:tr>
      <w:tr>
        <w:trPr>
          <w:trHeight w:val="61"/>
        </w:trPr>
        <w:tc>
          <w:tcPr>
            <w:tcW w:w="20" w:type="dxa"/>
            <w:vAlign w:val="bottom"/>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3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2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Net income</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$13,187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$8,873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$39,240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$16,571</w:t>
            </w:r>
          </w:p>
        </w:tc>
        <w:tc>
          <w:tcPr>
            <w:tcW w:w="60" w:type="dxa"/>
            <w:vAlign w:val="bottom"/>
            <w:tcBorders>
              <w:bottom w:val="single" w:sz="8" w:color="CCEEFF"/>
            </w:tcBorders>
            <w:shd w:val="clear" w:color="auto" w:fill="CCEEFF"/>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666666"/>
              </w:rPr>
              <w:t>Earnings per share:</w:t>
            </w:r>
          </w:p>
        </w:tc>
        <w:tc>
          <w:tcPr>
            <w:tcW w:w="34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4"/>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Basic</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$1.72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$1.15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$5.11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$2.15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360" w:type="dxa"/>
            <w:vAlign w:val="bottom"/>
          </w:tcPr>
          <w:p>
            <w:pPr>
              <w:ind w:left="220"/>
              <w:spacing w:after="0"/>
              <w:rPr>
                <w:sz w:val="20"/>
                <w:szCs w:val="20"/>
                <w:color w:val="auto"/>
              </w:rPr>
            </w:pPr>
            <w:r>
              <w:rPr>
                <w:rFonts w:ascii="Arial" w:cs="Arial" w:eastAsia="Arial" w:hAnsi="Arial"/>
                <w:sz w:val="18"/>
                <w:szCs w:val="18"/>
                <w:color w:val="666666"/>
              </w:rPr>
              <w:t>Diluted</w:t>
            </w: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$1.71</w:t>
            </w:r>
          </w:p>
        </w:tc>
        <w:tc>
          <w:tcPr>
            <w:tcW w:w="1100" w:type="dxa"/>
            <w:vAlign w:val="bottom"/>
            <w:gridSpan w:val="2"/>
          </w:tcPr>
          <w:p>
            <w:pPr>
              <w:jc w:val="right"/>
              <w:spacing w:after="0"/>
              <w:rPr>
                <w:sz w:val="20"/>
                <w:szCs w:val="20"/>
                <w:color w:val="auto"/>
              </w:rPr>
            </w:pPr>
            <w:r>
              <w:rPr>
                <w:rFonts w:ascii="Arial" w:cs="Arial" w:eastAsia="Arial" w:hAnsi="Arial"/>
                <w:sz w:val="18"/>
                <w:szCs w:val="18"/>
                <w:color w:val="666666"/>
              </w:rPr>
              <w:t>$1.14</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$5.06</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$2.13</w:t>
            </w:r>
          </w:p>
        </w:tc>
        <w:tc>
          <w:tcPr>
            <w:tcW w:w="6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0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Weighted average shares outstanding:</w:t>
            </w:r>
          </w:p>
        </w:tc>
        <w:tc>
          <w:tcPr>
            <w:tcW w:w="34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360" w:type="dxa"/>
            <w:vAlign w:val="bottom"/>
          </w:tcPr>
          <w:p>
            <w:pPr>
              <w:ind w:left="220"/>
              <w:spacing w:after="0"/>
              <w:rPr>
                <w:sz w:val="20"/>
                <w:szCs w:val="20"/>
                <w:color w:val="auto"/>
              </w:rPr>
            </w:pPr>
            <w:r>
              <w:rPr>
                <w:rFonts w:ascii="Arial" w:cs="Arial" w:eastAsia="Arial" w:hAnsi="Arial"/>
                <w:sz w:val="18"/>
                <w:szCs w:val="18"/>
                <w:color w:val="666666"/>
              </w:rPr>
              <w:t>Basic</w:t>
            </w: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7,655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666666"/>
              </w:rPr>
              <w:t>7,683</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7,673</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7,700</w:t>
            </w:r>
          </w:p>
        </w:tc>
        <w:tc>
          <w:tcPr>
            <w:tcW w:w="60" w:type="dxa"/>
            <w:vAlign w:val="bottom"/>
          </w:tcPr>
          <w:p>
            <w:pPr>
              <w:spacing w:after="0"/>
              <w:rPr>
                <w:sz w:val="23"/>
                <w:szCs w:val="23"/>
                <w:color w:val="auto"/>
              </w:rPr>
            </w:pPr>
          </w:p>
        </w:tc>
      </w:tr>
      <w:tr>
        <w:trPr>
          <w:trHeight w:val="54"/>
        </w:trPr>
        <w:tc>
          <w:tcPr>
            <w:tcW w:w="2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20" w:type="dxa"/>
            <w:vAlign w:val="bottom"/>
          </w:tcPr>
          <w:p>
            <w:pPr>
              <w:spacing w:after="0"/>
              <w:rPr>
                <w:sz w:val="24"/>
                <w:szCs w:val="24"/>
                <w:color w:val="auto"/>
              </w:rPr>
            </w:pPr>
          </w:p>
        </w:tc>
        <w:tc>
          <w:tcPr>
            <w:tcW w:w="3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Diluted</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7,730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7,775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7,753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7,794</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40"/>
          </w:cols>
          <w:pgMar w:left="440" w:top="265"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39"/>
        </w:trPr>
        <w:tc>
          <w:tcPr>
            <w:tcW w:w="3480" w:type="dxa"/>
            <w:vAlign w:val="bottom"/>
            <w:gridSpan w:val="2"/>
          </w:tcPr>
          <w:p>
            <w:pPr>
              <w:spacing w:after="0"/>
              <w:rPr>
                <w:sz w:val="20"/>
                <w:szCs w:val="20"/>
                <w:color w:val="auto"/>
              </w:rPr>
            </w:pPr>
            <w:r>
              <w:rPr>
                <w:rFonts w:ascii="Arial" w:cs="Arial" w:eastAsia="Arial" w:hAnsi="Arial"/>
                <w:sz w:val="18"/>
                <w:szCs w:val="18"/>
                <w:b w:val="1"/>
                <w:bCs w:val="1"/>
                <w:color w:val="666666"/>
              </w:rPr>
              <w:t>MICROSOFT CORPORATION</w:t>
            </w:r>
          </w:p>
        </w:tc>
        <w:tc>
          <w:tcPr>
            <w:tcW w:w="3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6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220" w:type="dxa"/>
            <w:vAlign w:val="bottom"/>
            <w:gridSpan w:val="2"/>
          </w:tcPr>
          <w:p>
            <w:pPr>
              <w:jc w:val="right"/>
              <w:ind w:right="310"/>
              <w:spacing w:after="0"/>
              <w:rPr>
                <w:sz w:val="20"/>
                <w:szCs w:val="20"/>
                <w:color w:val="auto"/>
              </w:rPr>
            </w:pPr>
            <w:r>
              <w:rPr>
                <w:rFonts w:ascii="Arial" w:cs="Arial" w:eastAsia="Arial" w:hAnsi="Arial"/>
                <w:sz w:val="18"/>
                <w:szCs w:val="18"/>
                <w:color w:val="666666"/>
              </w:rPr>
              <w:t>COMPREHENSIVE INCOME STATEMENTS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220" w:type="dxa"/>
            <w:vAlign w:val="bottom"/>
            <w:gridSpan w:val="2"/>
          </w:tcPr>
          <w:p>
            <w:pPr>
              <w:jc w:val="right"/>
              <w:ind w:right="1150"/>
              <w:spacing w:after="0"/>
              <w:rPr>
                <w:sz w:val="20"/>
                <w:szCs w:val="20"/>
                <w:color w:val="auto"/>
              </w:rPr>
            </w:pPr>
            <w:r>
              <w:rPr>
                <w:rFonts w:ascii="Arial" w:cs="Arial" w:eastAsia="Arial" w:hAnsi="Arial"/>
                <w:sz w:val="18"/>
                <w:szCs w:val="18"/>
                <w:color w:val="666666"/>
              </w:rPr>
              <w:t>(In millions) (Unaudited)</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666666"/>
              </w:rPr>
              <w:t>Three Months Ended</w:t>
            </w:r>
          </w:p>
        </w:tc>
        <w:tc>
          <w:tcPr>
            <w:tcW w:w="260" w:type="dxa"/>
            <w:vAlign w:val="bottom"/>
          </w:tcPr>
          <w:p>
            <w:pPr>
              <w:spacing w:after="0"/>
              <w:rPr>
                <w:sz w:val="24"/>
                <w:szCs w:val="24"/>
                <w:color w:val="auto"/>
              </w:rPr>
            </w:pPr>
          </w:p>
        </w:tc>
        <w:tc>
          <w:tcPr>
            <w:tcW w:w="2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Twelve Months Ended</w:t>
            </w:r>
          </w:p>
        </w:tc>
      </w:tr>
      <w:tr>
        <w:trPr>
          <w:trHeight w:val="243"/>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666666"/>
              </w:rPr>
              <w:t>June 30,</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666666"/>
              </w:rPr>
              <w:t>June 30,</w:t>
            </w:r>
          </w:p>
        </w:tc>
      </w:tr>
      <w:tr>
        <w:trPr>
          <w:trHeight w:val="257"/>
        </w:trPr>
        <w:tc>
          <w:tcPr>
            <w:tcW w:w="20" w:type="dxa"/>
            <w:vAlign w:val="bottom"/>
          </w:tcPr>
          <w:p>
            <w:pPr>
              <w:spacing w:after="0"/>
              <w:rPr>
                <w:sz w:val="22"/>
                <w:szCs w:val="22"/>
                <w:color w:val="auto"/>
              </w:rPr>
            </w:pPr>
          </w:p>
        </w:tc>
        <w:tc>
          <w:tcPr>
            <w:tcW w:w="3460" w:type="dxa"/>
            <w:vAlign w:val="bottom"/>
            <w:tcBorders>
              <w:bottom w:val="single" w:sz="8" w:color="auto"/>
            </w:tcBorders>
          </w:tcPr>
          <w:p>
            <w:pPr>
              <w:spacing w:after="0"/>
              <w:rPr>
                <w:sz w:val="22"/>
                <w:szCs w:val="22"/>
                <w:color w:val="auto"/>
              </w:rPr>
            </w:pPr>
          </w:p>
        </w:tc>
        <w:tc>
          <w:tcPr>
            <w:tcW w:w="4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666666"/>
              </w:rPr>
              <w:t>2019</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2018</w:t>
            </w: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666666"/>
              </w:rPr>
              <w:t>2019</w:t>
            </w: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666666"/>
              </w:rPr>
              <w:t>2018</w:t>
            </w:r>
          </w:p>
        </w:tc>
        <w:tc>
          <w:tcPr>
            <w:tcW w:w="60" w:type="dxa"/>
            <w:vAlign w:val="bottom"/>
          </w:tcPr>
          <w:p>
            <w:pPr>
              <w:spacing w:after="0"/>
              <w:rPr>
                <w:sz w:val="22"/>
                <w:szCs w:val="22"/>
                <w:color w:val="auto"/>
              </w:rPr>
            </w:pPr>
          </w:p>
        </w:tc>
      </w:tr>
      <w:tr>
        <w:trPr>
          <w:trHeight w:val="290"/>
        </w:trPr>
        <w:tc>
          <w:tcPr>
            <w:tcW w:w="20" w:type="dxa"/>
            <w:vAlign w:val="bottom"/>
          </w:tcPr>
          <w:p>
            <w:pPr>
              <w:spacing w:after="0"/>
              <w:rPr>
                <w:sz w:val="24"/>
                <w:szCs w:val="24"/>
                <w:color w:val="auto"/>
              </w:rPr>
            </w:pPr>
          </w:p>
        </w:tc>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Net income</w:t>
            </w:r>
          </w:p>
        </w:tc>
        <w:tc>
          <w:tcPr>
            <w:tcW w:w="33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$13,187</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$8,873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$39,240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$16,571</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6840" w:type="dxa"/>
            <w:vAlign w:val="bottom"/>
            <w:gridSpan w:val="2"/>
          </w:tcPr>
          <w:p>
            <w:pPr>
              <w:ind w:left="40"/>
              <w:spacing w:after="0"/>
              <w:rPr>
                <w:sz w:val="20"/>
                <w:szCs w:val="20"/>
                <w:color w:val="auto"/>
              </w:rPr>
            </w:pPr>
            <w:r>
              <w:rPr>
                <w:rFonts w:ascii="Arial" w:cs="Arial" w:eastAsia="Arial" w:hAnsi="Arial"/>
                <w:sz w:val="18"/>
                <w:szCs w:val="18"/>
                <w:color w:val="666666"/>
              </w:rPr>
              <w:t>Other comprehensive income (loss), net of tax:</w:t>
            </w:r>
          </w:p>
        </w:tc>
        <w:tc>
          <w:tcPr>
            <w:tcW w:w="8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Net change related to derivatives</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(80)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(173)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39</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460" w:type="dxa"/>
            <w:vAlign w:val="bottom"/>
          </w:tcPr>
          <w:p>
            <w:pPr>
              <w:ind w:left="220"/>
              <w:spacing w:after="0"/>
              <w:rPr>
                <w:sz w:val="20"/>
                <w:szCs w:val="20"/>
                <w:color w:val="auto"/>
              </w:rPr>
            </w:pPr>
            <w:r>
              <w:rPr>
                <w:rFonts w:ascii="Arial" w:cs="Arial" w:eastAsia="Arial" w:hAnsi="Arial"/>
                <w:sz w:val="18"/>
                <w:szCs w:val="18"/>
                <w:color w:val="666666"/>
              </w:rPr>
              <w:t>Net change related to investments</w:t>
            </w:r>
          </w:p>
        </w:tc>
        <w:tc>
          <w:tcPr>
            <w:tcW w:w="42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1,071</w:t>
            </w:r>
          </w:p>
        </w:tc>
        <w:tc>
          <w:tcPr>
            <w:tcW w:w="1040" w:type="dxa"/>
            <w:vAlign w:val="bottom"/>
            <w:gridSpan w:val="2"/>
          </w:tcPr>
          <w:p>
            <w:pPr>
              <w:jc w:val="right"/>
              <w:spacing w:after="0"/>
              <w:rPr>
                <w:sz w:val="20"/>
                <w:szCs w:val="20"/>
                <w:color w:val="auto"/>
              </w:rPr>
            </w:pPr>
            <w:r>
              <w:rPr>
                <w:rFonts w:ascii="Arial" w:cs="Arial" w:eastAsia="Arial" w:hAnsi="Arial"/>
                <w:sz w:val="18"/>
                <w:szCs w:val="18"/>
                <w:color w:val="666666"/>
              </w:rPr>
              <w:t>(535)</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2,405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666666"/>
              </w:rPr>
              <w:t>(2,717)</w:t>
            </w:r>
          </w:p>
        </w:tc>
        <w:tc>
          <w:tcPr>
            <w:tcW w:w="60" w:type="dxa"/>
            <w:vAlign w:val="bottom"/>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3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Translation adjustments and other</w:t>
            </w:r>
          </w:p>
        </w:tc>
        <w:tc>
          <w:tcPr>
            <w:tcW w:w="4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(66)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(686)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(318)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(178)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4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Other comprehensive income (loss)</w:t>
            </w:r>
          </w:p>
        </w:tc>
        <w:tc>
          <w:tcPr>
            <w:tcW w:w="4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925</w:t>
            </w:r>
          </w:p>
        </w:tc>
        <w:tc>
          <w:tcPr>
            <w:tcW w:w="260" w:type="dxa"/>
            <w:vAlign w:val="bottom"/>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(1,076)</w:t>
            </w:r>
          </w:p>
        </w:tc>
        <w:tc>
          <w:tcPr>
            <w:tcW w:w="260" w:type="dxa"/>
            <w:vAlign w:val="bottom"/>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1,914</w:t>
            </w:r>
          </w:p>
        </w:tc>
        <w:tc>
          <w:tcPr>
            <w:tcW w:w="28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(2,856)</w:t>
            </w:r>
          </w:p>
        </w:tc>
        <w:tc>
          <w:tcPr>
            <w:tcW w:w="60" w:type="dxa"/>
            <w:vAlign w:val="bottom"/>
          </w:tcPr>
          <w:p>
            <w:pPr>
              <w:spacing w:after="0"/>
              <w:rPr>
                <w:sz w:val="22"/>
                <w:szCs w:val="22"/>
                <w:color w:val="auto"/>
              </w:rPr>
            </w:pPr>
          </w:p>
        </w:tc>
      </w:tr>
      <w:tr>
        <w:trPr>
          <w:trHeight w:val="34"/>
        </w:trPr>
        <w:tc>
          <w:tcPr>
            <w:tcW w:w="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Comprehensive income</w:t>
            </w:r>
          </w:p>
        </w:tc>
        <w:tc>
          <w:tcPr>
            <w:tcW w:w="3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$14,112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$7,797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$41,154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$13,715</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7"/>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rPr>
          <w:sz w:val="20"/>
          <w:szCs w:val="20"/>
          <w:color w:val="auto"/>
        </w:rPr>
        <w:sectPr>
          <w:pgSz w:w="11900" w:h="16838" w:orient="portrait"/>
          <w:cols w:equalWidth="0" w:num="1">
            <w:col w:w="11040"/>
          </w:cols>
          <w:pgMar w:left="440" w:top="265"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MICROSOFT CORPORATION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BALANCE SHEETS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(In millions) (Unaudited)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40" w:type="dxa"/>
            <w:vAlign w:val="bottom"/>
          </w:tcPr>
          <w:p>
            <w:pPr>
              <w:jc w:val="right"/>
              <w:ind w:right="290"/>
              <w:spacing w:after="0"/>
              <w:rPr>
                <w:sz w:val="20"/>
                <w:szCs w:val="20"/>
                <w:color w:val="auto"/>
              </w:rPr>
            </w:pPr>
            <w:r>
              <w:rPr>
                <w:rFonts w:ascii="Arial" w:cs="Arial" w:eastAsia="Arial" w:hAnsi="Arial"/>
                <w:sz w:val="18"/>
                <w:szCs w:val="18"/>
                <w:b w:val="1"/>
                <w:bCs w:val="1"/>
                <w:color w:val="666666"/>
              </w:rPr>
              <w:t>June 30,</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666666"/>
              </w:rPr>
              <w:t>June 30,</w:t>
            </w:r>
          </w:p>
        </w:tc>
      </w:tr>
      <w:tr>
        <w:trPr>
          <w:trHeight w:val="239"/>
        </w:trPr>
        <w:tc>
          <w:tcPr>
            <w:tcW w:w="9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666666"/>
              </w:rPr>
              <w:t>2019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699770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66666"/>
        </w:rPr>
        <w:t>Assets</w:t>
      </w:r>
    </w:p>
    <w:p>
      <w:pPr>
        <w:sectPr>
          <w:pgSz w:w="11900" w:h="16838" w:orient="portrait"/>
          <w:cols w:equalWidth="0" w:num="1">
            <w:col w:w="10980"/>
          </w:cols>
          <w:pgMar w:left="440" w:top="265" w:right="479" w:bottom="1440" w:gutter="0" w:footer="0" w:header="0"/>
        </w:sectPr>
      </w:pP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140" w:type="dxa"/>
            <w:vAlign w:val="bottom"/>
          </w:tcPr>
          <w:p>
            <w:pPr>
              <w:ind w:left="20"/>
              <w:spacing w:after="0"/>
              <w:rPr>
                <w:sz w:val="20"/>
                <w:szCs w:val="20"/>
                <w:color w:val="auto"/>
              </w:rPr>
            </w:pPr>
            <w:r>
              <w:rPr>
                <w:rFonts w:ascii="Arial" w:cs="Arial" w:eastAsia="Arial" w:hAnsi="Arial"/>
                <w:sz w:val="16"/>
                <w:szCs w:val="16"/>
                <w:color w:val="666666"/>
              </w:rPr>
              <w:t>Current assets: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Cash and cash equivalents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$11,356</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122,463</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360"/>
              <w:spacing w:after="0"/>
              <w:rPr>
                <w:sz w:val="20"/>
                <w:szCs w:val="20"/>
                <w:color w:val="auto"/>
              </w:rPr>
            </w:pPr>
            <w:r>
              <w:rPr>
                <w:rFonts w:ascii="Arial" w:cs="Arial" w:eastAsia="Arial" w:hAnsi="Arial"/>
                <w:sz w:val="16"/>
                <w:szCs w:val="16"/>
                <w:color w:val="666666"/>
              </w:rPr>
              <w:t>Total cash, cash equivalents, and short-term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133,819</w:t>
            </w:r>
          </w:p>
        </w:tc>
        <w:tc>
          <w:tcPr>
            <w:tcW w:w="0" w:type="dxa"/>
            <w:vAlign w:val="bottom"/>
          </w:tcPr>
          <w:p>
            <w:pPr>
              <w:spacing w:after="0"/>
              <w:rPr>
                <w:sz w:val="1"/>
                <w:szCs w:val="1"/>
                <w:color w:val="auto"/>
              </w:rPr>
            </w:pPr>
          </w:p>
        </w:tc>
      </w:tr>
      <w:tr>
        <w:trPr>
          <w:trHeight w:val="284"/>
        </w:trPr>
        <w:tc>
          <w:tcPr>
            <w:tcW w:w="8140" w:type="dxa"/>
            <w:vAlign w:val="bottom"/>
          </w:tcPr>
          <w:p>
            <w:pPr>
              <w:ind w:left="180"/>
              <w:spacing w:after="0"/>
              <w:rPr>
                <w:sz w:val="20"/>
                <w:szCs w:val="20"/>
                <w:color w:val="auto"/>
              </w:rPr>
            </w:pPr>
            <w:r>
              <w:rPr>
                <w:rFonts w:ascii="Arial" w:cs="Arial" w:eastAsia="Arial" w:hAnsi="Arial"/>
                <w:sz w:val="16"/>
                <w:szCs w:val="16"/>
                <w:color w:val="666666"/>
              </w:rPr>
              <w:t xml:space="preserve">Accounts receivable, net of allowance for doubtful accounts of </w:t>
            </w:r>
            <w:r>
              <w:rPr>
                <w:rFonts w:ascii="Arial" w:cs="Arial" w:eastAsia="Arial" w:hAnsi="Arial"/>
                <w:sz w:val="16"/>
                <w:szCs w:val="16"/>
                <w:b w:val="1"/>
                <w:bCs w:val="1"/>
                <w:color w:val="666666"/>
              </w:rPr>
              <w:t>$411</w:t>
            </w:r>
            <w:r>
              <w:rPr>
                <w:rFonts w:ascii="Arial" w:cs="Arial" w:eastAsia="Arial" w:hAnsi="Arial"/>
                <w:sz w:val="16"/>
                <w:szCs w:val="16"/>
                <w:color w:val="666666"/>
              </w:rPr>
              <w:t xml:space="preserve"> and $377</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29,524</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Inventories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2,063</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Other</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10,146</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360"/>
              <w:spacing w:after="0"/>
              <w:rPr>
                <w:sz w:val="20"/>
                <w:szCs w:val="20"/>
                <w:color w:val="auto"/>
              </w:rPr>
            </w:pPr>
            <w:r>
              <w:rPr>
                <w:rFonts w:ascii="Arial" w:cs="Arial" w:eastAsia="Arial" w:hAnsi="Arial"/>
                <w:sz w:val="16"/>
                <w:szCs w:val="16"/>
                <w:color w:val="666666"/>
              </w:rPr>
              <w:t>Total current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175,552</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 xml:space="preserve">Property and equipment, net of accumulated depreciation of </w:t>
            </w:r>
            <w:r>
              <w:rPr>
                <w:rFonts w:ascii="Arial" w:cs="Arial" w:eastAsia="Arial" w:hAnsi="Arial"/>
                <w:sz w:val="16"/>
                <w:szCs w:val="16"/>
                <w:b w:val="1"/>
                <w:bCs w:val="1"/>
                <w:color w:val="666666"/>
              </w:rPr>
              <w:t>$35,330</w:t>
            </w:r>
            <w:r>
              <w:rPr>
                <w:rFonts w:ascii="Arial" w:cs="Arial" w:eastAsia="Arial" w:hAnsi="Arial"/>
                <w:sz w:val="16"/>
                <w:szCs w:val="16"/>
                <w:color w:val="666666"/>
              </w:rPr>
              <w:t xml:space="preserve"> and $29,223</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36,477</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Operating lease right-of-use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7,379</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Equity and other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2,649</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Goodwill</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42,026</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Intangible assets, net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7,750</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Other long-term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14,723</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680"/>
              <w:spacing w:after="0"/>
              <w:rPr>
                <w:sz w:val="20"/>
                <w:szCs w:val="20"/>
                <w:color w:val="auto"/>
              </w:rPr>
            </w:pPr>
            <w:r>
              <w:rPr>
                <w:rFonts w:ascii="Arial" w:cs="Arial" w:eastAsia="Arial" w:hAnsi="Arial"/>
                <w:sz w:val="16"/>
                <w:szCs w:val="16"/>
                <w:color w:val="666666"/>
              </w:rPr>
              <w:t>Total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$286,556</w:t>
            </w:r>
          </w:p>
        </w:tc>
        <w:tc>
          <w:tcPr>
            <w:tcW w:w="0" w:type="dxa"/>
            <w:vAlign w:val="bottom"/>
          </w:tcPr>
          <w:p>
            <w:pPr>
              <w:spacing w:after="0"/>
              <w:rPr>
                <w:sz w:val="1"/>
                <w:szCs w:val="1"/>
                <w:color w:val="auto"/>
              </w:rPr>
            </w:pPr>
          </w:p>
        </w:tc>
      </w:tr>
      <w:tr>
        <w:trPr>
          <w:trHeight w:val="54"/>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666666"/>
              </w:rPr>
              <w:t>Liabilities and stockholders’ equity</w:t>
            </w: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814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Current liabilities: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180"/>
              <w:spacing w:after="0"/>
              <w:rPr>
                <w:sz w:val="20"/>
                <w:szCs w:val="20"/>
                <w:color w:val="auto"/>
              </w:rPr>
            </w:pPr>
            <w:r>
              <w:rPr>
                <w:rFonts w:ascii="Arial" w:cs="Arial" w:eastAsia="Arial" w:hAnsi="Arial"/>
                <w:sz w:val="16"/>
                <w:szCs w:val="16"/>
                <w:color w:val="666666"/>
              </w:rPr>
              <w:t>Accounts payable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$9,382</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Current portion of long-term debt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5,516</w:t>
            </w:r>
          </w:p>
        </w:tc>
        <w:tc>
          <w:tcPr>
            <w:tcW w:w="0" w:type="dxa"/>
            <w:vAlign w:val="bottom"/>
          </w:tcPr>
          <w:p>
            <w:pPr>
              <w:spacing w:after="0"/>
              <w:rPr>
                <w:sz w:val="1"/>
                <w:szCs w:val="1"/>
                <w:color w:val="auto"/>
              </w:rPr>
            </w:pPr>
          </w:p>
        </w:tc>
      </w:tr>
      <w:tr>
        <w:trPr>
          <w:trHeight w:val="284"/>
        </w:trPr>
        <w:tc>
          <w:tcPr>
            <w:tcW w:w="8140" w:type="dxa"/>
            <w:vAlign w:val="bottom"/>
          </w:tcPr>
          <w:p>
            <w:pPr>
              <w:ind w:left="180"/>
              <w:spacing w:after="0"/>
              <w:rPr>
                <w:sz w:val="20"/>
                <w:szCs w:val="20"/>
                <w:color w:val="auto"/>
              </w:rPr>
            </w:pPr>
            <w:r>
              <w:rPr>
                <w:rFonts w:ascii="Arial" w:cs="Arial" w:eastAsia="Arial" w:hAnsi="Arial"/>
                <w:sz w:val="16"/>
                <w:szCs w:val="16"/>
                <w:color w:val="666666"/>
              </w:rPr>
              <w:t>Accrued compensation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6,830</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5,665</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unearned revenue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32,676</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Other</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9,351</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360"/>
              <w:spacing w:after="0"/>
              <w:rPr>
                <w:sz w:val="20"/>
                <w:szCs w:val="20"/>
                <w:color w:val="auto"/>
              </w:rPr>
            </w:pPr>
            <w:r>
              <w:rPr>
                <w:rFonts w:ascii="Arial" w:cs="Arial" w:eastAsia="Arial" w:hAnsi="Arial"/>
                <w:sz w:val="16"/>
                <w:szCs w:val="16"/>
                <w:color w:val="666666"/>
              </w:rPr>
              <w:t>Total current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69,420</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Long-term debt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66,662</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Long-term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29,612</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Long-term unearned revenue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4,530</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Deferred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233</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Operating lease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6,188</w:t>
            </w: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Other long-term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7,581</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520"/>
              <w:spacing w:after="0"/>
              <w:rPr>
                <w:sz w:val="20"/>
                <w:szCs w:val="20"/>
                <w:color w:val="auto"/>
              </w:rPr>
            </w:pPr>
            <w:r>
              <w:rPr>
                <w:rFonts w:ascii="Arial" w:cs="Arial" w:eastAsia="Arial" w:hAnsi="Arial"/>
                <w:sz w:val="16"/>
                <w:szCs w:val="16"/>
                <w:color w:val="666666"/>
              </w:rPr>
              <w:t>Total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184,226</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20"/>
              <w:spacing w:after="0"/>
              <w:rPr>
                <w:sz w:val="20"/>
                <w:szCs w:val="20"/>
                <w:color w:val="auto"/>
              </w:rPr>
            </w:pPr>
            <w:r>
              <w:rPr>
                <w:rFonts w:ascii="Arial" w:cs="Arial" w:eastAsia="Arial" w:hAnsi="Arial"/>
                <w:sz w:val="16"/>
                <w:szCs w:val="16"/>
                <w:color w:val="666666"/>
              </w:rPr>
              <w:t>Commitments and contingencies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20"/>
              <w:spacing w:after="0"/>
              <w:rPr>
                <w:sz w:val="20"/>
                <w:szCs w:val="20"/>
                <w:color w:val="auto"/>
              </w:rPr>
            </w:pPr>
            <w:r>
              <w:rPr>
                <w:rFonts w:ascii="Arial" w:cs="Arial" w:eastAsia="Arial" w:hAnsi="Arial"/>
                <w:sz w:val="16"/>
                <w:szCs w:val="16"/>
                <w:color w:val="666666"/>
              </w:rPr>
              <w:t>Stockholders’ equity: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 xml:space="preserve">Common stock and paid-in capital — shares authorized 24,000; outstanding </w:t>
            </w:r>
            <w:r>
              <w:rPr>
                <w:rFonts w:ascii="Arial" w:cs="Arial" w:eastAsia="Arial" w:hAnsi="Arial"/>
                <w:sz w:val="16"/>
                <w:szCs w:val="16"/>
                <w:b w:val="1"/>
                <w:bCs w:val="1"/>
                <w:color w:val="666666"/>
              </w:rPr>
              <w:t>7,643</w:t>
            </w:r>
            <w:r>
              <w:rPr>
                <w:rFonts w:ascii="Arial" w:cs="Arial" w:eastAsia="Arial" w:hAnsi="Arial"/>
                <w:sz w:val="16"/>
                <w:szCs w:val="16"/>
                <w:color w:val="666666"/>
              </w:rPr>
              <w:t xml:space="preserve"> and 7,677</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78,520</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Retained earnings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24,150</w:t>
            </w:r>
          </w:p>
        </w:tc>
        <w:tc>
          <w:tcPr>
            <w:tcW w:w="0" w:type="dxa"/>
            <w:vAlign w:val="bottom"/>
          </w:tcPr>
          <w:p>
            <w:pPr>
              <w:spacing w:after="0"/>
              <w:rPr>
                <w:sz w:val="1"/>
                <w:szCs w:val="1"/>
                <w:color w:val="auto"/>
              </w:rPr>
            </w:pPr>
          </w:p>
        </w:tc>
      </w:tr>
      <w:tr>
        <w:trPr>
          <w:trHeight w:val="284"/>
        </w:trPr>
        <w:tc>
          <w:tcPr>
            <w:tcW w:w="8140" w:type="dxa"/>
            <w:vAlign w:val="bottom"/>
          </w:tcPr>
          <w:p>
            <w:pPr>
              <w:ind w:left="180"/>
              <w:spacing w:after="0"/>
              <w:rPr>
                <w:sz w:val="20"/>
                <w:szCs w:val="20"/>
                <w:color w:val="auto"/>
              </w:rPr>
            </w:pPr>
            <w:r>
              <w:rPr>
                <w:rFonts w:ascii="Arial" w:cs="Arial" w:eastAsia="Arial" w:hAnsi="Arial"/>
                <w:sz w:val="16"/>
                <w:szCs w:val="16"/>
                <w:color w:val="666666"/>
              </w:rPr>
              <w:t>Accumulated other comprehensive loss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(340)</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520"/>
              <w:spacing w:after="0"/>
              <w:rPr>
                <w:sz w:val="20"/>
                <w:szCs w:val="20"/>
                <w:color w:val="auto"/>
              </w:rPr>
            </w:pPr>
            <w:r>
              <w:rPr>
                <w:rFonts w:ascii="Arial" w:cs="Arial" w:eastAsia="Arial" w:hAnsi="Arial"/>
                <w:sz w:val="16"/>
                <w:szCs w:val="16"/>
                <w:color w:val="666666"/>
              </w:rPr>
              <w:t>Total stockholders’ equity</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102,330</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680"/>
              <w:spacing w:after="0"/>
              <w:rPr>
                <w:sz w:val="20"/>
                <w:szCs w:val="20"/>
                <w:color w:val="auto"/>
              </w:rPr>
            </w:pPr>
            <w:r>
              <w:rPr>
                <w:rFonts w:ascii="Arial" w:cs="Arial" w:eastAsia="Arial" w:hAnsi="Arial"/>
                <w:sz w:val="16"/>
                <w:szCs w:val="16"/>
                <w:color w:val="666666"/>
              </w:rPr>
              <w:t>Total liabilities and stockholders’ equity</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$286,556</w:t>
            </w:r>
          </w:p>
        </w:tc>
        <w:tc>
          <w:tcPr>
            <w:tcW w:w="0" w:type="dxa"/>
            <w:vAlign w:val="bottom"/>
          </w:tcPr>
          <w:p>
            <w:pPr>
              <w:spacing w:after="0"/>
              <w:rPr>
                <w:sz w:val="1"/>
                <w:szCs w:val="1"/>
                <w:color w:val="auto"/>
              </w:rPr>
            </w:pPr>
          </w:p>
        </w:tc>
      </w:tr>
      <w:tr>
        <w:trPr>
          <w:trHeight w:val="54"/>
        </w:trPr>
        <w:tc>
          <w:tcPr>
            <w:tcW w:w="814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-6842760</wp:posOffset>
            </wp:positionV>
            <wp:extent cx="699770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-6465570</wp:posOffset>
            </wp:positionV>
            <wp:extent cx="699770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-6105525</wp:posOffset>
            </wp:positionV>
            <wp:extent cx="699770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-5727700</wp:posOffset>
            </wp:positionV>
            <wp:extent cx="699770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-5367655</wp:posOffset>
            </wp:positionV>
            <wp:extent cx="699770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-5007610</wp:posOffset>
            </wp:positionV>
            <wp:extent cx="699770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-4647565</wp:posOffset>
            </wp:positionV>
            <wp:extent cx="699770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-4244340</wp:posOffset>
            </wp:positionV>
            <wp:extent cx="699770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-3884295</wp:posOffset>
            </wp:positionV>
            <wp:extent cx="699770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-3524250</wp:posOffset>
            </wp:positionV>
            <wp:extent cx="699770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-3163570</wp:posOffset>
            </wp:positionV>
            <wp:extent cx="699770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-2786380</wp:posOffset>
            </wp:positionV>
            <wp:extent cx="699770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-2426335</wp:posOffset>
            </wp:positionV>
            <wp:extent cx="699770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-2066290</wp:posOffset>
            </wp:positionV>
            <wp:extent cx="699770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-1706245</wp:posOffset>
            </wp:positionV>
            <wp:extent cx="699770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-1311275</wp:posOffset>
            </wp:positionV>
            <wp:extent cx="699770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-951230</wp:posOffset>
            </wp:positionV>
            <wp:extent cx="699770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-591185</wp:posOffset>
            </wp:positionV>
            <wp:extent cx="6997700" cy="180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18034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-196850</wp:posOffset>
            </wp:positionV>
            <wp:extent cx="699770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6"/>
          <w:szCs w:val="16"/>
          <w:color w:val="666666"/>
        </w:rPr>
        <w:t>$11,946</w:t>
      </w:r>
    </w:p>
    <w:p>
      <w:pPr>
        <w:spacing w:after="0" w:line="100" w:lineRule="exact"/>
        <w:rPr>
          <w:sz w:val="20"/>
          <w:szCs w:val="20"/>
          <w:color w:val="auto"/>
        </w:rPr>
      </w:pPr>
    </w:p>
    <w:p>
      <w:pPr>
        <w:ind w:left="100"/>
        <w:spacing w:after="0"/>
        <w:rPr>
          <w:sz w:val="20"/>
          <w:szCs w:val="20"/>
          <w:color w:val="auto"/>
        </w:rPr>
      </w:pPr>
      <w:r>
        <w:rPr>
          <w:rFonts w:ascii="Arial" w:cs="Arial" w:eastAsia="Arial" w:hAnsi="Arial"/>
          <w:sz w:val="16"/>
          <w:szCs w:val="16"/>
          <w:color w:val="666666"/>
        </w:rPr>
        <w:t>121,822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36195</wp:posOffset>
            </wp:positionV>
            <wp:extent cx="840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0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133,768</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26,481</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2,662</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6,751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36195</wp:posOffset>
            </wp:positionV>
            <wp:extent cx="8407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0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169,662</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29,460</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6,686</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1,862</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35,683</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8,053</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7,442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36195</wp:posOffset>
            </wp:positionV>
            <wp:extent cx="8407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666666"/>
        </w:rPr>
        <w:t>$258,848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36195</wp:posOffset>
            </wp:positionV>
            <wp:extent cx="8407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07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666666"/>
        </w:rPr>
        <w:t>$8,617</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666666"/>
        </w:rPr>
        <w:t>3,998</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666666"/>
        </w:rPr>
        <w:t>6,103</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666666"/>
        </w:rPr>
        <w:t>2,121</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666666"/>
        </w:rPr>
        <w:t>28,905</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666666"/>
        </w:rPr>
        <w:t>8,744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43815</wp:posOffset>
            </wp:positionV>
            <wp:extent cx="8407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8"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58,488</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72,242</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30,265</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3,815</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541</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5,568</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5,211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36195</wp:posOffset>
            </wp:positionV>
            <wp:extent cx="8407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6"/>
          <w:szCs w:val="16"/>
          <w:color w:val="666666"/>
        </w:rPr>
        <w:t>176,130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36195</wp:posOffset>
            </wp:positionV>
            <wp:extent cx="840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6"/>
          <w:szCs w:val="16"/>
          <w:color w:val="666666"/>
        </w:rPr>
        <w:t>71,223</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666666"/>
        </w:rPr>
        <w:t>13,682</w:t>
      </w:r>
    </w:p>
    <w:p>
      <w:pPr>
        <w:spacing w:after="0" w:line="10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666666"/>
        </w:rPr>
        <w:t>(2,187)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36195</wp:posOffset>
            </wp:positionV>
            <wp:extent cx="8407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6"/>
          <w:szCs w:val="16"/>
          <w:color w:val="666666"/>
        </w:rPr>
        <w:t>82,718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36195</wp:posOffset>
            </wp:positionV>
            <wp:extent cx="8407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666666"/>
        </w:rPr>
        <w:t>$258,848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36195</wp:posOffset>
            </wp:positionV>
            <wp:extent cx="8407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0740" cy="17145"/>
                    </a:xfrm>
                    <a:prstGeom prst="rect">
                      <a:avLst/>
                    </a:prstGeom>
                    <a:noFill/>
                  </pic:spPr>
                </pic:pic>
              </a:graphicData>
            </a:graphic>
          </wp:anchor>
        </w:drawing>
      </w:r>
    </w:p>
    <w:p>
      <w:pPr>
        <w:sectPr>
          <w:pgSz w:w="11900" w:h="16838" w:orient="portrait"/>
          <w:cols w:equalWidth="0" w:num="2">
            <w:col w:w="9520" w:space="720"/>
            <w:col w:w="740"/>
          </w:cols>
          <w:pgMar w:left="440" w:top="265" w:right="47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9"/>
        </w:trPr>
        <w:tc>
          <w:tcPr>
            <w:tcW w:w="6760" w:type="dxa"/>
            <w:vAlign w:val="bottom"/>
            <w:gridSpan w:val="3"/>
          </w:tcPr>
          <w:p>
            <w:pPr>
              <w:spacing w:after="0"/>
              <w:rPr>
                <w:sz w:val="20"/>
                <w:szCs w:val="20"/>
                <w:color w:val="auto"/>
              </w:rPr>
            </w:pPr>
            <w:r>
              <w:rPr>
                <w:rFonts w:ascii="Arial" w:cs="Arial" w:eastAsia="Arial" w:hAnsi="Arial"/>
                <w:sz w:val="18"/>
                <w:szCs w:val="18"/>
                <w:b w:val="1"/>
                <w:bCs w:val="1"/>
                <w:color w:val="666666"/>
              </w:rPr>
              <w:t>MICROSOFT CORPORATION</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6740" w:type="dxa"/>
            <w:vAlign w:val="bottom"/>
            <w:gridSpan w:val="2"/>
          </w:tcPr>
          <w:p>
            <w:pPr>
              <w:ind w:left="4280"/>
              <w:spacing w:after="0"/>
              <w:rPr>
                <w:sz w:val="20"/>
                <w:szCs w:val="20"/>
                <w:color w:val="auto"/>
              </w:rPr>
            </w:pPr>
            <w:r>
              <w:rPr>
                <w:rFonts w:ascii="Arial" w:cs="Arial" w:eastAsia="Arial" w:hAnsi="Arial"/>
                <w:sz w:val="18"/>
                <w:szCs w:val="18"/>
                <w:color w:val="666666"/>
                <w:w w:val="99"/>
              </w:rPr>
              <w:t>CASH FLOWS STATEMENTS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740" w:type="dxa"/>
            <w:vAlign w:val="bottom"/>
            <w:gridSpan w:val="2"/>
          </w:tcPr>
          <w:p>
            <w:pPr>
              <w:ind w:left="4540"/>
              <w:spacing w:after="0"/>
              <w:rPr>
                <w:sz w:val="20"/>
                <w:szCs w:val="20"/>
                <w:color w:val="auto"/>
              </w:rPr>
            </w:pPr>
            <w:r>
              <w:rPr>
                <w:rFonts w:ascii="Arial" w:cs="Arial" w:eastAsia="Arial" w:hAnsi="Arial"/>
                <w:sz w:val="18"/>
                <w:szCs w:val="18"/>
                <w:color w:val="666666"/>
              </w:rPr>
              <w:t>(In millions) (Unaudited)</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666666"/>
              </w:rPr>
              <w:t>Three Months Ended</w:t>
            </w:r>
          </w:p>
        </w:tc>
        <w:tc>
          <w:tcPr>
            <w:tcW w:w="160" w:type="dxa"/>
            <w:vAlign w:val="bottom"/>
          </w:tcPr>
          <w:p>
            <w:pPr>
              <w:spacing w:after="0"/>
              <w:rPr>
                <w:sz w:val="24"/>
                <w:szCs w:val="24"/>
                <w:color w:val="auto"/>
              </w:rPr>
            </w:pPr>
          </w:p>
        </w:tc>
        <w:tc>
          <w:tcPr>
            <w:tcW w:w="22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666666"/>
              </w:rPr>
              <w:t>Twelve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666666"/>
              </w:rPr>
              <w:t>June 30,</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666666"/>
                <w:w w:val="99"/>
              </w:rPr>
              <w:t>June 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2019</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2018</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666666"/>
              </w:rPr>
              <w:t>Operations</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Net income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$13,187</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$8,873</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$39,240</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$16,571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666666"/>
              </w:rPr>
              <w:t>Adjustments to reconcile net income to net cash from operations:</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0"/>
              <w:spacing w:after="0"/>
              <w:rPr>
                <w:sz w:val="20"/>
                <w:szCs w:val="20"/>
                <w:color w:val="auto"/>
              </w:rPr>
            </w:pPr>
            <w:r>
              <w:rPr>
                <w:rFonts w:ascii="Arial" w:cs="Arial" w:eastAsia="Arial" w:hAnsi="Arial"/>
                <w:sz w:val="16"/>
                <w:szCs w:val="16"/>
                <w:color w:val="666666"/>
              </w:rPr>
              <w:t>Depreciation, amortization, and other</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2,924</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2,516</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11,682</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10,261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666666"/>
              </w:rPr>
              <w:t>Stock-based compensation expense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1,190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1,012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4,652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3,940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0"/>
              <w:spacing w:after="0"/>
              <w:rPr>
                <w:sz w:val="20"/>
                <w:szCs w:val="20"/>
                <w:color w:val="auto"/>
              </w:rPr>
            </w:pPr>
            <w:r>
              <w:rPr>
                <w:rFonts w:ascii="Arial" w:cs="Arial" w:eastAsia="Arial" w:hAnsi="Arial"/>
                <w:sz w:val="16"/>
                <w:szCs w:val="16"/>
                <w:color w:val="666666"/>
              </w:rPr>
              <w:t>Net recognized gains on investments and derivatives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(322)</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(567)</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(792)</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(2,212)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666666"/>
              </w:rPr>
              <w:t>Deferred income taxes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(5,723)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(2,389)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(6,463)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(5,143)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0"/>
              <w:spacing w:after="0"/>
              <w:rPr>
                <w:sz w:val="20"/>
                <w:szCs w:val="20"/>
                <w:color w:val="auto"/>
              </w:rPr>
            </w:pPr>
            <w:r>
              <w:rPr>
                <w:rFonts w:ascii="Arial" w:cs="Arial" w:eastAsia="Arial" w:hAnsi="Arial"/>
                <w:sz w:val="16"/>
                <w:szCs w:val="16"/>
                <w:color w:val="666666"/>
              </w:rPr>
              <w:t>Changes in operating assets and liabilities:</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666666"/>
              </w:rPr>
              <w:t>Accounts receivable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(10,070)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(9,188)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(2,812)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(3,862)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360"/>
              <w:spacing w:after="0"/>
              <w:rPr>
                <w:sz w:val="20"/>
                <w:szCs w:val="20"/>
                <w:color w:val="auto"/>
              </w:rPr>
            </w:pPr>
            <w:r>
              <w:rPr>
                <w:rFonts w:ascii="Arial" w:cs="Arial" w:eastAsia="Arial" w:hAnsi="Arial"/>
                <w:sz w:val="16"/>
                <w:szCs w:val="16"/>
                <w:color w:val="666666"/>
              </w:rPr>
              <w:t>Inventories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(113)</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(572)</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597</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(465)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666666"/>
              </w:rPr>
              <w:t>Other current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(854)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(839)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(1,718)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(952)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360"/>
              <w:spacing w:after="0"/>
              <w:rPr>
                <w:sz w:val="20"/>
                <w:szCs w:val="20"/>
                <w:color w:val="auto"/>
              </w:rPr>
            </w:pPr>
            <w:r>
              <w:rPr>
                <w:rFonts w:ascii="Arial" w:cs="Arial" w:eastAsia="Arial" w:hAnsi="Arial"/>
                <w:sz w:val="16"/>
                <w:szCs w:val="16"/>
                <w:color w:val="666666"/>
              </w:rPr>
              <w:t>Other long-term assets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(865)</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550</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(1,834)</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(285)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666666"/>
              </w:rPr>
              <w:t>Accounts payable</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1,264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1,010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232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1,148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360"/>
              <w:spacing w:after="0"/>
              <w:rPr>
                <w:sz w:val="20"/>
                <w:szCs w:val="20"/>
                <w:color w:val="auto"/>
              </w:rPr>
            </w:pPr>
            <w:r>
              <w:rPr>
                <w:rFonts w:ascii="Arial" w:cs="Arial" w:eastAsia="Arial" w:hAnsi="Arial"/>
                <w:sz w:val="16"/>
                <w:szCs w:val="16"/>
                <w:color w:val="666666"/>
              </w:rPr>
              <w:t>Unearned revenue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9,005</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8,702</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4,462</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5,922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666666"/>
              </w:rPr>
              <w:t>Income taxes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3,808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903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2,929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18,183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360"/>
              <w:spacing w:after="0"/>
              <w:rPr>
                <w:sz w:val="20"/>
                <w:szCs w:val="20"/>
                <w:color w:val="auto"/>
              </w:rPr>
            </w:pPr>
            <w:r>
              <w:rPr>
                <w:rFonts w:ascii="Arial" w:cs="Arial" w:eastAsia="Arial" w:hAnsi="Arial"/>
                <w:sz w:val="16"/>
                <w:szCs w:val="16"/>
                <w:color w:val="666666"/>
              </w:rPr>
              <w:t>Other current liabilities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2,436</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1,773</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1,419</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798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666666"/>
              </w:rPr>
              <w:t>Other long-term liabilities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(366)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591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740" w:type="dxa"/>
            <w:vAlign w:val="bottom"/>
            <w:gridSpan w:val="2"/>
          </w:tcPr>
          <w:p>
            <w:pPr>
              <w:ind w:left="520"/>
              <w:spacing w:after="0"/>
              <w:rPr>
                <w:sz w:val="20"/>
                <w:szCs w:val="20"/>
                <w:color w:val="auto"/>
              </w:rPr>
            </w:pPr>
            <w:r>
              <w:rPr>
                <w:rFonts w:ascii="Arial" w:cs="Arial" w:eastAsia="Arial" w:hAnsi="Arial"/>
                <w:sz w:val="16"/>
                <w:szCs w:val="16"/>
                <w:color w:val="666666"/>
              </w:rPr>
              <w:t>Net cash from operations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16,108</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11,418</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52,185</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43,884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666666"/>
              </w:rPr>
              <w:t>Financing</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Repayments of short-term debt, maturities of 90 days or less net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0</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0</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0</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(7,324)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666666"/>
              </w:rPr>
              <w:t>Proceeds from issuance of debt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7,183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Repayments of debt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(1,000)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(681)</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(4,000)</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(10,060)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666666"/>
              </w:rPr>
              <w:t>Common stock issued</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308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255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1,142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1,002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Common stock repurchased</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(4,633)</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(2,362)</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(19,543)</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(10,721)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666666"/>
              </w:rPr>
              <w:t>Common stock cash dividends paid</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(3,521)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(3,226)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(13,811)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(12,699)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Other, net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160</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(25)</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(675)</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(971)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666666"/>
              </w:rPr>
              <w:t>Net cash used in financing</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(8,686)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(6,039)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(36,887)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(33,590)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b w:val="1"/>
                <w:bCs w:val="1"/>
                <w:color w:val="666666"/>
              </w:rPr>
              <w:t>Investing</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666666"/>
              </w:rPr>
              <w:t>Additions to property and equipment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(4,051)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(3,980)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(13,925)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(11,632)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Acquisition of companies, net of cash acquired, and purchases of intangible and other</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666666"/>
              </w:rPr>
              <w:t>(281)</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666666"/>
              </w:rPr>
              <w:t>(2,388)</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740" w:type="dxa"/>
            <w:vAlign w:val="bottom"/>
            <w:gridSpan w:val="2"/>
          </w:tcPr>
          <w:p>
            <w:pPr>
              <w:ind w:left="140"/>
              <w:spacing w:after="0"/>
              <w:rPr>
                <w:sz w:val="20"/>
                <w:szCs w:val="20"/>
                <w:color w:val="auto"/>
              </w:rPr>
            </w:pPr>
            <w:r>
              <w:rPr>
                <w:rFonts w:ascii="Arial" w:cs="Arial" w:eastAsia="Arial" w:hAnsi="Arial"/>
                <w:sz w:val="16"/>
                <w:szCs w:val="16"/>
                <w:color w:val="666666"/>
              </w:rPr>
              <w:t>assets</w:t>
            </w:r>
          </w:p>
        </w:tc>
        <w:tc>
          <w:tcPr>
            <w:tcW w:w="980" w:type="dxa"/>
            <w:vAlign w:val="bottom"/>
            <w:vMerge w:val="continue"/>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(434)</w:t>
            </w:r>
          </w:p>
        </w:tc>
        <w:tc>
          <w:tcPr>
            <w:tcW w:w="1400" w:type="dxa"/>
            <w:vAlign w:val="bottom"/>
            <w:gridSpan w:val="2"/>
            <w:vMerge w:val="continue"/>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(888)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666666"/>
              </w:rPr>
              <w:t>Purchases of investments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(15,442)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(32,380)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(57,697)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(137,380)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Maturities of investments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5,154</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7,108</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20,043</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26,360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666666"/>
              </w:rPr>
              <w:t>Sales of investments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7,363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27,024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38,194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117,577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Securities lending payable</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0</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(8)</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0</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666666"/>
              </w:rPr>
              <w:t>Net cash used in investing</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(7,257)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(2,670)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(15,773)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(6,061)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Effect of foreign exchange rates on cash and cash equivalents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(21)</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16</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(115)</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666666"/>
              </w:rPr>
              <w:t>Net change in cash and cash equivalents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144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2,725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(590)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4,283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740" w:type="dxa"/>
            <w:vAlign w:val="bottom"/>
            <w:gridSpan w:val="2"/>
          </w:tcPr>
          <w:p>
            <w:pPr>
              <w:ind w:left="20"/>
              <w:spacing w:after="0"/>
              <w:rPr>
                <w:sz w:val="20"/>
                <w:szCs w:val="20"/>
                <w:color w:val="auto"/>
              </w:rPr>
            </w:pPr>
            <w:r>
              <w:rPr>
                <w:rFonts w:ascii="Arial" w:cs="Arial" w:eastAsia="Arial" w:hAnsi="Arial"/>
                <w:sz w:val="16"/>
                <w:szCs w:val="16"/>
                <w:color w:val="666666"/>
              </w:rPr>
              <w:t>Cash and cash equivalents, beginning of period</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666666"/>
              </w:rPr>
              <w:t>11,212</w:t>
            </w:r>
          </w:p>
        </w:tc>
        <w:tc>
          <w:tcPr>
            <w:tcW w:w="880" w:type="dxa"/>
            <w:vAlign w:val="bottom"/>
            <w:gridSpan w:val="2"/>
          </w:tcPr>
          <w:p>
            <w:pPr>
              <w:jc w:val="right"/>
              <w:spacing w:after="0"/>
              <w:rPr>
                <w:sz w:val="20"/>
                <w:szCs w:val="20"/>
                <w:color w:val="auto"/>
              </w:rPr>
            </w:pPr>
            <w:r>
              <w:rPr>
                <w:rFonts w:ascii="Arial" w:cs="Arial" w:eastAsia="Arial" w:hAnsi="Arial"/>
                <w:sz w:val="16"/>
                <w:szCs w:val="16"/>
                <w:color w:val="666666"/>
              </w:rPr>
              <w:t>9,221</w:t>
            </w: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11,946</w:t>
            </w:r>
          </w:p>
        </w:tc>
        <w:tc>
          <w:tcPr>
            <w:tcW w:w="960" w:type="dxa"/>
            <w:vAlign w:val="bottom"/>
            <w:gridSpan w:val="2"/>
          </w:tcPr>
          <w:p>
            <w:pPr>
              <w:jc w:val="right"/>
              <w:spacing w:after="0"/>
              <w:rPr>
                <w:sz w:val="20"/>
                <w:szCs w:val="20"/>
                <w:color w:val="auto"/>
              </w:rPr>
            </w:pPr>
            <w:r>
              <w:rPr>
                <w:rFonts w:ascii="Arial" w:cs="Arial" w:eastAsia="Arial" w:hAnsi="Arial"/>
                <w:sz w:val="16"/>
                <w:szCs w:val="16"/>
                <w:color w:val="666666"/>
              </w:rPr>
              <w:t>7,663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666666"/>
              </w:rPr>
              <w:t>Cash and cash equivalents, end of period</w:t>
            </w:r>
          </w:p>
        </w:tc>
        <w:tc>
          <w:tcPr>
            <w:tcW w:w="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666666"/>
              </w:rPr>
              <w:t>$11,356</w:t>
            </w:r>
          </w:p>
        </w:tc>
        <w:tc>
          <w:tcPr>
            <w:tcW w:w="1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66666"/>
              </w:rPr>
              <w:t>$11,946</w:t>
            </w:r>
          </w:p>
        </w:tc>
        <w:tc>
          <w:tcPr>
            <w:tcW w:w="16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666666"/>
              </w:rPr>
              <w:t>$11,356</w:t>
            </w: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66666"/>
              </w:rPr>
              <w:t>$11,946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65"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39"/>
        </w:trPr>
        <w:tc>
          <w:tcPr>
            <w:tcW w:w="3240" w:type="dxa"/>
            <w:vAlign w:val="bottom"/>
            <w:gridSpan w:val="2"/>
          </w:tcPr>
          <w:p>
            <w:pPr>
              <w:spacing w:after="0"/>
              <w:rPr>
                <w:sz w:val="20"/>
                <w:szCs w:val="20"/>
                <w:color w:val="auto"/>
              </w:rPr>
            </w:pPr>
            <w:r>
              <w:rPr>
                <w:rFonts w:ascii="Arial" w:cs="Arial" w:eastAsia="Arial" w:hAnsi="Arial"/>
                <w:sz w:val="18"/>
                <w:szCs w:val="18"/>
                <w:b w:val="1"/>
                <w:bCs w:val="1"/>
                <w:color w:val="666666"/>
              </w:rPr>
              <w:t>MICROSOFT CORPORATION</w:t>
            </w:r>
          </w:p>
        </w:tc>
        <w:tc>
          <w:tcPr>
            <w:tcW w:w="3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67"/>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760" w:type="dxa"/>
            <w:vAlign w:val="bottom"/>
            <w:gridSpan w:val="2"/>
          </w:tcPr>
          <w:p>
            <w:pPr>
              <w:jc w:val="right"/>
              <w:ind w:right="350"/>
              <w:spacing w:after="0"/>
              <w:rPr>
                <w:sz w:val="20"/>
                <w:szCs w:val="20"/>
                <w:color w:val="auto"/>
              </w:rPr>
            </w:pPr>
            <w:r>
              <w:rPr>
                <w:rFonts w:ascii="Arial" w:cs="Arial" w:eastAsia="Arial" w:hAnsi="Arial"/>
                <w:sz w:val="18"/>
                <w:szCs w:val="18"/>
                <w:color w:val="666666"/>
              </w:rPr>
              <w:t>SEGMENT REVENUE AND OPERATING INCOME</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760" w:type="dxa"/>
            <w:vAlign w:val="bottom"/>
            <w:gridSpan w:val="2"/>
          </w:tcPr>
          <w:p>
            <w:pPr>
              <w:jc w:val="right"/>
              <w:ind w:right="1450"/>
              <w:spacing w:after="0"/>
              <w:rPr>
                <w:sz w:val="20"/>
                <w:szCs w:val="20"/>
                <w:color w:val="auto"/>
              </w:rPr>
            </w:pPr>
            <w:r>
              <w:rPr>
                <w:rFonts w:ascii="Arial" w:cs="Arial" w:eastAsia="Arial" w:hAnsi="Arial"/>
                <w:sz w:val="18"/>
                <w:szCs w:val="18"/>
                <w:color w:val="666666"/>
              </w:rPr>
              <w:t>(In millions) (Unaudited)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b w:val="1"/>
                <w:bCs w:val="1"/>
                <w:color w:val="666666"/>
              </w:rPr>
              <w:t>Three Months Ended</w:t>
            </w:r>
          </w:p>
        </w:tc>
        <w:tc>
          <w:tcPr>
            <w:tcW w:w="160" w:type="dxa"/>
            <w:vAlign w:val="bottom"/>
          </w:tcPr>
          <w:p>
            <w:pPr>
              <w:spacing w:after="0"/>
              <w:rPr>
                <w:sz w:val="24"/>
                <w:szCs w:val="2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w w:val="99"/>
              </w:rPr>
              <w:t>Twelve Months Ended</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June 30,</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666666"/>
              </w:rPr>
              <w:t>June 30,</w:t>
            </w:r>
          </w:p>
        </w:tc>
      </w:tr>
      <w:tr>
        <w:trPr>
          <w:trHeight w:val="225"/>
        </w:trPr>
        <w:tc>
          <w:tcPr>
            <w:tcW w:w="20" w:type="dxa"/>
            <w:vAlign w:val="bottom"/>
          </w:tcPr>
          <w:p>
            <w:pPr>
              <w:spacing w:after="0"/>
              <w:rPr>
                <w:sz w:val="19"/>
                <w:szCs w:val="19"/>
                <w:color w:val="auto"/>
              </w:rPr>
            </w:pPr>
          </w:p>
        </w:tc>
        <w:tc>
          <w:tcPr>
            <w:tcW w:w="3220" w:type="dxa"/>
            <w:vAlign w:val="bottom"/>
            <w:tcBorders>
              <w:bottom w:val="single" w:sz="8" w:color="auto"/>
            </w:tcBorders>
          </w:tcPr>
          <w:p>
            <w:pPr>
              <w:spacing w:after="0"/>
              <w:rPr>
                <w:sz w:val="19"/>
                <w:szCs w:val="19"/>
                <w:color w:val="auto"/>
              </w:rPr>
            </w:pPr>
          </w:p>
        </w:tc>
        <w:tc>
          <w:tcPr>
            <w:tcW w:w="4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2018</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2018</w:t>
            </w:r>
          </w:p>
        </w:tc>
        <w:tc>
          <w:tcPr>
            <w:tcW w:w="60" w:type="dxa"/>
            <w:vAlign w:val="bottom"/>
          </w:tcPr>
          <w:p>
            <w:pPr>
              <w:spacing w:after="0"/>
              <w:rPr>
                <w:sz w:val="19"/>
                <w:szCs w:val="19"/>
                <w:color w:val="auto"/>
              </w:rPr>
            </w:pPr>
          </w:p>
        </w:tc>
      </w:tr>
      <w:tr>
        <w:trPr>
          <w:trHeight w:val="61"/>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77"/>
        </w:trPr>
        <w:tc>
          <w:tcPr>
            <w:tcW w:w="20" w:type="dxa"/>
            <w:vAlign w:val="bottom"/>
          </w:tcPr>
          <w:p>
            <w:pPr>
              <w:spacing w:after="0"/>
              <w:rPr>
                <w:sz w:val="24"/>
                <w:szCs w:val="24"/>
                <w:color w:val="auto"/>
              </w:rPr>
            </w:pPr>
          </w:p>
        </w:tc>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666666"/>
              </w:rPr>
              <w:t>Revenue</w:t>
            </w:r>
          </w:p>
        </w:tc>
        <w:tc>
          <w:tcPr>
            <w:tcW w:w="34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3220" w:type="dxa"/>
            <w:vAlign w:val="bottom"/>
          </w:tcPr>
          <w:p>
            <w:pPr>
              <w:ind w:left="40"/>
              <w:spacing w:after="0"/>
              <w:rPr>
                <w:sz w:val="20"/>
                <w:szCs w:val="20"/>
                <w:color w:val="auto"/>
              </w:rPr>
            </w:pPr>
            <w:r>
              <w:rPr>
                <w:rFonts w:ascii="Arial" w:cs="Arial" w:eastAsia="Arial" w:hAnsi="Arial"/>
                <w:sz w:val="18"/>
                <w:szCs w:val="18"/>
                <w:color w:val="666666"/>
              </w:rPr>
              <w:t>Productivity and Business Processes</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$11,047</w:t>
            </w:r>
          </w:p>
        </w:tc>
        <w:tc>
          <w:tcPr>
            <w:tcW w:w="920" w:type="dxa"/>
            <w:vAlign w:val="bottom"/>
            <w:gridSpan w:val="2"/>
          </w:tcPr>
          <w:p>
            <w:pPr>
              <w:jc w:val="right"/>
              <w:spacing w:after="0"/>
              <w:rPr>
                <w:sz w:val="20"/>
                <w:szCs w:val="20"/>
                <w:color w:val="auto"/>
              </w:rPr>
            </w:pPr>
            <w:r>
              <w:rPr>
                <w:rFonts w:ascii="Arial" w:cs="Arial" w:eastAsia="Arial" w:hAnsi="Arial"/>
                <w:sz w:val="18"/>
                <w:szCs w:val="18"/>
                <w:color w:val="666666"/>
              </w:rPr>
              <w:t>$9,668</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$41,160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666666"/>
              </w:rPr>
              <w:t>$35,865</w:t>
            </w:r>
          </w:p>
        </w:tc>
        <w:tc>
          <w:tcPr>
            <w:tcW w:w="60" w:type="dxa"/>
            <w:vAlign w:val="bottom"/>
          </w:tcPr>
          <w:p>
            <w:pPr>
              <w:spacing w:after="0"/>
              <w:rPr>
                <w:sz w:val="24"/>
                <w:szCs w:val="24"/>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77"/>
        </w:trPr>
        <w:tc>
          <w:tcPr>
            <w:tcW w:w="20" w:type="dxa"/>
            <w:vAlign w:val="bottom"/>
          </w:tcPr>
          <w:p>
            <w:pPr>
              <w:spacing w:after="0"/>
              <w:rPr>
                <w:sz w:val="24"/>
                <w:szCs w:val="24"/>
                <w:color w:val="auto"/>
              </w:rPr>
            </w:pPr>
          </w:p>
        </w:tc>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Intelligent Cloud</w:t>
            </w:r>
          </w:p>
        </w:tc>
        <w:tc>
          <w:tcPr>
            <w:tcW w:w="4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11,391</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9,606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38,985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32,219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220" w:type="dxa"/>
            <w:vAlign w:val="bottom"/>
          </w:tcPr>
          <w:p>
            <w:pPr>
              <w:ind w:left="40"/>
              <w:spacing w:after="0"/>
              <w:rPr>
                <w:sz w:val="20"/>
                <w:szCs w:val="20"/>
                <w:color w:val="auto"/>
              </w:rPr>
            </w:pPr>
            <w:r>
              <w:rPr>
                <w:rFonts w:ascii="Arial" w:cs="Arial" w:eastAsia="Arial" w:hAnsi="Arial"/>
                <w:sz w:val="18"/>
                <w:szCs w:val="18"/>
                <w:color w:val="666666"/>
              </w:rPr>
              <w:t>More Personal Computing</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11,279</w:t>
            </w:r>
          </w:p>
        </w:tc>
        <w:tc>
          <w:tcPr>
            <w:tcW w:w="920" w:type="dxa"/>
            <w:vAlign w:val="bottom"/>
            <w:gridSpan w:val="2"/>
          </w:tcPr>
          <w:p>
            <w:pPr>
              <w:jc w:val="right"/>
              <w:spacing w:after="0"/>
              <w:rPr>
                <w:sz w:val="20"/>
                <w:szCs w:val="20"/>
                <w:color w:val="auto"/>
              </w:rPr>
            </w:pPr>
            <w:r>
              <w:rPr>
                <w:rFonts w:ascii="Arial" w:cs="Arial" w:eastAsia="Arial" w:hAnsi="Arial"/>
                <w:sz w:val="18"/>
                <w:szCs w:val="18"/>
                <w:color w:val="666666"/>
              </w:rPr>
              <w:t>10,811</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45,698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666666"/>
              </w:rPr>
              <w:t>42,276</w:t>
            </w:r>
          </w:p>
        </w:tc>
        <w:tc>
          <w:tcPr>
            <w:tcW w:w="60" w:type="dxa"/>
            <w:vAlign w:val="bottom"/>
          </w:tcPr>
          <w:p>
            <w:pPr>
              <w:spacing w:after="0"/>
              <w:rPr>
                <w:sz w:val="22"/>
                <w:szCs w:val="22"/>
                <w:color w:val="auto"/>
              </w:rPr>
            </w:pPr>
          </w:p>
        </w:tc>
      </w:tr>
      <w:tr>
        <w:trPr>
          <w:trHeight w:val="48"/>
        </w:trPr>
        <w:tc>
          <w:tcPr>
            <w:tcW w:w="20" w:type="dxa"/>
            <w:vAlign w:val="bottom"/>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20" w:type="dxa"/>
            <w:vAlign w:val="bottom"/>
          </w:tcPr>
          <w:p>
            <w:pPr>
              <w:spacing w:after="0"/>
              <w:rPr>
                <w:sz w:val="24"/>
                <w:szCs w:val="24"/>
                <w:color w:val="auto"/>
              </w:rPr>
            </w:pPr>
          </w:p>
        </w:tc>
        <w:tc>
          <w:tcPr>
            <w:tcW w:w="3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Total</w:t>
            </w:r>
          </w:p>
        </w:tc>
        <w:tc>
          <w:tcPr>
            <w:tcW w:w="4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$33,717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$30,085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$125,843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$110,360</w:t>
            </w:r>
          </w:p>
        </w:tc>
        <w:tc>
          <w:tcPr>
            <w:tcW w:w="60" w:type="dxa"/>
            <w:vAlign w:val="bottom"/>
            <w:tcBorders>
              <w:bottom w:val="single" w:sz="8" w:color="CCEEFF"/>
            </w:tcBorders>
            <w:shd w:val="clear" w:color="auto" w:fill="CCEEFF"/>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3220" w:type="dxa"/>
            <w:vAlign w:val="bottom"/>
          </w:tcPr>
          <w:p>
            <w:pPr>
              <w:ind w:left="40"/>
              <w:spacing w:after="0"/>
              <w:rPr>
                <w:sz w:val="20"/>
                <w:szCs w:val="20"/>
                <w:color w:val="auto"/>
              </w:rPr>
            </w:pPr>
            <w:r>
              <w:rPr>
                <w:rFonts w:ascii="Arial" w:cs="Arial" w:eastAsia="Arial" w:hAnsi="Arial"/>
                <w:sz w:val="18"/>
                <w:szCs w:val="18"/>
                <w:b w:val="1"/>
                <w:bCs w:val="1"/>
                <w:color w:val="666666"/>
              </w:rPr>
              <w:t>Operating Income</w:t>
            </w:r>
          </w:p>
        </w:tc>
        <w:tc>
          <w:tcPr>
            <w:tcW w:w="34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1"/>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20" w:type="dxa"/>
            <w:vAlign w:val="bottom"/>
          </w:tcPr>
          <w:p>
            <w:pPr>
              <w:spacing w:after="0"/>
              <w:rPr>
                <w:sz w:val="24"/>
                <w:szCs w:val="24"/>
                <w:color w:val="auto"/>
              </w:rPr>
            </w:pPr>
          </w:p>
        </w:tc>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Productivity and Business Processes</w:t>
            </w:r>
          </w:p>
        </w:tc>
        <w:tc>
          <w:tcPr>
            <w:tcW w:w="4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$4,344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$3,466</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$16,219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$12,924</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3220" w:type="dxa"/>
            <w:vAlign w:val="bottom"/>
          </w:tcPr>
          <w:p>
            <w:pPr>
              <w:ind w:left="40"/>
              <w:spacing w:after="0"/>
              <w:rPr>
                <w:sz w:val="20"/>
                <w:szCs w:val="20"/>
                <w:color w:val="auto"/>
              </w:rPr>
            </w:pPr>
            <w:r>
              <w:rPr>
                <w:rFonts w:ascii="Arial" w:cs="Arial" w:eastAsia="Arial" w:hAnsi="Arial"/>
                <w:sz w:val="18"/>
                <w:szCs w:val="18"/>
                <w:color w:val="666666"/>
              </w:rPr>
              <w:t>Intelligent Cloud</w:t>
            </w:r>
          </w:p>
        </w:tc>
        <w:tc>
          <w:tcPr>
            <w:tcW w:w="476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4,502</w:t>
            </w:r>
          </w:p>
        </w:tc>
        <w:tc>
          <w:tcPr>
            <w:tcW w:w="920" w:type="dxa"/>
            <w:vAlign w:val="bottom"/>
            <w:gridSpan w:val="2"/>
          </w:tcPr>
          <w:p>
            <w:pPr>
              <w:jc w:val="right"/>
              <w:spacing w:after="0"/>
              <w:rPr>
                <w:sz w:val="20"/>
                <w:szCs w:val="20"/>
                <w:color w:val="auto"/>
              </w:rPr>
            </w:pPr>
            <w:r>
              <w:rPr>
                <w:rFonts w:ascii="Arial" w:cs="Arial" w:eastAsia="Arial" w:hAnsi="Arial"/>
                <w:sz w:val="18"/>
                <w:szCs w:val="18"/>
                <w:color w:val="666666"/>
              </w:rPr>
              <w:t>3,901</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13,920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666666"/>
              </w:rPr>
              <w:t>11,524</w:t>
            </w:r>
          </w:p>
        </w:tc>
        <w:tc>
          <w:tcPr>
            <w:tcW w:w="60" w:type="dxa"/>
            <w:vAlign w:val="bottom"/>
          </w:tcPr>
          <w:p>
            <w:pPr>
              <w:spacing w:after="0"/>
              <w:rPr>
                <w:sz w:val="22"/>
                <w:szCs w:val="22"/>
                <w:color w:val="auto"/>
              </w:rPr>
            </w:pPr>
          </w:p>
        </w:tc>
      </w:tr>
      <w:tr>
        <w:trPr>
          <w:trHeight w:val="41"/>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4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97"/>
        </w:trPr>
        <w:tc>
          <w:tcPr>
            <w:tcW w:w="20" w:type="dxa"/>
            <w:vAlign w:val="bottom"/>
          </w:tcPr>
          <w:p>
            <w:pPr>
              <w:spacing w:after="0"/>
              <w:rPr>
                <w:sz w:val="24"/>
                <w:szCs w:val="24"/>
                <w:color w:val="auto"/>
              </w:rPr>
            </w:pPr>
          </w:p>
        </w:tc>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More Personal Computing</w:t>
            </w:r>
          </w:p>
        </w:tc>
        <w:tc>
          <w:tcPr>
            <w:tcW w:w="4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3,559</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3,012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12,820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10,610</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2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666666"/>
              </w:rPr>
              <w:t>Total</w:t>
            </w:r>
          </w:p>
        </w:tc>
        <w:tc>
          <w:tcPr>
            <w:tcW w:w="4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$12,405</w:t>
            </w:r>
          </w:p>
        </w:tc>
        <w:tc>
          <w:tcPr>
            <w:tcW w:w="160" w:type="dxa"/>
            <w:vAlign w:val="bottom"/>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$10,379</w:t>
            </w:r>
          </w:p>
        </w:tc>
        <w:tc>
          <w:tcPr>
            <w:tcW w:w="160" w:type="dxa"/>
            <w:vAlign w:val="bottom"/>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$42,959</w:t>
            </w:r>
          </w:p>
        </w:tc>
        <w:tc>
          <w:tcPr>
            <w:tcW w:w="16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$35,058</w:t>
            </w:r>
          </w:p>
        </w:tc>
        <w:tc>
          <w:tcPr>
            <w:tcW w:w="60" w:type="dxa"/>
            <w:vAlign w:val="bottom"/>
          </w:tcPr>
          <w:p>
            <w:pPr>
              <w:spacing w:after="0"/>
              <w:rPr>
                <w:sz w:val="22"/>
                <w:szCs w:val="22"/>
                <w:color w:val="auto"/>
              </w:rPr>
            </w:pPr>
          </w:p>
        </w:tc>
      </w:tr>
      <w:tr>
        <w:trPr>
          <w:trHeight w:val="48"/>
        </w:trPr>
        <w:tc>
          <w:tcPr>
            <w:tcW w:w="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bl>
    <w:p>
      <w:pPr>
        <w:spacing w:after="0"/>
        <w:rPr>
          <w:sz w:val="20"/>
          <w:szCs w:val="20"/>
          <w:color w:val="auto"/>
        </w:rPr>
        <w:sectPr>
          <w:pgSz w:w="11900" w:h="16838" w:orient="portrait"/>
          <w:cols w:equalWidth="0" w:num="1">
            <w:col w:w="11040"/>
          </w:cols>
          <w:pgMar w:left="440" w:top="265"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 w:name="page17"/>
    <w:bookmarkEnd w:id="16"/>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MICROSOFT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FOURTH QUARTER FINANCIAL HIGHLIGHTS</w:t>
      </w:r>
    </w:p>
    <w:p>
      <w:pPr>
        <w:spacing w:after="0" w:line="234"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666666"/>
        </w:rPr>
        <w:t>All growth comparisons relate to the corresponding period in the last fiscal year. Please refer to the reconciliation of our GAAP and non-GAAP financial results in the table provided above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SUMMARY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Revenue was $33.7 billion and increased 12%, driven by growth across each of our segments.</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18"/>
          <w:szCs w:val="18"/>
          <w:color w:val="666666"/>
        </w:rPr>
        <w:t>Gross margin was $23.3 billion and increased 15%, driven by growth across each of our segments. Gross margin percentage increased, driven by gross margin percentage improvement in More Personal Computing and Productivity and Business Processes, and favorable segment sales mix. Gross margin included a 6 percentage point improvement in commercial cloud, primarily from Azure.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666666"/>
        </w:rPr>
        <w:t>Operating income was $12.4 billion and increased 20%, driven by growth across each of our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666666"/>
        </w:rPr>
        <w:t>Net income was $13.2 billion and increased 49%. Non-GAAP net income was $10.6 billion and increased 21%, excluding the net</w:t>
      </w:r>
    </w:p>
    <w:p>
      <w:pPr>
        <w:ind w:right="200"/>
        <w:spacing w:after="0" w:line="246" w:lineRule="auto"/>
        <w:rPr>
          <w:sz w:val="20"/>
          <w:szCs w:val="20"/>
          <w:color w:val="auto"/>
        </w:rPr>
      </w:pPr>
      <w:r>
        <w:rPr>
          <w:rFonts w:ascii="Arial" w:cs="Arial" w:eastAsia="Arial" w:hAnsi="Arial"/>
          <w:sz w:val="18"/>
          <w:szCs w:val="18"/>
          <w:color w:val="666666"/>
        </w:rPr>
        <w:t>$2.6 billion income tax benefit in the current year and the net $104 million income tax benefit in the prior year. These net tax benefits are explained in the Income Taxes section below.</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666666"/>
        </w:rPr>
        <w:t>Diluted earnings per share was $1.71 and increased 50%. Non-GAAP diluted earnings per share was $1.37 and increased 21%, excluding $0.34 related to the net tax benefit in the current year and $0.01 related to the net tax benefit in the prior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66666"/>
        </w:rPr>
        <w:t>Revenue, gross margin, and operating income included an unfavorable foreign currency impact of 2%, 2%, and 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SEGMENT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66666"/>
        </w:rPr>
        <w:t>Productivity and Business Processes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$1.4 billion or 14%.</w:t>
      </w:r>
    </w:p>
    <w:p>
      <w:pPr>
        <w:spacing w:after="0" w:line="239" w:lineRule="exact"/>
        <w:rPr>
          <w:sz w:val="20"/>
          <w:szCs w:val="20"/>
          <w:color w:val="auto"/>
        </w:rPr>
      </w:pPr>
    </w:p>
    <w:p>
      <w:pPr>
        <w:ind w:left="860" w:right="160" w:hanging="316"/>
        <w:spacing w:after="0"/>
        <w:tabs>
          <w:tab w:leader="none" w:pos="860" w:val="left"/>
        </w:tabs>
        <w:numPr>
          <w:ilvl w:val="0"/>
          <w:numId w:val="11"/>
        </w:numPr>
        <w:rPr>
          <w:rFonts w:ascii="Arial" w:cs="Arial" w:eastAsia="Arial" w:hAnsi="Arial"/>
          <w:sz w:val="18"/>
          <w:szCs w:val="18"/>
          <w:color w:val="666666"/>
        </w:rPr>
      </w:pPr>
      <w:r>
        <w:rPr>
          <w:rFonts w:ascii="Arial" w:cs="Arial" w:eastAsia="Arial" w:hAnsi="Arial"/>
          <w:sz w:val="18"/>
          <w:szCs w:val="18"/>
          <w:color w:val="666666"/>
        </w:rPr>
        <w:t>Office Commercial revenue increased $891 million or 14%, driven by Office 365 Commercial, offset in part by lower revenue from products licensed on-premises, reflecting a continued shift to cloud offerings. Office 365 Commercial revenue grew 31%, due to growth in seats and higher average revenue per user.</w:t>
      </w:r>
    </w:p>
    <w:p>
      <w:pPr>
        <w:spacing w:after="0" w:line="229" w:lineRule="exact"/>
        <w:rPr>
          <w:rFonts w:ascii="Arial" w:cs="Arial" w:eastAsia="Arial" w:hAnsi="Arial"/>
          <w:sz w:val="18"/>
          <w:szCs w:val="18"/>
          <w:color w:val="666666"/>
        </w:rPr>
      </w:pPr>
    </w:p>
    <w:p>
      <w:pPr>
        <w:ind w:left="860" w:right="200" w:hanging="316"/>
        <w:spacing w:after="0" w:line="246" w:lineRule="auto"/>
        <w:tabs>
          <w:tab w:leader="none" w:pos="860" w:val="left"/>
        </w:tabs>
        <w:numPr>
          <w:ilvl w:val="0"/>
          <w:numId w:val="11"/>
        </w:numPr>
        <w:rPr>
          <w:rFonts w:ascii="Arial" w:cs="Arial" w:eastAsia="Arial" w:hAnsi="Arial"/>
          <w:sz w:val="18"/>
          <w:szCs w:val="18"/>
          <w:color w:val="666666"/>
        </w:rPr>
      </w:pPr>
      <w:r>
        <w:rPr>
          <w:rFonts w:ascii="Arial" w:cs="Arial" w:eastAsia="Arial" w:hAnsi="Arial"/>
          <w:sz w:val="18"/>
          <w:szCs w:val="18"/>
          <w:color w:val="666666"/>
        </w:rPr>
        <w:t>Office Consumer revenue increased $57 million or 6%, driven by Office 365 Consumer, due to recurring subscription revenue and transactional strength in Japan.</w:t>
      </w:r>
    </w:p>
    <w:p>
      <w:pPr>
        <w:spacing w:after="0" w:line="223" w:lineRule="exact"/>
        <w:rPr>
          <w:rFonts w:ascii="Arial" w:cs="Arial" w:eastAsia="Arial" w:hAnsi="Arial"/>
          <w:sz w:val="18"/>
          <w:szCs w:val="18"/>
          <w:color w:val="666666"/>
        </w:rPr>
      </w:pPr>
    </w:p>
    <w:p>
      <w:pPr>
        <w:ind w:left="860" w:hanging="316"/>
        <w:spacing w:after="0"/>
        <w:tabs>
          <w:tab w:leader="none" w:pos="860" w:val="left"/>
        </w:tabs>
        <w:numPr>
          <w:ilvl w:val="0"/>
          <w:numId w:val="11"/>
        </w:numPr>
        <w:rPr>
          <w:rFonts w:ascii="Arial" w:cs="Arial" w:eastAsia="Arial" w:hAnsi="Arial"/>
          <w:sz w:val="18"/>
          <w:szCs w:val="18"/>
          <w:color w:val="666666"/>
        </w:rPr>
      </w:pPr>
      <w:r>
        <w:rPr>
          <w:rFonts w:ascii="Arial" w:cs="Arial" w:eastAsia="Arial" w:hAnsi="Arial"/>
          <w:sz w:val="18"/>
          <w:szCs w:val="18"/>
          <w:color w:val="666666"/>
        </w:rPr>
        <w:t>LinkedIn revenue increased $371 million or 25%, driven by growth across each line of business.</w:t>
      </w:r>
    </w:p>
    <w:p>
      <w:pPr>
        <w:spacing w:after="0" w:line="238" w:lineRule="exact"/>
        <w:rPr>
          <w:rFonts w:ascii="Arial" w:cs="Arial" w:eastAsia="Arial" w:hAnsi="Arial"/>
          <w:sz w:val="18"/>
          <w:szCs w:val="18"/>
          <w:color w:val="666666"/>
        </w:rPr>
      </w:pPr>
    </w:p>
    <w:p>
      <w:pPr>
        <w:ind w:left="860" w:hanging="316"/>
        <w:spacing w:after="0"/>
        <w:tabs>
          <w:tab w:leader="none" w:pos="860" w:val="left"/>
        </w:tabs>
        <w:numPr>
          <w:ilvl w:val="0"/>
          <w:numId w:val="11"/>
        </w:numPr>
        <w:rPr>
          <w:rFonts w:ascii="Arial" w:cs="Arial" w:eastAsia="Arial" w:hAnsi="Arial"/>
          <w:sz w:val="18"/>
          <w:szCs w:val="18"/>
          <w:color w:val="666666"/>
        </w:rPr>
      </w:pPr>
      <w:r>
        <w:rPr>
          <w:rFonts w:ascii="Arial" w:cs="Arial" w:eastAsia="Arial" w:hAnsi="Arial"/>
          <w:sz w:val="18"/>
          <w:szCs w:val="18"/>
          <w:color w:val="666666"/>
        </w:rPr>
        <w:t>Dynamics revenue increased 12%, driven by Dynamics 365 growth.</w:t>
      </w:r>
    </w:p>
    <w:p>
      <w:pPr>
        <w:sectPr>
          <w:pgSz w:w="11900" w:h="16838" w:orient="portrait"/>
          <w:cols w:equalWidth="0" w:num="1">
            <w:col w:w="11020"/>
          </w:cols>
          <w:pgMar w:left="440" w:top="265"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increased $878 million or 25%.</w:t>
      </w:r>
    </w:p>
    <w:p>
      <w:pPr>
        <w:spacing w:after="0" w:line="239" w:lineRule="exact"/>
        <w:rPr>
          <w:sz w:val="20"/>
          <w:szCs w:val="20"/>
          <w:color w:val="auto"/>
        </w:rPr>
      </w:pPr>
    </w:p>
    <w:p>
      <w:pPr>
        <w:ind w:left="860" w:right="60" w:hanging="316"/>
        <w:spacing w:after="0"/>
        <w:tabs>
          <w:tab w:leader="none" w:pos="86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t>Gross margin increased $1.2 billion or 16%, driven by growth in Office Commercial and LinkedIn. Gross margin percentage increased, due to gross margin percentage improvement in LinkedIn and Office 365 Commercial, offset in part by an increased mix of cloud offerings.</w:t>
      </w:r>
    </w:p>
    <w:p>
      <w:pPr>
        <w:spacing w:after="0" w:line="229" w:lineRule="exact"/>
        <w:rPr>
          <w:rFonts w:ascii="Arial" w:cs="Arial" w:eastAsia="Arial" w:hAnsi="Arial"/>
          <w:sz w:val="18"/>
          <w:szCs w:val="18"/>
          <w:color w:val="666666"/>
        </w:rPr>
      </w:pPr>
    </w:p>
    <w:p>
      <w:pPr>
        <w:ind w:left="860" w:hanging="316"/>
        <w:spacing w:after="0"/>
        <w:tabs>
          <w:tab w:leader="none" w:pos="86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t>Operating expenses increased $314 million or 8%, driven by investments in LinkedIn and cloud engineering.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Revenue, gross margin, and operating income included an unfavorable foreign currency impact of 3%, 4%, and 6%,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66666"/>
        </w:rPr>
        <w:t>Intelligent Cloud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$1.8 billion or 19%.</w:t>
      </w:r>
    </w:p>
    <w:p>
      <w:pPr>
        <w:spacing w:after="0" w:line="239" w:lineRule="exact"/>
        <w:rPr>
          <w:sz w:val="20"/>
          <w:szCs w:val="20"/>
          <w:color w:val="auto"/>
        </w:rPr>
      </w:pPr>
    </w:p>
    <w:p>
      <w:pPr>
        <w:ind w:left="860" w:right="160" w:hanging="316"/>
        <w:spacing w:after="0" w:line="239" w:lineRule="auto"/>
        <w:tabs>
          <w:tab w:leader="none" w:pos="86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Server products and cloud services revenue, including GitHub, increased $1.7 billion or 22%, driven by Azure. Azure revenue growth was 64%, due to higher infrastructure-as-a-service and platform-as-a-service consumption-based and per-user-based services. Server products revenue grew 5%, driven by demand ahead of end of support for SQL Server 2008 and Windows Server 2008, hybrid solutions, and GitHub.</w:t>
      </w:r>
    </w:p>
    <w:p>
      <w:pPr>
        <w:spacing w:after="0" w:line="228" w:lineRule="exact"/>
        <w:rPr>
          <w:rFonts w:ascii="Arial" w:cs="Arial" w:eastAsia="Arial" w:hAnsi="Arial"/>
          <w:sz w:val="18"/>
          <w:szCs w:val="18"/>
          <w:color w:val="666666"/>
        </w:rPr>
      </w:pPr>
    </w:p>
    <w:p>
      <w:pPr>
        <w:ind w:left="860" w:hanging="316"/>
        <w:spacing w:after="0"/>
        <w:tabs>
          <w:tab w:leader="none" w:pos="86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Enterprise Services revenue increased $60 million or 4%, driven by growth in Premier Support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Operating income increased $601 million or 15%.</w:t>
      </w:r>
    </w:p>
    <w:p>
      <w:pPr>
        <w:spacing w:after="0" w:line="239" w:lineRule="exact"/>
        <w:rPr>
          <w:sz w:val="20"/>
          <w:szCs w:val="20"/>
          <w:color w:val="auto"/>
        </w:rPr>
      </w:pPr>
    </w:p>
    <w:p>
      <w:pPr>
        <w:ind w:left="860" w:hanging="316"/>
        <w:spacing w:after="0"/>
        <w:tabs>
          <w:tab w:leader="none" w:pos="86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Gross margin increased $1.3 billion or 19%, driven by growth in server products and cloud services revenue and cloud services scale and efficiencies. Gross margin percentage was relatively unchanged, with gross margin percentage improvement in Azure offset by an increased mix of cloud offerings.</w:t>
      </w:r>
    </w:p>
    <w:p>
      <w:pPr>
        <w:spacing w:after="0" w:line="229" w:lineRule="exact"/>
        <w:rPr>
          <w:rFonts w:ascii="Arial" w:cs="Arial" w:eastAsia="Arial" w:hAnsi="Arial"/>
          <w:sz w:val="18"/>
          <w:szCs w:val="18"/>
          <w:color w:val="666666"/>
        </w:rPr>
      </w:pPr>
    </w:p>
    <w:p>
      <w:pPr>
        <w:ind w:left="860" w:right="200" w:hanging="316"/>
        <w:spacing w:after="0" w:line="246" w:lineRule="auto"/>
        <w:tabs>
          <w:tab w:leader="none" w:pos="86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Operating expenses increased $674 million or 23%, driven by investments in cloud and artificial intelligence (AI) engineering, GitHub, and revenue-driven operating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66666"/>
        </w:rPr>
        <w:t>Revenue, gross margin, and operating income included an unfavorable foreign currency impact of 2%, 2%, and 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66666"/>
        </w:rPr>
        <w:t>More Personal Computing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Revenue increased $468 million or 4%.</w:t>
      </w:r>
    </w:p>
    <w:p>
      <w:pPr>
        <w:spacing w:after="0" w:line="239" w:lineRule="exact"/>
        <w:rPr>
          <w:sz w:val="20"/>
          <w:szCs w:val="20"/>
          <w:color w:val="auto"/>
        </w:rPr>
      </w:pPr>
    </w:p>
    <w:p>
      <w:pPr>
        <w:ind w:left="860" w:right="20" w:hanging="316"/>
        <w:spacing w:after="0"/>
        <w:tabs>
          <w:tab w:leader="none" w:pos="860" w:val="left"/>
        </w:tabs>
        <w:numPr>
          <w:ilvl w:val="0"/>
          <w:numId w:val="15"/>
        </w:numPr>
        <w:rPr>
          <w:rFonts w:ascii="Arial" w:cs="Arial" w:eastAsia="Arial" w:hAnsi="Arial"/>
          <w:sz w:val="18"/>
          <w:szCs w:val="18"/>
          <w:color w:val="666666"/>
        </w:rPr>
      </w:pPr>
      <w:r>
        <w:rPr>
          <w:rFonts w:ascii="Arial" w:cs="Arial" w:eastAsia="Arial" w:hAnsi="Arial"/>
          <w:sz w:val="18"/>
          <w:szCs w:val="18"/>
          <w:color w:val="666666"/>
        </w:rPr>
        <w:t>Windows revenue increased $368 million or 7%, driven by growth in Windows OEM and Windows Commercial, offset in part by a decrease in patent licensing. Windows OEM revenue increased 9%. Windows OEM Pro revenue increased 18%, ahead of the commercial PC market, driven by healthy</w:t>
      </w:r>
    </w:p>
    <w:p>
      <w:pPr>
        <w:sectPr>
          <w:pgSz w:w="11900" w:h="16838" w:orient="portrait"/>
          <w:cols w:equalWidth="0" w:num="1">
            <w:col w:w="11000"/>
          </w:cols>
          <w:pgMar w:left="440" w:top="287" w:right="459" w:bottom="1440" w:gutter="0" w:footer="0" w:header="0"/>
        </w:sectPr>
      </w:pPr>
    </w:p>
    <w:bookmarkStart w:id="18" w:name="page19"/>
    <w:bookmarkEnd w:id="18"/>
    <w:p>
      <w:pPr>
        <w:ind w:left="880" w:right="140"/>
        <w:spacing w:after="0" w:line="239" w:lineRule="auto"/>
        <w:rPr>
          <w:sz w:val="20"/>
          <w:szCs w:val="20"/>
          <w:color w:val="auto"/>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Windows 10 demand, strong momentum in advance of Windows 7 end of support, and increased inventory levels. Windows OEM non-Pro revenue declined 8%, below the consumer PC market, driven by continued pressure in the entry level category. Windows Commercial revenue increased 13%, driven by an increase of multi-year agreements that carry higher in-quarter revenue recognition.</w:t>
      </w:r>
    </w:p>
    <w:p>
      <w:pPr>
        <w:spacing w:after="0" w:line="229" w:lineRule="exact"/>
        <w:rPr>
          <w:sz w:val="20"/>
          <w:szCs w:val="20"/>
          <w:color w:val="auto"/>
        </w:rPr>
      </w:pPr>
    </w:p>
    <w:p>
      <w:pPr>
        <w:ind w:left="860" w:hanging="316"/>
        <w:spacing w:after="0"/>
        <w:tabs>
          <w:tab w:leader="none" w:pos="8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Surface revenue increased $165 million or 14%, driven by strong growth in our commercial segment.</w:t>
      </w:r>
    </w:p>
    <w:p>
      <w:pPr>
        <w:spacing w:after="0" w:line="238" w:lineRule="exact"/>
        <w:rPr>
          <w:rFonts w:ascii="Arial" w:cs="Arial" w:eastAsia="Arial" w:hAnsi="Arial"/>
          <w:sz w:val="18"/>
          <w:szCs w:val="18"/>
          <w:color w:val="666666"/>
        </w:rPr>
      </w:pPr>
    </w:p>
    <w:p>
      <w:pPr>
        <w:ind w:left="860" w:right="440" w:hanging="316"/>
        <w:spacing w:after="0" w:line="246" w:lineRule="auto"/>
        <w:tabs>
          <w:tab w:leader="none" w:pos="8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Search advertising revenue increased $184 million or 10%. Search advertising revenue, excluding traffic acquisition costs, increased 9%, driven by higher revenue per search.</w:t>
      </w:r>
    </w:p>
    <w:p>
      <w:pPr>
        <w:spacing w:after="0" w:line="223" w:lineRule="exact"/>
        <w:rPr>
          <w:rFonts w:ascii="Arial" w:cs="Arial" w:eastAsia="Arial" w:hAnsi="Arial"/>
          <w:sz w:val="18"/>
          <w:szCs w:val="18"/>
          <w:color w:val="666666"/>
        </w:rPr>
      </w:pPr>
    </w:p>
    <w:p>
      <w:pPr>
        <w:jc w:val="both"/>
        <w:ind w:left="860" w:right="60" w:hanging="316"/>
        <w:spacing w:after="0"/>
        <w:tabs>
          <w:tab w:leader="none" w:pos="8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Gaming revenue decreased $233 million or 10%. Xbox hardware revenue declined 48%, primarily due to a decrease in volume of consoles sold. Xbox software and services revenue declined 3% against a high prior year comparable from a third-party title, offset in part by subscriptions growth.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666666"/>
        </w:rPr>
        <w:t>Operating income increased $547 million or 18%.</w:t>
      </w:r>
    </w:p>
    <w:p>
      <w:pPr>
        <w:spacing w:after="0" w:line="239" w:lineRule="exact"/>
        <w:rPr>
          <w:sz w:val="20"/>
          <w:szCs w:val="20"/>
          <w:color w:val="auto"/>
        </w:rPr>
      </w:pPr>
    </w:p>
    <w:p>
      <w:pPr>
        <w:ind w:left="860" w:right="20" w:hanging="316"/>
        <w:spacing w:after="0" w:line="246" w:lineRule="auto"/>
        <w:tabs>
          <w:tab w:leader="none" w:pos="860" w:val="left"/>
        </w:tabs>
        <w:numPr>
          <w:ilvl w:val="0"/>
          <w:numId w:val="17"/>
        </w:numPr>
        <w:rPr>
          <w:rFonts w:ascii="Arial" w:cs="Arial" w:eastAsia="Arial" w:hAnsi="Arial"/>
          <w:sz w:val="18"/>
          <w:szCs w:val="18"/>
          <w:color w:val="666666"/>
        </w:rPr>
      </w:pPr>
      <w:r>
        <w:rPr>
          <w:rFonts w:ascii="Arial" w:cs="Arial" w:eastAsia="Arial" w:hAnsi="Arial"/>
          <w:sz w:val="18"/>
          <w:szCs w:val="18"/>
          <w:color w:val="666666"/>
        </w:rPr>
        <w:t>Gross margin increased $495 million or 8%, driven by growth in Windows. Gross margin percentage increased, primarily due to a sales mix shift to higher gross margin Windows businesses.</w:t>
      </w:r>
    </w:p>
    <w:p>
      <w:pPr>
        <w:spacing w:after="0" w:line="223" w:lineRule="exact"/>
        <w:rPr>
          <w:rFonts w:ascii="Arial" w:cs="Arial" w:eastAsia="Arial" w:hAnsi="Arial"/>
          <w:sz w:val="18"/>
          <w:szCs w:val="18"/>
          <w:color w:val="666666"/>
        </w:rPr>
      </w:pPr>
    </w:p>
    <w:p>
      <w:pPr>
        <w:ind w:left="860" w:hanging="316"/>
        <w:spacing w:after="0"/>
        <w:tabs>
          <w:tab w:leader="none" w:pos="860" w:val="left"/>
        </w:tabs>
        <w:numPr>
          <w:ilvl w:val="0"/>
          <w:numId w:val="17"/>
        </w:numPr>
        <w:rPr>
          <w:rFonts w:ascii="Arial" w:cs="Arial" w:eastAsia="Arial" w:hAnsi="Arial"/>
          <w:sz w:val="18"/>
          <w:szCs w:val="18"/>
          <w:color w:val="666666"/>
        </w:rPr>
      </w:pPr>
      <w:r>
        <w:rPr>
          <w:rFonts w:ascii="Arial" w:cs="Arial" w:eastAsia="Arial" w:hAnsi="Arial"/>
          <w:sz w:val="18"/>
          <w:szCs w:val="18"/>
          <w:color w:val="666666"/>
        </w:rPr>
        <w:t>Operating expenses decreased $52 million or 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666666"/>
        </w:rPr>
        <w:t>Revenue, gross margin, and operating income included an unfavorable foreign currency impact of 2%, 2%, and 4%,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EXPENSES</w:t>
      </w:r>
    </w:p>
    <w:p>
      <w:pPr>
        <w:spacing w:after="0" w:line="261" w:lineRule="exact"/>
        <w:rPr>
          <w:sz w:val="20"/>
          <w:szCs w:val="20"/>
          <w:color w:val="auto"/>
        </w:rPr>
      </w:pPr>
    </w:p>
    <w:p>
      <w:pPr>
        <w:ind w:left="860" w:hanging="316"/>
        <w:spacing w:after="0"/>
        <w:tabs>
          <w:tab w:leader="none" w:pos="860" w:val="left"/>
        </w:tabs>
        <w:numPr>
          <w:ilvl w:val="0"/>
          <w:numId w:val="18"/>
        </w:numPr>
        <w:rPr>
          <w:rFonts w:ascii="Arial" w:cs="Arial" w:eastAsia="Arial" w:hAnsi="Arial"/>
          <w:sz w:val="18"/>
          <w:szCs w:val="18"/>
          <w:color w:val="666666"/>
        </w:rPr>
      </w:pPr>
      <w:r>
        <w:rPr>
          <w:rFonts w:ascii="Arial" w:cs="Arial" w:eastAsia="Arial" w:hAnsi="Arial"/>
          <w:sz w:val="18"/>
          <w:szCs w:val="18"/>
          <w:color w:val="666666"/>
        </w:rPr>
        <w:t>Cost of revenue increased $670 million or 7%, driven by growth in commercial cloud.</w:t>
      </w:r>
    </w:p>
    <w:p>
      <w:pPr>
        <w:spacing w:after="0" w:line="238" w:lineRule="exact"/>
        <w:rPr>
          <w:rFonts w:ascii="Arial" w:cs="Arial" w:eastAsia="Arial" w:hAnsi="Arial"/>
          <w:sz w:val="18"/>
          <w:szCs w:val="18"/>
          <w:color w:val="666666"/>
        </w:rPr>
      </w:pPr>
    </w:p>
    <w:p>
      <w:pPr>
        <w:ind w:left="860" w:right="540" w:hanging="316"/>
        <w:spacing w:after="0" w:line="246" w:lineRule="auto"/>
        <w:tabs>
          <w:tab w:leader="none" w:pos="860" w:val="left"/>
        </w:tabs>
        <w:numPr>
          <w:ilvl w:val="0"/>
          <w:numId w:val="18"/>
        </w:numPr>
        <w:rPr>
          <w:rFonts w:ascii="Arial" w:cs="Arial" w:eastAsia="Arial" w:hAnsi="Arial"/>
          <w:sz w:val="18"/>
          <w:szCs w:val="18"/>
          <w:color w:val="666666"/>
        </w:rPr>
      </w:pPr>
      <w:r>
        <w:rPr>
          <w:rFonts w:ascii="Arial" w:cs="Arial" w:eastAsia="Arial" w:hAnsi="Arial"/>
          <w:sz w:val="18"/>
          <w:szCs w:val="18"/>
          <w:color w:val="666666"/>
        </w:rPr>
        <w:t>Research and development expenses increased $580 million or 15%, driven by investments in cloud and AI engineering, Gaming, GitHub, and LinkedIn.</w:t>
      </w:r>
    </w:p>
    <w:p>
      <w:pPr>
        <w:spacing w:after="0" w:line="223" w:lineRule="exact"/>
        <w:rPr>
          <w:rFonts w:ascii="Arial" w:cs="Arial" w:eastAsia="Arial" w:hAnsi="Arial"/>
          <w:sz w:val="18"/>
          <w:szCs w:val="18"/>
          <w:color w:val="666666"/>
        </w:rPr>
      </w:pPr>
    </w:p>
    <w:p>
      <w:pPr>
        <w:ind w:left="860" w:hanging="316"/>
        <w:spacing w:after="0" w:line="246" w:lineRule="auto"/>
        <w:tabs>
          <w:tab w:leader="none" w:pos="860" w:val="left"/>
        </w:tabs>
        <w:numPr>
          <w:ilvl w:val="0"/>
          <w:numId w:val="18"/>
        </w:numPr>
        <w:rPr>
          <w:rFonts w:ascii="Arial" w:cs="Arial" w:eastAsia="Arial" w:hAnsi="Arial"/>
          <w:sz w:val="18"/>
          <w:szCs w:val="18"/>
          <w:color w:val="666666"/>
        </w:rPr>
      </w:pPr>
      <w:r>
        <w:rPr>
          <w:rFonts w:ascii="Arial" w:cs="Arial" w:eastAsia="Arial" w:hAnsi="Arial"/>
          <w:sz w:val="18"/>
          <w:szCs w:val="18"/>
          <w:color w:val="666666"/>
        </w:rPr>
        <w:t>Sales and marketing expenses increased $202 million or 4%, driven by investments in LinkedIn and GitHub. Expenses included a favorable foreign currency impact of 2%.</w:t>
      </w:r>
    </w:p>
    <w:p>
      <w:pPr>
        <w:spacing w:after="0" w:line="223" w:lineRule="exact"/>
        <w:rPr>
          <w:rFonts w:ascii="Arial" w:cs="Arial" w:eastAsia="Arial" w:hAnsi="Arial"/>
          <w:sz w:val="18"/>
          <w:szCs w:val="18"/>
          <w:color w:val="666666"/>
        </w:rPr>
      </w:pPr>
    </w:p>
    <w:p>
      <w:pPr>
        <w:ind w:left="860" w:hanging="316"/>
        <w:spacing w:after="0"/>
        <w:tabs>
          <w:tab w:leader="none" w:pos="860" w:val="left"/>
        </w:tabs>
        <w:numPr>
          <w:ilvl w:val="0"/>
          <w:numId w:val="18"/>
        </w:numPr>
        <w:rPr>
          <w:rFonts w:ascii="Arial" w:cs="Arial" w:eastAsia="Arial" w:hAnsi="Arial"/>
          <w:sz w:val="18"/>
          <w:szCs w:val="18"/>
          <w:color w:val="666666"/>
        </w:rPr>
      </w:pPr>
      <w:r>
        <w:rPr>
          <w:rFonts w:ascii="Arial" w:cs="Arial" w:eastAsia="Arial" w:hAnsi="Arial"/>
          <w:sz w:val="18"/>
          <w:szCs w:val="18"/>
          <w:color w:val="666666"/>
        </w:rPr>
        <w:t>General and administrative expenses increased $154 million or 12%, driven by higher legal costs and GitHub.</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OTHER INCOME, NET</w:t>
      </w:r>
    </w:p>
    <w:p>
      <w:pPr>
        <w:spacing w:after="0" w:line="23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666666"/>
        </w:rPr>
        <w:t>Other income, net, decreased $110 million, driven by lower net recognized gains on investments, offset in part by lower net losses on foreign currency remeasurements and higher interest and dividends income.</w:t>
      </w:r>
    </w:p>
    <w:p>
      <w:pPr>
        <w:sectPr>
          <w:pgSz w:w="11900" w:h="16838" w:orient="portrait"/>
          <w:cols w:equalWidth="0" w:num="1">
            <w:col w:w="11020"/>
          </w:cols>
          <w:pgMar w:left="440" w:top="287"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INCOME TAXES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666666"/>
        </w:rPr>
        <w:t>The current quarter effective tax rate was (5)% and 16% on a GAAP and non-GAAP basis, respectively, compared to 17% and 18% in the prior year. GAAP results include a net income tax benefit of $2.6 billion related to intangible property transfers for the fourth quarter of fiscal year 2019 and a net income tax benefit of $104 million related to the TCJA for the fourth quarter of fiscal year 2018. These net tax benefits are excluded from our non-GAAP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666666"/>
        </w:rPr>
        <w:t>In the fourth quarter of fiscal year 2019, in response to the TCJA and recently issued regulations, we transferred certain intangible</w:t>
      </w:r>
    </w:p>
    <w:p>
      <w:pPr>
        <w:spacing w:after="0" w:line="234" w:lineRule="auto"/>
        <w:rPr>
          <w:sz w:val="20"/>
          <w:szCs w:val="20"/>
          <w:color w:val="auto"/>
        </w:rPr>
      </w:pPr>
      <w:r>
        <w:rPr>
          <w:rFonts w:ascii="Arial" w:cs="Arial" w:eastAsia="Arial" w:hAnsi="Arial"/>
          <w:sz w:val="18"/>
          <w:szCs w:val="18"/>
          <w:color w:val="666666"/>
        </w:rPr>
        <w:t>properties held by our foreign subsidiaries to the United States and Ireland. The transfers of intangible properties resulted in a net</w:t>
      </w:r>
    </w:p>
    <w:p>
      <w:pPr>
        <w:spacing w:after="0" w:line="235" w:lineRule="auto"/>
        <w:rPr>
          <w:sz w:val="20"/>
          <w:szCs w:val="20"/>
          <w:color w:val="auto"/>
        </w:rPr>
      </w:pPr>
      <w:r>
        <w:rPr>
          <w:rFonts w:ascii="Arial" w:cs="Arial" w:eastAsia="Arial" w:hAnsi="Arial"/>
          <w:sz w:val="18"/>
          <w:szCs w:val="18"/>
          <w:color w:val="666666"/>
        </w:rPr>
        <w:t>$2.6 billion tax benefit recorded in the fourth quarter of fiscal year 2019, as the value of future tax deductions exceeded the current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666666"/>
        </w:rPr>
        <w:t>liability from foreign jurisdictions and United States GILTI tax.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CONTRACTED NOT RECOGNIZED REVENUE</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666666"/>
        </w:rPr>
        <w:t>Contracted not recognized revenue, which includes unearned revenue and amounts that will be invoiced and recognized as revenue in future periods, was $91 billion as of June 30, 2019, an increase of 25% over the prior year. We expect to recognize approximately 50% of this revenue over the next 12 months and the remainder thereafter. Many customers are committing to our products and services for longer contract terms, which is increasing the percentage of contracted revenue that will be recognized beyond the next 12 months.</w:t>
      </w:r>
    </w:p>
    <w:sectPr>
      <w:pgSz w:w="11900" w:h="16838" w:orient="portrait"/>
      <w:cols w:equalWidth="0" w:num="1">
        <w:col w:w="10960"/>
      </w:cols>
      <w:pgMar w:left="440" w:top="26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2019-12-28T09:56:13Z</dcterms:created>
  <dcterms:modified xsi:type="dcterms:W3CDTF">2019-12-28T09:56:13Z</dcterms:modified>
</cp:coreProperties>
</file>