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0001899931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Name of Issuer</w:t>
            </w:r>
          </w:p>
        </w:tc>
        <w:tc>
          <w:tcPr>
            <w:tcW w:w="3320" w:type="dxa"/>
            <w:tcBorders/>
            <w:vAlign w:val="center"/>
          </w:tcPr>
          <w:p>
            <w:pPr>
              <w:pStyle w:val="TableContents"/>
              <w:bidi w:val="0"/>
              <w:spacing w:before="0" w:after="0"/>
              <w:jc w:val="left"/>
              <w:rPr/>
            </w:pPr>
            <w:r>
              <w:rPr/>
              <w:t>Microsoft</w:t>
            </w:r>
          </w:p>
        </w:tc>
      </w:tr>
      <w:tr>
        <w:trPr/>
        <w:tc>
          <w:tcPr>
            <w:tcW w:w="6885" w:type="dxa"/>
            <w:tcBorders/>
            <w:vAlign w:val="center"/>
          </w:tcPr>
          <w:p>
            <w:pPr>
              <w:pStyle w:val="TableContents"/>
              <w:bidi w:val="0"/>
              <w:spacing w:before="0" w:after="283"/>
              <w:jc w:val="left"/>
              <w:rPr/>
            </w:pPr>
            <w:r>
              <w:rPr/>
              <w:t>SEC File Number</w:t>
            </w:r>
          </w:p>
        </w:tc>
        <w:tc>
          <w:tcPr>
            <w:tcW w:w="3320" w:type="dxa"/>
            <w:tcBorders/>
            <w:vAlign w:val="center"/>
          </w:tcPr>
          <w:p>
            <w:pPr>
              <w:pStyle w:val="TableContents"/>
              <w:bidi w:val="0"/>
              <w:spacing w:before="0" w:after="0"/>
              <w:jc w:val="left"/>
              <w:rPr/>
            </w:pPr>
            <w:r>
              <w:rPr/>
              <w:t>001-37845</w:t>
            </w:r>
          </w:p>
        </w:tc>
      </w:tr>
      <w:tr>
        <w:trPr/>
        <w:tc>
          <w:tcPr>
            <w:tcW w:w="6885" w:type="dxa"/>
            <w:tcBorders/>
            <w:vAlign w:val="center"/>
          </w:tcPr>
          <w:p>
            <w:pPr>
              <w:pStyle w:val="TableContents"/>
              <w:bidi w:val="0"/>
              <w:spacing w:before="0" w:after="283"/>
              <w:jc w:val="left"/>
              <w:rPr/>
            </w:pPr>
            <w:r>
              <w:rPr/>
              <w:t>Address of Issuer</w:t>
            </w:r>
          </w:p>
        </w:tc>
        <w:tc>
          <w:tcPr>
            <w:tcW w:w="3320" w:type="dxa"/>
            <w:tcBorders/>
            <w:vAlign w:val="center"/>
          </w:tcPr>
          <w:p>
            <w:pPr>
              <w:pStyle w:val="TableContents"/>
              <w:bidi w:val="0"/>
              <w:spacing w:before="0" w:after="0"/>
              <w:jc w:val="left"/>
              <w:rPr/>
            </w:pPr>
            <w:r>
              <w:rPr/>
              <w:t>One Microsoft Way</w:t>
              <w:br/>
              <w:t>Redmond</w:t>
              <w:br/>
              <w:t xml:space="preserve">WASHINGTON </w:t>
              <w:br/>
              <w:t>98052</w:t>
            </w:r>
          </w:p>
        </w:tc>
      </w:tr>
      <w:tr>
        <w:trPr/>
        <w:tc>
          <w:tcPr>
            <w:tcW w:w="6885" w:type="dxa"/>
            <w:tcBorders/>
            <w:vAlign w:val="center"/>
          </w:tcPr>
          <w:p>
            <w:pPr>
              <w:pStyle w:val="TableContents"/>
              <w:bidi w:val="0"/>
              <w:spacing w:before="0" w:after="283"/>
              <w:jc w:val="left"/>
              <w:rPr/>
            </w:pPr>
            <w:r>
              <w:rPr/>
              <w:t>Phone</w:t>
            </w:r>
          </w:p>
        </w:tc>
        <w:tc>
          <w:tcPr>
            <w:tcW w:w="3320" w:type="dxa"/>
            <w:tcBorders/>
            <w:vAlign w:val="center"/>
          </w:tcPr>
          <w:p>
            <w:pPr>
              <w:pStyle w:val="TableContents"/>
              <w:bidi w:val="0"/>
              <w:spacing w:before="0" w:after="0"/>
              <w:jc w:val="left"/>
              <w:rPr/>
            </w:pPr>
            <w:r>
              <w:rPr/>
              <w:t>4258828080</w:t>
            </w:r>
          </w:p>
        </w:tc>
      </w:tr>
      <w:tr>
        <w:trPr/>
        <w:tc>
          <w:tcPr>
            <w:tcW w:w="6885" w:type="dxa"/>
            <w:tcBorders/>
            <w:vAlign w:val="center"/>
          </w:tcPr>
          <w:p>
            <w:pPr>
              <w:pStyle w:val="TableContents"/>
              <w:bidi w:val="0"/>
              <w:spacing w:before="0" w:after="283"/>
              <w:jc w:val="left"/>
              <w:rPr/>
            </w:pPr>
            <w:r>
              <w:rPr/>
              <w:t>Name of Person for Whose Account the Securities are To Be Sold</w:t>
            </w:r>
          </w:p>
        </w:tc>
        <w:tc>
          <w:tcPr>
            <w:tcW w:w="3320" w:type="dxa"/>
            <w:tcBorders/>
            <w:vAlign w:val="center"/>
          </w:tcPr>
          <w:p>
            <w:pPr>
              <w:pStyle w:val="TableContents"/>
              <w:bidi w:val="0"/>
              <w:spacing w:before="0" w:after="0"/>
              <w:jc w:val="left"/>
              <w:rPr/>
            </w:pPr>
            <w:r>
              <w:rPr/>
              <w:t>Numoto Takeshi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5" w:type="dxa"/>
            <w:tcBorders/>
            <w:vAlign w:val="center"/>
          </w:tcPr>
          <w:p>
            <w:pPr>
              <w:pStyle w:val="TableContents"/>
              <w:bidi w:val="0"/>
              <w:spacing w:before="0" w:after="283"/>
              <w:jc w:val="left"/>
              <w:rPr/>
            </w:pPr>
            <w:r>
              <w:rPr/>
              <w:t>Relationship to Issuer</w:t>
            </w:r>
          </w:p>
        </w:tc>
        <w:tc>
          <w:tcPr>
            <w:tcW w:w="33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27"/>
        <w:gridCol w:w="1917"/>
        <w:gridCol w:w="1103"/>
        <w:gridCol w:w="1394"/>
        <w:gridCol w:w="1493"/>
        <w:gridCol w:w="1531"/>
        <w:gridCol w:w="1340"/>
      </w:tblGrid>
      <w:tr>
        <w:trPr/>
        <w:tc>
          <w:tcPr>
            <w:tcW w:w="1427" w:type="dxa"/>
            <w:tcBorders/>
            <w:vAlign w:val="center"/>
          </w:tcPr>
          <w:p>
            <w:pPr>
              <w:pStyle w:val="TableHeading"/>
              <w:suppressLineNumbers/>
              <w:bidi w:val="0"/>
              <w:spacing w:before="0" w:after="283"/>
              <w:jc w:val="center"/>
              <w:rPr/>
            </w:pPr>
            <w:r>
              <w:rPr/>
              <w:t>Title of the Class of Securities To Be Sold</w:t>
            </w:r>
          </w:p>
        </w:tc>
        <w:tc>
          <w:tcPr>
            <w:tcW w:w="1917" w:type="dxa"/>
            <w:tcBorders/>
            <w:vAlign w:val="center"/>
          </w:tcPr>
          <w:p>
            <w:pPr>
              <w:pStyle w:val="TableHeading"/>
              <w:suppressLineNumbers/>
              <w:bidi w:val="0"/>
              <w:spacing w:before="0" w:after="283"/>
              <w:jc w:val="center"/>
              <w:rPr/>
            </w:pPr>
            <w:r>
              <w:rPr/>
              <w:t>Name and Address of the Broker</w:t>
            </w:r>
          </w:p>
        </w:tc>
        <w:tc>
          <w:tcPr>
            <w:tcW w:w="1103" w:type="dxa"/>
            <w:tcBorders/>
            <w:vAlign w:val="center"/>
          </w:tcPr>
          <w:p>
            <w:pPr>
              <w:pStyle w:val="TableHeading"/>
              <w:suppressLineNumbers/>
              <w:bidi w:val="0"/>
              <w:spacing w:before="0" w:after="283"/>
              <w:jc w:val="center"/>
              <w:rPr/>
            </w:pPr>
            <w:r>
              <w:rPr/>
              <w:t>Number of Shares or Other Units To Be Sold</w:t>
            </w:r>
          </w:p>
        </w:tc>
        <w:tc>
          <w:tcPr>
            <w:tcW w:w="1394" w:type="dxa"/>
            <w:tcBorders/>
            <w:vAlign w:val="center"/>
          </w:tcPr>
          <w:p>
            <w:pPr>
              <w:pStyle w:val="TableHeading"/>
              <w:suppressLineNumbers/>
              <w:bidi w:val="0"/>
              <w:spacing w:before="0" w:after="283"/>
              <w:jc w:val="center"/>
              <w:rPr/>
            </w:pPr>
            <w:r>
              <w:rPr/>
              <w:t>Aggregate Market Value</w:t>
            </w:r>
          </w:p>
        </w:tc>
        <w:tc>
          <w:tcPr>
            <w:tcW w:w="1493" w:type="dxa"/>
            <w:tcBorders/>
            <w:vAlign w:val="center"/>
          </w:tcPr>
          <w:p>
            <w:pPr>
              <w:pStyle w:val="TableHeading"/>
              <w:suppressLineNumbers/>
              <w:bidi w:val="0"/>
              <w:spacing w:before="0" w:after="283"/>
              <w:jc w:val="center"/>
              <w:rPr/>
            </w:pPr>
            <w:r>
              <w:rPr/>
              <w:t>Number of Shares or Other Units Outstanding</w:t>
            </w:r>
          </w:p>
        </w:tc>
        <w:tc>
          <w:tcPr>
            <w:tcW w:w="1531"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27" w:type="dxa"/>
            <w:tcBorders/>
            <w:vAlign w:val="center"/>
          </w:tcPr>
          <w:p>
            <w:pPr>
              <w:pStyle w:val="TableContents"/>
              <w:bidi w:val="0"/>
              <w:spacing w:before="0" w:after="283"/>
              <w:jc w:val="left"/>
              <w:rPr/>
            </w:pPr>
            <w:r>
              <w:rPr/>
              <w:t>Common</w:t>
            </w:r>
          </w:p>
        </w:tc>
        <w:tc>
          <w:tcPr>
            <w:tcW w:w="1917" w:type="dxa"/>
            <w:tcBorders/>
            <w:vAlign w:val="center"/>
          </w:tcPr>
          <w:p>
            <w:pPr>
              <w:pStyle w:val="TableContents"/>
              <w:bidi w:val="0"/>
              <w:spacing w:before="0" w:after="0"/>
              <w:jc w:val="left"/>
              <w:rPr/>
            </w:pPr>
            <w:r>
              <w:rPr/>
              <w:t>FIDELITY BROKERAGE SERVICES LLC</w:t>
              <w:br/>
              <w:t>245 SUMMER STREET</w:t>
              <w:br/>
              <w:t>Boston   MA   02210</w:t>
            </w:r>
          </w:p>
        </w:tc>
        <w:tc>
          <w:tcPr>
            <w:tcW w:w="1103" w:type="dxa"/>
            <w:tcBorders/>
            <w:vAlign w:val="center"/>
          </w:tcPr>
          <w:p>
            <w:pPr>
              <w:pStyle w:val="TableContents"/>
              <w:bidi w:val="0"/>
              <w:spacing w:before="0" w:after="283"/>
              <w:jc w:val="left"/>
              <w:rPr/>
            </w:pPr>
            <w:r>
              <w:rPr/>
              <w:t>6444</w:t>
            </w:r>
          </w:p>
        </w:tc>
        <w:tc>
          <w:tcPr>
            <w:tcW w:w="1394" w:type="dxa"/>
            <w:tcBorders/>
            <w:vAlign w:val="center"/>
          </w:tcPr>
          <w:p>
            <w:pPr>
              <w:pStyle w:val="TableContents"/>
              <w:bidi w:val="0"/>
              <w:spacing w:before="0" w:after="283"/>
              <w:jc w:val="left"/>
              <w:rPr/>
            </w:pPr>
            <w:r>
              <w:rPr/>
              <w:t>3142416.60</w:t>
            </w:r>
          </w:p>
        </w:tc>
        <w:tc>
          <w:tcPr>
            <w:tcW w:w="1493" w:type="dxa"/>
            <w:tcBorders/>
            <w:vAlign w:val="center"/>
          </w:tcPr>
          <w:p>
            <w:pPr>
              <w:pStyle w:val="TableContents"/>
              <w:bidi w:val="0"/>
              <w:spacing w:before="0" w:after="283"/>
              <w:jc w:val="left"/>
              <w:rPr/>
            </w:pPr>
            <w:r>
              <w:rPr/>
              <w:t>6444</w:t>
            </w:r>
          </w:p>
        </w:tc>
        <w:tc>
          <w:tcPr>
            <w:tcW w:w="1531" w:type="dxa"/>
            <w:tcBorders/>
            <w:vAlign w:val="center"/>
          </w:tcPr>
          <w:p>
            <w:pPr>
              <w:pStyle w:val="TableContents"/>
              <w:bidi w:val="0"/>
              <w:spacing w:before="0" w:after="283"/>
              <w:jc w:val="left"/>
              <w:rPr/>
            </w:pPr>
            <w:r>
              <w:rPr/>
              <w:t>08/04/2026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09/02/2025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6500</w:t>
            </w:r>
          </w:p>
        </w:tc>
        <w:tc>
          <w:tcPr>
            <w:tcW w:w="1046" w:type="dxa"/>
            <w:tcBorders/>
            <w:vAlign w:val="center"/>
          </w:tcPr>
          <w:p>
            <w:pPr>
              <w:pStyle w:val="TableContents"/>
              <w:bidi w:val="0"/>
              <w:spacing w:before="0" w:after="283"/>
              <w:jc w:val="left"/>
              <w:rPr/>
            </w:pPr>
            <w:r>
              <w:rPr/>
              <w:t>09/02/2025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4"/>
        <w:gridCol w:w="2814"/>
        <w:gridCol w:w="920"/>
        <w:gridCol w:w="1529"/>
        <w:gridCol w:w="1808"/>
      </w:tblGrid>
      <w:tr>
        <w:trPr/>
        <w:tc>
          <w:tcPr>
            <w:tcW w:w="3134"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08" w:type="dxa"/>
            <w:tcBorders/>
            <w:vAlign w:val="center"/>
          </w:tcPr>
          <w:p>
            <w:pPr>
              <w:pStyle w:val="TableHeading"/>
              <w:suppressLineNumbers/>
              <w:bidi w:val="0"/>
              <w:spacing w:before="0" w:after="283"/>
              <w:jc w:val="center"/>
              <w:rPr/>
            </w:pPr>
            <w:r>
              <w:rPr/>
              <w:t>Gross Proceeds</w:t>
            </w:r>
          </w:p>
        </w:tc>
      </w:tr>
      <w:tr>
        <w:trPr/>
        <w:tc>
          <w:tcPr>
            <w:tcW w:w="3134" w:type="dxa"/>
            <w:tcBorders/>
            <w:vAlign w:val="center"/>
          </w:tcPr>
          <w:p>
            <w:pPr>
              <w:pStyle w:val="TableContents"/>
              <w:bidi w:val="0"/>
              <w:spacing w:before="0" w:after="283"/>
              <w:jc w:val="left"/>
              <w:rPr/>
            </w:pPr>
            <w:r>
              <w:rPr/>
              <w:t>TAKESHI NUMOTO</w:t>
              <w:br/>
              <w:t>ONE MICROSOFT WAY</w:t>
              <w:br/>
              <w:t>Redmond   WA   98052</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06/09/2026</w:t>
            </w:r>
          </w:p>
        </w:tc>
        <w:tc>
          <w:tcPr>
            <w:tcW w:w="1529" w:type="dxa"/>
            <w:tcBorders/>
            <w:vAlign w:val="center"/>
          </w:tcPr>
          <w:p>
            <w:pPr>
              <w:pStyle w:val="TableContents"/>
              <w:bidi w:val="0"/>
              <w:spacing w:before="0" w:after="283"/>
              <w:jc w:val="left"/>
              <w:rPr/>
            </w:pPr>
            <w:r>
              <w:rPr/>
              <w:t>2500</w:t>
            </w:r>
          </w:p>
        </w:tc>
        <w:tc>
          <w:tcPr>
            <w:tcW w:w="1808" w:type="dxa"/>
            <w:tcBorders/>
            <w:vAlign w:val="center"/>
          </w:tcPr>
          <w:p>
            <w:pPr>
              <w:pStyle w:val="TableContents"/>
              <w:bidi w:val="0"/>
              <w:spacing w:before="0" w:after="283"/>
              <w:jc w:val="left"/>
              <w:rPr/>
            </w:pPr>
            <w:r>
              <w:rPr/>
              <w:t>1031100.00</w:t>
            </w:r>
          </w:p>
        </w:tc>
      </w:tr>
      <w:tr>
        <w:trPr/>
        <w:tc>
          <w:tcPr>
            <w:tcW w:w="3134" w:type="dxa"/>
            <w:tcBorders/>
            <w:vAlign w:val="center"/>
          </w:tcPr>
          <w:p>
            <w:pPr>
              <w:pStyle w:val="TableContents"/>
              <w:bidi w:val="0"/>
              <w:spacing w:before="0" w:after="283"/>
              <w:jc w:val="left"/>
              <w:rPr/>
            </w:pPr>
            <w:r>
              <w:rPr/>
              <w:t>TAKESHI NUMOTO</w:t>
              <w:br/>
              <w:t>ONE MICROSOFT WAY,</w:t>
              <w:br/>
              <w:t>Redmond   WA   98052</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06/11/2026</w:t>
            </w:r>
          </w:p>
        </w:tc>
        <w:tc>
          <w:tcPr>
            <w:tcW w:w="1529" w:type="dxa"/>
            <w:tcBorders/>
            <w:vAlign w:val="center"/>
          </w:tcPr>
          <w:p>
            <w:pPr>
              <w:pStyle w:val="TableContents"/>
              <w:bidi w:val="0"/>
              <w:spacing w:before="0" w:after="283"/>
              <w:jc w:val="left"/>
              <w:rPr/>
            </w:pPr>
            <w:r>
              <w:rPr/>
              <w:t>4500</w:t>
            </w:r>
          </w:p>
        </w:tc>
        <w:tc>
          <w:tcPr>
            <w:tcW w:w="1808" w:type="dxa"/>
            <w:tcBorders/>
            <w:vAlign w:val="center"/>
          </w:tcPr>
          <w:p>
            <w:pPr>
              <w:pStyle w:val="TableContents"/>
              <w:bidi w:val="0"/>
              <w:spacing w:before="0" w:after="283"/>
              <w:jc w:val="left"/>
              <w:rPr/>
            </w:pPr>
            <w:r>
              <w:rPr/>
              <w:t>1812735.00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Jason Coleman as a duly authorized representative of National Financial Services LLC, as attorney-in-fact for TAKESHI NUMOTO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3162</Characters>
  <CharactersWithSpaces>3720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