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229235</wp:posOffset>
            </wp:positionV>
            <wp:extent cx="2091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252095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237490</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156845</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80" w:lineRule="exact"/>
        <w:rPr>
          <w:sz w:val="24"/>
          <w:szCs w:val="24"/>
          <w:color w:val="auto"/>
        </w:rPr>
      </w:pPr>
    </w:p>
    <w:tbl>
      <w:tblPr>
        <w:tblLayout w:type="fixed"/>
        <w:tblInd w:w="944" w:type="dxa"/>
        <w:tblCellMar>
          <w:top w:w="0" w:type="dxa"/>
          <w:left w:w="0" w:type="dxa"/>
          <w:bottom w:w="0" w:type="dxa"/>
          <w:right w:w="0" w:type="dxa"/>
        </w:tblCellMar>
      </w:tblPr>
      <w:tr>
        <w:trPr>
          <w:trHeight w:val="209"/>
        </w:trPr>
        <w:tc>
          <w:tcPr>
            <w:tcW w:w="3960" w:type="dxa"/>
            <w:vAlign w:val="bottom"/>
          </w:tcPr>
          <w:p>
            <w:pPr>
              <w:jc w:val="center"/>
              <w:ind w:right="2061"/>
              <w:spacing w:after="0"/>
              <w:rPr>
                <w:sz w:val="20"/>
                <w:szCs w:val="20"/>
                <w:color w:val="auto"/>
              </w:rPr>
            </w:pPr>
            <w:r>
              <w:rPr>
                <w:rFonts w:ascii="Arial" w:cs="Arial" w:eastAsia="Arial" w:hAnsi="Arial"/>
                <w:sz w:val="18"/>
                <w:szCs w:val="18"/>
                <w:b w:val="1"/>
                <w:bCs w:val="1"/>
                <w:color w:val="auto"/>
                <w:w w:val="98"/>
              </w:rPr>
              <w:t>Washington</w:t>
            </w:r>
          </w:p>
        </w:tc>
        <w:tc>
          <w:tcPr>
            <w:tcW w:w="2060" w:type="dxa"/>
            <w:vAlign w:val="bottom"/>
          </w:tcPr>
          <w:p>
            <w:pPr>
              <w:ind w:left="280"/>
              <w:spacing w:after="0"/>
              <w:rPr>
                <w:sz w:val="20"/>
                <w:szCs w:val="20"/>
                <w:color w:val="auto"/>
              </w:rPr>
            </w:pPr>
            <w:r>
              <w:rPr>
                <w:rFonts w:ascii="Arial" w:cs="Arial" w:eastAsia="Arial" w:hAnsi="Arial"/>
                <w:sz w:val="18"/>
                <w:szCs w:val="18"/>
                <w:b w:val="1"/>
                <w:bCs w:val="1"/>
                <w:color w:val="auto"/>
              </w:rPr>
              <w:t>001-37845</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9"/>
              </w:rPr>
              <w:t>91-1144442</w:t>
            </w:r>
          </w:p>
        </w:tc>
      </w:tr>
      <w:tr>
        <w:trPr>
          <w:trHeight w:val="148"/>
        </w:trPr>
        <w:tc>
          <w:tcPr>
            <w:tcW w:w="3960" w:type="dxa"/>
            <w:vAlign w:val="bottom"/>
          </w:tcPr>
          <w:p>
            <w:pPr>
              <w:jc w:val="center"/>
              <w:ind w:right="2061"/>
              <w:spacing w:after="0"/>
              <w:rPr>
                <w:sz w:val="20"/>
                <w:szCs w:val="20"/>
                <w:color w:val="auto"/>
              </w:rPr>
            </w:pPr>
            <w:r>
              <w:rPr>
                <w:rFonts w:ascii="Arial" w:cs="Arial" w:eastAsia="Arial" w:hAnsi="Arial"/>
                <w:sz w:val="13"/>
                <w:szCs w:val="13"/>
                <w:b w:val="1"/>
                <w:bCs w:val="1"/>
                <w:color w:val="auto"/>
              </w:rPr>
              <w:t>(State or Other Jurisdiction</w:t>
            </w:r>
          </w:p>
        </w:tc>
        <w:tc>
          <w:tcPr>
            <w:tcW w:w="2060" w:type="dxa"/>
            <w:vAlign w:val="bottom"/>
          </w:tcPr>
          <w:p>
            <w:pPr>
              <w:ind w:left="300"/>
              <w:spacing w:after="0"/>
              <w:rPr>
                <w:sz w:val="20"/>
                <w:szCs w:val="20"/>
                <w:color w:val="auto"/>
              </w:rPr>
            </w:pPr>
            <w:r>
              <w:rPr>
                <w:rFonts w:ascii="Arial" w:cs="Arial" w:eastAsia="Arial" w:hAnsi="Arial"/>
                <w:sz w:val="13"/>
                <w:szCs w:val="13"/>
                <w:b w:val="1"/>
                <w:bCs w:val="1"/>
                <w:color w:val="auto"/>
              </w:rPr>
              <w:t>(Commission</w:t>
            </w:r>
          </w:p>
        </w:tc>
        <w:tc>
          <w:tcPr>
            <w:tcW w:w="2880" w:type="dxa"/>
            <w:vAlign w:val="bottom"/>
          </w:tcPr>
          <w:p>
            <w:pPr>
              <w:jc w:val="center"/>
              <w:ind w:left="1661"/>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960" w:type="dxa"/>
            <w:vAlign w:val="bottom"/>
          </w:tcPr>
          <w:p>
            <w:pPr>
              <w:jc w:val="center"/>
              <w:ind w:right="2041"/>
              <w:spacing w:after="0"/>
              <w:rPr>
                <w:sz w:val="20"/>
                <w:szCs w:val="20"/>
                <w:color w:val="auto"/>
              </w:rPr>
            </w:pPr>
            <w:r>
              <w:rPr>
                <w:rFonts w:ascii="Arial" w:cs="Arial" w:eastAsia="Arial" w:hAnsi="Arial"/>
                <w:sz w:val="13"/>
                <w:szCs w:val="13"/>
                <w:b w:val="1"/>
                <w:bCs w:val="1"/>
                <w:color w:val="auto"/>
              </w:rPr>
              <w:t>of Incorporation)</w:t>
            </w:r>
          </w:p>
        </w:tc>
        <w:tc>
          <w:tcPr>
            <w:tcW w:w="2060" w:type="dxa"/>
            <w:vAlign w:val="bottom"/>
          </w:tcPr>
          <w:p>
            <w:pPr>
              <w:ind w:left="300"/>
              <w:spacing w:after="0"/>
              <w:rPr>
                <w:sz w:val="20"/>
                <w:szCs w:val="20"/>
                <w:color w:val="auto"/>
              </w:rPr>
            </w:pPr>
            <w:r>
              <w:rPr>
                <w:rFonts w:ascii="Arial" w:cs="Arial" w:eastAsia="Arial" w:hAnsi="Arial"/>
                <w:sz w:val="13"/>
                <w:szCs w:val="13"/>
                <w:b w:val="1"/>
                <w:bCs w:val="1"/>
                <w:color w:val="auto"/>
              </w:rPr>
              <w:t>File Number)</w:t>
            </w:r>
          </w:p>
        </w:tc>
        <w:tc>
          <w:tcPr>
            <w:tcW w:w="2880" w:type="dxa"/>
            <w:vAlign w:val="bottom"/>
          </w:tcPr>
          <w:p>
            <w:pPr>
              <w:jc w:val="center"/>
              <w:ind w:left="1661"/>
              <w:spacing w:after="0"/>
              <w:rPr>
                <w:sz w:val="20"/>
                <w:szCs w:val="20"/>
                <w:color w:val="auto"/>
              </w:rPr>
            </w:pPr>
            <w:r>
              <w:rPr>
                <w:rFonts w:ascii="Arial" w:cs="Arial" w:eastAsia="Arial" w:hAnsi="Arial"/>
                <w:sz w:val="13"/>
                <w:szCs w:val="13"/>
                <w:b w:val="1"/>
                <w:bCs w:val="1"/>
                <w:color w:val="auto"/>
              </w:rPr>
              <w:t>Identification No.)</w:t>
            </w:r>
          </w:p>
        </w:tc>
      </w:tr>
      <w:tr>
        <w:trPr>
          <w:trHeight w:val="459"/>
        </w:trPr>
        <w:tc>
          <w:tcPr>
            <w:tcW w:w="396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60" w:type="dxa"/>
            <w:vAlign w:val="bottom"/>
          </w:tcPr>
          <w:p>
            <w:pPr>
              <w:spacing w:after="0"/>
              <w:rPr>
                <w:sz w:val="24"/>
                <w:szCs w:val="24"/>
                <w:color w:val="auto"/>
              </w:rPr>
            </w:pPr>
          </w:p>
        </w:tc>
        <w:tc>
          <w:tcPr>
            <w:tcW w:w="2880" w:type="dxa"/>
            <w:vAlign w:val="bottom"/>
          </w:tcPr>
          <w:p>
            <w:pPr>
              <w:jc w:val="right"/>
              <w:ind w:right="941"/>
              <w:spacing w:after="0"/>
              <w:rPr>
                <w:sz w:val="20"/>
                <w:szCs w:val="20"/>
                <w:color w:val="auto"/>
              </w:rPr>
            </w:pPr>
            <w:r>
              <w:rPr>
                <w:rFonts w:ascii="Arial" w:cs="Arial" w:eastAsia="Arial" w:hAnsi="Arial"/>
                <w:sz w:val="18"/>
                <w:szCs w:val="18"/>
                <w:b w:val="1"/>
                <w:bCs w:val="1"/>
                <w:color w:val="auto"/>
              </w:rPr>
              <w:t>98052-6399</w:t>
            </w:r>
          </w:p>
        </w:tc>
      </w:tr>
    </w:tbl>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www.microsoft.com/investor</w:t>
      </w:r>
    </w:p>
    <w:p>
      <w:pPr>
        <w:spacing w:after="0" w:line="215" w:lineRule="exact"/>
        <w:rPr>
          <w:sz w:val="24"/>
          <w:szCs w:val="24"/>
          <w:color w:val="auto"/>
        </w:rPr>
      </w:pPr>
    </w:p>
    <w:p>
      <w:pPr>
        <w:ind w:left="4" w:right="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71"/>
        </w:trPr>
        <w:tc>
          <w:tcPr>
            <w:tcW w:w="6600" w:type="dxa"/>
            <w:vAlign w:val="bottom"/>
            <w:gridSpan w:val="2"/>
          </w:tcPr>
          <w:p>
            <w:pPr>
              <w:ind w:left="2660"/>
              <w:spacing w:after="0"/>
              <w:rPr>
                <w:sz w:val="20"/>
                <w:szCs w:val="20"/>
                <w:color w:val="auto"/>
              </w:rPr>
            </w:pPr>
            <w:r>
              <w:rPr>
                <w:rFonts w:ascii="Arial" w:cs="Arial" w:eastAsia="Arial" w:hAnsi="Arial"/>
                <w:sz w:val="14"/>
                <w:szCs w:val="14"/>
                <w:color w:val="auto"/>
              </w:rPr>
              <w:t>Title of each class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w:t>
            </w:r>
          </w:p>
        </w:tc>
        <w:tc>
          <w:tcPr>
            <w:tcW w:w="2880" w:type="dxa"/>
            <w:vAlign w:val="bottom"/>
          </w:tcPr>
          <w:p>
            <w:pPr>
              <w:jc w:val="center"/>
              <w:spacing w:after="0"/>
              <w:rPr>
                <w:sz w:val="20"/>
                <w:szCs w:val="20"/>
                <w:color w:val="auto"/>
              </w:rPr>
            </w:pPr>
            <w:r>
              <w:rPr>
                <w:rFonts w:ascii="Arial" w:cs="Arial" w:eastAsia="Arial" w:hAnsi="Arial"/>
                <w:sz w:val="14"/>
                <w:szCs w:val="14"/>
                <w:color w:val="auto"/>
              </w:rPr>
              <w:t>Name of exchange on which registered</w:t>
            </w:r>
          </w:p>
        </w:tc>
      </w:tr>
      <w:tr>
        <w:trPr>
          <w:trHeight w:val="173"/>
        </w:trPr>
        <w:tc>
          <w:tcPr>
            <w:tcW w:w="64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COMMON STOCK, $0.00000625 par value per share</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MSFT</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NASDAQ</w:t>
            </w:r>
          </w:p>
        </w:tc>
      </w:tr>
      <w:tr>
        <w:trPr>
          <w:trHeight w:val="202"/>
        </w:trPr>
        <w:tc>
          <w:tcPr>
            <w:tcW w:w="66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2.125% Notes due 2021</w:t>
            </w: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3.125% Notes due 2028</w:t>
            </w: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3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2.625% Notes due 2033</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line="202" w:lineRule="exact"/>
        <w:rPr>
          <w:sz w:val="24"/>
          <w:szCs w:val="24"/>
          <w:color w:val="auto"/>
        </w:rPr>
      </w:pPr>
    </w:p>
    <w:p>
      <w:pPr>
        <w:jc w:val="both"/>
        <w:ind w:left="4"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5" w:lineRule="exact"/>
        <w:rPr>
          <w:sz w:val="24"/>
          <w:szCs w:val="24"/>
          <w:color w:val="auto"/>
        </w:rPr>
      </w:pPr>
    </w:p>
    <w:p>
      <w:pPr>
        <w:jc w:val="both"/>
        <w:ind w:left="4" w:right="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06"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 Results of Operations and Financial Condition</w:t>
      </w:r>
    </w:p>
    <w:p>
      <w:pPr>
        <w:spacing w:after="0" w:line="12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July 22, 2020, Microsoft Corporation issued a press release announcing its financial results for the fiscal quarter and year ended June 30, 2020. A copy of the press release is furnished as Exhibit 99.1 to this report.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ind w:left="440"/>
        <w:spacing w:after="0"/>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EE"/>
          </w:rPr>
          <w:t>Press release, dated July 22, 2020, issued by Microsoft Corporation</w:t>
        </w:r>
      </w:hyperlink>
    </w:p>
    <w:p>
      <w:pPr>
        <w:ind w:left="440"/>
        <w:spacing w:after="0"/>
        <w:tabs>
          <w:tab w:leader="none" w:pos="9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ectPr>
          <w:pgSz w:w="11900" w:h="16838" w:orient="portrait"/>
          <w:cols w:equalWidth="0" w:num="1">
            <w:col w:w="11020"/>
          </w:cols>
          <w:pgMar w:left="440" w:top="292"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Date: July 22, 2020</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F</w:t>
      </w:r>
      <w:r>
        <w:rPr>
          <w:rFonts w:ascii="Arial" w:cs="Arial" w:eastAsia="Arial" w:hAnsi="Arial"/>
          <w:sz w:val="12"/>
          <w:szCs w:val="12"/>
          <w:color w:val="auto"/>
        </w:rPr>
        <w:t>RANK</w:t>
      </w:r>
      <w:r>
        <w:rPr>
          <w:rFonts w:ascii="Arial" w:cs="Arial" w:eastAsia="Arial" w:hAnsi="Arial"/>
          <w:sz w:val="18"/>
          <w:szCs w:val="18"/>
          <w:color w:val="auto"/>
        </w:rPr>
        <w:t xml:space="preserve"> H. B</w:t>
      </w:r>
      <w:r>
        <w:rPr>
          <w:rFonts w:ascii="Arial" w:cs="Arial" w:eastAsia="Arial" w:hAnsi="Arial"/>
          <w:sz w:val="12"/>
          <w:szCs w:val="12"/>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-1905</wp:posOffset>
            </wp:positionV>
            <wp:extent cx="3420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Frank H. Brod</w:t>
      </w:r>
    </w:p>
    <w:p>
      <w:pPr>
        <w:jc w:val="center"/>
        <w:ind w:left="5620"/>
        <w:spacing w:after="0" w:line="234" w:lineRule="auto"/>
        <w:rPr>
          <w:sz w:val="20"/>
          <w:szCs w:val="20"/>
          <w:color w:val="auto"/>
        </w:rPr>
      </w:pPr>
      <w:r>
        <w:rPr>
          <w:rFonts w:ascii="Arial" w:cs="Arial" w:eastAsia="Arial" w:hAnsi="Arial"/>
          <w:sz w:val="18"/>
          <w:szCs w:val="18"/>
          <w:color w:val="auto"/>
        </w:rPr>
        <w:t>Corporate Vice President, Finance and</w:t>
      </w:r>
    </w:p>
    <w:p>
      <w:pPr>
        <w:jc w:val="center"/>
        <w:ind w:left="5620"/>
        <w:spacing w:after="0" w:line="235" w:lineRule="auto"/>
        <w:rPr>
          <w:sz w:val="20"/>
          <w:szCs w:val="20"/>
          <w:color w:val="auto"/>
        </w:rPr>
      </w:pPr>
      <w:r>
        <w:rPr>
          <w:rFonts w:ascii="Arial" w:cs="Arial" w:eastAsia="Arial" w:hAnsi="Arial"/>
          <w:sz w:val="18"/>
          <w:szCs w:val="18"/>
          <w:color w:val="auto"/>
        </w:rPr>
        <w:t>Administration;</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000"/>
          </w:cols>
          <w:pgMar w:left="440" w:top="292" w:right="459" w:bottom="1440" w:gutter="0" w:footer="0" w:header="0"/>
        </w:sectPr>
      </w:pPr>
    </w:p>
    <w:bookmarkStart w:id="3" w:name="page4"/>
    <w:bookmarkEnd w:id="3"/>
    <w:p>
      <w:pPr>
        <w:ind w:left="10080"/>
        <w:spacing w:after="0"/>
        <w:rPr>
          <w:sz w:val="20"/>
          <w:szCs w:val="20"/>
          <w:color w:val="auto"/>
        </w:rPr>
      </w:pPr>
      <w:r>
        <w:rPr>
          <w:rFonts w:ascii="Arial" w:cs="Arial" w:eastAsia="Arial" w:hAnsi="Arial"/>
          <w:sz w:val="17"/>
          <w:szCs w:val="17"/>
          <w:color w:val="auto"/>
        </w:rPr>
        <w:t>Exhibit 99.1</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color w:val="666666"/>
        </w:rPr>
        <w:t>Microsoft Cloud Strength Drives Fourth Quarter Results</w:t>
      </w:r>
    </w:p>
    <w:p>
      <w:pPr>
        <w:spacing w:after="0" w:line="20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666666"/>
        </w:rPr>
        <w:t xml:space="preserve">REDMOND, Wash. — July 22, 2020 — </w:t>
      </w:r>
      <w:r>
        <w:rPr>
          <w:rFonts w:ascii="Arial" w:cs="Arial" w:eastAsia="Arial" w:hAnsi="Arial"/>
          <w:sz w:val="18"/>
          <w:szCs w:val="18"/>
          <w:color w:val="666666"/>
        </w:rPr>
        <w:t>Microsoft Corp. today announced the following results for the quarter ended June 30, 2020, as</w:t>
      </w:r>
      <w:r>
        <w:rPr>
          <w:rFonts w:ascii="Arial" w:cs="Arial" w:eastAsia="Arial" w:hAnsi="Arial"/>
          <w:sz w:val="18"/>
          <w:szCs w:val="18"/>
          <w:b w:val="1"/>
          <w:bCs w:val="1"/>
          <w:color w:val="666666"/>
        </w:rPr>
        <w:t xml:space="preserve"> </w:t>
      </w:r>
      <w:r>
        <w:rPr>
          <w:rFonts w:ascii="Arial" w:cs="Arial" w:eastAsia="Arial" w:hAnsi="Arial"/>
          <w:sz w:val="18"/>
          <w:szCs w:val="18"/>
          <w:color w:val="666666"/>
        </w:rPr>
        <w:t>compared to the corresponding period of last fiscal year:</w:t>
      </w:r>
    </w:p>
    <w:p>
      <w:pPr>
        <w:spacing w:after="0" w:line="198"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Revenue was $38.0 billion and increased 13%</w:t>
      </w:r>
    </w:p>
    <w:p>
      <w:pPr>
        <w:ind w:left="960" w:hanging="424"/>
        <w:spacing w:after="0" w:line="234" w:lineRule="auto"/>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Operating income was $13.4 billion and increased 8%</w:t>
      </w:r>
    </w:p>
    <w:p>
      <w:pPr>
        <w:ind w:left="960" w:hanging="424"/>
        <w:spacing w:after="0" w:line="234" w:lineRule="auto"/>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Net income was $11.2 billion and decreased 15% GAAP (up 5% non-GAAP)</w:t>
      </w:r>
    </w:p>
    <w:p>
      <w:pPr>
        <w:ind w:left="960" w:hanging="424"/>
        <w:spacing w:after="0"/>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Diluted earnings per share was $1.46 and decreased 15% GAAP (up 7% non-GAAP)</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666666"/>
        </w:rPr>
        <w:t>“The last five months have made it clear that tech intensity is the key to business resilience. Organizations that build their own digital capability will recover faster and emerge from this crisis stronger,” said Satya Nadella, chief executive officer of Microsoft. “We are the only company with an integrated, modern technology stack — powered by cloud and AI and underpinned by security and compliance — to help every organization transform and reimagine how they meet customer needs.”</w:t>
      </w:r>
    </w:p>
    <w:p>
      <w:pPr>
        <w:spacing w:after="0" w:line="205" w:lineRule="exact"/>
        <w:rPr>
          <w:sz w:val="20"/>
          <w:szCs w:val="20"/>
          <w:color w:val="auto"/>
        </w:rPr>
      </w:pPr>
    </w:p>
    <w:p>
      <w:pPr>
        <w:ind w:right="80"/>
        <w:spacing w:after="0"/>
        <w:rPr>
          <w:sz w:val="20"/>
          <w:szCs w:val="20"/>
          <w:color w:val="auto"/>
        </w:rPr>
      </w:pPr>
      <w:r>
        <w:rPr>
          <w:rFonts w:ascii="Arial" w:cs="Arial" w:eastAsia="Arial" w:hAnsi="Arial"/>
          <w:sz w:val="18"/>
          <w:szCs w:val="18"/>
          <w:color w:val="666666"/>
        </w:rPr>
        <w:t>“Our commercial cloud surpassed $50 billion in annual revenue for the first time this year. And this quarter our Commercial bookings were better than expected, growing 12% year-over-year,” said Amy Hood, executive vice president and chief financial officer of Microsoft. “As we drive growth across the company, we remain committed to investing in long-term strategic opportunities.”</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color w:val="666666"/>
        </w:rPr>
        <w:t>The following table reconciles our financial results reported in accordance with generally accepted accounting principles (GAAP) to non-GAAP financial results. Additional information regarding our non-GAAP definition is provided below. All growth comparisons relate to the corresponding period in the last fiscal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7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666666"/>
              </w:rPr>
              <w:t>Three Months Ended June 30,</w:t>
            </w:r>
          </w:p>
        </w:tc>
        <w:tc>
          <w:tcPr>
            <w:tcW w:w="1260" w:type="dxa"/>
            <w:vAlign w:val="bottom"/>
          </w:tcPr>
          <w:p>
            <w:pPr>
              <w:spacing w:after="0"/>
              <w:rPr>
                <w:sz w:val="16"/>
                <w:szCs w:val="16"/>
                <w:color w:val="auto"/>
              </w:rPr>
            </w:pPr>
          </w:p>
        </w:tc>
      </w:tr>
      <w:tr>
        <w:trPr>
          <w:trHeight w:val="80"/>
        </w:trPr>
        <w:tc>
          <w:tcPr>
            <w:tcW w:w="420" w:type="dxa"/>
            <w:vAlign w:val="bottom"/>
            <w:tcBorders>
              <w:bottom w:val="single" w:sz="8" w:color="auto"/>
            </w:tcBorders>
          </w:tcPr>
          <w:p>
            <w:pPr>
              <w:spacing w:after="0"/>
              <w:rPr>
                <w:sz w:val="6"/>
                <w:szCs w:val="6"/>
                <w:color w:val="auto"/>
              </w:rPr>
            </w:pPr>
          </w:p>
        </w:tc>
        <w:tc>
          <w:tcPr>
            <w:tcW w:w="446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142"/>
        </w:trPr>
        <w:tc>
          <w:tcPr>
            <w:tcW w:w="4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60" w:type="dxa"/>
            <w:vAlign w:val="bottom"/>
          </w:tcPr>
          <w:p>
            <w:pPr>
              <w:jc w:val="center"/>
              <w:ind w:left="48"/>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Arial" w:cs="Arial" w:eastAsia="Arial" w:hAnsi="Arial"/>
                <w:sz w:val="14"/>
                <w:szCs w:val="14"/>
                <w:b w:val="1"/>
                <w:bCs w:val="1"/>
                <w:color w:val="666666"/>
              </w:rPr>
              <w:t>Operating</w:t>
            </w:r>
          </w:p>
        </w:tc>
        <w:tc>
          <w:tcPr>
            <w:tcW w:w="1420" w:type="dxa"/>
            <w:vAlign w:val="bottom"/>
          </w:tcPr>
          <w:p>
            <w:pPr>
              <w:spacing w:after="0"/>
              <w:rPr>
                <w:sz w:val="14"/>
                <w:szCs w:val="14"/>
                <w:color w:val="auto"/>
              </w:rPr>
            </w:pPr>
          </w:p>
        </w:tc>
        <w:tc>
          <w:tcPr>
            <w:tcW w:w="1260" w:type="dxa"/>
            <w:vAlign w:val="bottom"/>
          </w:tcPr>
          <w:p>
            <w:pPr>
              <w:jc w:val="center"/>
              <w:ind w:left="68"/>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4880" w:type="dxa"/>
            <w:vAlign w:val="bottom"/>
            <w:gridSpan w:val="2"/>
          </w:tcPr>
          <w:p>
            <w:pPr>
              <w:ind w:left="120"/>
              <w:spacing w:after="0"/>
              <w:rPr>
                <w:sz w:val="20"/>
                <w:szCs w:val="20"/>
                <w:color w:val="auto"/>
              </w:rPr>
            </w:pPr>
            <w:r>
              <w:rPr>
                <w:rFonts w:ascii="Arial" w:cs="Arial" w:eastAsia="Arial" w:hAnsi="Arial"/>
                <w:sz w:val="14"/>
                <w:szCs w:val="14"/>
                <w:color w:val="666666"/>
              </w:rPr>
              <w:t>($ in millions, except per share amounts)</w:t>
            </w:r>
          </w:p>
        </w:tc>
        <w:tc>
          <w:tcPr>
            <w:tcW w:w="2160" w:type="dxa"/>
            <w:vAlign w:val="bottom"/>
          </w:tcPr>
          <w:p>
            <w:pPr>
              <w:jc w:val="right"/>
              <w:ind w:right="288"/>
              <w:spacing w:after="0"/>
              <w:rPr>
                <w:sz w:val="20"/>
                <w:szCs w:val="20"/>
                <w:color w:val="auto"/>
              </w:rPr>
            </w:pPr>
            <w:r>
              <w:rPr>
                <w:rFonts w:ascii="Arial" w:cs="Arial" w:eastAsia="Arial" w:hAnsi="Arial"/>
                <w:sz w:val="14"/>
                <w:szCs w:val="14"/>
                <w:b w:val="1"/>
                <w:bCs w:val="1"/>
                <w:color w:val="666666"/>
              </w:rPr>
              <w:t>Revenue</w:t>
            </w:r>
          </w:p>
        </w:tc>
        <w:tc>
          <w:tcPr>
            <w:tcW w:w="1300" w:type="dxa"/>
            <w:vAlign w:val="bottom"/>
          </w:tcPr>
          <w:p>
            <w:pPr>
              <w:jc w:val="right"/>
              <w:ind w:right="368"/>
              <w:spacing w:after="0"/>
              <w:rPr>
                <w:sz w:val="20"/>
                <w:szCs w:val="20"/>
                <w:color w:val="auto"/>
              </w:rPr>
            </w:pPr>
            <w:r>
              <w:rPr>
                <w:rFonts w:ascii="Arial" w:cs="Arial" w:eastAsia="Arial" w:hAnsi="Arial"/>
                <w:sz w:val="14"/>
                <w:szCs w:val="14"/>
                <w:b w:val="1"/>
                <w:bCs w:val="1"/>
                <w:color w:val="666666"/>
              </w:rPr>
              <w:t>Income</w:t>
            </w: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666666"/>
              </w:rPr>
              <w:t>Net Income</w:t>
            </w:r>
          </w:p>
        </w:tc>
        <w:tc>
          <w:tcPr>
            <w:tcW w:w="1260" w:type="dxa"/>
            <w:vAlign w:val="bottom"/>
          </w:tcPr>
          <w:p>
            <w:pPr>
              <w:jc w:val="center"/>
              <w:ind w:left="68"/>
              <w:spacing w:after="0"/>
              <w:rPr>
                <w:sz w:val="20"/>
                <w:szCs w:val="20"/>
                <w:color w:val="auto"/>
              </w:rPr>
            </w:pPr>
            <w:r>
              <w:rPr>
                <w:rFonts w:ascii="Arial" w:cs="Arial" w:eastAsia="Arial" w:hAnsi="Arial"/>
                <w:sz w:val="14"/>
                <w:szCs w:val="14"/>
                <w:b w:val="1"/>
                <w:bCs w:val="1"/>
                <w:color w:val="666666"/>
              </w:rPr>
              <w:t>Share</w:t>
            </w:r>
          </w:p>
        </w:tc>
      </w:tr>
      <w:tr>
        <w:trPr>
          <w:trHeight w:val="80"/>
        </w:trPr>
        <w:tc>
          <w:tcPr>
            <w:tcW w:w="420" w:type="dxa"/>
            <w:vAlign w:val="bottom"/>
            <w:tcBorders>
              <w:bottom w:val="single" w:sz="8" w:color="666666"/>
            </w:tcBorders>
          </w:tcPr>
          <w:p>
            <w:pPr>
              <w:spacing w:after="0"/>
              <w:rPr>
                <w:sz w:val="6"/>
                <w:szCs w:val="6"/>
                <w:color w:val="auto"/>
              </w:rPr>
            </w:pPr>
          </w:p>
        </w:tc>
        <w:tc>
          <w:tcPr>
            <w:tcW w:w="4460" w:type="dxa"/>
            <w:vAlign w:val="bottom"/>
            <w:tcBorders>
              <w:bottom w:val="single" w:sz="8" w:color="666666"/>
            </w:tcBorders>
          </w:tcPr>
          <w:p>
            <w:pPr>
              <w:spacing w:after="0"/>
              <w:rPr>
                <w:sz w:val="6"/>
                <w:szCs w:val="6"/>
                <w:color w:val="auto"/>
              </w:rPr>
            </w:pPr>
          </w:p>
        </w:tc>
        <w:tc>
          <w:tcPr>
            <w:tcW w:w="2160" w:type="dxa"/>
            <w:vAlign w:val="bottom"/>
            <w:tcBorders>
              <w:bottom w:val="single" w:sz="8" w:color="666666"/>
            </w:tcBorders>
          </w:tcPr>
          <w:p>
            <w:pPr>
              <w:spacing w:after="0"/>
              <w:rPr>
                <w:sz w:val="6"/>
                <w:szCs w:val="6"/>
                <w:color w:val="auto"/>
              </w:rPr>
            </w:pPr>
          </w:p>
        </w:tc>
        <w:tc>
          <w:tcPr>
            <w:tcW w:w="1300" w:type="dxa"/>
            <w:vAlign w:val="bottom"/>
            <w:tcBorders>
              <w:bottom w:val="single" w:sz="8" w:color="666666"/>
            </w:tcBorders>
          </w:tcPr>
          <w:p>
            <w:pPr>
              <w:spacing w:after="0"/>
              <w:rPr>
                <w:sz w:val="6"/>
                <w:szCs w:val="6"/>
                <w:color w:val="auto"/>
              </w:rPr>
            </w:pPr>
          </w:p>
        </w:tc>
        <w:tc>
          <w:tcPr>
            <w:tcW w:w="142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r>
      <w:tr>
        <w:trPr>
          <w:trHeight w:val="242"/>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2019</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21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$33,717</w:t>
            </w:r>
          </w:p>
        </w:tc>
        <w:tc>
          <w:tcPr>
            <w:tcW w:w="13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$12,405</w:t>
            </w:r>
          </w:p>
        </w:tc>
        <w:tc>
          <w:tcPr>
            <w:tcW w:w="14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$13,187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$1.71</w:t>
            </w:r>
          </w:p>
        </w:tc>
      </w:tr>
      <w:tr>
        <w:trPr>
          <w:trHeight w:val="211"/>
        </w:trPr>
        <w:tc>
          <w:tcPr>
            <w:tcW w:w="488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666666"/>
              </w:rPr>
              <w:t>Net Tax Impact of Transfer of Intangible Properties</w:t>
            </w:r>
          </w:p>
        </w:tc>
        <w:tc>
          <w:tcPr>
            <w:tcW w:w="21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w:t>
            </w:r>
          </w:p>
        </w:tc>
        <w:tc>
          <w:tcPr>
            <w:tcW w:w="13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w:t>
            </w:r>
          </w:p>
        </w:tc>
        <w:tc>
          <w:tcPr>
            <w:tcW w:w="14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(2,567)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(0.34)</w:t>
            </w:r>
          </w:p>
        </w:tc>
      </w:tr>
      <w:tr>
        <w:trPr>
          <w:trHeight w:val="25"/>
        </w:trPr>
        <w:tc>
          <w:tcPr>
            <w:tcW w:w="4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1"/>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2019</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21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$33,717</w:t>
            </w:r>
          </w:p>
        </w:tc>
        <w:tc>
          <w:tcPr>
            <w:tcW w:w="13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$12,405</w:t>
            </w:r>
          </w:p>
        </w:tc>
        <w:tc>
          <w:tcPr>
            <w:tcW w:w="14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$10,620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$1.37</w:t>
            </w:r>
          </w:p>
        </w:tc>
      </w:tr>
      <w:tr>
        <w:trPr>
          <w:trHeight w:val="21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2020</w:t>
            </w:r>
          </w:p>
        </w:tc>
        <w:tc>
          <w:tcPr>
            <w:tcW w:w="44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Reported (GAAP)</w:t>
            </w:r>
          </w:p>
        </w:tc>
        <w:tc>
          <w:tcPr>
            <w:tcW w:w="21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$38,033</w:t>
            </w:r>
          </w:p>
        </w:tc>
        <w:tc>
          <w:tcPr>
            <w:tcW w:w="13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$13,407</w:t>
            </w:r>
          </w:p>
        </w:tc>
        <w:tc>
          <w:tcPr>
            <w:tcW w:w="14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$11,202</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$1.46</w:t>
            </w:r>
          </w:p>
        </w:tc>
      </w:tr>
      <w:tr>
        <w:trPr>
          <w:trHeight w:val="25"/>
        </w:trPr>
        <w:tc>
          <w:tcPr>
            <w:tcW w:w="488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48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(GAAP)</w:t>
            </w:r>
          </w:p>
        </w:tc>
        <w:tc>
          <w:tcPr>
            <w:tcW w:w="21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13%</w:t>
            </w:r>
          </w:p>
        </w:tc>
        <w:tc>
          <w:tcPr>
            <w:tcW w:w="13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8%</w:t>
            </w:r>
          </w:p>
        </w:tc>
        <w:tc>
          <w:tcPr>
            <w:tcW w:w="14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(15%)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(15%)</w:t>
            </w:r>
          </w:p>
        </w:tc>
      </w:tr>
      <w:tr>
        <w:trPr>
          <w:trHeight w:val="218"/>
        </w:trPr>
        <w:tc>
          <w:tcPr>
            <w:tcW w:w="4880" w:type="dxa"/>
            <w:vAlign w:val="bottom"/>
            <w:gridSpan w:val="2"/>
          </w:tcPr>
          <w:p>
            <w:pPr>
              <w:ind w:left="80"/>
              <w:spacing w:after="0"/>
              <w:rPr>
                <w:sz w:val="20"/>
                <w:szCs w:val="20"/>
                <w:color w:val="auto"/>
              </w:rPr>
            </w:pPr>
            <w:r>
              <w:rPr>
                <w:rFonts w:ascii="Arial" w:cs="Arial" w:eastAsia="Arial" w:hAnsi="Arial"/>
                <w:sz w:val="14"/>
                <w:szCs w:val="14"/>
                <w:color w:val="666666"/>
              </w:rPr>
              <w:t>Percentage Change Y/Y (non-GAAP)</w:t>
            </w:r>
          </w:p>
        </w:tc>
        <w:tc>
          <w:tcPr>
            <w:tcW w:w="2160" w:type="dxa"/>
            <w:vAlign w:val="bottom"/>
          </w:tcPr>
          <w:p>
            <w:pPr>
              <w:jc w:val="right"/>
              <w:ind w:right="208"/>
              <w:spacing w:after="0"/>
              <w:rPr>
                <w:sz w:val="20"/>
                <w:szCs w:val="20"/>
                <w:color w:val="auto"/>
              </w:rPr>
            </w:pPr>
            <w:r>
              <w:rPr>
                <w:rFonts w:ascii="Arial" w:cs="Arial" w:eastAsia="Arial" w:hAnsi="Arial"/>
                <w:sz w:val="14"/>
                <w:szCs w:val="14"/>
                <w:color w:val="666666"/>
              </w:rPr>
              <w:t>13%</w:t>
            </w:r>
          </w:p>
        </w:tc>
        <w:tc>
          <w:tcPr>
            <w:tcW w:w="1300" w:type="dxa"/>
            <w:vAlign w:val="bottom"/>
          </w:tcPr>
          <w:p>
            <w:pPr>
              <w:jc w:val="right"/>
              <w:ind w:right="208"/>
              <w:spacing w:after="0"/>
              <w:rPr>
                <w:sz w:val="20"/>
                <w:szCs w:val="20"/>
                <w:color w:val="auto"/>
              </w:rPr>
            </w:pPr>
            <w:r>
              <w:rPr>
                <w:rFonts w:ascii="Arial" w:cs="Arial" w:eastAsia="Arial" w:hAnsi="Arial"/>
                <w:sz w:val="14"/>
                <w:szCs w:val="14"/>
                <w:color w:val="666666"/>
              </w:rPr>
              <w:t>8%</w:t>
            </w:r>
          </w:p>
        </w:tc>
        <w:tc>
          <w:tcPr>
            <w:tcW w:w="1420" w:type="dxa"/>
            <w:vAlign w:val="bottom"/>
          </w:tcPr>
          <w:p>
            <w:pPr>
              <w:jc w:val="right"/>
              <w:ind w:right="208"/>
              <w:spacing w:after="0"/>
              <w:rPr>
                <w:sz w:val="20"/>
                <w:szCs w:val="20"/>
                <w:color w:val="auto"/>
              </w:rPr>
            </w:pPr>
            <w:r>
              <w:rPr>
                <w:rFonts w:ascii="Arial" w:cs="Arial" w:eastAsia="Arial" w:hAnsi="Arial"/>
                <w:sz w:val="14"/>
                <w:szCs w:val="14"/>
                <w:color w:val="666666"/>
              </w:rPr>
              <w:t>5%</w:t>
            </w:r>
          </w:p>
        </w:tc>
        <w:tc>
          <w:tcPr>
            <w:tcW w:w="1260" w:type="dxa"/>
            <w:vAlign w:val="bottom"/>
          </w:tcPr>
          <w:p>
            <w:pPr>
              <w:jc w:val="right"/>
              <w:spacing w:after="0"/>
              <w:rPr>
                <w:sz w:val="20"/>
                <w:szCs w:val="20"/>
                <w:color w:val="auto"/>
              </w:rPr>
            </w:pPr>
            <w:r>
              <w:rPr>
                <w:rFonts w:ascii="Arial" w:cs="Arial" w:eastAsia="Arial" w:hAnsi="Arial"/>
                <w:sz w:val="14"/>
                <w:szCs w:val="14"/>
                <w:color w:val="666666"/>
              </w:rPr>
              <w:t>7%</w:t>
            </w:r>
          </w:p>
        </w:tc>
      </w:tr>
      <w:tr>
        <w:trPr>
          <w:trHeight w:val="25"/>
        </w:trPr>
        <w:tc>
          <w:tcPr>
            <w:tcW w:w="488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8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 Constant Currency</w:t>
            </w:r>
          </w:p>
        </w:tc>
        <w:tc>
          <w:tcPr>
            <w:tcW w:w="21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15%</w:t>
            </w:r>
          </w:p>
        </w:tc>
        <w:tc>
          <w:tcPr>
            <w:tcW w:w="13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12%</w:t>
            </w:r>
          </w:p>
        </w:tc>
        <w:tc>
          <w:tcPr>
            <w:tcW w:w="14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9%</w:t>
            </w:r>
          </w:p>
        </w:tc>
      </w:tr>
      <w:tr>
        <w:trPr>
          <w:trHeight w:val="20"/>
        </w:trPr>
        <w:tc>
          <w:tcPr>
            <w:tcW w:w="420" w:type="dxa"/>
            <w:vAlign w:val="bottom"/>
            <w:shd w:val="clear" w:color="auto" w:fill="000000"/>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ind w:right="260"/>
        <w:spacing w:after="0"/>
        <w:rPr>
          <w:sz w:val="20"/>
          <w:szCs w:val="20"/>
          <w:color w:val="auto"/>
        </w:rPr>
      </w:pPr>
      <w:r>
        <w:rPr>
          <w:rFonts w:ascii="Arial" w:cs="Arial" w:eastAsia="Arial" w:hAnsi="Arial"/>
          <w:sz w:val="18"/>
          <w:szCs w:val="18"/>
          <w:color w:val="666666"/>
        </w:rPr>
        <w:t>GAAP results include a $ 450 million charge for the closure of the Microsoft Store physical locations in the fourth quarter of fiscal year 2020. GAAP results also include a net income tax benefit of $2.6 billion for the fourth quarter of fiscal year 2019, which is excluded from our non-GAAP results and explained in the non-GAAP definition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COVID-19 Impact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In the fourth quarter of fiscal year 2020, similar business trends to the previous quarter continued.</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18"/>
          <w:szCs w:val="18"/>
          <w:color w:val="666666"/>
        </w:rPr>
        <w:t>In the Productivity and Business Processes and Intelligent Cloud segments, cloud usage and demand increased as customers continued to work and learn from home. Transactional license purchasing continued to slow, particularly in small and medium businesses, and LinkedIn was negatively impacted by the weak job market and reductions in advertising spend.</w:t>
      </w:r>
    </w:p>
    <w:p>
      <w:pPr>
        <w:sectPr>
          <w:pgSz w:w="11900" w:h="16838" w:orient="portrait"/>
          <w:cols w:equalWidth="0" w:num="1">
            <w:col w:w="11020"/>
          </w:cols>
          <w:pgMar w:left="440" w:top="140" w:right="439" w:bottom="1440" w:gutter="0" w:footer="0" w:header="0"/>
        </w:sectPr>
      </w:pPr>
    </w:p>
    <w:bookmarkStart w:id="4" w:name="page5"/>
    <w:bookmarkEnd w:id="4"/>
    <w:p>
      <w:pPr>
        <w:ind w:right="400"/>
        <w:spacing w:after="0" w:line="246" w:lineRule="auto"/>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More Personal Computing segment, Windows OEM, Surface, and Gaming benefited from increased demand to support work-, play-, and learn-from-home scenarios, while Search was negatively impacted by reductions in advertising spend.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Business Highlights</w:t>
      </w:r>
    </w:p>
    <w:p>
      <w:pPr>
        <w:spacing w:after="0" w:line="23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666666"/>
        </w:rPr>
        <w:t>Revenue in Productivity and Business Processes was $11.8 billion and increased 6% (up 8% in constant currency), with the following business highlights:</w:t>
      </w:r>
    </w:p>
    <w:p>
      <w:pPr>
        <w:spacing w:after="0" w:line="224" w:lineRule="exact"/>
        <w:rPr>
          <w:sz w:val="20"/>
          <w:szCs w:val="20"/>
          <w:color w:val="auto"/>
        </w:rPr>
      </w:pPr>
    </w:p>
    <w:p>
      <w:pPr>
        <w:ind w:left="960" w:right="38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Office Commercial products and cloud services revenue increased 5% (up 7% in constant currency) driven by Office 365 Commercial revenue growth of 19% (up 22% in constant currency)</w:t>
      </w:r>
    </w:p>
    <w:p>
      <w:pPr>
        <w:spacing w:after="0" w:line="1" w:lineRule="exact"/>
        <w:rPr>
          <w:rFonts w:ascii="Arial" w:cs="Arial" w:eastAsia="Arial" w:hAnsi="Arial"/>
          <w:sz w:val="18"/>
          <w:szCs w:val="18"/>
          <w:color w:val="666666"/>
        </w:rPr>
      </w:pPr>
    </w:p>
    <w:p>
      <w:pPr>
        <w:ind w:left="960" w:right="6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Office Consumer products and cloud services revenue increased 6% (up 7% in constant currency) and Office 365 Consumer subscribers increased to 42.7 million</w:t>
      </w:r>
    </w:p>
    <w:p>
      <w:pPr>
        <w:spacing w:after="0" w:line="1" w:lineRule="exact"/>
        <w:rPr>
          <w:rFonts w:ascii="Arial" w:cs="Arial" w:eastAsia="Arial" w:hAnsi="Arial"/>
          <w:sz w:val="18"/>
          <w:szCs w:val="18"/>
          <w:color w:val="666666"/>
        </w:rPr>
      </w:pPr>
    </w:p>
    <w:p>
      <w:pPr>
        <w:ind w:left="96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LinkedIn revenue increased 10% (up 11% in constant currency)</w:t>
      </w:r>
    </w:p>
    <w:p>
      <w:pPr>
        <w:ind w:left="960" w:right="560" w:hanging="424"/>
        <w:spacing w:after="0" w:line="246"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Dynamics products and cloud services revenue increased 13% (up 15% in constant currency) driven by Dynamics 365 revenue growth of 38% (up 40% in constant currency)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Revenue in Intelligent Cloud was $13.4 billion and increased 17% (up 19% in constant currency), with the following business highlights:</w:t>
      </w:r>
    </w:p>
    <w:p>
      <w:pPr>
        <w:spacing w:after="0" w:line="239" w:lineRule="exact"/>
        <w:rPr>
          <w:sz w:val="20"/>
          <w:szCs w:val="20"/>
          <w:color w:val="auto"/>
        </w:rPr>
      </w:pPr>
    </w:p>
    <w:p>
      <w:pPr>
        <w:ind w:left="960" w:hanging="424"/>
        <w:spacing w:after="0" w:line="234" w:lineRule="auto"/>
        <w:tabs>
          <w:tab w:leader="none" w:pos="9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Server products and cloud services revenue increased 19% (up 21% in constant currency) driven by Azure revenue growth of 47% (up 50% in constant currency)</w:t>
      </w:r>
    </w:p>
    <w:p>
      <w:pPr>
        <w:spacing w:after="0" w:line="1" w:lineRule="exact"/>
        <w:rPr>
          <w:rFonts w:ascii="Arial" w:cs="Arial" w:eastAsia="Arial" w:hAnsi="Arial"/>
          <w:sz w:val="18"/>
          <w:szCs w:val="18"/>
          <w:color w:val="666666"/>
        </w:rPr>
      </w:pPr>
    </w:p>
    <w:p>
      <w:pPr>
        <w:ind w:left="960" w:hanging="424"/>
        <w:spacing w:after="0"/>
        <w:tabs>
          <w:tab w:leader="none" w:pos="9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Enterprise Services revenue was relatively unchanged (up 2% in constant currency)</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666666"/>
        </w:rPr>
        <w:t>Revenue in More Personal Computing was $12.9 billion and increased 14% (up 16% in constant currency), with the following business highlights:</w:t>
      </w:r>
    </w:p>
    <w:p>
      <w:pPr>
        <w:spacing w:after="0" w:line="219"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Windows OEM revenue increased 7%</w:t>
      </w:r>
    </w:p>
    <w:p>
      <w:pPr>
        <w:ind w:left="960" w:hanging="424"/>
        <w:spacing w:after="0" w:line="234" w:lineRule="auto"/>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Windows Commercial products and cloud services revenue increased 9% (up 11% in constant currency)</w:t>
      </w:r>
    </w:p>
    <w:p>
      <w:pPr>
        <w:ind w:left="960" w:hanging="424"/>
        <w:spacing w:after="0" w:line="234" w:lineRule="auto"/>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Xbox content and services revenue increased 65% (up 68% in constant currency)</w:t>
      </w:r>
    </w:p>
    <w:p>
      <w:pPr>
        <w:ind w:left="960" w:hanging="424"/>
        <w:spacing w:after="0" w:line="234" w:lineRule="auto"/>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Surface revenue increased 28% (up 30% in constant currency)</w:t>
      </w:r>
    </w:p>
    <w:p>
      <w:pPr>
        <w:ind w:left="960" w:hanging="424"/>
        <w:spacing w:after="0"/>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Search advertising revenue excluding traffic acquisition costs decreased 18% (down 17% in constant currency)</w:t>
      </w:r>
    </w:p>
    <w:p>
      <w:pPr>
        <w:spacing w:after="0" w:line="212"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666666"/>
        </w:rPr>
        <w:t>Operating expenses were $12.3 billion and increased 13%, including the $450 million charge for the closure of the Microsoft Store physical locations.</w:t>
      </w:r>
    </w:p>
    <w:p>
      <w:pPr>
        <w:spacing w:after="0" w:line="19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666666"/>
        </w:rPr>
        <w:t>Microsoft returned $8.9 billion to shareholders in the form of share repurchases and dividends in the fourth quarter of fiscal year 2020, an increase of 16% compared to the fourth quarter of fiscal year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Fiscal Year 2020 Results</w:t>
      </w:r>
    </w:p>
    <w:p>
      <w:pPr>
        <w:spacing w:after="0" w:line="23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666666"/>
        </w:rPr>
        <w:t>Microsoft Corp. today announced the following results for the fiscal year ended June 30, 2020, as compared to the corresponding period of last fiscal year:</w:t>
      </w:r>
    </w:p>
    <w:p>
      <w:pPr>
        <w:spacing w:after="0" w:line="219"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Revenue was $143.0 billion and increased 14%</w:t>
      </w:r>
    </w:p>
    <w:p>
      <w:pPr>
        <w:ind w:left="960" w:hanging="424"/>
        <w:spacing w:after="0" w:line="234" w:lineRule="auto"/>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Operating income was $53.0 billion and increased 23%</w:t>
      </w:r>
    </w:p>
    <w:p>
      <w:pPr>
        <w:ind w:left="960" w:hanging="424"/>
        <w:spacing w:after="0" w:line="234" w:lineRule="auto"/>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Net income was $44.3 billion and increased 13% GAAP and 20% non-GAAP</w:t>
      </w:r>
    </w:p>
    <w:p>
      <w:pPr>
        <w:ind w:left="960" w:hanging="424"/>
        <w:spacing w:after="0"/>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Diluted earnings per share was $5.76 and increased 14% GAAP and 21% non-GAAP</w:t>
      </w:r>
    </w:p>
    <w:p>
      <w:pPr>
        <w:sectPr>
          <w:pgSz w:w="11900" w:h="16838" w:orient="portrait"/>
          <w:cols w:equalWidth="0" w:num="1">
            <w:col w:w="10940"/>
          </w:cols>
          <w:pgMar w:left="440" w:top="287" w:right="519" w:bottom="1440" w:gutter="0" w:footer="0" w:header="0"/>
        </w:sectPr>
      </w:pPr>
    </w:p>
    <w:bookmarkStart w:id="5" w:name="page6"/>
    <w:bookmarkEnd w:id="5"/>
    <w:p>
      <w:pPr>
        <w:ind w:right="20"/>
        <w:spacing w:after="0" w:line="274" w:lineRule="auto"/>
        <w:rPr>
          <w:sz w:val="20"/>
          <w:szCs w:val="20"/>
          <w:color w:val="auto"/>
        </w:rPr>
      </w:pPr>
      <w:r>
        <w:rPr>
          <w:rFonts w:ascii="Arial" w:cs="Arial" w:eastAsia="Arial" w:hAnsi="Arial"/>
          <w:sz w:val="17"/>
          <w:szCs w:val="17"/>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following table reconciles our financial results reported in accordance with GAAP to non-GAAP financial results. Additional information regarding our non-GAAP definition is provided below. All growth comparisons relate to the corresponding period in the last fiscal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666666"/>
              </w:rPr>
              <w:t>Twelve Months Ended June 30,</w:t>
            </w:r>
          </w:p>
        </w:tc>
        <w:tc>
          <w:tcPr>
            <w:tcW w:w="1240" w:type="dxa"/>
            <w:vAlign w:val="bottom"/>
          </w:tcPr>
          <w:p>
            <w:pPr>
              <w:spacing w:after="0"/>
              <w:rPr>
                <w:sz w:val="16"/>
                <w:szCs w:val="16"/>
                <w:color w:val="auto"/>
              </w:rPr>
            </w:pPr>
          </w:p>
        </w:tc>
      </w:tr>
      <w:tr>
        <w:trPr>
          <w:trHeight w:val="80"/>
        </w:trPr>
        <w:tc>
          <w:tcPr>
            <w:tcW w:w="420" w:type="dxa"/>
            <w:vAlign w:val="bottom"/>
            <w:tcBorders>
              <w:bottom w:val="single" w:sz="8" w:color="auto"/>
            </w:tcBorders>
          </w:tcPr>
          <w:p>
            <w:pPr>
              <w:spacing w:after="0"/>
              <w:rPr>
                <w:sz w:val="6"/>
                <w:szCs w:val="6"/>
                <w:color w:val="auto"/>
              </w:rPr>
            </w:pPr>
          </w:p>
        </w:tc>
        <w:tc>
          <w:tcPr>
            <w:tcW w:w="446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42"/>
        </w:trPr>
        <w:tc>
          <w:tcPr>
            <w:tcW w:w="4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jc w:val="center"/>
              <w:ind w:left="28"/>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666666"/>
              </w:rPr>
              <w:t>Operating</w:t>
            </w:r>
          </w:p>
        </w:tc>
        <w:tc>
          <w:tcPr>
            <w:tcW w:w="1460" w:type="dxa"/>
            <w:vAlign w:val="bottom"/>
          </w:tcPr>
          <w:p>
            <w:pPr>
              <w:spacing w:after="0"/>
              <w:rPr>
                <w:sz w:val="14"/>
                <w:szCs w:val="14"/>
                <w:color w:val="auto"/>
              </w:rPr>
            </w:pPr>
          </w:p>
        </w:tc>
        <w:tc>
          <w:tcPr>
            <w:tcW w:w="1240" w:type="dxa"/>
            <w:vAlign w:val="bottom"/>
          </w:tcPr>
          <w:p>
            <w:pPr>
              <w:jc w:val="center"/>
              <w:ind w:left="48"/>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4880" w:type="dxa"/>
            <w:vAlign w:val="bottom"/>
            <w:gridSpan w:val="2"/>
          </w:tcPr>
          <w:p>
            <w:pPr>
              <w:ind w:left="120"/>
              <w:spacing w:after="0"/>
              <w:rPr>
                <w:sz w:val="20"/>
                <w:szCs w:val="20"/>
                <w:color w:val="auto"/>
              </w:rPr>
            </w:pPr>
            <w:r>
              <w:rPr>
                <w:rFonts w:ascii="Arial" w:cs="Arial" w:eastAsia="Arial" w:hAnsi="Arial"/>
                <w:sz w:val="14"/>
                <w:szCs w:val="14"/>
                <w:color w:val="666666"/>
              </w:rPr>
              <w:t>($ in millions, except per share amounts)</w:t>
            </w:r>
          </w:p>
        </w:tc>
        <w:tc>
          <w:tcPr>
            <w:tcW w:w="2140" w:type="dxa"/>
            <w:vAlign w:val="bottom"/>
          </w:tcPr>
          <w:p>
            <w:pPr>
              <w:jc w:val="right"/>
              <w:ind w:right="288"/>
              <w:spacing w:after="0"/>
              <w:rPr>
                <w:sz w:val="20"/>
                <w:szCs w:val="20"/>
                <w:color w:val="auto"/>
              </w:rPr>
            </w:pPr>
            <w:r>
              <w:rPr>
                <w:rFonts w:ascii="Arial" w:cs="Arial" w:eastAsia="Arial" w:hAnsi="Arial"/>
                <w:sz w:val="14"/>
                <w:szCs w:val="14"/>
                <w:b w:val="1"/>
                <w:bCs w:val="1"/>
                <w:color w:val="666666"/>
              </w:rPr>
              <w:t>Revenue</w:t>
            </w:r>
          </w:p>
        </w:tc>
        <w:tc>
          <w:tcPr>
            <w:tcW w:w="1300" w:type="dxa"/>
            <w:vAlign w:val="bottom"/>
          </w:tcPr>
          <w:p>
            <w:pPr>
              <w:jc w:val="right"/>
              <w:ind w:right="368"/>
              <w:spacing w:after="0"/>
              <w:rPr>
                <w:sz w:val="20"/>
                <w:szCs w:val="20"/>
                <w:color w:val="auto"/>
              </w:rPr>
            </w:pPr>
            <w:r>
              <w:rPr>
                <w:rFonts w:ascii="Arial" w:cs="Arial" w:eastAsia="Arial" w:hAnsi="Arial"/>
                <w:sz w:val="14"/>
                <w:szCs w:val="14"/>
                <w:b w:val="1"/>
                <w:bCs w:val="1"/>
                <w:color w:val="666666"/>
              </w:rPr>
              <w:t>Income</w:t>
            </w:r>
          </w:p>
        </w:tc>
        <w:tc>
          <w:tcPr>
            <w:tcW w:w="1460" w:type="dxa"/>
            <w:vAlign w:val="bottom"/>
          </w:tcPr>
          <w:p>
            <w:pPr>
              <w:jc w:val="right"/>
              <w:ind w:right="328"/>
              <w:spacing w:after="0"/>
              <w:rPr>
                <w:sz w:val="20"/>
                <w:szCs w:val="20"/>
                <w:color w:val="auto"/>
              </w:rPr>
            </w:pPr>
            <w:r>
              <w:rPr>
                <w:rFonts w:ascii="Arial" w:cs="Arial" w:eastAsia="Arial" w:hAnsi="Arial"/>
                <w:sz w:val="14"/>
                <w:szCs w:val="14"/>
                <w:b w:val="1"/>
                <w:bCs w:val="1"/>
                <w:color w:val="666666"/>
              </w:rPr>
              <w:t>Net Income</w:t>
            </w:r>
          </w:p>
        </w:tc>
        <w:tc>
          <w:tcPr>
            <w:tcW w:w="1240" w:type="dxa"/>
            <w:vAlign w:val="bottom"/>
          </w:tcPr>
          <w:p>
            <w:pPr>
              <w:jc w:val="center"/>
              <w:ind w:left="48"/>
              <w:spacing w:after="0"/>
              <w:rPr>
                <w:sz w:val="20"/>
                <w:szCs w:val="20"/>
                <w:color w:val="auto"/>
              </w:rPr>
            </w:pPr>
            <w:r>
              <w:rPr>
                <w:rFonts w:ascii="Arial" w:cs="Arial" w:eastAsia="Arial" w:hAnsi="Arial"/>
                <w:sz w:val="14"/>
                <w:szCs w:val="14"/>
                <w:b w:val="1"/>
                <w:bCs w:val="1"/>
                <w:color w:val="666666"/>
              </w:rPr>
              <w:t>Share</w:t>
            </w:r>
          </w:p>
        </w:tc>
      </w:tr>
      <w:tr>
        <w:trPr>
          <w:trHeight w:val="80"/>
        </w:trPr>
        <w:tc>
          <w:tcPr>
            <w:tcW w:w="420" w:type="dxa"/>
            <w:vAlign w:val="bottom"/>
            <w:tcBorders>
              <w:bottom w:val="single" w:sz="8" w:color="666666"/>
            </w:tcBorders>
          </w:tcPr>
          <w:p>
            <w:pPr>
              <w:spacing w:after="0"/>
              <w:rPr>
                <w:sz w:val="6"/>
                <w:szCs w:val="6"/>
                <w:color w:val="auto"/>
              </w:rPr>
            </w:pPr>
          </w:p>
        </w:tc>
        <w:tc>
          <w:tcPr>
            <w:tcW w:w="4460" w:type="dxa"/>
            <w:vAlign w:val="bottom"/>
            <w:tcBorders>
              <w:bottom w:val="single" w:sz="8" w:color="666666"/>
            </w:tcBorders>
          </w:tcPr>
          <w:p>
            <w:pPr>
              <w:spacing w:after="0"/>
              <w:rPr>
                <w:sz w:val="6"/>
                <w:szCs w:val="6"/>
                <w:color w:val="auto"/>
              </w:rPr>
            </w:pPr>
          </w:p>
        </w:tc>
        <w:tc>
          <w:tcPr>
            <w:tcW w:w="2140" w:type="dxa"/>
            <w:vAlign w:val="bottom"/>
            <w:tcBorders>
              <w:bottom w:val="single" w:sz="8" w:color="666666"/>
            </w:tcBorders>
          </w:tcPr>
          <w:p>
            <w:pPr>
              <w:spacing w:after="0"/>
              <w:rPr>
                <w:sz w:val="6"/>
                <w:szCs w:val="6"/>
                <w:color w:val="auto"/>
              </w:rPr>
            </w:pPr>
          </w:p>
        </w:tc>
        <w:tc>
          <w:tcPr>
            <w:tcW w:w="1300" w:type="dxa"/>
            <w:vAlign w:val="bottom"/>
            <w:tcBorders>
              <w:bottom w:val="single" w:sz="8" w:color="666666"/>
            </w:tcBorders>
          </w:tcPr>
          <w:p>
            <w:pPr>
              <w:spacing w:after="0"/>
              <w:rPr>
                <w:sz w:val="6"/>
                <w:szCs w:val="6"/>
                <w:color w:val="auto"/>
              </w:rPr>
            </w:pPr>
          </w:p>
        </w:tc>
        <w:tc>
          <w:tcPr>
            <w:tcW w:w="1460" w:type="dxa"/>
            <w:vAlign w:val="bottom"/>
            <w:tcBorders>
              <w:bottom w:val="single" w:sz="8" w:color="666666"/>
            </w:tcBorders>
          </w:tcPr>
          <w:p>
            <w:pPr>
              <w:spacing w:after="0"/>
              <w:rPr>
                <w:sz w:val="6"/>
                <w:szCs w:val="6"/>
                <w:color w:val="auto"/>
              </w:rPr>
            </w:pPr>
          </w:p>
        </w:tc>
        <w:tc>
          <w:tcPr>
            <w:tcW w:w="1240" w:type="dxa"/>
            <w:vAlign w:val="bottom"/>
            <w:tcBorders>
              <w:bottom w:val="single" w:sz="8" w:color="666666"/>
            </w:tcBorders>
          </w:tcPr>
          <w:p>
            <w:pPr>
              <w:spacing w:after="0"/>
              <w:rPr>
                <w:sz w:val="6"/>
                <w:szCs w:val="6"/>
                <w:color w:val="auto"/>
              </w:rPr>
            </w:pPr>
          </w:p>
        </w:tc>
      </w:tr>
      <w:tr>
        <w:trPr>
          <w:trHeight w:val="241"/>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2019</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21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$125,843</w:t>
            </w:r>
          </w:p>
        </w:tc>
        <w:tc>
          <w:tcPr>
            <w:tcW w:w="13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$42,959</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666666"/>
              </w:rPr>
              <w:t>$39,240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$5.06</w:t>
            </w:r>
          </w:p>
        </w:tc>
      </w:tr>
      <w:tr>
        <w:trPr>
          <w:trHeight w:val="211"/>
        </w:trPr>
        <w:tc>
          <w:tcPr>
            <w:tcW w:w="488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666666"/>
              </w:rPr>
              <w:t>Net Tax Impact of Transfer of Intangible Properties</w:t>
            </w:r>
          </w:p>
        </w:tc>
        <w:tc>
          <w:tcPr>
            <w:tcW w:w="21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w:t>
            </w:r>
          </w:p>
        </w:tc>
        <w:tc>
          <w:tcPr>
            <w:tcW w:w="13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w:t>
            </w:r>
          </w:p>
        </w:tc>
        <w:tc>
          <w:tcPr>
            <w:tcW w:w="14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666666"/>
              </w:rPr>
              <w:t>(2,567)</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(0.33)</w:t>
            </w:r>
          </w:p>
        </w:tc>
      </w:tr>
      <w:tr>
        <w:trPr>
          <w:trHeight w:val="26"/>
        </w:trPr>
        <w:tc>
          <w:tcPr>
            <w:tcW w:w="48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2"/>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666666"/>
              </w:rPr>
              <w:t>Net Impact of the Tax Cuts and Jobs Act (TCJA)</w:t>
            </w:r>
          </w:p>
        </w:tc>
        <w:tc>
          <w:tcPr>
            <w:tcW w:w="21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w:t>
            </w:r>
          </w:p>
        </w:tc>
        <w:tc>
          <w:tcPr>
            <w:tcW w:w="13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666666"/>
              </w:rPr>
              <w:t>157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0.02</w:t>
            </w:r>
          </w:p>
        </w:tc>
      </w:tr>
      <w:tr>
        <w:trPr>
          <w:trHeight w:val="21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2019</w:t>
            </w:r>
          </w:p>
        </w:tc>
        <w:tc>
          <w:tcPr>
            <w:tcW w:w="44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21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$125,843</w:t>
            </w:r>
          </w:p>
        </w:tc>
        <w:tc>
          <w:tcPr>
            <w:tcW w:w="13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$42,959</w:t>
            </w:r>
          </w:p>
        </w:tc>
        <w:tc>
          <w:tcPr>
            <w:tcW w:w="14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666666"/>
              </w:rPr>
              <w:t>$36,830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$4.75</w:t>
            </w:r>
          </w:p>
        </w:tc>
      </w:tr>
      <w:tr>
        <w:trPr>
          <w:trHeight w:val="26"/>
        </w:trPr>
        <w:tc>
          <w:tcPr>
            <w:tcW w:w="4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2"/>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2020</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21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$143,015</w:t>
            </w:r>
          </w:p>
        </w:tc>
        <w:tc>
          <w:tcPr>
            <w:tcW w:w="13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$52,959</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666666"/>
              </w:rPr>
              <w:t>$44,281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$5.76</w:t>
            </w:r>
          </w:p>
        </w:tc>
      </w:tr>
      <w:tr>
        <w:trPr>
          <w:trHeight w:val="211"/>
        </w:trPr>
        <w:tc>
          <w:tcPr>
            <w:tcW w:w="48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666666"/>
              </w:rPr>
              <w:t>Percentage Change Y/Y (GAAP)</w:t>
            </w:r>
          </w:p>
        </w:tc>
        <w:tc>
          <w:tcPr>
            <w:tcW w:w="21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14%</w:t>
            </w:r>
          </w:p>
        </w:tc>
        <w:tc>
          <w:tcPr>
            <w:tcW w:w="13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23%</w:t>
            </w:r>
          </w:p>
        </w:tc>
        <w:tc>
          <w:tcPr>
            <w:tcW w:w="14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666666"/>
              </w:rPr>
              <w:t>13%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14%</w:t>
            </w:r>
          </w:p>
        </w:tc>
      </w:tr>
      <w:tr>
        <w:trPr>
          <w:trHeight w:val="26"/>
        </w:trPr>
        <w:tc>
          <w:tcPr>
            <w:tcW w:w="488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48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w:t>
            </w:r>
          </w:p>
        </w:tc>
        <w:tc>
          <w:tcPr>
            <w:tcW w:w="21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14%</w:t>
            </w:r>
          </w:p>
        </w:tc>
        <w:tc>
          <w:tcPr>
            <w:tcW w:w="13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23%</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666666"/>
              </w:rPr>
              <w:t>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21%</w:t>
            </w:r>
          </w:p>
        </w:tc>
      </w:tr>
      <w:tr>
        <w:trPr>
          <w:trHeight w:val="218"/>
        </w:trPr>
        <w:tc>
          <w:tcPr>
            <w:tcW w:w="4880" w:type="dxa"/>
            <w:vAlign w:val="bottom"/>
            <w:gridSpan w:val="2"/>
          </w:tcPr>
          <w:p>
            <w:pPr>
              <w:ind w:left="80"/>
              <w:spacing w:after="0"/>
              <w:rPr>
                <w:sz w:val="20"/>
                <w:szCs w:val="20"/>
                <w:color w:val="auto"/>
              </w:rPr>
            </w:pPr>
            <w:r>
              <w:rPr>
                <w:rFonts w:ascii="Arial" w:cs="Arial" w:eastAsia="Arial" w:hAnsi="Arial"/>
                <w:sz w:val="14"/>
                <w:szCs w:val="14"/>
                <w:color w:val="666666"/>
              </w:rPr>
              <w:t>Percentage Change Y/Y (non-GAAP) Constant Currency</w:t>
            </w:r>
          </w:p>
        </w:tc>
        <w:tc>
          <w:tcPr>
            <w:tcW w:w="2140" w:type="dxa"/>
            <w:vAlign w:val="bottom"/>
          </w:tcPr>
          <w:p>
            <w:pPr>
              <w:jc w:val="right"/>
              <w:ind w:right="208"/>
              <w:spacing w:after="0"/>
              <w:rPr>
                <w:sz w:val="20"/>
                <w:szCs w:val="20"/>
                <w:color w:val="auto"/>
              </w:rPr>
            </w:pPr>
            <w:r>
              <w:rPr>
                <w:rFonts w:ascii="Arial" w:cs="Arial" w:eastAsia="Arial" w:hAnsi="Arial"/>
                <w:sz w:val="14"/>
                <w:szCs w:val="14"/>
                <w:color w:val="666666"/>
              </w:rPr>
              <w:t>15%</w:t>
            </w:r>
          </w:p>
        </w:tc>
        <w:tc>
          <w:tcPr>
            <w:tcW w:w="1300" w:type="dxa"/>
            <w:vAlign w:val="bottom"/>
          </w:tcPr>
          <w:p>
            <w:pPr>
              <w:jc w:val="right"/>
              <w:ind w:right="188"/>
              <w:spacing w:after="0"/>
              <w:rPr>
                <w:sz w:val="20"/>
                <w:szCs w:val="20"/>
                <w:color w:val="auto"/>
              </w:rPr>
            </w:pPr>
            <w:r>
              <w:rPr>
                <w:rFonts w:ascii="Arial" w:cs="Arial" w:eastAsia="Arial" w:hAnsi="Arial"/>
                <w:sz w:val="14"/>
                <w:szCs w:val="14"/>
                <w:color w:val="666666"/>
              </w:rPr>
              <w:t>27%</w:t>
            </w:r>
          </w:p>
        </w:tc>
        <w:tc>
          <w:tcPr>
            <w:tcW w:w="1460" w:type="dxa"/>
            <w:vAlign w:val="bottom"/>
          </w:tcPr>
          <w:p>
            <w:pPr>
              <w:jc w:val="right"/>
              <w:ind w:right="248"/>
              <w:spacing w:after="0"/>
              <w:rPr>
                <w:sz w:val="20"/>
                <w:szCs w:val="20"/>
                <w:color w:val="auto"/>
              </w:rPr>
            </w:pPr>
            <w:r>
              <w:rPr>
                <w:rFonts w:ascii="Arial" w:cs="Arial" w:eastAsia="Arial" w:hAnsi="Arial"/>
                <w:sz w:val="14"/>
                <w:szCs w:val="14"/>
                <w:color w:val="666666"/>
              </w:rPr>
              <w:t>24%</w:t>
            </w:r>
          </w:p>
        </w:tc>
        <w:tc>
          <w:tcPr>
            <w:tcW w:w="1240" w:type="dxa"/>
            <w:vAlign w:val="bottom"/>
          </w:tcPr>
          <w:p>
            <w:pPr>
              <w:jc w:val="right"/>
              <w:spacing w:after="0"/>
              <w:rPr>
                <w:sz w:val="20"/>
                <w:szCs w:val="20"/>
                <w:color w:val="auto"/>
              </w:rPr>
            </w:pPr>
            <w:r>
              <w:rPr>
                <w:rFonts w:ascii="Arial" w:cs="Arial" w:eastAsia="Arial" w:hAnsi="Arial"/>
                <w:sz w:val="14"/>
                <w:szCs w:val="14"/>
                <w:color w:val="666666"/>
              </w:rPr>
              <w:t>25%</w:t>
            </w:r>
          </w:p>
        </w:tc>
      </w:tr>
      <w:tr>
        <w:trPr>
          <w:trHeight w:val="26"/>
        </w:trPr>
        <w:tc>
          <w:tcPr>
            <w:tcW w:w="4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666666"/>
        </w:rPr>
        <w:t>GAAP results include a net income tax benefit of $2.6 billion and a net income tax charge of $157 million for the twelve months ended June 30, 2019. These net tax impacts are excluded from our non-GAAP results and explained in the Non-GAAP Definition section below</w:t>
      </w:r>
      <w:r>
        <w:rPr>
          <w:rFonts w:ascii="Arial" w:cs="Arial" w:eastAsia="Arial" w:hAnsi="Arial"/>
          <w:sz w:val="17"/>
          <w:szCs w:val="17"/>
          <w:b w:val="1"/>
          <w:bCs w:val="1"/>
          <w:color w:val="666666"/>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Business Outlook</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666666"/>
        </w:rPr>
        <w:t>Microsoft will provide forward-looking guidance in connection with this quarterly earnings announcement on its earnings conference call and webcast.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Responding to COVID-19</w:t>
      </w:r>
    </w:p>
    <w:p>
      <w:pPr>
        <w:spacing w:after="0" w:line="234" w:lineRule="exact"/>
        <w:rPr>
          <w:sz w:val="20"/>
          <w:szCs w:val="20"/>
          <w:color w:val="auto"/>
        </w:rPr>
      </w:pPr>
    </w:p>
    <w:p>
      <w:pPr>
        <w:ind w:right="20"/>
        <w:spacing w:after="0"/>
        <w:rPr>
          <w:sz w:val="20"/>
          <w:szCs w:val="20"/>
          <w:color w:val="auto"/>
        </w:rPr>
      </w:pPr>
      <w:r>
        <w:rPr>
          <w:rFonts w:ascii="Arial" w:cs="Arial" w:eastAsia="Arial" w:hAnsi="Arial"/>
          <w:sz w:val="18"/>
          <w:szCs w:val="18"/>
          <w:color w:val="666666"/>
        </w:rPr>
        <w:t xml:space="preserve">At Microsoft, our focus remains on ensuring the safety of our employees, striving to protect the health and well-being of the communities in which we operate, and providing technology and resources to our customers and partners to help them do their best work while remote. Additional information about Microsoft’s COVID-19 response can be found </w:t>
      </w:r>
      <w:r>
        <w:rPr>
          <w:rFonts w:ascii="Arial" w:cs="Arial" w:eastAsia="Arial" w:hAnsi="Arial"/>
          <w:sz w:val="18"/>
          <w:szCs w:val="18"/>
          <w:u w:val="single" w:color="auto"/>
          <w:color w:val="666666"/>
        </w:rPr>
        <w:t>here</w:t>
      </w:r>
      <w:r>
        <w:rPr>
          <w:rFonts w:ascii="Arial" w:cs="Arial" w:eastAsia="Arial" w:hAnsi="Arial"/>
          <w:sz w:val="18"/>
          <w:szCs w:val="18"/>
          <w:color w:val="666666"/>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Quarterly Highlights, Product Releases, and Enhancements</w:t>
      </w:r>
    </w:p>
    <w:p>
      <w:pPr>
        <w:spacing w:after="0" w:line="234" w:lineRule="exact"/>
        <w:rPr>
          <w:sz w:val="20"/>
          <w:szCs w:val="20"/>
          <w:color w:val="auto"/>
        </w:rPr>
      </w:pPr>
    </w:p>
    <w:p>
      <w:pPr>
        <w:ind w:right="320"/>
        <w:spacing w:after="0"/>
        <w:rPr>
          <w:sz w:val="20"/>
          <w:szCs w:val="20"/>
          <w:color w:val="auto"/>
        </w:rPr>
      </w:pPr>
      <w:r>
        <w:rPr>
          <w:rFonts w:ascii="Arial" w:cs="Arial" w:eastAsia="Arial" w:hAnsi="Arial"/>
          <w:sz w:val="18"/>
          <w:szCs w:val="18"/>
          <w:color w:val="666666"/>
        </w:rPr>
        <w:t>Every quarter Microsoft delivers hundreds of products, either as new releases, services, or enhancements to current products and services. These releases are a result of significant research and development investments, made over multiple years, designed to help customers be more productive and secure and to deliver differentiated value across the cloud and the edge.</w:t>
      </w:r>
    </w:p>
    <w:p>
      <w:pPr>
        <w:spacing w:after="0" w:line="20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666666"/>
        </w:rPr>
        <w:t xml:space="preserve">Here are the </w:t>
      </w:r>
      <w:r>
        <w:rPr>
          <w:rFonts w:ascii="Arial" w:cs="Arial" w:eastAsia="Arial" w:hAnsi="Arial"/>
          <w:sz w:val="18"/>
          <w:szCs w:val="18"/>
          <w:u w:val="single" w:color="auto"/>
          <w:color w:val="666666"/>
        </w:rPr>
        <w:t>major product releases and other highlights</w:t>
      </w:r>
      <w:r>
        <w:rPr>
          <w:rFonts w:ascii="Arial" w:cs="Arial" w:eastAsia="Arial" w:hAnsi="Arial"/>
          <w:sz w:val="18"/>
          <w:szCs w:val="18"/>
          <w:color w:val="666666"/>
        </w:rPr>
        <w:t xml:space="preserve"> for the quarter, organized by product categories, to help illustrate how we are accelerating innovation across our businesses while expanding our market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Environmental, Social, and Governance (ESG)</w:t>
      </w:r>
    </w:p>
    <w:p>
      <w:pPr>
        <w:spacing w:after="0" w:line="23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666666"/>
        </w:rPr>
        <w:t xml:space="preserve">To better execute on Microsoft’s mission, we focus our Environmental, Social, and Governance (ESG) efforts where we can have the most positive impact. To learn more about our latest initiatives and priorities, please visit our investor relations </w:t>
      </w:r>
      <w:r>
        <w:rPr>
          <w:rFonts w:ascii="Arial" w:cs="Arial" w:eastAsia="Arial" w:hAnsi="Arial"/>
          <w:sz w:val="18"/>
          <w:szCs w:val="18"/>
          <w:u w:val="single" w:color="auto"/>
          <w:color w:val="666666"/>
        </w:rPr>
        <w:t>ESG website</w:t>
      </w:r>
      <w:r>
        <w:rPr>
          <w:rFonts w:ascii="Arial" w:cs="Arial" w:eastAsia="Arial" w:hAnsi="Arial"/>
          <w:sz w:val="18"/>
          <w:szCs w:val="18"/>
          <w:color w:val="666666"/>
        </w:rPr>
        <w:t>.</w:t>
      </w:r>
    </w:p>
    <w:p>
      <w:pPr>
        <w:sectPr>
          <w:pgSz w:w="11900" w:h="16838" w:orient="portrait"/>
          <w:cols w:equalWidth="0" w:num="1">
            <w:col w:w="11020"/>
          </w:cols>
          <w:pgMar w:left="440" w:top="287"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Webcast Details</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666666"/>
        </w:rPr>
        <w:t xml:space="preserve">Satya Nadella, chief executive officer, Amy Hood, executive vice president and chief financial officer, Frank Brod, chief accounting officer, Keith Dolliver, deputy general counsel, and Michael Spencer, general manager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 The webcast will be available for replay through the close of business on July 22,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Non-GAAP Definition</w:t>
      </w:r>
    </w:p>
    <w:p>
      <w:pPr>
        <w:spacing w:after="0" w:line="216"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i w:val="1"/>
          <w:iCs w:val="1"/>
          <w:color w:val="666666"/>
        </w:rPr>
        <w:t>Transfer of Intangible Properties</w:t>
      </w:r>
      <w:r>
        <w:rPr>
          <w:rFonts w:ascii="Arial" w:cs="Arial" w:eastAsia="Arial" w:hAnsi="Arial"/>
          <w:sz w:val="17"/>
          <w:szCs w:val="17"/>
          <w:color w:val="666666"/>
        </w:rPr>
        <w:t>. In the fourth quarter of fiscal year 2019, in response to the TCJA and recently issued regulations,</w:t>
      </w:r>
      <w:r>
        <w:rPr>
          <w:rFonts w:ascii="Arial" w:cs="Arial" w:eastAsia="Arial" w:hAnsi="Arial"/>
          <w:sz w:val="17"/>
          <w:szCs w:val="17"/>
          <w:i w:val="1"/>
          <w:iCs w:val="1"/>
          <w:color w:val="666666"/>
        </w:rPr>
        <w:t xml:space="preserve"> </w:t>
      </w:r>
      <w:r>
        <w:rPr>
          <w:rFonts w:ascii="Arial" w:cs="Arial" w:eastAsia="Arial" w:hAnsi="Arial"/>
          <w:sz w:val="17"/>
          <w:szCs w:val="17"/>
          <w:color w:val="666666"/>
        </w:rPr>
        <w:t>Microsoft transferred certain intangible properties held by its foreign subsidiaries to the United States and Ireland. The transfers of intangible properties resulted in a net $2.6 billion tax benefit recorded in the fourth quarter of fiscal year 2019, as the value of future tax deductions exceeded the current tax liability from foreign jurisdictions and United States Global Intangible Low-Taxed Income (GILTI)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666666"/>
        </w:rPr>
        <w:t>The TCJA Impact</w:t>
      </w:r>
      <w:r>
        <w:rPr>
          <w:rFonts w:ascii="Arial" w:cs="Arial" w:eastAsia="Arial" w:hAnsi="Arial"/>
          <w:sz w:val="18"/>
          <w:szCs w:val="18"/>
          <w:color w:val="666666"/>
        </w:rPr>
        <w:t>. Microsoft recorded a net charge of $157 million during the twelve months ended June 30, 2019 related to the TCJA.</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666666"/>
        </w:rPr>
        <w:t>Microsoft has provided non-GAAP financial measures related to the transfer of intangible properties and the TCJA to aid investors in better understanding our performance. Microsoft believes these non-GAAP measures assist investors by providing additional insight into its operational performance and help clarify trends affecting its business. For comparability of reporting, management considers non-GAAP measures in conjunction with GAAP financial results in evaluating business performance. The non-GAAP financial measures presented in this release should not be considered as a substitute for, or superior to, the measures of financial performance prepared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Constant Currency</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666666"/>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sectPr>
          <w:pgSz w:w="11900" w:h="16838" w:orient="portrait"/>
          <w:cols w:equalWidth="0" w:num="1">
            <w:col w:w="11000"/>
          </w:cols>
          <w:pgMar w:left="440" w:top="265" w:right="459" w:bottom="1440" w:gutter="0" w:footer="0" w:header="0"/>
        </w:sectPr>
      </w:pPr>
    </w:p>
    <w:bookmarkStart w:id="7" w:name="page8"/>
    <w:bookmarkEnd w:id="7"/>
    <w:p>
      <w:pPr>
        <w:ind w:left="980"/>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Performance Constant Currency Reconciliation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3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666666"/>
              </w:rPr>
              <w:t>Three Months Ended June 30,</w:t>
            </w:r>
          </w:p>
        </w:tc>
        <w:tc>
          <w:tcPr>
            <w:tcW w:w="1280" w:type="dxa"/>
            <w:vAlign w:val="bottom"/>
          </w:tcPr>
          <w:p>
            <w:pPr>
              <w:spacing w:after="0"/>
              <w:rPr>
                <w:sz w:val="16"/>
                <w:szCs w:val="16"/>
                <w:color w:val="auto"/>
              </w:rPr>
            </w:pPr>
          </w:p>
        </w:tc>
      </w:tr>
      <w:tr>
        <w:trPr>
          <w:trHeight w:val="80"/>
        </w:trPr>
        <w:tc>
          <w:tcPr>
            <w:tcW w:w="420" w:type="dxa"/>
            <w:vAlign w:val="bottom"/>
            <w:tcBorders>
              <w:bottom w:val="single" w:sz="8" w:color="auto"/>
            </w:tcBorders>
          </w:tcPr>
          <w:p>
            <w:pPr>
              <w:spacing w:after="0"/>
              <w:rPr>
                <w:sz w:val="6"/>
                <w:szCs w:val="6"/>
                <w:color w:val="auto"/>
              </w:rPr>
            </w:pPr>
          </w:p>
        </w:tc>
        <w:tc>
          <w:tcPr>
            <w:tcW w:w="530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142"/>
        </w:trPr>
        <w:tc>
          <w:tcPr>
            <w:tcW w:w="4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jc w:val="center"/>
              <w:ind w:left="68"/>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666666"/>
              </w:rPr>
              <w:t>Operating</w:t>
            </w:r>
          </w:p>
        </w:tc>
        <w:tc>
          <w:tcPr>
            <w:tcW w:w="1360" w:type="dxa"/>
            <w:vAlign w:val="bottom"/>
          </w:tcPr>
          <w:p>
            <w:pPr>
              <w:spacing w:after="0"/>
              <w:rPr>
                <w:sz w:val="14"/>
                <w:szCs w:val="14"/>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5720" w:type="dxa"/>
            <w:vAlign w:val="bottom"/>
            <w:gridSpan w:val="2"/>
          </w:tcPr>
          <w:p>
            <w:pPr>
              <w:ind w:left="120"/>
              <w:spacing w:after="0"/>
              <w:rPr>
                <w:sz w:val="20"/>
                <w:szCs w:val="20"/>
                <w:color w:val="auto"/>
              </w:rPr>
            </w:pPr>
            <w:r>
              <w:rPr>
                <w:rFonts w:ascii="Arial" w:cs="Arial" w:eastAsia="Arial" w:hAnsi="Arial"/>
                <w:sz w:val="14"/>
                <w:szCs w:val="14"/>
                <w:color w:val="666666"/>
              </w:rPr>
              <w:t>($ in millions, except per share amounts)</w:t>
            </w:r>
          </w:p>
        </w:tc>
        <w:tc>
          <w:tcPr>
            <w:tcW w:w="1640" w:type="dxa"/>
            <w:vAlign w:val="bottom"/>
          </w:tcPr>
          <w:p>
            <w:pPr>
              <w:jc w:val="right"/>
              <w:ind w:right="628"/>
              <w:spacing w:after="0"/>
              <w:rPr>
                <w:sz w:val="20"/>
                <w:szCs w:val="20"/>
                <w:color w:val="auto"/>
              </w:rPr>
            </w:pPr>
            <w:r>
              <w:rPr>
                <w:rFonts w:ascii="Arial" w:cs="Arial" w:eastAsia="Arial" w:hAnsi="Arial"/>
                <w:sz w:val="14"/>
                <w:szCs w:val="14"/>
                <w:b w:val="1"/>
                <w:bCs w:val="1"/>
                <w:color w:val="666666"/>
              </w:rPr>
              <w:t>Revenue</w:t>
            </w: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666666"/>
              </w:rPr>
              <w:t>Income</w:t>
            </w: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666666"/>
              </w:rPr>
              <w:t>Net Income</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666666"/>
              </w:rPr>
              <w:t>Share</w:t>
            </w:r>
          </w:p>
        </w:tc>
      </w:tr>
      <w:tr>
        <w:trPr>
          <w:trHeight w:val="80"/>
        </w:trPr>
        <w:tc>
          <w:tcPr>
            <w:tcW w:w="420" w:type="dxa"/>
            <w:vAlign w:val="bottom"/>
            <w:tcBorders>
              <w:bottom w:val="single" w:sz="8" w:color="666666"/>
            </w:tcBorders>
          </w:tcPr>
          <w:p>
            <w:pPr>
              <w:spacing w:after="0"/>
              <w:rPr>
                <w:sz w:val="6"/>
                <w:szCs w:val="6"/>
                <w:color w:val="auto"/>
              </w:rPr>
            </w:pPr>
          </w:p>
        </w:tc>
        <w:tc>
          <w:tcPr>
            <w:tcW w:w="5300" w:type="dxa"/>
            <w:vAlign w:val="bottom"/>
            <w:tcBorders>
              <w:bottom w:val="single" w:sz="8" w:color="666666"/>
            </w:tcBorders>
          </w:tcPr>
          <w:p>
            <w:pPr>
              <w:spacing w:after="0"/>
              <w:rPr>
                <w:sz w:val="6"/>
                <w:szCs w:val="6"/>
                <w:color w:val="auto"/>
              </w:rPr>
            </w:pPr>
          </w:p>
        </w:tc>
        <w:tc>
          <w:tcPr>
            <w:tcW w:w="1640" w:type="dxa"/>
            <w:vAlign w:val="bottom"/>
            <w:tcBorders>
              <w:bottom w:val="single" w:sz="8" w:color="666666"/>
            </w:tcBorders>
          </w:tcPr>
          <w:p>
            <w:pPr>
              <w:spacing w:after="0"/>
              <w:rPr>
                <w:sz w:val="6"/>
                <w:szCs w:val="6"/>
                <w:color w:val="auto"/>
              </w:rPr>
            </w:pPr>
          </w:p>
        </w:tc>
        <w:tc>
          <w:tcPr>
            <w:tcW w:w="1020" w:type="dxa"/>
            <w:vAlign w:val="bottom"/>
            <w:tcBorders>
              <w:bottom w:val="single" w:sz="8" w:color="666666"/>
            </w:tcBorders>
          </w:tcPr>
          <w:p>
            <w:pPr>
              <w:spacing w:after="0"/>
              <w:rPr>
                <w:sz w:val="6"/>
                <w:szCs w:val="6"/>
                <w:color w:val="auto"/>
              </w:rPr>
            </w:pPr>
          </w:p>
        </w:tc>
        <w:tc>
          <w:tcPr>
            <w:tcW w:w="1360" w:type="dxa"/>
            <w:vAlign w:val="bottom"/>
            <w:tcBorders>
              <w:bottom w:val="single" w:sz="8" w:color="666666"/>
            </w:tcBorders>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r>
      <w:tr>
        <w:trPr>
          <w:trHeight w:val="242"/>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2019</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w:t>
            </w:r>
          </w:p>
        </w:tc>
        <w:tc>
          <w:tcPr>
            <w:tcW w:w="164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666666"/>
              </w:rPr>
              <w:t>$33,717</w:t>
            </w:r>
          </w:p>
        </w:tc>
        <w:tc>
          <w:tcPr>
            <w:tcW w:w="10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666666"/>
              </w:rPr>
              <w:t>$12,405</w:t>
            </w:r>
          </w:p>
        </w:tc>
        <w:tc>
          <w:tcPr>
            <w:tcW w:w="1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$13,187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$1.71</w:t>
            </w:r>
          </w:p>
        </w:tc>
      </w:tr>
      <w:tr>
        <w:trPr>
          <w:trHeight w:val="21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2019</w:t>
            </w: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64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666666"/>
              </w:rPr>
              <w:t>$33,717</w:t>
            </w:r>
          </w:p>
        </w:tc>
        <w:tc>
          <w:tcPr>
            <w:tcW w:w="10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666666"/>
              </w:rPr>
              <w:t>$12,405</w:t>
            </w:r>
          </w:p>
        </w:tc>
        <w:tc>
          <w:tcPr>
            <w:tcW w:w="1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$10,620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$1.37</w:t>
            </w:r>
          </w:p>
        </w:tc>
      </w:tr>
      <w:tr>
        <w:trPr>
          <w:trHeight w:val="26"/>
        </w:trPr>
        <w:tc>
          <w:tcPr>
            <w:tcW w:w="42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2"/>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2020</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w:t>
            </w:r>
          </w:p>
        </w:tc>
        <w:tc>
          <w:tcPr>
            <w:tcW w:w="164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666666"/>
              </w:rPr>
              <w:t>$38,033</w:t>
            </w:r>
          </w:p>
        </w:tc>
        <w:tc>
          <w:tcPr>
            <w:tcW w:w="10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666666"/>
              </w:rPr>
              <w:t>$13,407</w:t>
            </w:r>
          </w:p>
        </w:tc>
        <w:tc>
          <w:tcPr>
            <w:tcW w:w="1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$11,202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$1.46</w:t>
            </w:r>
          </w:p>
        </w:tc>
      </w:tr>
      <w:tr>
        <w:trPr>
          <w:trHeight w:val="211"/>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666666"/>
              </w:rPr>
              <w:t>Percentage Change Y/Y (GAAP)</w:t>
            </w:r>
          </w:p>
        </w:tc>
        <w:tc>
          <w:tcPr>
            <w:tcW w:w="164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666666"/>
              </w:rPr>
              <w:t>13%</w:t>
            </w:r>
          </w:p>
        </w:tc>
        <w:tc>
          <w:tcPr>
            <w:tcW w:w="10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666666"/>
              </w:rPr>
              <w:t>8%</w:t>
            </w:r>
          </w:p>
        </w:tc>
        <w:tc>
          <w:tcPr>
            <w:tcW w:w="1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(15%)</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(15%)</w:t>
            </w:r>
          </w:p>
        </w:tc>
      </w:tr>
      <w:tr>
        <w:trPr>
          <w:trHeight w:val="26"/>
        </w:trPr>
        <w:tc>
          <w:tcPr>
            <w:tcW w:w="57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2"/>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w:t>
            </w:r>
          </w:p>
        </w:tc>
        <w:tc>
          <w:tcPr>
            <w:tcW w:w="164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color w:val="666666"/>
              </w:rPr>
              <w:t>13%</w:t>
            </w:r>
          </w:p>
        </w:tc>
        <w:tc>
          <w:tcPr>
            <w:tcW w:w="10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666666"/>
              </w:rPr>
              <w:t>8%</w:t>
            </w:r>
          </w:p>
        </w:tc>
        <w:tc>
          <w:tcPr>
            <w:tcW w:w="1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7%</w:t>
            </w:r>
          </w:p>
        </w:tc>
      </w:tr>
      <w:tr>
        <w:trPr>
          <w:trHeight w:val="211"/>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666666"/>
              </w:rPr>
              <w:t>Constant Currency Impact</w:t>
            </w:r>
          </w:p>
        </w:tc>
        <w:tc>
          <w:tcPr>
            <w:tcW w:w="164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666666"/>
              </w:rPr>
              <w:t>$(598)</w:t>
            </w:r>
          </w:p>
        </w:tc>
        <w:tc>
          <w:tcPr>
            <w:tcW w:w="10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666666"/>
              </w:rPr>
              <w:t>$(454)</w:t>
            </w:r>
          </w:p>
        </w:tc>
        <w:tc>
          <w:tcPr>
            <w:tcW w:w="1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$(314)</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$(0.04)</w:t>
            </w:r>
          </w:p>
        </w:tc>
      </w:tr>
      <w:tr>
        <w:trPr>
          <w:trHeight w:val="26"/>
        </w:trPr>
        <w:tc>
          <w:tcPr>
            <w:tcW w:w="57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2"/>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 Constant Currency</w:t>
            </w:r>
          </w:p>
        </w:tc>
        <w:tc>
          <w:tcPr>
            <w:tcW w:w="164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color w:val="666666"/>
              </w:rPr>
              <w:t>15%</w:t>
            </w:r>
          </w:p>
        </w:tc>
        <w:tc>
          <w:tcPr>
            <w:tcW w:w="10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666666"/>
              </w:rPr>
              <w:t>12%</w:t>
            </w:r>
          </w:p>
        </w:tc>
        <w:tc>
          <w:tcPr>
            <w:tcW w:w="1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9%</w:t>
            </w:r>
          </w:p>
        </w:tc>
      </w:tr>
      <w:tr>
        <w:trPr>
          <w:trHeight w:val="413"/>
        </w:trPr>
        <w:tc>
          <w:tcPr>
            <w:tcW w:w="420" w:type="dxa"/>
            <w:vAlign w:val="bottom"/>
            <w:tcBorders>
              <w:top w:val="single" w:sz="8" w:color="auto"/>
            </w:tcBorders>
          </w:tcPr>
          <w:p>
            <w:pPr>
              <w:spacing w:after="0"/>
              <w:rPr>
                <w:sz w:val="24"/>
                <w:szCs w:val="24"/>
                <w:color w:val="auto"/>
              </w:rPr>
            </w:pPr>
          </w:p>
        </w:tc>
        <w:tc>
          <w:tcPr>
            <w:tcW w:w="53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666666"/>
              </w:rPr>
              <w:t>Twelve Months Ended June 30,</w:t>
            </w:r>
          </w:p>
        </w:tc>
        <w:tc>
          <w:tcPr>
            <w:tcW w:w="1280" w:type="dxa"/>
            <w:vAlign w:val="bottom"/>
            <w:tcBorders>
              <w:top w:val="single" w:sz="8" w:color="auto"/>
            </w:tcBorders>
          </w:tcPr>
          <w:p>
            <w:pPr>
              <w:spacing w:after="0"/>
              <w:rPr>
                <w:sz w:val="24"/>
                <w:szCs w:val="24"/>
                <w:color w:val="auto"/>
              </w:rPr>
            </w:pPr>
          </w:p>
        </w:tc>
      </w:tr>
      <w:tr>
        <w:trPr>
          <w:trHeight w:val="80"/>
        </w:trPr>
        <w:tc>
          <w:tcPr>
            <w:tcW w:w="420" w:type="dxa"/>
            <w:vAlign w:val="bottom"/>
            <w:tcBorders>
              <w:bottom w:val="single" w:sz="8" w:color="auto"/>
            </w:tcBorders>
          </w:tcPr>
          <w:p>
            <w:pPr>
              <w:spacing w:after="0"/>
              <w:rPr>
                <w:sz w:val="6"/>
                <w:szCs w:val="6"/>
                <w:color w:val="auto"/>
              </w:rPr>
            </w:pPr>
          </w:p>
        </w:tc>
        <w:tc>
          <w:tcPr>
            <w:tcW w:w="530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142"/>
        </w:trPr>
        <w:tc>
          <w:tcPr>
            <w:tcW w:w="4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jc w:val="center"/>
              <w:ind w:left="68"/>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666666"/>
              </w:rPr>
              <w:t>Operating</w:t>
            </w:r>
          </w:p>
        </w:tc>
        <w:tc>
          <w:tcPr>
            <w:tcW w:w="1360" w:type="dxa"/>
            <w:vAlign w:val="bottom"/>
          </w:tcPr>
          <w:p>
            <w:pPr>
              <w:spacing w:after="0"/>
              <w:rPr>
                <w:sz w:val="14"/>
                <w:szCs w:val="14"/>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5720" w:type="dxa"/>
            <w:vAlign w:val="bottom"/>
            <w:gridSpan w:val="2"/>
          </w:tcPr>
          <w:p>
            <w:pPr>
              <w:ind w:left="120"/>
              <w:spacing w:after="0"/>
              <w:rPr>
                <w:sz w:val="20"/>
                <w:szCs w:val="20"/>
                <w:color w:val="auto"/>
              </w:rPr>
            </w:pPr>
            <w:r>
              <w:rPr>
                <w:rFonts w:ascii="Arial" w:cs="Arial" w:eastAsia="Arial" w:hAnsi="Arial"/>
                <w:sz w:val="14"/>
                <w:szCs w:val="14"/>
                <w:color w:val="666666"/>
              </w:rPr>
              <w:t>($ in millions, except per share amounts)</w:t>
            </w:r>
          </w:p>
        </w:tc>
        <w:tc>
          <w:tcPr>
            <w:tcW w:w="1640" w:type="dxa"/>
            <w:vAlign w:val="bottom"/>
          </w:tcPr>
          <w:p>
            <w:pPr>
              <w:jc w:val="right"/>
              <w:ind w:right="448"/>
              <w:spacing w:after="0"/>
              <w:rPr>
                <w:sz w:val="20"/>
                <w:szCs w:val="20"/>
                <w:color w:val="auto"/>
              </w:rPr>
            </w:pPr>
            <w:r>
              <w:rPr>
                <w:rFonts w:ascii="Arial" w:cs="Arial" w:eastAsia="Arial" w:hAnsi="Arial"/>
                <w:sz w:val="14"/>
                <w:szCs w:val="14"/>
                <w:b w:val="1"/>
                <w:bCs w:val="1"/>
                <w:color w:val="666666"/>
              </w:rPr>
              <w:t>Revenue</w:t>
            </w:r>
          </w:p>
        </w:tc>
        <w:tc>
          <w:tcPr>
            <w:tcW w:w="1020" w:type="dxa"/>
            <w:vAlign w:val="bottom"/>
          </w:tcPr>
          <w:p>
            <w:pPr>
              <w:ind w:left="140"/>
              <w:spacing w:after="0"/>
              <w:rPr>
                <w:sz w:val="20"/>
                <w:szCs w:val="20"/>
                <w:color w:val="auto"/>
              </w:rPr>
            </w:pPr>
            <w:r>
              <w:rPr>
                <w:rFonts w:ascii="Arial" w:cs="Arial" w:eastAsia="Arial" w:hAnsi="Arial"/>
                <w:sz w:val="14"/>
                <w:szCs w:val="14"/>
                <w:b w:val="1"/>
                <w:bCs w:val="1"/>
                <w:color w:val="666666"/>
              </w:rPr>
              <w:t>Income</w:t>
            </w: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666666"/>
              </w:rPr>
              <w:t>Net Income</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666666"/>
              </w:rPr>
              <w:t>Share</w:t>
            </w:r>
          </w:p>
        </w:tc>
      </w:tr>
      <w:tr>
        <w:trPr>
          <w:trHeight w:val="80"/>
        </w:trPr>
        <w:tc>
          <w:tcPr>
            <w:tcW w:w="420" w:type="dxa"/>
            <w:vAlign w:val="bottom"/>
            <w:tcBorders>
              <w:bottom w:val="single" w:sz="8" w:color="666666"/>
            </w:tcBorders>
          </w:tcPr>
          <w:p>
            <w:pPr>
              <w:spacing w:after="0"/>
              <w:rPr>
                <w:sz w:val="6"/>
                <w:szCs w:val="6"/>
                <w:color w:val="auto"/>
              </w:rPr>
            </w:pPr>
          </w:p>
        </w:tc>
        <w:tc>
          <w:tcPr>
            <w:tcW w:w="5300" w:type="dxa"/>
            <w:vAlign w:val="bottom"/>
            <w:tcBorders>
              <w:bottom w:val="single" w:sz="8" w:color="666666"/>
            </w:tcBorders>
          </w:tcPr>
          <w:p>
            <w:pPr>
              <w:spacing w:after="0"/>
              <w:rPr>
                <w:sz w:val="6"/>
                <w:szCs w:val="6"/>
                <w:color w:val="auto"/>
              </w:rPr>
            </w:pPr>
          </w:p>
        </w:tc>
        <w:tc>
          <w:tcPr>
            <w:tcW w:w="1640" w:type="dxa"/>
            <w:vAlign w:val="bottom"/>
            <w:tcBorders>
              <w:bottom w:val="single" w:sz="8" w:color="666666"/>
            </w:tcBorders>
          </w:tcPr>
          <w:p>
            <w:pPr>
              <w:spacing w:after="0"/>
              <w:rPr>
                <w:sz w:val="6"/>
                <w:szCs w:val="6"/>
                <w:color w:val="auto"/>
              </w:rPr>
            </w:pPr>
          </w:p>
        </w:tc>
        <w:tc>
          <w:tcPr>
            <w:tcW w:w="1020" w:type="dxa"/>
            <w:vAlign w:val="bottom"/>
            <w:tcBorders>
              <w:bottom w:val="single" w:sz="8" w:color="666666"/>
            </w:tcBorders>
          </w:tcPr>
          <w:p>
            <w:pPr>
              <w:spacing w:after="0"/>
              <w:rPr>
                <w:sz w:val="6"/>
                <w:szCs w:val="6"/>
                <w:color w:val="auto"/>
              </w:rPr>
            </w:pPr>
          </w:p>
        </w:tc>
        <w:tc>
          <w:tcPr>
            <w:tcW w:w="1360" w:type="dxa"/>
            <w:vAlign w:val="bottom"/>
            <w:tcBorders>
              <w:bottom w:val="single" w:sz="8" w:color="666666"/>
            </w:tcBorders>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r>
      <w:tr>
        <w:trPr>
          <w:trHeight w:val="241"/>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2019</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w:t>
            </w:r>
          </w:p>
        </w:tc>
        <w:tc>
          <w:tcPr>
            <w:tcW w:w="16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666666"/>
              </w:rPr>
              <w:t>$125,843</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666666"/>
              </w:rPr>
              <w:t>$42,959</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$39,240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$5.06</w:t>
            </w:r>
          </w:p>
        </w:tc>
      </w:tr>
      <w:tr>
        <w:trPr>
          <w:trHeight w:val="21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2019</w:t>
            </w: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6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666666"/>
              </w:rPr>
              <w:t>$125,843</w:t>
            </w: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666666"/>
              </w:rPr>
              <w:t>$42,959</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$36,830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$4.75</w:t>
            </w:r>
          </w:p>
        </w:tc>
      </w:tr>
      <w:tr>
        <w:trPr>
          <w:trHeight w:val="26"/>
        </w:trPr>
        <w:tc>
          <w:tcPr>
            <w:tcW w:w="42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2"/>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2020</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w:t>
            </w:r>
          </w:p>
        </w:tc>
        <w:tc>
          <w:tcPr>
            <w:tcW w:w="16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666666"/>
              </w:rPr>
              <w:t>$143,015</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666666"/>
              </w:rPr>
              <w:t>$52,959</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$44,281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$5.76</w:t>
            </w:r>
          </w:p>
        </w:tc>
      </w:tr>
      <w:tr>
        <w:trPr>
          <w:trHeight w:val="211"/>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666666"/>
              </w:rPr>
              <w:t>Percentage Change Y/Y (GAAP)</w:t>
            </w:r>
          </w:p>
        </w:tc>
        <w:tc>
          <w:tcPr>
            <w:tcW w:w="16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666666"/>
              </w:rPr>
              <w:t>14%</w:t>
            </w: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666666"/>
              </w:rPr>
              <w:t>23%</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13%</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14%</w:t>
            </w:r>
          </w:p>
        </w:tc>
      </w:tr>
      <w:tr>
        <w:trPr>
          <w:trHeight w:val="26"/>
        </w:trPr>
        <w:tc>
          <w:tcPr>
            <w:tcW w:w="57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1"/>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w:t>
            </w:r>
          </w:p>
        </w:tc>
        <w:tc>
          <w:tcPr>
            <w:tcW w:w="16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666666"/>
              </w:rPr>
              <w:t>14%</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666666"/>
              </w:rPr>
              <w:t>23%</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666666"/>
              </w:rPr>
              <w:t>20%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21%</w:t>
            </w:r>
          </w:p>
        </w:tc>
      </w:tr>
      <w:tr>
        <w:trPr>
          <w:trHeight w:val="211"/>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666666"/>
              </w:rPr>
              <w:t>Constant Currency Impact</w:t>
            </w:r>
          </w:p>
        </w:tc>
        <w:tc>
          <w:tcPr>
            <w:tcW w:w="16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666666"/>
              </w:rPr>
              <w:t>$(1,974)</w:t>
            </w: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666666"/>
              </w:rPr>
              <w:t>$(1,567)</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$(1,348)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$(0.18)</w:t>
            </w:r>
          </w:p>
        </w:tc>
      </w:tr>
      <w:tr>
        <w:trPr>
          <w:trHeight w:val="26"/>
        </w:trPr>
        <w:tc>
          <w:tcPr>
            <w:tcW w:w="57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2"/>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 Constant Currency</w:t>
            </w:r>
          </w:p>
        </w:tc>
        <w:tc>
          <w:tcPr>
            <w:tcW w:w="16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666666"/>
              </w:rPr>
              <w:t>15%</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666666"/>
              </w:rPr>
              <w:t>27%</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666666"/>
              </w:rPr>
              <w:t>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25%</w:t>
            </w:r>
          </w:p>
        </w:tc>
      </w:tr>
      <w:tr>
        <w:trPr>
          <w:trHeight w:val="425"/>
        </w:trPr>
        <w:tc>
          <w:tcPr>
            <w:tcW w:w="420" w:type="dxa"/>
            <w:vAlign w:val="bottom"/>
            <w:tcBorders>
              <w:top w:val="single" w:sz="8" w:color="auto"/>
            </w:tcBorders>
          </w:tcPr>
          <w:p>
            <w:pPr>
              <w:spacing w:after="0"/>
              <w:rPr>
                <w:sz w:val="24"/>
                <w:szCs w:val="24"/>
                <w:color w:val="auto"/>
              </w:rPr>
            </w:pPr>
          </w:p>
        </w:tc>
        <w:tc>
          <w:tcPr>
            <w:tcW w:w="53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666666"/>
              </w:rPr>
              <w:t>Segment Revenue Constant Currency Reconciliation</w:t>
            </w:r>
          </w:p>
        </w:tc>
        <w:tc>
          <w:tcPr>
            <w:tcW w:w="16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407"/>
        </w:trPr>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666666"/>
              </w:rPr>
              <w:t>Three Months Ended June 30,</w:t>
            </w:r>
          </w:p>
        </w:tc>
        <w:tc>
          <w:tcPr>
            <w:tcW w:w="1280" w:type="dxa"/>
            <w:vAlign w:val="bottom"/>
          </w:tcPr>
          <w:p>
            <w:pPr>
              <w:spacing w:after="0"/>
              <w:rPr>
                <w:sz w:val="24"/>
                <w:szCs w:val="24"/>
                <w:color w:val="auto"/>
              </w:rPr>
            </w:pPr>
          </w:p>
        </w:tc>
      </w:tr>
      <w:tr>
        <w:trPr>
          <w:trHeight w:val="79"/>
        </w:trPr>
        <w:tc>
          <w:tcPr>
            <w:tcW w:w="420" w:type="dxa"/>
            <w:vAlign w:val="bottom"/>
            <w:tcBorders>
              <w:bottom w:val="single" w:sz="8" w:color="auto"/>
            </w:tcBorders>
          </w:tcPr>
          <w:p>
            <w:pPr>
              <w:spacing w:after="0"/>
              <w:rPr>
                <w:sz w:val="6"/>
                <w:szCs w:val="6"/>
                <w:color w:val="auto"/>
              </w:rPr>
            </w:pPr>
          </w:p>
        </w:tc>
        <w:tc>
          <w:tcPr>
            <w:tcW w:w="530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142"/>
        </w:trPr>
        <w:tc>
          <w:tcPr>
            <w:tcW w:w="4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40" w:type="dxa"/>
            <w:vAlign w:val="bottom"/>
          </w:tcPr>
          <w:p>
            <w:pPr>
              <w:jc w:val="right"/>
              <w:ind w:right="68"/>
              <w:spacing w:after="0" w:line="143" w:lineRule="exact"/>
              <w:rPr>
                <w:sz w:val="20"/>
                <w:szCs w:val="20"/>
                <w:color w:val="auto"/>
              </w:rPr>
            </w:pPr>
            <w:r>
              <w:rPr>
                <w:rFonts w:ascii="Arial" w:cs="Arial" w:eastAsia="Arial" w:hAnsi="Arial"/>
                <w:sz w:val="14"/>
                <w:szCs w:val="14"/>
                <w:b w:val="1"/>
                <w:bCs w:val="1"/>
                <w:color w:val="666666"/>
              </w:rPr>
              <w:t>Productivity and</w:t>
            </w: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666666"/>
              </w:rPr>
              <w:t>More Personal</w:t>
            </w:r>
          </w:p>
        </w:tc>
      </w:tr>
      <w:tr>
        <w:trPr>
          <w:trHeight w:val="190"/>
        </w:trPr>
        <w:tc>
          <w:tcPr>
            <w:tcW w:w="5720" w:type="dxa"/>
            <w:vAlign w:val="bottom"/>
            <w:gridSpan w:val="2"/>
          </w:tcPr>
          <w:p>
            <w:pPr>
              <w:ind w:left="120"/>
              <w:spacing w:after="0"/>
              <w:rPr>
                <w:sz w:val="20"/>
                <w:szCs w:val="20"/>
                <w:color w:val="auto"/>
              </w:rPr>
            </w:pPr>
            <w:r>
              <w:rPr>
                <w:rFonts w:ascii="Arial" w:cs="Arial" w:eastAsia="Arial" w:hAnsi="Arial"/>
                <w:sz w:val="14"/>
                <w:szCs w:val="14"/>
                <w:color w:val="666666"/>
              </w:rPr>
              <w:t>($ in millions)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666666"/>
              </w:rPr>
              <w:t>Business Processes</w:t>
            </w:r>
          </w:p>
        </w:tc>
        <w:tc>
          <w:tcPr>
            <w:tcW w:w="238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666666"/>
              </w:rPr>
              <w:t>Intelligent Cloud</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666666"/>
              </w:rPr>
              <w:t>Computing</w:t>
            </w:r>
          </w:p>
        </w:tc>
      </w:tr>
      <w:tr>
        <w:trPr>
          <w:trHeight w:val="80"/>
        </w:trPr>
        <w:tc>
          <w:tcPr>
            <w:tcW w:w="420" w:type="dxa"/>
            <w:vAlign w:val="bottom"/>
            <w:tcBorders>
              <w:bottom w:val="single" w:sz="8" w:color="666666"/>
            </w:tcBorders>
          </w:tcPr>
          <w:p>
            <w:pPr>
              <w:spacing w:after="0"/>
              <w:rPr>
                <w:sz w:val="6"/>
                <w:szCs w:val="6"/>
                <w:color w:val="auto"/>
              </w:rPr>
            </w:pPr>
          </w:p>
        </w:tc>
        <w:tc>
          <w:tcPr>
            <w:tcW w:w="5300" w:type="dxa"/>
            <w:vAlign w:val="bottom"/>
            <w:tcBorders>
              <w:bottom w:val="single" w:sz="8" w:color="666666"/>
            </w:tcBorders>
          </w:tcPr>
          <w:p>
            <w:pPr>
              <w:spacing w:after="0"/>
              <w:rPr>
                <w:sz w:val="6"/>
                <w:szCs w:val="6"/>
                <w:color w:val="auto"/>
              </w:rPr>
            </w:pPr>
          </w:p>
        </w:tc>
        <w:tc>
          <w:tcPr>
            <w:tcW w:w="1640" w:type="dxa"/>
            <w:vAlign w:val="bottom"/>
            <w:tcBorders>
              <w:bottom w:val="single" w:sz="8" w:color="666666"/>
            </w:tcBorders>
          </w:tcPr>
          <w:p>
            <w:pPr>
              <w:spacing w:after="0"/>
              <w:rPr>
                <w:sz w:val="6"/>
                <w:szCs w:val="6"/>
                <w:color w:val="auto"/>
              </w:rPr>
            </w:pPr>
          </w:p>
        </w:tc>
        <w:tc>
          <w:tcPr>
            <w:tcW w:w="1020" w:type="dxa"/>
            <w:vAlign w:val="bottom"/>
            <w:tcBorders>
              <w:bottom w:val="single" w:sz="8" w:color="666666"/>
            </w:tcBorders>
          </w:tcPr>
          <w:p>
            <w:pPr>
              <w:spacing w:after="0"/>
              <w:rPr>
                <w:sz w:val="6"/>
                <w:szCs w:val="6"/>
                <w:color w:val="auto"/>
              </w:rPr>
            </w:pPr>
          </w:p>
        </w:tc>
        <w:tc>
          <w:tcPr>
            <w:tcW w:w="1360" w:type="dxa"/>
            <w:vAlign w:val="bottom"/>
            <w:tcBorders>
              <w:bottom w:val="single" w:sz="8" w:color="666666"/>
            </w:tcBorders>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r>
      <w:tr>
        <w:trPr>
          <w:trHeight w:val="242"/>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2019</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$11,047</w:t>
            </w:r>
          </w:p>
        </w:tc>
        <w:tc>
          <w:tcPr>
            <w:tcW w:w="10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666666"/>
              </w:rPr>
              <w:t>$11,391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$11,279</w:t>
            </w:r>
          </w:p>
        </w:tc>
      </w:tr>
      <w:tr>
        <w:trPr>
          <w:trHeight w:val="21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2020</w:t>
            </w: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Reported</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$11,752</w:t>
            </w:r>
          </w:p>
        </w:tc>
        <w:tc>
          <w:tcPr>
            <w:tcW w:w="10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666666"/>
              </w:rPr>
              <w:t>$13,371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$12,910</w:t>
            </w:r>
          </w:p>
        </w:tc>
      </w:tr>
      <w:tr>
        <w:trPr>
          <w:trHeight w:val="25"/>
        </w:trPr>
        <w:tc>
          <w:tcPr>
            <w:tcW w:w="57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2"/>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6%</w:t>
            </w:r>
          </w:p>
        </w:tc>
        <w:tc>
          <w:tcPr>
            <w:tcW w:w="10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666666"/>
              </w:rPr>
              <w:t>17%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14%</w:t>
            </w:r>
          </w:p>
        </w:tc>
      </w:tr>
      <w:tr>
        <w:trPr>
          <w:trHeight w:val="211"/>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666666"/>
              </w:rPr>
              <w:t>Constant Currency Impact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$(209)</w:t>
            </w:r>
          </w:p>
        </w:tc>
        <w:tc>
          <w:tcPr>
            <w:tcW w:w="10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666666"/>
              </w:rPr>
              <w:t>$(238)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$(151)</w:t>
            </w:r>
          </w:p>
        </w:tc>
      </w:tr>
      <w:tr>
        <w:trPr>
          <w:trHeight w:val="25"/>
        </w:trPr>
        <w:tc>
          <w:tcPr>
            <w:tcW w:w="57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Constant Currency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8%</w:t>
            </w:r>
          </w:p>
        </w:tc>
        <w:tc>
          <w:tcPr>
            <w:tcW w:w="10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666666"/>
              </w:rPr>
              <w:t>19%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16%</w:t>
            </w:r>
          </w:p>
        </w:tc>
      </w:tr>
      <w:tr>
        <w:trPr>
          <w:trHeight w:val="20"/>
        </w:trPr>
        <w:tc>
          <w:tcPr>
            <w:tcW w:w="420" w:type="dxa"/>
            <w:vAlign w:val="bottom"/>
            <w:shd w:val="clear" w:color="auto" w:fill="000000"/>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65" w:right="439" w:bottom="1440" w:gutter="0" w:footer="0" w:header="0"/>
        </w:sectPr>
      </w:pPr>
    </w:p>
    <w:bookmarkStart w:id="8" w:name="page9"/>
    <w:bookmarkEnd w:id="8"/>
    <w:p>
      <w:pPr>
        <w:ind w:left="980"/>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Selected Product and Service Revenue Constant Currency Reconciliation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700" w:type="dxa"/>
            <w:vAlign w:val="bottom"/>
          </w:tcPr>
          <w:p>
            <w:pPr>
              <w:jc w:val="right"/>
              <w:ind w:right="88"/>
              <w:spacing w:after="0"/>
              <w:rPr>
                <w:sz w:val="20"/>
                <w:szCs w:val="20"/>
                <w:color w:val="auto"/>
              </w:rPr>
            </w:pPr>
            <w:r>
              <w:rPr>
                <w:rFonts w:ascii="Arial" w:cs="Arial" w:eastAsia="Arial" w:hAnsi="Arial"/>
                <w:sz w:val="14"/>
                <w:szCs w:val="14"/>
                <w:b w:val="1"/>
                <w:bCs w:val="1"/>
                <w:color w:val="666666"/>
              </w:rPr>
              <w:t>Three Months Ended June 30, 2020</w:t>
            </w:r>
          </w:p>
        </w:tc>
        <w:tc>
          <w:tcPr>
            <w:tcW w:w="1560" w:type="dxa"/>
            <w:vAlign w:val="bottom"/>
          </w:tcPr>
          <w:p>
            <w:pPr>
              <w:spacing w:after="0"/>
              <w:rPr>
                <w:sz w:val="16"/>
                <w:szCs w:val="16"/>
                <w:color w:val="auto"/>
              </w:rPr>
            </w:pPr>
          </w:p>
        </w:tc>
      </w:tr>
      <w:tr>
        <w:trPr>
          <w:trHeight w:val="80"/>
        </w:trPr>
        <w:tc>
          <w:tcPr>
            <w:tcW w:w="45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142"/>
        </w:trPr>
        <w:tc>
          <w:tcPr>
            <w:tcW w:w="4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60" w:type="dxa"/>
            <w:vAlign w:val="bottom"/>
          </w:tcPr>
          <w:p>
            <w:pPr>
              <w:jc w:val="center"/>
              <w:ind w:left="28"/>
              <w:spacing w:after="0" w:line="143" w:lineRule="exact"/>
              <w:rPr>
                <w:sz w:val="20"/>
                <w:szCs w:val="20"/>
                <w:color w:val="auto"/>
              </w:rPr>
            </w:pPr>
            <w:r>
              <w:rPr>
                <w:rFonts w:ascii="Arial" w:cs="Arial" w:eastAsia="Arial" w:hAnsi="Arial"/>
                <w:sz w:val="14"/>
                <w:szCs w:val="14"/>
                <w:b w:val="1"/>
                <w:bCs w:val="1"/>
                <w:color w:val="666666"/>
              </w:rPr>
              <w:t>Percentage Change</w:t>
            </w:r>
          </w:p>
        </w:tc>
      </w:tr>
      <w:tr>
        <w:trPr>
          <w:trHeight w:val="162"/>
        </w:trPr>
        <w:tc>
          <w:tcPr>
            <w:tcW w:w="4500" w:type="dxa"/>
            <w:vAlign w:val="bottom"/>
          </w:tcPr>
          <w:p>
            <w:pPr>
              <w:spacing w:after="0"/>
              <w:rPr>
                <w:sz w:val="14"/>
                <w:szCs w:val="14"/>
                <w:color w:val="auto"/>
              </w:rPr>
            </w:pPr>
          </w:p>
        </w:tc>
        <w:tc>
          <w:tcPr>
            <w:tcW w:w="2260" w:type="dxa"/>
            <w:vAlign w:val="bottom"/>
          </w:tcPr>
          <w:p>
            <w:pPr>
              <w:jc w:val="right"/>
              <w:ind w:right="88"/>
              <w:spacing w:after="0"/>
              <w:rPr>
                <w:sz w:val="20"/>
                <w:szCs w:val="20"/>
                <w:color w:val="auto"/>
              </w:rPr>
            </w:pPr>
            <w:r>
              <w:rPr>
                <w:rFonts w:ascii="Arial" w:cs="Arial" w:eastAsia="Arial" w:hAnsi="Arial"/>
                <w:sz w:val="14"/>
                <w:szCs w:val="14"/>
                <w:b w:val="1"/>
                <w:bCs w:val="1"/>
                <w:color w:val="666666"/>
              </w:rPr>
              <w:t>Percentage Change</w:t>
            </w:r>
          </w:p>
        </w:tc>
        <w:tc>
          <w:tcPr>
            <w:tcW w:w="2700" w:type="dxa"/>
            <w:vAlign w:val="bottom"/>
          </w:tcPr>
          <w:p>
            <w:pPr>
              <w:jc w:val="right"/>
              <w:ind w:right="628"/>
              <w:spacing w:after="0"/>
              <w:rPr>
                <w:sz w:val="20"/>
                <w:szCs w:val="20"/>
                <w:color w:val="auto"/>
              </w:rPr>
            </w:pPr>
            <w:r>
              <w:rPr>
                <w:rFonts w:ascii="Arial" w:cs="Arial" w:eastAsia="Arial" w:hAnsi="Arial"/>
                <w:sz w:val="14"/>
                <w:szCs w:val="14"/>
                <w:b w:val="1"/>
                <w:bCs w:val="1"/>
                <w:color w:val="666666"/>
              </w:rPr>
              <w:t>Constant Currency</w:t>
            </w:r>
          </w:p>
        </w:tc>
        <w:tc>
          <w:tcPr>
            <w:tcW w:w="1560" w:type="dxa"/>
            <w:vAlign w:val="bottom"/>
          </w:tcPr>
          <w:p>
            <w:pPr>
              <w:jc w:val="center"/>
              <w:ind w:left="28"/>
              <w:spacing w:after="0"/>
              <w:rPr>
                <w:sz w:val="20"/>
                <w:szCs w:val="20"/>
                <w:color w:val="auto"/>
              </w:rPr>
            </w:pPr>
            <w:r>
              <w:rPr>
                <w:rFonts w:ascii="Arial" w:cs="Arial" w:eastAsia="Arial" w:hAnsi="Arial"/>
                <w:sz w:val="14"/>
                <w:szCs w:val="14"/>
                <w:b w:val="1"/>
                <w:bCs w:val="1"/>
                <w:color w:val="666666"/>
              </w:rPr>
              <w:t>Y/Y Constant</w:t>
            </w:r>
          </w:p>
        </w:tc>
      </w:tr>
      <w:tr>
        <w:trPr>
          <w:trHeight w:val="190"/>
        </w:trPr>
        <w:tc>
          <w:tcPr>
            <w:tcW w:w="4500" w:type="dxa"/>
            <w:vAlign w:val="bottom"/>
          </w:tcPr>
          <w:p>
            <w:pPr>
              <w:spacing w:after="0"/>
              <w:rPr>
                <w:sz w:val="16"/>
                <w:szCs w:val="16"/>
                <w:color w:val="auto"/>
              </w:rPr>
            </w:pPr>
          </w:p>
        </w:tc>
        <w:tc>
          <w:tcPr>
            <w:tcW w:w="2260" w:type="dxa"/>
            <w:vAlign w:val="bottom"/>
          </w:tcPr>
          <w:p>
            <w:pPr>
              <w:jc w:val="right"/>
              <w:ind w:right="368"/>
              <w:spacing w:after="0"/>
              <w:rPr>
                <w:sz w:val="20"/>
                <w:szCs w:val="20"/>
                <w:color w:val="auto"/>
              </w:rPr>
            </w:pPr>
            <w:r>
              <w:rPr>
                <w:rFonts w:ascii="Arial" w:cs="Arial" w:eastAsia="Arial" w:hAnsi="Arial"/>
                <w:sz w:val="14"/>
                <w:szCs w:val="14"/>
                <w:b w:val="1"/>
                <w:bCs w:val="1"/>
                <w:color w:val="666666"/>
              </w:rPr>
              <w:t>Y/Y (GAAP)</w:t>
            </w:r>
          </w:p>
        </w:tc>
        <w:tc>
          <w:tcPr>
            <w:tcW w:w="2700" w:type="dxa"/>
            <w:vAlign w:val="bottom"/>
          </w:tcPr>
          <w:p>
            <w:pPr>
              <w:jc w:val="right"/>
              <w:ind w:right="1048"/>
              <w:spacing w:after="0"/>
              <w:rPr>
                <w:sz w:val="20"/>
                <w:szCs w:val="20"/>
                <w:color w:val="auto"/>
              </w:rPr>
            </w:pPr>
            <w:r>
              <w:rPr>
                <w:rFonts w:ascii="Arial" w:cs="Arial" w:eastAsia="Arial" w:hAnsi="Arial"/>
                <w:sz w:val="14"/>
                <w:szCs w:val="14"/>
                <w:b w:val="1"/>
                <w:bCs w:val="1"/>
                <w:color w:val="666666"/>
              </w:rPr>
              <w:t>Impact</w:t>
            </w:r>
          </w:p>
        </w:tc>
        <w:tc>
          <w:tcPr>
            <w:tcW w:w="1560" w:type="dxa"/>
            <w:vAlign w:val="bottom"/>
          </w:tcPr>
          <w:p>
            <w:pPr>
              <w:jc w:val="center"/>
              <w:ind w:left="48"/>
              <w:spacing w:after="0"/>
              <w:rPr>
                <w:sz w:val="20"/>
                <w:szCs w:val="20"/>
                <w:color w:val="auto"/>
              </w:rPr>
            </w:pPr>
            <w:r>
              <w:rPr>
                <w:rFonts w:ascii="Arial" w:cs="Arial" w:eastAsia="Arial" w:hAnsi="Arial"/>
                <w:sz w:val="14"/>
                <w:szCs w:val="14"/>
                <w:b w:val="1"/>
                <w:bCs w:val="1"/>
                <w:color w:val="666666"/>
              </w:rPr>
              <w:t>Currency</w:t>
            </w:r>
          </w:p>
        </w:tc>
      </w:tr>
      <w:tr>
        <w:trPr>
          <w:trHeight w:val="80"/>
        </w:trPr>
        <w:tc>
          <w:tcPr>
            <w:tcW w:w="4500" w:type="dxa"/>
            <w:vAlign w:val="bottom"/>
            <w:tcBorders>
              <w:bottom w:val="single" w:sz="8" w:color="666666"/>
            </w:tcBorders>
          </w:tcPr>
          <w:p>
            <w:pPr>
              <w:spacing w:after="0"/>
              <w:rPr>
                <w:sz w:val="6"/>
                <w:szCs w:val="6"/>
                <w:color w:val="auto"/>
              </w:rPr>
            </w:pPr>
          </w:p>
        </w:tc>
        <w:tc>
          <w:tcPr>
            <w:tcW w:w="2260" w:type="dxa"/>
            <w:vAlign w:val="bottom"/>
            <w:tcBorders>
              <w:bottom w:val="single" w:sz="8" w:color="666666"/>
            </w:tcBorders>
          </w:tcPr>
          <w:p>
            <w:pPr>
              <w:spacing w:after="0"/>
              <w:rPr>
                <w:sz w:val="6"/>
                <w:szCs w:val="6"/>
                <w:color w:val="auto"/>
              </w:rPr>
            </w:pPr>
          </w:p>
        </w:tc>
        <w:tc>
          <w:tcPr>
            <w:tcW w:w="2700" w:type="dxa"/>
            <w:vAlign w:val="bottom"/>
            <w:tcBorders>
              <w:bottom w:val="single" w:sz="8" w:color="666666"/>
            </w:tcBorders>
          </w:tcPr>
          <w:p>
            <w:pPr>
              <w:spacing w:after="0"/>
              <w:rPr>
                <w:sz w:val="6"/>
                <w:szCs w:val="6"/>
                <w:color w:val="auto"/>
              </w:rPr>
            </w:pPr>
          </w:p>
        </w:tc>
        <w:tc>
          <w:tcPr>
            <w:tcW w:w="1560" w:type="dxa"/>
            <w:vAlign w:val="bottom"/>
            <w:tcBorders>
              <w:bottom w:val="single" w:sz="8" w:color="666666"/>
            </w:tcBorders>
          </w:tcPr>
          <w:p>
            <w:pPr>
              <w:spacing w:after="0"/>
              <w:rPr>
                <w:sz w:val="6"/>
                <w:szCs w:val="6"/>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Office Commercial products and cloud services</w:t>
            </w:r>
          </w:p>
        </w:tc>
        <w:tc>
          <w:tcPr>
            <w:tcW w:w="2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5%</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7%</w:t>
            </w: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Office 365 Commercial</w:t>
            </w:r>
          </w:p>
        </w:tc>
        <w:tc>
          <w:tcPr>
            <w:tcW w:w="2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19%</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3%</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22%</w:t>
            </w:r>
          </w:p>
        </w:tc>
      </w:tr>
      <w:tr>
        <w:trPr>
          <w:trHeight w:val="26"/>
        </w:trPr>
        <w:tc>
          <w:tcPr>
            <w:tcW w:w="4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Office Consumer products and cloud services</w:t>
            </w:r>
          </w:p>
        </w:tc>
        <w:tc>
          <w:tcPr>
            <w:tcW w:w="2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6%</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7%</w:t>
            </w: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LinkedIn</w:t>
            </w:r>
          </w:p>
        </w:tc>
        <w:tc>
          <w:tcPr>
            <w:tcW w:w="2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10%</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1%</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11%</w:t>
            </w:r>
          </w:p>
        </w:tc>
      </w:tr>
      <w:tr>
        <w:trPr>
          <w:trHeight w:val="26"/>
        </w:trPr>
        <w:tc>
          <w:tcPr>
            <w:tcW w:w="4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Dynamics products and cloud services</w:t>
            </w:r>
          </w:p>
        </w:tc>
        <w:tc>
          <w:tcPr>
            <w:tcW w:w="2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13%</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15%</w:t>
            </w: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Dynamics 365</w:t>
            </w:r>
          </w:p>
        </w:tc>
        <w:tc>
          <w:tcPr>
            <w:tcW w:w="2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38%</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40%</w:t>
            </w:r>
          </w:p>
        </w:tc>
      </w:tr>
      <w:tr>
        <w:trPr>
          <w:trHeight w:val="26"/>
        </w:trPr>
        <w:tc>
          <w:tcPr>
            <w:tcW w:w="4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Server products and cloud services</w:t>
            </w:r>
          </w:p>
        </w:tc>
        <w:tc>
          <w:tcPr>
            <w:tcW w:w="2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19%</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21%</w:t>
            </w: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Azure</w:t>
            </w:r>
          </w:p>
        </w:tc>
        <w:tc>
          <w:tcPr>
            <w:tcW w:w="2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47%</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3%</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50%</w:t>
            </w:r>
          </w:p>
        </w:tc>
      </w:tr>
      <w:tr>
        <w:trPr>
          <w:trHeight w:val="26"/>
        </w:trPr>
        <w:tc>
          <w:tcPr>
            <w:tcW w:w="4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Enterprise Services</w:t>
            </w:r>
          </w:p>
        </w:tc>
        <w:tc>
          <w:tcPr>
            <w:tcW w:w="2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0%</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w:t>
            </w: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Windows OEM</w:t>
            </w:r>
          </w:p>
        </w:tc>
        <w:tc>
          <w:tcPr>
            <w:tcW w:w="2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7%</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0%</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7%</w:t>
            </w:r>
          </w:p>
        </w:tc>
      </w:tr>
      <w:tr>
        <w:trPr>
          <w:trHeight w:val="26"/>
        </w:trPr>
        <w:tc>
          <w:tcPr>
            <w:tcW w:w="4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1"/>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Windows Commercial products and cloud services</w:t>
            </w:r>
          </w:p>
        </w:tc>
        <w:tc>
          <w:tcPr>
            <w:tcW w:w="2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9%</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11%</w:t>
            </w: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Xbox content and services</w:t>
            </w:r>
          </w:p>
        </w:tc>
        <w:tc>
          <w:tcPr>
            <w:tcW w:w="2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65%</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3%</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68%</w:t>
            </w:r>
          </w:p>
        </w:tc>
      </w:tr>
      <w:tr>
        <w:trPr>
          <w:trHeight w:val="26"/>
        </w:trPr>
        <w:tc>
          <w:tcPr>
            <w:tcW w:w="4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Surface</w:t>
            </w:r>
          </w:p>
        </w:tc>
        <w:tc>
          <w:tcPr>
            <w:tcW w:w="2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28%</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30%</w:t>
            </w: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Search advertising excluding traffic acquisition costs</w:t>
            </w:r>
          </w:p>
        </w:tc>
        <w:tc>
          <w:tcPr>
            <w:tcW w:w="2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(18)%</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1%</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(17)%</w:t>
            </w:r>
          </w:p>
        </w:tc>
      </w:tr>
      <w:tr>
        <w:trPr>
          <w:trHeight w:val="26"/>
        </w:trPr>
        <w:tc>
          <w:tcPr>
            <w:tcW w:w="4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About Microsoft</w:t>
      </w:r>
    </w:p>
    <w:p>
      <w:pPr>
        <w:spacing w:after="0" w:line="234"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666666"/>
        </w:rPr>
        <w:t>Microsoft (Nasdaq “MSFT” @microsoft) enables digital transformation for the era of an intelligent cloud and an intelligent edge. Its mission is to empower every person and every organization on the planet to achieve more.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Forward-Looking Statements</w:t>
      </w:r>
    </w:p>
    <w:p>
      <w:pPr>
        <w:spacing w:after="0" w:line="23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666666"/>
        </w:rPr>
        <w:t>Statements in this release that are “forward-looking statements” are based on current expectations and assumptions that are subject to risks and uncertainties. Actual results could differ materially because of factors such as:</w:t>
      </w:r>
    </w:p>
    <w:p>
      <w:pPr>
        <w:spacing w:after="0" w:line="224"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intense competition in all of our markets that may lead to lower revenue or operating margins;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increasing focus on cloud-based services presenting execution and competitive risks;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significant investments in products and services that may not achieve expected returns;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acquisitions, joint ventures, and strategic alliances that may have an adverse effect on our business;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impairment of goodwill or amortizable intangible assets causing a significant charge to earnings;</w:t>
      </w:r>
    </w:p>
    <w:p>
      <w:pPr>
        <w:spacing w:after="0" w:line="238" w:lineRule="exact"/>
        <w:rPr>
          <w:rFonts w:ascii="Arial" w:cs="Arial" w:eastAsia="Arial" w:hAnsi="Arial"/>
          <w:sz w:val="18"/>
          <w:szCs w:val="18"/>
          <w:color w:val="666666"/>
        </w:rPr>
      </w:pPr>
    </w:p>
    <w:p>
      <w:pPr>
        <w:ind w:left="960" w:right="280" w:hanging="424"/>
        <w:spacing w:after="0" w:line="246"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cyberattacks and security vulnerabilities that could lead to reduced revenue, increased costs, liability claims, or harm to our reputation or competitive position;</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disclosure and misuse of personal data that could cause liability and harm to our reputation;</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the possibility that we may not be able to protect information stored in our products and services from use by others;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abuse of our advertising or social platforms that may harm our reputation or user engagement;</w:t>
      </w:r>
    </w:p>
    <w:p>
      <w:pPr>
        <w:sectPr>
          <w:pgSz w:w="11900" w:h="16838" w:orient="portrait"/>
          <w:cols w:equalWidth="0" w:num="1">
            <w:col w:w="11020"/>
          </w:cols>
          <w:pgMar w:left="440" w:top="265" w:right="439" w:bottom="1440" w:gutter="0" w:footer="0" w:header="0"/>
        </w:sectPr>
      </w:pPr>
    </w:p>
    <w:bookmarkStart w:id="9" w:name="page10"/>
    <w:bookmarkEnd w:id="9"/>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development of the internet of things presenting security, privacy, and execution risks;</w:t>
      </w:r>
    </w:p>
    <w:p>
      <w:pPr>
        <w:spacing w:after="0" w:line="238" w:lineRule="exact"/>
        <w:rPr>
          <w:rFonts w:ascii="Arial" w:cs="Arial" w:eastAsia="Arial" w:hAnsi="Arial"/>
          <w:sz w:val="18"/>
          <w:szCs w:val="18"/>
          <w:color w:val="666666"/>
        </w:rPr>
      </w:pPr>
    </w:p>
    <w:p>
      <w:pPr>
        <w:ind w:left="960" w:right="40" w:hanging="424"/>
        <w:spacing w:after="0" w:line="246" w:lineRule="auto"/>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issues about the use of artificial intelligence in our offerings that may result in competitive harm, legal liability, or reputational harm;</w:t>
      </w:r>
    </w:p>
    <w:p>
      <w:pPr>
        <w:spacing w:after="0" w:line="223" w:lineRule="exact"/>
        <w:rPr>
          <w:rFonts w:ascii="Arial" w:cs="Arial" w:eastAsia="Arial" w:hAnsi="Arial"/>
          <w:sz w:val="18"/>
          <w:szCs w:val="18"/>
          <w:color w:val="666666"/>
        </w:rPr>
      </w:pPr>
    </w:p>
    <w:p>
      <w:pPr>
        <w:ind w:left="960" w:right="760" w:hanging="424"/>
        <w:spacing w:after="0" w:line="246" w:lineRule="auto"/>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excessive outages, data losses, and disruptions of our online services if we fail to maintain an adequate operations infrastructure;</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quality or supply problems;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the possibility that we may fail to protect our source code;</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legal changes, our evolving business model, piracy, and other factors may decrease the value of our intellectual property;</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claims that Microsoft has infringed the intellectual property rights of others;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claims against us that may result in adverse outcomes in legal disputes;</w:t>
      </w:r>
    </w:p>
    <w:p>
      <w:pPr>
        <w:spacing w:after="0" w:line="238" w:lineRule="exact"/>
        <w:rPr>
          <w:rFonts w:ascii="Arial" w:cs="Arial" w:eastAsia="Arial" w:hAnsi="Arial"/>
          <w:sz w:val="18"/>
          <w:szCs w:val="18"/>
          <w:color w:val="666666"/>
        </w:rPr>
      </w:pPr>
    </w:p>
    <w:p>
      <w:pPr>
        <w:ind w:left="960" w:right="580" w:hanging="424"/>
        <w:spacing w:after="0" w:line="246" w:lineRule="auto"/>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government litigation and regulatory activity relating to competition rules that may limit how we design and market our products;</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potential liability under trade protection, anti-corruption, and other laws resulting from our global operations;</w:t>
      </w:r>
    </w:p>
    <w:p>
      <w:pPr>
        <w:spacing w:after="0" w:line="238" w:lineRule="exact"/>
        <w:rPr>
          <w:rFonts w:ascii="Arial" w:cs="Arial" w:eastAsia="Arial" w:hAnsi="Arial"/>
          <w:sz w:val="18"/>
          <w:szCs w:val="18"/>
          <w:color w:val="666666"/>
        </w:rPr>
      </w:pPr>
    </w:p>
    <w:p>
      <w:pPr>
        <w:ind w:left="960" w:right="500" w:hanging="424"/>
        <w:spacing w:after="0" w:line="246" w:lineRule="auto"/>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laws and regulations relating to the handling of personal data that may impede the adoption of our services or result in increased costs, legal claims, fines, or reputational damage;</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additional tax liabilities;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damage to our reputation or our brands that may harm our business and operating results;</w:t>
      </w:r>
    </w:p>
    <w:p>
      <w:pPr>
        <w:spacing w:after="0" w:line="238" w:lineRule="exact"/>
        <w:rPr>
          <w:rFonts w:ascii="Arial" w:cs="Arial" w:eastAsia="Arial" w:hAnsi="Arial"/>
          <w:sz w:val="18"/>
          <w:szCs w:val="18"/>
          <w:color w:val="666666"/>
        </w:rPr>
      </w:pPr>
    </w:p>
    <w:p>
      <w:pPr>
        <w:ind w:left="960" w:right="400" w:hanging="424"/>
        <w:spacing w:after="0" w:line="246" w:lineRule="auto"/>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exposure to increased economic and operational uncertainties from operating a global business, including the effects of foreign currency exchange;</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uncertainties relating to our business with government customers;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adverse economic or market conditions that may harm our business;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catastrophic events or geo-political conditions, such as the COVID-19 pandemic, that may disrupt our business; and</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the dependence of our business on our ability to attract and retain talented employees.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color w:val="666666"/>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cs="Arial" w:eastAsia="Arial" w:hAnsi="Arial"/>
          <w:sz w:val="17"/>
          <w:szCs w:val="17"/>
          <w:u w:val="single" w:color="auto"/>
          <w:color w:val="666666"/>
        </w:rPr>
        <w:t>http://www.microsoft.com/en-us/investor</w:t>
      </w:r>
      <w:r>
        <w:rPr>
          <w:rFonts w:ascii="Arial" w:cs="Arial" w:eastAsia="Arial" w:hAnsi="Arial"/>
          <w:sz w:val="17"/>
          <w:szCs w:val="17"/>
          <w:color w:val="666666"/>
        </w:rPr>
        <w:t>.</w:t>
      </w:r>
    </w:p>
    <w:p>
      <w:pPr>
        <w:sectPr>
          <w:pgSz w:w="11900" w:h="16838" w:orient="portrait"/>
          <w:cols w:equalWidth="0" w:num="1">
            <w:col w:w="10860"/>
          </w:cols>
          <w:pgMar w:left="440" w:top="287" w:right="599" w:bottom="1440" w:gutter="0" w:footer="0" w:header="0"/>
        </w:sectPr>
      </w:pPr>
    </w:p>
    <w:bookmarkStart w:id="10" w:name="page11"/>
    <w:bookmarkEnd w:id="10"/>
    <w:p>
      <w:pPr>
        <w:ind w:right="640"/>
        <w:spacing w:after="0" w:line="246" w:lineRule="auto"/>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information in this release is as of June 30, 2020. The company undertakes no duty to update any forward-looking statement to conform the statement to actual results or changes in the company’s expectations.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press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 xml:space="preserve">Microsoft Media Relations, WE Communications for Microsoft, (425) 638-7777, </w:t>
      </w:r>
      <w:r>
        <w:rPr>
          <w:rFonts w:ascii="Arial" w:cs="Arial" w:eastAsia="Arial" w:hAnsi="Arial"/>
          <w:sz w:val="18"/>
          <w:szCs w:val="18"/>
          <w:u w:val="single" w:color="auto"/>
          <w:color w:val="666666"/>
        </w:rPr>
        <w:t>rrt@we-worldwide.com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financial analysts and investors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Michael Spencer, General Manager, Investor Relations, (425) 706-4400</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666666"/>
        </w:rPr>
        <w:t xml:space="preserve">Note to editors: For more information, news and perspectives from Microsoft, please visit the Microsoft News Center at </w:t>
      </w:r>
      <w:r>
        <w:rPr>
          <w:rFonts w:ascii="Arial" w:cs="Arial" w:eastAsia="Arial" w:hAnsi="Arial"/>
          <w:sz w:val="18"/>
          <w:szCs w:val="18"/>
          <w:u w:val="single" w:color="auto"/>
          <w:color w:val="666666"/>
        </w:rPr>
        <w:t>http://www.microsoft.com/news</w:t>
      </w:r>
      <w:r>
        <w:rPr>
          <w:rFonts w:ascii="Arial" w:cs="Arial" w:eastAsia="Arial" w:hAnsi="Arial"/>
          <w:sz w:val="18"/>
          <w:szCs w:val="18"/>
          <w:color w:val="666666"/>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w:t>
      </w:r>
    </w:p>
    <w:p>
      <w:pPr>
        <w:sectPr>
          <w:pgSz w:w="11900" w:h="16838" w:orient="portrait"/>
          <w:cols w:equalWidth="0" w:num="1">
            <w:col w:w="10980"/>
          </w:cols>
          <w:pgMar w:left="440" w:top="287"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336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27"/>
        </w:trPr>
        <w:tc>
          <w:tcPr>
            <w:tcW w:w="3360" w:type="dxa"/>
            <w:vAlign w:val="bottom"/>
          </w:tcPr>
          <w:p>
            <w:pPr>
              <w:spacing w:after="0"/>
              <w:rPr>
                <w:sz w:val="24"/>
                <w:szCs w:val="24"/>
                <w:color w:val="auto"/>
              </w:rPr>
            </w:pPr>
          </w:p>
        </w:tc>
        <w:tc>
          <w:tcPr>
            <w:tcW w:w="4440" w:type="dxa"/>
            <w:vAlign w:val="bottom"/>
            <w:gridSpan w:val="3"/>
          </w:tcPr>
          <w:p>
            <w:pPr>
              <w:jc w:val="center"/>
              <w:ind w:right="160"/>
              <w:spacing w:after="0"/>
              <w:rPr>
                <w:sz w:val="20"/>
                <w:szCs w:val="20"/>
                <w:color w:val="auto"/>
              </w:rPr>
            </w:pPr>
            <w:r>
              <w:rPr>
                <w:rFonts w:ascii="Arial" w:cs="Arial" w:eastAsia="Arial" w:hAnsi="Arial"/>
                <w:sz w:val="18"/>
                <w:szCs w:val="18"/>
                <w:color w:val="666666"/>
                <w:w w:val="98"/>
              </w:rPr>
              <w:t>INCOME STATEMENTS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3360" w:type="dxa"/>
            <w:vAlign w:val="bottom"/>
          </w:tcPr>
          <w:p>
            <w:pPr>
              <w:spacing w:after="0"/>
              <w:rPr>
                <w:sz w:val="24"/>
                <w:szCs w:val="24"/>
                <w:color w:val="auto"/>
              </w:rPr>
            </w:pPr>
          </w:p>
        </w:tc>
        <w:tc>
          <w:tcPr>
            <w:tcW w:w="4440" w:type="dxa"/>
            <w:vAlign w:val="bottom"/>
            <w:gridSpan w:val="3"/>
          </w:tcPr>
          <w:p>
            <w:pPr>
              <w:jc w:val="center"/>
              <w:ind w:right="160"/>
              <w:spacing w:after="0"/>
              <w:rPr>
                <w:sz w:val="20"/>
                <w:szCs w:val="20"/>
                <w:color w:val="auto"/>
              </w:rPr>
            </w:pPr>
            <w:r>
              <w:rPr>
                <w:rFonts w:ascii="Arial" w:cs="Arial" w:eastAsia="Arial" w:hAnsi="Arial"/>
                <w:sz w:val="18"/>
                <w:szCs w:val="18"/>
                <w:color w:val="666666"/>
                <w:w w:val="99"/>
              </w:rPr>
              <w:t>(In millions, except per share amounts) (Unaudited)</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666666"/>
              </w:rPr>
              <w:t>Three Months Ended</w:t>
            </w:r>
          </w:p>
        </w:tc>
        <w:tc>
          <w:tcPr>
            <w:tcW w:w="2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Twelve Months Ended</w:t>
            </w:r>
          </w:p>
        </w:tc>
      </w:tr>
      <w:tr>
        <w:trPr>
          <w:trHeight w:val="243"/>
        </w:trPr>
        <w:tc>
          <w:tcPr>
            <w:tcW w:w="33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666666"/>
              </w:rPr>
              <w:t>June 30,</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June 30,</w:t>
            </w:r>
          </w:p>
        </w:tc>
      </w:tr>
      <w:tr>
        <w:trPr>
          <w:trHeight w:val="270"/>
        </w:trPr>
        <w:tc>
          <w:tcPr>
            <w:tcW w:w="336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2020</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2019</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2020</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60" w:type="dxa"/>
            <w:vAlign w:val="bottom"/>
          </w:tcPr>
          <w:p>
            <w:pPr>
              <w:spacing w:after="0"/>
              <w:rPr>
                <w:sz w:val="23"/>
                <w:szCs w:val="23"/>
                <w:color w:val="auto"/>
              </w:rPr>
            </w:pPr>
          </w:p>
        </w:tc>
      </w:tr>
      <w:tr>
        <w:trPr>
          <w:trHeight w:val="311"/>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Revenue:</w:t>
            </w:r>
          </w:p>
        </w:tc>
        <w:tc>
          <w:tcPr>
            <w:tcW w:w="3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666666"/>
              </w:rPr>
              <w:t>Product</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$18,147</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$17,103</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$68,041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$66,069</w:t>
            </w:r>
          </w:p>
        </w:tc>
        <w:tc>
          <w:tcPr>
            <w:tcW w:w="60" w:type="dxa"/>
            <w:vAlign w:val="bottom"/>
          </w:tcPr>
          <w:p>
            <w:pPr>
              <w:spacing w:after="0"/>
              <w:rPr>
                <w:sz w:val="23"/>
                <w:szCs w:val="23"/>
                <w:color w:val="auto"/>
              </w:rPr>
            </w:pPr>
          </w:p>
        </w:tc>
      </w:tr>
      <w:tr>
        <w:trPr>
          <w:trHeight w:val="54"/>
        </w:trPr>
        <w:tc>
          <w:tcPr>
            <w:tcW w:w="3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24"/>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Service and other</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19,886</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16,614</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74,974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59,774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7"/>
        </w:trPr>
        <w:tc>
          <w:tcPr>
            <w:tcW w:w="33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Total revenue</w:t>
            </w:r>
          </w:p>
        </w:tc>
        <w:tc>
          <w:tcPr>
            <w:tcW w:w="4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38,033</w:t>
            </w:r>
          </w:p>
        </w:tc>
        <w:tc>
          <w:tcPr>
            <w:tcW w:w="28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33,717</w:t>
            </w:r>
          </w:p>
        </w:tc>
        <w:tc>
          <w:tcPr>
            <w:tcW w:w="28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143,015</w:t>
            </w:r>
          </w:p>
        </w:tc>
        <w:tc>
          <w:tcPr>
            <w:tcW w:w="28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125,843</w:t>
            </w:r>
          </w:p>
        </w:tc>
        <w:tc>
          <w:tcPr>
            <w:tcW w:w="60" w:type="dxa"/>
            <w:vAlign w:val="bottom"/>
          </w:tcPr>
          <w:p>
            <w:pPr>
              <w:spacing w:after="0"/>
              <w:rPr>
                <w:sz w:val="24"/>
                <w:szCs w:val="24"/>
                <w:color w:val="auto"/>
              </w:rPr>
            </w:pPr>
          </w:p>
        </w:tc>
      </w:tr>
      <w:tr>
        <w:trPr>
          <w:trHeight w:val="61"/>
        </w:trPr>
        <w:tc>
          <w:tcPr>
            <w:tcW w:w="3360" w:type="dxa"/>
            <w:vAlign w:val="bottom"/>
            <w:tcBorders>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Cost of revenue:</w:t>
            </w:r>
          </w:p>
        </w:tc>
        <w:tc>
          <w:tcPr>
            <w:tcW w:w="3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666666"/>
              </w:rPr>
              <w:t>Product</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4,370</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3,298</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16,017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16,273</w:t>
            </w:r>
          </w:p>
        </w:tc>
        <w:tc>
          <w:tcPr>
            <w:tcW w:w="60" w:type="dxa"/>
            <w:vAlign w:val="bottom"/>
          </w:tcPr>
          <w:p>
            <w:pPr>
              <w:spacing w:after="0"/>
              <w:rPr>
                <w:sz w:val="23"/>
                <w:szCs w:val="23"/>
                <w:color w:val="auto"/>
              </w:rPr>
            </w:pPr>
          </w:p>
        </w:tc>
      </w:tr>
      <w:tr>
        <w:trPr>
          <w:trHeight w:val="54"/>
        </w:trPr>
        <w:tc>
          <w:tcPr>
            <w:tcW w:w="3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24"/>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Service and other</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7,969</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7,114</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30,061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26,637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7"/>
        </w:trPr>
        <w:tc>
          <w:tcPr>
            <w:tcW w:w="33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Total cost of revenue</w:t>
            </w:r>
          </w:p>
        </w:tc>
        <w:tc>
          <w:tcPr>
            <w:tcW w:w="4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12,339</w:t>
            </w:r>
          </w:p>
        </w:tc>
        <w:tc>
          <w:tcPr>
            <w:tcW w:w="28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10,412</w:t>
            </w:r>
          </w:p>
        </w:tc>
        <w:tc>
          <w:tcPr>
            <w:tcW w:w="28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46,078</w:t>
            </w:r>
          </w:p>
        </w:tc>
        <w:tc>
          <w:tcPr>
            <w:tcW w:w="28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42,910</w:t>
            </w:r>
          </w:p>
        </w:tc>
        <w:tc>
          <w:tcPr>
            <w:tcW w:w="60" w:type="dxa"/>
            <w:vAlign w:val="bottom"/>
          </w:tcPr>
          <w:p>
            <w:pPr>
              <w:spacing w:after="0"/>
              <w:rPr>
                <w:sz w:val="24"/>
                <w:szCs w:val="24"/>
                <w:color w:val="auto"/>
              </w:rPr>
            </w:pPr>
          </w:p>
        </w:tc>
      </w:tr>
      <w:tr>
        <w:trPr>
          <w:trHeight w:val="61"/>
        </w:trPr>
        <w:tc>
          <w:tcPr>
            <w:tcW w:w="3360" w:type="dxa"/>
            <w:vAlign w:val="bottom"/>
            <w:tcBorders>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3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666666"/>
              </w:rPr>
              <w:t>Gross margin</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25,694</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23,305</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96,937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82,933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666666"/>
              </w:rPr>
              <w:t>Research and development</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5,214</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4,513</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19,269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16,876</w:t>
            </w:r>
          </w:p>
        </w:tc>
        <w:tc>
          <w:tcPr>
            <w:tcW w:w="60" w:type="dxa"/>
            <w:vAlign w:val="bottom"/>
          </w:tcPr>
          <w:p>
            <w:pPr>
              <w:spacing w:after="0"/>
              <w:rPr>
                <w:sz w:val="23"/>
                <w:szCs w:val="23"/>
                <w:color w:val="auto"/>
              </w:rPr>
            </w:pPr>
          </w:p>
        </w:tc>
      </w:tr>
      <w:tr>
        <w:trPr>
          <w:trHeight w:val="54"/>
        </w:trPr>
        <w:tc>
          <w:tcPr>
            <w:tcW w:w="3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Sales and marketing</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5,417</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4,962</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19,598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18,213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666666"/>
              </w:rPr>
              <w:t>General and administrative</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1,656</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1,425</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5,111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4,885</w:t>
            </w:r>
          </w:p>
        </w:tc>
        <w:tc>
          <w:tcPr>
            <w:tcW w:w="60" w:type="dxa"/>
            <w:vAlign w:val="bottom"/>
          </w:tcPr>
          <w:p>
            <w:pPr>
              <w:spacing w:after="0"/>
              <w:rPr>
                <w:sz w:val="23"/>
                <w:szCs w:val="23"/>
                <w:color w:val="auto"/>
              </w:rPr>
            </w:pPr>
          </w:p>
        </w:tc>
      </w:tr>
      <w:tr>
        <w:trPr>
          <w:trHeight w:val="61"/>
        </w:trPr>
        <w:tc>
          <w:tcPr>
            <w:tcW w:w="3360" w:type="dxa"/>
            <w:vAlign w:val="bottom"/>
            <w:tcBorders>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Operating income</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13,407</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12,405</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52,959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42,959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666666"/>
              </w:rPr>
              <w:t>Other income, net</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15</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191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729</w:t>
            </w:r>
          </w:p>
        </w:tc>
        <w:tc>
          <w:tcPr>
            <w:tcW w:w="60" w:type="dxa"/>
            <w:vAlign w:val="bottom"/>
          </w:tcPr>
          <w:p>
            <w:pPr>
              <w:spacing w:after="0"/>
              <w:rPr>
                <w:sz w:val="23"/>
                <w:szCs w:val="23"/>
                <w:color w:val="auto"/>
              </w:rPr>
            </w:pPr>
          </w:p>
        </w:tc>
      </w:tr>
      <w:tr>
        <w:trPr>
          <w:trHeight w:val="61"/>
        </w:trPr>
        <w:tc>
          <w:tcPr>
            <w:tcW w:w="3360" w:type="dxa"/>
            <w:vAlign w:val="bottom"/>
            <w:tcBorders>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Income before income taxes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13,422</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12,596</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53,036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43,688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666666"/>
              </w:rPr>
              <w:t>Provision for (benefit from) income taxes</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2,220</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(591)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8,755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4,448</w:t>
            </w:r>
          </w:p>
        </w:tc>
        <w:tc>
          <w:tcPr>
            <w:tcW w:w="60" w:type="dxa"/>
            <w:vAlign w:val="bottom"/>
          </w:tcPr>
          <w:p>
            <w:pPr>
              <w:spacing w:after="0"/>
              <w:rPr>
                <w:sz w:val="23"/>
                <w:szCs w:val="23"/>
                <w:color w:val="auto"/>
              </w:rPr>
            </w:pPr>
          </w:p>
        </w:tc>
      </w:tr>
      <w:tr>
        <w:trPr>
          <w:trHeight w:val="61"/>
        </w:trPr>
        <w:tc>
          <w:tcPr>
            <w:tcW w:w="3360" w:type="dxa"/>
            <w:vAlign w:val="bottom"/>
            <w:tcBorders>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2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Net income</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$11,202</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$13,187</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$44,281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$39,240</w:t>
            </w:r>
          </w:p>
        </w:tc>
        <w:tc>
          <w:tcPr>
            <w:tcW w:w="60" w:type="dxa"/>
            <w:vAlign w:val="bottom"/>
            <w:tcBorders>
              <w:bottom w:val="single" w:sz="8" w:color="CCEEFF"/>
            </w:tcBorders>
            <w:shd w:val="clear" w:color="auto" w:fill="CCEEFF"/>
          </w:tcPr>
          <w:p>
            <w:pPr>
              <w:spacing w:after="0"/>
              <w:rPr>
                <w:sz w:val="24"/>
                <w:szCs w:val="24"/>
                <w:color w:val="auto"/>
              </w:rPr>
            </w:pPr>
          </w:p>
        </w:tc>
      </w:tr>
      <w:tr>
        <w:trPr>
          <w:trHeight w:val="493"/>
        </w:trPr>
        <w:tc>
          <w:tcPr>
            <w:tcW w:w="3360" w:type="dxa"/>
            <w:vAlign w:val="bottom"/>
          </w:tcPr>
          <w:p>
            <w:pPr>
              <w:ind w:left="40"/>
              <w:spacing w:after="0"/>
              <w:rPr>
                <w:sz w:val="20"/>
                <w:szCs w:val="20"/>
                <w:color w:val="auto"/>
              </w:rPr>
            </w:pPr>
            <w:r>
              <w:rPr>
                <w:rFonts w:ascii="Arial" w:cs="Arial" w:eastAsia="Arial" w:hAnsi="Arial"/>
                <w:sz w:val="18"/>
                <w:szCs w:val="18"/>
                <w:color w:val="666666"/>
              </w:rPr>
              <w:t>Earnings per share:</w:t>
            </w:r>
          </w:p>
        </w:tc>
        <w:tc>
          <w:tcPr>
            <w:tcW w:w="34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4"/>
        </w:trPr>
        <w:tc>
          <w:tcPr>
            <w:tcW w:w="3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Basic</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$1.48</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$1.72</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$5.82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$5.11</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666666"/>
              </w:rPr>
              <w:t>Diluted</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$1.46</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$1.71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$5.76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$5.06</w:t>
            </w:r>
          </w:p>
        </w:tc>
        <w:tc>
          <w:tcPr>
            <w:tcW w:w="60" w:type="dxa"/>
            <w:vAlign w:val="bottom"/>
          </w:tcPr>
          <w:p>
            <w:pPr>
              <w:spacing w:after="0"/>
              <w:rPr>
                <w:sz w:val="23"/>
                <w:szCs w:val="23"/>
                <w:color w:val="auto"/>
              </w:rPr>
            </w:pPr>
          </w:p>
        </w:tc>
      </w:tr>
      <w:tr>
        <w:trPr>
          <w:trHeight w:val="270"/>
        </w:trPr>
        <w:tc>
          <w:tcPr>
            <w:tcW w:w="336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0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Weighted average shares outstanding:</w:t>
            </w:r>
          </w:p>
        </w:tc>
        <w:tc>
          <w:tcPr>
            <w:tcW w:w="3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666666"/>
              </w:rPr>
              <w:t>Basic</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7,580</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7,655</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7,610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7,673</w:t>
            </w:r>
          </w:p>
        </w:tc>
        <w:tc>
          <w:tcPr>
            <w:tcW w:w="60" w:type="dxa"/>
            <w:vAlign w:val="bottom"/>
          </w:tcPr>
          <w:p>
            <w:pPr>
              <w:spacing w:after="0"/>
              <w:rPr>
                <w:sz w:val="23"/>
                <w:szCs w:val="23"/>
                <w:color w:val="auto"/>
              </w:rPr>
            </w:pPr>
          </w:p>
        </w:tc>
      </w:tr>
      <w:tr>
        <w:trPr>
          <w:trHeight w:val="54"/>
        </w:trPr>
        <w:tc>
          <w:tcPr>
            <w:tcW w:w="3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Diluted</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7,650</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7,730</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7,683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7,753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7"/>
        </w:trPr>
        <w:tc>
          <w:tcPr>
            <w:tcW w:w="3340" w:type="dxa"/>
            <w:vAlign w:val="bottom"/>
          </w:tcPr>
          <w:p>
            <w:pPr>
              <w:spacing w:after="0"/>
              <w:rPr>
                <w:sz w:val="24"/>
                <w:szCs w:val="24"/>
                <w:color w:val="auto"/>
              </w:rPr>
            </w:pPr>
          </w:p>
        </w:tc>
        <w:tc>
          <w:tcPr>
            <w:tcW w:w="4220" w:type="dxa"/>
            <w:vAlign w:val="bottom"/>
            <w:gridSpan w:val="2"/>
          </w:tcPr>
          <w:p>
            <w:pPr>
              <w:jc w:val="right"/>
              <w:ind w:right="170"/>
              <w:spacing w:after="0"/>
              <w:rPr>
                <w:sz w:val="20"/>
                <w:szCs w:val="20"/>
                <w:color w:val="auto"/>
              </w:rPr>
            </w:pPr>
            <w:r>
              <w:rPr>
                <w:rFonts w:ascii="Arial" w:cs="Arial" w:eastAsia="Arial" w:hAnsi="Arial"/>
                <w:sz w:val="18"/>
                <w:szCs w:val="18"/>
                <w:color w:val="666666"/>
              </w:rPr>
              <w:t>COMPREHENSIVE INCOME STATEMENTS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3340" w:type="dxa"/>
            <w:vAlign w:val="bottom"/>
          </w:tcPr>
          <w:p>
            <w:pPr>
              <w:spacing w:after="0"/>
              <w:rPr>
                <w:sz w:val="24"/>
                <w:szCs w:val="24"/>
                <w:color w:val="auto"/>
              </w:rPr>
            </w:pPr>
          </w:p>
        </w:tc>
        <w:tc>
          <w:tcPr>
            <w:tcW w:w="4220" w:type="dxa"/>
            <w:vAlign w:val="bottom"/>
            <w:gridSpan w:val="2"/>
          </w:tcPr>
          <w:p>
            <w:pPr>
              <w:jc w:val="right"/>
              <w:ind w:right="1010"/>
              <w:spacing w:after="0"/>
              <w:rPr>
                <w:sz w:val="20"/>
                <w:szCs w:val="20"/>
                <w:color w:val="auto"/>
              </w:rPr>
            </w:pPr>
            <w:r>
              <w:rPr>
                <w:rFonts w:ascii="Arial" w:cs="Arial" w:eastAsia="Arial" w:hAnsi="Arial"/>
                <w:sz w:val="18"/>
                <w:szCs w:val="18"/>
                <w:color w:val="666666"/>
              </w:rPr>
              <w:t>(In millions) (Unaudited)</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666666"/>
              </w:rPr>
              <w:t>Three Months Ended</w:t>
            </w:r>
          </w:p>
        </w:tc>
        <w:tc>
          <w:tcPr>
            <w:tcW w:w="2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Twelve Months Ended</w:t>
            </w:r>
          </w:p>
        </w:tc>
      </w:tr>
      <w:tr>
        <w:trPr>
          <w:trHeight w:val="243"/>
        </w:trPr>
        <w:tc>
          <w:tcPr>
            <w:tcW w:w="33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666666"/>
              </w:rPr>
              <w:t>June 30,</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June 30,</w:t>
            </w:r>
          </w:p>
        </w:tc>
      </w:tr>
      <w:tr>
        <w:trPr>
          <w:trHeight w:val="270"/>
        </w:trPr>
        <w:tc>
          <w:tcPr>
            <w:tcW w:w="3340" w:type="dxa"/>
            <w:vAlign w:val="bottom"/>
            <w:tcBorders>
              <w:bottom w:val="single" w:sz="8" w:color="auto"/>
            </w:tcBorders>
          </w:tcPr>
          <w:p>
            <w:pPr>
              <w:spacing w:after="0"/>
              <w:rPr>
                <w:sz w:val="23"/>
                <w:szCs w:val="23"/>
                <w:color w:val="auto"/>
              </w:rPr>
            </w:pPr>
          </w:p>
        </w:tc>
        <w:tc>
          <w:tcPr>
            <w:tcW w:w="4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2020</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2020</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60" w:type="dxa"/>
            <w:vAlign w:val="bottom"/>
          </w:tcPr>
          <w:p>
            <w:pPr>
              <w:spacing w:after="0"/>
              <w:rPr>
                <w:sz w:val="23"/>
                <w:szCs w:val="23"/>
                <w:color w:val="auto"/>
              </w:rPr>
            </w:pPr>
          </w:p>
        </w:tc>
      </w:tr>
      <w:tr>
        <w:trPr>
          <w:trHeight w:val="29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Net income</w:t>
            </w:r>
          </w:p>
        </w:tc>
        <w:tc>
          <w:tcPr>
            <w:tcW w:w="34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$11,202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$13,187</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$44,281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$39,240</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666666"/>
              </w:rPr>
              <w:t>Other comprehensive income (loss), net of tax:</w:t>
            </w:r>
          </w:p>
        </w:tc>
        <w:tc>
          <w:tcPr>
            <w:tcW w:w="7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7"/>
        </w:trPr>
        <w:tc>
          <w:tcPr>
            <w:tcW w:w="3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Net change related to derivatives</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(80)</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(38)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(173)</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57"/>
        </w:trPr>
        <w:tc>
          <w:tcPr>
            <w:tcW w:w="3340" w:type="dxa"/>
            <w:vAlign w:val="bottom"/>
          </w:tcPr>
          <w:p>
            <w:pPr>
              <w:ind w:left="220"/>
              <w:spacing w:after="0"/>
              <w:rPr>
                <w:sz w:val="20"/>
                <w:szCs w:val="20"/>
                <w:color w:val="auto"/>
              </w:rPr>
            </w:pPr>
            <w:r>
              <w:rPr>
                <w:rFonts w:ascii="Arial" w:cs="Arial" w:eastAsia="Arial" w:hAnsi="Arial"/>
                <w:sz w:val="18"/>
                <w:szCs w:val="18"/>
                <w:color w:val="666666"/>
              </w:rPr>
              <w:t>Net change related to investments</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325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1,071</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3,990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2,405</w:t>
            </w:r>
          </w:p>
        </w:tc>
        <w:tc>
          <w:tcPr>
            <w:tcW w:w="60" w:type="dxa"/>
            <w:vAlign w:val="bottom"/>
          </w:tcPr>
          <w:p>
            <w:pPr>
              <w:spacing w:after="0"/>
              <w:rPr>
                <w:sz w:val="22"/>
                <w:szCs w:val="22"/>
                <w:color w:val="auto"/>
              </w:rPr>
            </w:pPr>
          </w:p>
        </w:tc>
      </w:tr>
      <w:tr>
        <w:trPr>
          <w:trHeight w:val="27"/>
        </w:trPr>
        <w:tc>
          <w:tcPr>
            <w:tcW w:w="3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Translation adjustments and other</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181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(66)</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(426)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(318)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63"/>
        </w:trPr>
        <w:tc>
          <w:tcPr>
            <w:tcW w:w="33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Other comprehensive income</w:t>
            </w:r>
          </w:p>
        </w:tc>
        <w:tc>
          <w:tcPr>
            <w:tcW w:w="4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510</w:t>
            </w:r>
          </w:p>
        </w:tc>
        <w:tc>
          <w:tcPr>
            <w:tcW w:w="28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925</w:t>
            </w:r>
          </w:p>
        </w:tc>
        <w:tc>
          <w:tcPr>
            <w:tcW w:w="280" w:type="dxa"/>
            <w:vAlign w:val="bottom"/>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3,526</w:t>
            </w:r>
          </w:p>
        </w:tc>
        <w:tc>
          <w:tcPr>
            <w:tcW w:w="28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1,914</w:t>
            </w:r>
          </w:p>
        </w:tc>
        <w:tc>
          <w:tcPr>
            <w:tcW w:w="60" w:type="dxa"/>
            <w:vAlign w:val="bottom"/>
          </w:tcPr>
          <w:p>
            <w:pPr>
              <w:spacing w:after="0"/>
              <w:rPr>
                <w:sz w:val="22"/>
                <w:szCs w:val="22"/>
                <w:color w:val="auto"/>
              </w:rPr>
            </w:pPr>
          </w:p>
        </w:tc>
      </w:tr>
      <w:tr>
        <w:trPr>
          <w:trHeight w:val="34"/>
        </w:trPr>
        <w:tc>
          <w:tcPr>
            <w:tcW w:w="33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Comprehensive income</w:t>
            </w:r>
          </w:p>
        </w:tc>
        <w:tc>
          <w:tcPr>
            <w:tcW w:w="34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$11,712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$14,112</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$47,807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$41,154</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7"/>
        </w:trPr>
        <w:tc>
          <w:tcPr>
            <w:tcW w:w="3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MICROSOFT CORPORATION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BALANCE SHEETS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(In millions)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60" w:type="dxa"/>
            <w:vAlign w:val="bottom"/>
          </w:tcPr>
          <w:p>
            <w:pPr>
              <w:jc w:val="right"/>
              <w:ind w:right="290"/>
              <w:spacing w:after="0"/>
              <w:rPr>
                <w:sz w:val="20"/>
                <w:szCs w:val="20"/>
                <w:color w:val="auto"/>
              </w:rPr>
            </w:pPr>
            <w:r>
              <w:rPr>
                <w:rFonts w:ascii="Arial" w:cs="Arial" w:eastAsia="Arial" w:hAnsi="Arial"/>
                <w:sz w:val="18"/>
                <w:szCs w:val="18"/>
                <w:b w:val="1"/>
                <w:bCs w:val="1"/>
                <w:color w:val="666666"/>
              </w:rPr>
              <w:t>June 30,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666666"/>
              </w:rPr>
              <w:t>June 30,</w:t>
            </w:r>
          </w:p>
        </w:tc>
      </w:tr>
      <w:tr>
        <w:trPr>
          <w:trHeight w:val="225"/>
        </w:trPr>
        <w:tc>
          <w:tcPr>
            <w:tcW w:w="9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666666"/>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99516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66666"/>
        </w:rPr>
        <w:t>Assets</w:t>
      </w:r>
    </w:p>
    <w:p>
      <w:pPr>
        <w:sectPr>
          <w:pgSz w:w="11900" w:h="16838" w:orient="portrait"/>
          <w:cols w:equalWidth="0" w:num="1">
            <w:col w:w="10960"/>
          </w:cols>
          <w:pgMar w:left="440" w:top="265" w:right="499" w:bottom="1440" w:gutter="0" w:footer="0" w:header="0"/>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ind w:left="40"/>
              <w:spacing w:after="0"/>
              <w:rPr>
                <w:sz w:val="20"/>
                <w:szCs w:val="20"/>
                <w:color w:val="auto"/>
              </w:rPr>
            </w:pPr>
            <w:r>
              <w:rPr>
                <w:rFonts w:ascii="Arial" w:cs="Arial" w:eastAsia="Arial" w:hAnsi="Arial"/>
                <w:sz w:val="16"/>
                <w:szCs w:val="16"/>
                <w:color w:val="666666"/>
              </w:rPr>
              <w:t>Current assets: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Cash and cash equivalents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$13,576</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122,951</w:t>
            </w:r>
          </w:p>
        </w:tc>
        <w:tc>
          <w:tcPr>
            <w:tcW w:w="0" w:type="dxa"/>
            <w:vAlign w:val="bottom"/>
          </w:tcPr>
          <w:p>
            <w:pPr>
              <w:spacing w:after="0"/>
              <w:rPr>
                <w:sz w:val="1"/>
                <w:szCs w:val="1"/>
                <w:color w:val="auto"/>
              </w:rPr>
            </w:pPr>
          </w:p>
        </w:tc>
      </w:tr>
      <w:tr>
        <w:trPr>
          <w:trHeight w:val="46"/>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cash, cash equivalents, and short-term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136,527</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 xml:space="preserve">Accounts receivable, net of allowance for doubtful accounts of </w:t>
            </w:r>
            <w:r>
              <w:rPr>
                <w:rFonts w:ascii="Arial" w:cs="Arial" w:eastAsia="Arial" w:hAnsi="Arial"/>
                <w:sz w:val="16"/>
                <w:szCs w:val="16"/>
                <w:b w:val="1"/>
                <w:bCs w:val="1"/>
                <w:color w:val="666666"/>
              </w:rPr>
              <w:t>$788</w:t>
            </w:r>
            <w:r>
              <w:rPr>
                <w:rFonts w:ascii="Arial" w:cs="Arial" w:eastAsia="Arial" w:hAnsi="Arial"/>
                <w:sz w:val="16"/>
                <w:szCs w:val="16"/>
                <w:color w:val="666666"/>
              </w:rPr>
              <w:t xml:space="preserve"> and $411</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32,011</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Inventories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1,895</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Other current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11,482</w:t>
            </w:r>
          </w:p>
        </w:tc>
        <w:tc>
          <w:tcPr>
            <w:tcW w:w="0" w:type="dxa"/>
            <w:vAlign w:val="bottom"/>
          </w:tcPr>
          <w:p>
            <w:pPr>
              <w:spacing w:after="0"/>
              <w:rPr>
                <w:sz w:val="1"/>
                <w:szCs w:val="1"/>
                <w:color w:val="auto"/>
              </w:rPr>
            </w:pPr>
          </w:p>
        </w:tc>
      </w:tr>
      <w:tr>
        <w:trPr>
          <w:trHeight w:val="46"/>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current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181,915</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 xml:space="preserve">Property and equipment, net of accumulated depreciation of </w:t>
            </w:r>
            <w:r>
              <w:rPr>
                <w:rFonts w:ascii="Arial" w:cs="Arial" w:eastAsia="Arial" w:hAnsi="Arial"/>
                <w:sz w:val="16"/>
                <w:szCs w:val="16"/>
                <w:b w:val="1"/>
                <w:bCs w:val="1"/>
                <w:color w:val="666666"/>
              </w:rPr>
              <w:t>$43,197</w:t>
            </w:r>
            <w:r>
              <w:rPr>
                <w:rFonts w:ascii="Arial" w:cs="Arial" w:eastAsia="Arial" w:hAnsi="Arial"/>
                <w:sz w:val="16"/>
                <w:szCs w:val="16"/>
                <w:color w:val="666666"/>
              </w:rPr>
              <w:t xml:space="preserve"> and $35,330</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44,151</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Operating lease right-of-use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8,753</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Equity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2,965</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Goodwill</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43,351</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Intangible assets, net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7,038</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Other long-term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13,138</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680"/>
              <w:spacing w:after="0"/>
              <w:rPr>
                <w:sz w:val="20"/>
                <w:szCs w:val="20"/>
                <w:color w:val="auto"/>
              </w:rPr>
            </w:pPr>
            <w:r>
              <w:rPr>
                <w:rFonts w:ascii="Arial" w:cs="Arial" w:eastAsia="Arial" w:hAnsi="Arial"/>
                <w:sz w:val="16"/>
                <w:szCs w:val="16"/>
                <w:color w:val="666666"/>
              </w:rPr>
              <w:t>Total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$301,311</w:t>
            </w:r>
          </w:p>
        </w:tc>
        <w:tc>
          <w:tcPr>
            <w:tcW w:w="0" w:type="dxa"/>
            <w:vAlign w:val="bottom"/>
          </w:tcPr>
          <w:p>
            <w:pPr>
              <w:spacing w:after="0"/>
              <w:rPr>
                <w:sz w:val="1"/>
                <w:szCs w:val="1"/>
                <w:color w:val="auto"/>
              </w:rPr>
            </w:pPr>
          </w:p>
        </w:tc>
      </w:tr>
      <w:tr>
        <w:trPr>
          <w:trHeight w:val="54"/>
        </w:trPr>
        <w:tc>
          <w:tcPr>
            <w:tcW w:w="8140" w:type="dxa"/>
            <w:vAlign w:val="bottom"/>
            <w:vMerge w:val="restart"/>
          </w:tcPr>
          <w:p>
            <w:pPr>
              <w:ind w:left="40"/>
              <w:spacing w:after="0"/>
              <w:rPr>
                <w:sz w:val="20"/>
                <w:szCs w:val="20"/>
                <w:color w:val="auto"/>
              </w:rPr>
            </w:pPr>
            <w:r>
              <w:rPr>
                <w:rFonts w:ascii="Arial" w:cs="Arial" w:eastAsia="Arial" w:hAnsi="Arial"/>
                <w:sz w:val="16"/>
                <w:szCs w:val="16"/>
                <w:b w:val="1"/>
                <w:bCs w:val="1"/>
                <w:color w:val="666666"/>
              </w:rPr>
              <w:t>Liabilities and stockholders’ equity</w:t>
            </w: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4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Current liabilities: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Accounts payable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$12,530</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Current portion of long-term debt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3,749</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Accrued compensation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7,874</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2,130</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unearned revenue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36,000</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Other current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10,027</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current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72,310</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Long-term debt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59,578</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Long-term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29,432</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Long-term unearned revenue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3,180</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Deferred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204</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Operating lease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7,671</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Other long-term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10,632</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520"/>
              <w:spacing w:after="0"/>
              <w:rPr>
                <w:sz w:val="20"/>
                <w:szCs w:val="20"/>
                <w:color w:val="auto"/>
              </w:rPr>
            </w:pPr>
            <w:r>
              <w:rPr>
                <w:rFonts w:ascii="Arial" w:cs="Arial" w:eastAsia="Arial" w:hAnsi="Arial"/>
                <w:sz w:val="16"/>
                <w:szCs w:val="16"/>
                <w:color w:val="666666"/>
              </w:rPr>
              <w:t>Total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183,007</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40"/>
              <w:spacing w:after="0"/>
              <w:rPr>
                <w:sz w:val="20"/>
                <w:szCs w:val="20"/>
                <w:color w:val="auto"/>
              </w:rPr>
            </w:pPr>
            <w:r>
              <w:rPr>
                <w:rFonts w:ascii="Arial" w:cs="Arial" w:eastAsia="Arial" w:hAnsi="Arial"/>
                <w:sz w:val="16"/>
                <w:szCs w:val="16"/>
                <w:color w:val="666666"/>
              </w:rPr>
              <w:t>Commitments and contingencies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Stockholders’ equity: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 xml:space="preserve">Common stock and paid-in capital - shares authorized 24,000; outstanding </w:t>
            </w:r>
            <w:r>
              <w:rPr>
                <w:rFonts w:ascii="Arial" w:cs="Arial" w:eastAsia="Arial" w:hAnsi="Arial"/>
                <w:sz w:val="16"/>
                <w:szCs w:val="16"/>
                <w:b w:val="1"/>
                <w:bCs w:val="1"/>
                <w:color w:val="666666"/>
              </w:rPr>
              <w:t>7,571</w:t>
            </w:r>
            <w:r>
              <w:rPr>
                <w:rFonts w:ascii="Arial" w:cs="Arial" w:eastAsia="Arial" w:hAnsi="Arial"/>
                <w:sz w:val="16"/>
                <w:szCs w:val="16"/>
                <w:color w:val="666666"/>
              </w:rPr>
              <w:t xml:space="preserve"> and 7,643</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80,552</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Retained earnings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34,566</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Accumulated other comprehensive income (loss)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3,186</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520"/>
              <w:spacing w:after="0"/>
              <w:rPr>
                <w:sz w:val="20"/>
                <w:szCs w:val="20"/>
                <w:color w:val="auto"/>
              </w:rPr>
            </w:pPr>
            <w:r>
              <w:rPr>
                <w:rFonts w:ascii="Arial" w:cs="Arial" w:eastAsia="Arial" w:hAnsi="Arial"/>
                <w:sz w:val="16"/>
                <w:szCs w:val="16"/>
                <w:color w:val="666666"/>
              </w:rPr>
              <w:t>Total stockholders’ equity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118,304</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680"/>
              <w:spacing w:after="0"/>
              <w:rPr>
                <w:sz w:val="20"/>
                <w:szCs w:val="20"/>
                <w:color w:val="auto"/>
              </w:rPr>
            </w:pPr>
            <w:r>
              <w:rPr>
                <w:rFonts w:ascii="Arial" w:cs="Arial" w:eastAsia="Arial" w:hAnsi="Arial"/>
                <w:sz w:val="16"/>
                <w:szCs w:val="16"/>
                <w:color w:val="666666"/>
              </w:rPr>
              <w:t>Total liabilities and stockholders’ equity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$301,311</w:t>
            </w:r>
          </w:p>
        </w:tc>
        <w:tc>
          <w:tcPr>
            <w:tcW w:w="0" w:type="dxa"/>
            <w:vAlign w:val="bottom"/>
          </w:tcPr>
          <w:p>
            <w:pPr>
              <w:spacing w:after="0"/>
              <w:rPr>
                <w:sz w:val="1"/>
                <w:szCs w:val="1"/>
                <w:color w:val="auto"/>
              </w:rPr>
            </w:pPr>
          </w:p>
        </w:tc>
      </w:tr>
      <w:tr>
        <w:trPr>
          <w:trHeight w:val="54"/>
        </w:trPr>
        <w:tc>
          <w:tcPr>
            <w:tcW w:w="814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-6840220</wp:posOffset>
            </wp:positionV>
            <wp:extent cx="699516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-6463030</wp:posOffset>
            </wp:positionV>
            <wp:extent cx="699516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-6102985</wp:posOffset>
            </wp:positionV>
            <wp:extent cx="699516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-5725795</wp:posOffset>
            </wp:positionV>
            <wp:extent cx="699516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-5365750</wp:posOffset>
            </wp:positionV>
            <wp:extent cx="699516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-5005705</wp:posOffset>
            </wp:positionV>
            <wp:extent cx="699516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-4645660</wp:posOffset>
            </wp:positionV>
            <wp:extent cx="699516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-4242435</wp:posOffset>
            </wp:positionV>
            <wp:extent cx="699516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-3882390</wp:posOffset>
            </wp:positionV>
            <wp:extent cx="699516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-3522345</wp:posOffset>
            </wp:positionV>
            <wp:extent cx="699516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-3162300</wp:posOffset>
            </wp:positionV>
            <wp:extent cx="699516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-2785110</wp:posOffset>
            </wp:positionV>
            <wp:extent cx="699516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-2425065</wp:posOffset>
            </wp:positionV>
            <wp:extent cx="699516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-2065020</wp:posOffset>
            </wp:positionV>
            <wp:extent cx="699516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-1704975</wp:posOffset>
            </wp:positionV>
            <wp:extent cx="699516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-1310640</wp:posOffset>
            </wp:positionV>
            <wp:extent cx="699516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-951230</wp:posOffset>
            </wp:positionV>
            <wp:extent cx="699516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-590550</wp:posOffset>
            </wp:positionV>
            <wp:extent cx="699516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-196850</wp:posOffset>
            </wp:positionV>
            <wp:extent cx="699516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$11,356</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122,463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133,819</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29,524</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2,063</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10,146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175,552</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36,477</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7,379</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2,649</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42,026</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7,750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14,723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66666"/>
        </w:rPr>
        <w:t>$286,556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01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666666"/>
        </w:rPr>
        <w:t>$9,382</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666666"/>
        </w:rPr>
        <w:t>5,516</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666666"/>
        </w:rPr>
        <w:t>6,830</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666666"/>
        </w:rPr>
        <w:t>5,665</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666666"/>
        </w:rPr>
        <w:t>32,676</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666666"/>
        </w:rPr>
        <w:t>9,351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69,420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66,662</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29,612</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4,530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233</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6,188</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184,226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78,520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24,150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102,330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66666"/>
        </w:rPr>
        <w:t>$286,556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0105" cy="17145"/>
                    </a:xfrm>
                    <a:prstGeom prst="rect">
                      <a:avLst/>
                    </a:prstGeom>
                    <a:noFill/>
                  </pic:spPr>
                </pic:pic>
              </a:graphicData>
            </a:graphic>
          </wp:anchor>
        </w:drawing>
      </w:r>
    </w:p>
    <w:p>
      <w:pPr>
        <w:sectPr>
          <w:pgSz w:w="11900" w:h="16838" w:orient="portrait"/>
          <w:cols w:equalWidth="0" w:num="2">
            <w:col w:w="9520" w:space="720"/>
            <w:col w:w="720"/>
          </w:cols>
          <w:pgMar w:left="440" w:top="265" w:right="49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9"/>
        </w:trPr>
        <w:tc>
          <w:tcPr>
            <w:tcW w:w="6780" w:type="dxa"/>
            <w:vAlign w:val="bottom"/>
            <w:gridSpan w:val="2"/>
          </w:tcPr>
          <w:p>
            <w:pPr>
              <w:spacing w:after="0"/>
              <w:rPr>
                <w:sz w:val="20"/>
                <w:szCs w:val="20"/>
                <w:color w:val="auto"/>
              </w:rPr>
            </w:pPr>
            <w:r>
              <w:rPr>
                <w:rFonts w:ascii="Arial" w:cs="Arial" w:eastAsia="Arial" w:hAnsi="Arial"/>
                <w:sz w:val="18"/>
                <w:szCs w:val="18"/>
                <w:b w:val="1"/>
                <w:bCs w:val="1"/>
                <w:color w:val="666666"/>
              </w:rPr>
              <w:t>MICROSOFT CORPORATION</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780" w:type="dxa"/>
            <w:vAlign w:val="bottom"/>
            <w:gridSpan w:val="2"/>
          </w:tcPr>
          <w:p>
            <w:pPr>
              <w:ind w:left="4300"/>
              <w:spacing w:after="0"/>
              <w:rPr>
                <w:sz w:val="20"/>
                <w:szCs w:val="20"/>
                <w:color w:val="auto"/>
              </w:rPr>
            </w:pPr>
            <w:r>
              <w:rPr>
                <w:rFonts w:ascii="Arial" w:cs="Arial" w:eastAsia="Arial" w:hAnsi="Arial"/>
                <w:sz w:val="18"/>
                <w:szCs w:val="18"/>
                <w:color w:val="666666"/>
              </w:rPr>
              <w:t>CASH FLOWS STATEMENTS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780" w:type="dxa"/>
            <w:vAlign w:val="bottom"/>
            <w:gridSpan w:val="2"/>
          </w:tcPr>
          <w:p>
            <w:pPr>
              <w:ind w:left="4540"/>
              <w:spacing w:after="0"/>
              <w:rPr>
                <w:sz w:val="20"/>
                <w:szCs w:val="20"/>
                <w:color w:val="auto"/>
              </w:rPr>
            </w:pPr>
            <w:r>
              <w:rPr>
                <w:rFonts w:ascii="Arial" w:cs="Arial" w:eastAsia="Arial" w:hAnsi="Arial"/>
                <w:sz w:val="18"/>
                <w:szCs w:val="18"/>
                <w:color w:val="666666"/>
              </w:rPr>
              <w:t>(In millions) (Unaudited)</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666666"/>
              </w:rPr>
              <w:t>Three Months Ended</w:t>
            </w:r>
          </w:p>
        </w:tc>
        <w:tc>
          <w:tcPr>
            <w:tcW w:w="21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666666"/>
              </w:rPr>
              <w:t>Twelve Months Ended</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666666"/>
              </w:rPr>
              <w:t>June 30,</w:t>
            </w:r>
          </w:p>
        </w:tc>
        <w:tc>
          <w:tcPr>
            <w:tcW w:w="1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666666"/>
              </w:rPr>
              <w:t>June 30,</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666666"/>
              </w:rPr>
              <w:t>2020</w:t>
            </w: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666666"/>
              </w:rPr>
              <w:t>2019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2020</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6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666666"/>
              </w:rPr>
              <w:t>Operations</w:t>
            </w: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780" w:type="dxa"/>
            <w:vAlign w:val="bottom"/>
            <w:gridSpan w:val="2"/>
          </w:tcPr>
          <w:p>
            <w:pPr>
              <w:ind w:left="40"/>
              <w:spacing w:after="0"/>
              <w:rPr>
                <w:sz w:val="20"/>
                <w:szCs w:val="20"/>
                <w:color w:val="auto"/>
              </w:rPr>
            </w:pPr>
            <w:r>
              <w:rPr>
                <w:rFonts w:ascii="Arial" w:cs="Arial" w:eastAsia="Arial" w:hAnsi="Arial"/>
                <w:sz w:val="16"/>
                <w:szCs w:val="16"/>
                <w:color w:val="666666"/>
              </w:rPr>
              <w:t>Net income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$11,202</w:t>
            </w:r>
          </w:p>
        </w:tc>
        <w:tc>
          <w:tcPr>
            <w:tcW w:w="4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666666"/>
              </w:rPr>
              <w:t>$13,187</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$44,281</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$39,240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Adjustments to reconcile net income to net cash from operations:</w:t>
            </w: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780" w:type="dxa"/>
            <w:vAlign w:val="bottom"/>
            <w:gridSpan w:val="2"/>
          </w:tcPr>
          <w:p>
            <w:pPr>
              <w:ind w:left="200"/>
              <w:spacing w:after="0"/>
              <w:rPr>
                <w:sz w:val="20"/>
                <w:szCs w:val="20"/>
                <w:color w:val="auto"/>
              </w:rPr>
            </w:pPr>
            <w:r>
              <w:rPr>
                <w:rFonts w:ascii="Arial" w:cs="Arial" w:eastAsia="Arial" w:hAnsi="Arial"/>
                <w:sz w:val="16"/>
                <w:szCs w:val="16"/>
                <w:color w:val="666666"/>
              </w:rPr>
              <w:t>Depreciation, amortization, and other</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3,504</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2,924</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12,796</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11,682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666666"/>
              </w:rPr>
              <w:t>Stock-based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1,349</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1,190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5,289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4,652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780" w:type="dxa"/>
            <w:vAlign w:val="bottom"/>
            <w:gridSpan w:val="2"/>
          </w:tcPr>
          <w:p>
            <w:pPr>
              <w:ind w:left="200"/>
              <w:spacing w:after="0"/>
              <w:rPr>
                <w:sz w:val="20"/>
                <w:szCs w:val="20"/>
                <w:color w:val="auto"/>
              </w:rPr>
            </w:pPr>
            <w:r>
              <w:rPr>
                <w:rFonts w:ascii="Arial" w:cs="Arial" w:eastAsia="Arial" w:hAnsi="Arial"/>
                <w:sz w:val="16"/>
                <w:szCs w:val="16"/>
                <w:color w:val="666666"/>
              </w:rPr>
              <w:t>Net recognized gains on investments and derivatives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(79)</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(322)</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(219)</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(792)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666666"/>
              </w:rPr>
              <w:t>Deferred income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447</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(5,723)</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(6,463)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780" w:type="dxa"/>
            <w:vAlign w:val="bottom"/>
            <w:gridSpan w:val="2"/>
          </w:tcPr>
          <w:p>
            <w:pPr>
              <w:ind w:left="200"/>
              <w:spacing w:after="0"/>
              <w:rPr>
                <w:sz w:val="20"/>
                <w:szCs w:val="20"/>
                <w:color w:val="auto"/>
              </w:rPr>
            </w:pPr>
            <w:r>
              <w:rPr>
                <w:rFonts w:ascii="Arial" w:cs="Arial" w:eastAsia="Arial" w:hAnsi="Arial"/>
                <w:sz w:val="16"/>
                <w:szCs w:val="16"/>
                <w:color w:val="666666"/>
              </w:rPr>
              <w:t>Changes in operating assets and liabilities:</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666666"/>
              </w:rPr>
              <w:t>Accounts receivable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(9,355)</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(10,070)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(2,577)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(2,812)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780" w:type="dxa"/>
            <w:vAlign w:val="bottom"/>
            <w:gridSpan w:val="2"/>
          </w:tcPr>
          <w:p>
            <w:pPr>
              <w:ind w:left="360"/>
              <w:spacing w:after="0"/>
              <w:rPr>
                <w:sz w:val="20"/>
                <w:szCs w:val="20"/>
                <w:color w:val="auto"/>
              </w:rPr>
            </w:pPr>
            <w:r>
              <w:rPr>
                <w:rFonts w:ascii="Arial" w:cs="Arial" w:eastAsia="Arial" w:hAnsi="Arial"/>
                <w:sz w:val="16"/>
                <w:szCs w:val="16"/>
                <w:color w:val="666666"/>
              </w:rPr>
              <w:t>Inventories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(251)</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(113)</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168</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597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666666"/>
              </w:rPr>
              <w:t>Other current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(2,151)</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(854)</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(2,330)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(1,718)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780" w:type="dxa"/>
            <w:vAlign w:val="bottom"/>
            <w:gridSpan w:val="2"/>
          </w:tcPr>
          <w:p>
            <w:pPr>
              <w:ind w:left="360"/>
              <w:spacing w:after="0"/>
              <w:rPr>
                <w:sz w:val="20"/>
                <w:szCs w:val="20"/>
                <w:color w:val="auto"/>
              </w:rPr>
            </w:pPr>
            <w:r>
              <w:rPr>
                <w:rFonts w:ascii="Arial" w:cs="Arial" w:eastAsia="Arial" w:hAnsi="Arial"/>
                <w:sz w:val="16"/>
                <w:szCs w:val="16"/>
                <w:color w:val="666666"/>
              </w:rPr>
              <w:t>Other long-term assets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(311)</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(865)</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(1,037)</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(1,834)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666666"/>
              </w:rPr>
              <w:t>Accounts payable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3,026</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1,264</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232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780" w:type="dxa"/>
            <w:vAlign w:val="bottom"/>
            <w:gridSpan w:val="2"/>
          </w:tcPr>
          <w:p>
            <w:pPr>
              <w:ind w:left="360"/>
              <w:spacing w:after="0"/>
              <w:rPr>
                <w:sz w:val="20"/>
                <w:szCs w:val="20"/>
                <w:color w:val="auto"/>
              </w:rPr>
            </w:pPr>
            <w:r>
              <w:rPr>
                <w:rFonts w:ascii="Arial" w:cs="Arial" w:eastAsia="Arial" w:hAnsi="Arial"/>
                <w:sz w:val="16"/>
                <w:szCs w:val="16"/>
                <w:color w:val="666666"/>
              </w:rPr>
              <w:t>Unearned revenue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8,776</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9,005</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2,212</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4,462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666666"/>
              </w:rPr>
              <w:t>Income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(589)</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3,808</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(3,631)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2,929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780" w:type="dxa"/>
            <w:vAlign w:val="bottom"/>
            <w:gridSpan w:val="2"/>
          </w:tcPr>
          <w:p>
            <w:pPr>
              <w:ind w:left="360"/>
              <w:spacing w:after="0"/>
              <w:rPr>
                <w:sz w:val="20"/>
                <w:szCs w:val="20"/>
                <w:color w:val="auto"/>
              </w:rPr>
            </w:pPr>
            <w:r>
              <w:rPr>
                <w:rFonts w:ascii="Arial" w:cs="Arial" w:eastAsia="Arial" w:hAnsi="Arial"/>
                <w:sz w:val="16"/>
                <w:szCs w:val="16"/>
                <w:color w:val="666666"/>
              </w:rPr>
              <w:t>Other current liabilities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2,482</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2,436</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1,346</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1,419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666666"/>
              </w:rPr>
              <w:t>Other long-term 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623</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241</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1,348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591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6780" w:type="dxa"/>
            <w:vAlign w:val="bottom"/>
            <w:gridSpan w:val="2"/>
          </w:tcPr>
          <w:p>
            <w:pPr>
              <w:ind w:left="520"/>
              <w:spacing w:after="0"/>
              <w:rPr>
                <w:sz w:val="20"/>
                <w:szCs w:val="20"/>
                <w:color w:val="auto"/>
              </w:rPr>
            </w:pPr>
            <w:r>
              <w:rPr>
                <w:rFonts w:ascii="Arial" w:cs="Arial" w:eastAsia="Arial" w:hAnsi="Arial"/>
                <w:sz w:val="16"/>
                <w:szCs w:val="16"/>
                <w:color w:val="666666"/>
              </w:rPr>
              <w:t>Net cash from operations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18,673</w:t>
            </w:r>
          </w:p>
        </w:tc>
        <w:tc>
          <w:tcPr>
            <w:tcW w:w="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16,108</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60,675</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52,185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666666"/>
              </w:rPr>
              <w:t>Financing</w:t>
            </w: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80" w:type="dxa"/>
            <w:vAlign w:val="bottom"/>
            <w:gridSpan w:val="2"/>
          </w:tcPr>
          <w:p>
            <w:pPr>
              <w:ind w:left="40"/>
              <w:spacing w:after="0"/>
              <w:rPr>
                <w:sz w:val="20"/>
                <w:szCs w:val="20"/>
                <w:color w:val="auto"/>
              </w:rPr>
            </w:pPr>
            <w:r>
              <w:rPr>
                <w:rFonts w:ascii="Arial" w:cs="Arial" w:eastAsia="Arial" w:hAnsi="Arial"/>
                <w:sz w:val="16"/>
                <w:szCs w:val="16"/>
                <w:color w:val="666666"/>
              </w:rPr>
              <w:t>Cash premium on debt exchange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(3,417)</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0</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(3,417)</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Repayments of debt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0</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(1,000)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(5,518)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80" w:type="dxa"/>
            <w:vAlign w:val="bottom"/>
            <w:gridSpan w:val="2"/>
          </w:tcPr>
          <w:p>
            <w:pPr>
              <w:ind w:left="40"/>
              <w:spacing w:after="0"/>
              <w:rPr>
                <w:sz w:val="20"/>
                <w:szCs w:val="20"/>
                <w:color w:val="auto"/>
              </w:rPr>
            </w:pPr>
            <w:r>
              <w:rPr>
                <w:rFonts w:ascii="Arial" w:cs="Arial" w:eastAsia="Arial" w:hAnsi="Arial"/>
                <w:sz w:val="16"/>
                <w:szCs w:val="16"/>
                <w:color w:val="666666"/>
              </w:rPr>
              <w:t>Common stock issued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340</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308</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1,343</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1,142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Common stock repurchased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(5,791)</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(4,633)</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(22,968)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(19,543)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80" w:type="dxa"/>
            <w:vAlign w:val="bottom"/>
            <w:gridSpan w:val="2"/>
          </w:tcPr>
          <w:p>
            <w:pPr>
              <w:ind w:left="40"/>
              <w:spacing w:after="0"/>
              <w:rPr>
                <w:sz w:val="20"/>
                <w:szCs w:val="20"/>
                <w:color w:val="auto"/>
              </w:rPr>
            </w:pPr>
            <w:r>
              <w:rPr>
                <w:rFonts w:ascii="Arial" w:cs="Arial" w:eastAsia="Arial" w:hAnsi="Arial"/>
                <w:sz w:val="16"/>
                <w:szCs w:val="16"/>
                <w:color w:val="666666"/>
              </w:rPr>
              <w:t>Common stock cash dividends paid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(3,865)</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(3,521)</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(15,137)</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(13,811)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Other, net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471</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160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(675)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780" w:type="dxa"/>
            <w:vAlign w:val="bottom"/>
            <w:gridSpan w:val="2"/>
          </w:tcPr>
          <w:p>
            <w:pPr>
              <w:ind w:left="600"/>
              <w:spacing w:after="0"/>
              <w:rPr>
                <w:sz w:val="20"/>
                <w:szCs w:val="20"/>
                <w:color w:val="auto"/>
              </w:rPr>
            </w:pPr>
            <w:r>
              <w:rPr>
                <w:rFonts w:ascii="Arial" w:cs="Arial" w:eastAsia="Arial" w:hAnsi="Arial"/>
                <w:sz w:val="16"/>
                <w:szCs w:val="16"/>
                <w:color w:val="666666"/>
              </w:rPr>
              <w:t>Net cash used in financing</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(12,262)</w:t>
            </w:r>
          </w:p>
        </w:tc>
        <w:tc>
          <w:tcPr>
            <w:tcW w:w="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(8,686)</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(46,031)</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(36,887)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666666"/>
              </w:rPr>
              <w:t>Investing</w:t>
            </w: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80" w:type="dxa"/>
            <w:vAlign w:val="bottom"/>
            <w:gridSpan w:val="2"/>
          </w:tcPr>
          <w:p>
            <w:pPr>
              <w:ind w:left="40"/>
              <w:spacing w:after="0"/>
              <w:rPr>
                <w:sz w:val="20"/>
                <w:szCs w:val="20"/>
                <w:color w:val="auto"/>
              </w:rPr>
            </w:pPr>
            <w:r>
              <w:rPr>
                <w:rFonts w:ascii="Arial" w:cs="Arial" w:eastAsia="Arial" w:hAnsi="Arial"/>
                <w:sz w:val="16"/>
                <w:szCs w:val="16"/>
                <w:color w:val="666666"/>
              </w:rPr>
              <w:t>Additions to property and equipment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(4,744)</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(4,051)</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(15,441)</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(13,925)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Acquisition of companies, net of cash acquired, and purchases of intangible and other</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666666"/>
              </w:rPr>
              <w:t>(1,650)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666666"/>
              </w:rPr>
              <w:t>(2,521)</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666666"/>
              </w:rPr>
              <w:t>assets</w:t>
            </w:r>
          </w:p>
        </w:tc>
        <w:tc>
          <w:tcPr>
            <w:tcW w:w="10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(281)</w:t>
            </w:r>
          </w:p>
        </w:tc>
        <w:tc>
          <w:tcPr>
            <w:tcW w:w="1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(2,388)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80" w:type="dxa"/>
            <w:vAlign w:val="bottom"/>
            <w:gridSpan w:val="2"/>
          </w:tcPr>
          <w:p>
            <w:pPr>
              <w:ind w:left="40"/>
              <w:spacing w:after="0"/>
              <w:rPr>
                <w:sz w:val="20"/>
                <w:szCs w:val="20"/>
                <w:color w:val="auto"/>
              </w:rPr>
            </w:pPr>
            <w:r>
              <w:rPr>
                <w:rFonts w:ascii="Arial" w:cs="Arial" w:eastAsia="Arial" w:hAnsi="Arial"/>
                <w:sz w:val="16"/>
                <w:szCs w:val="16"/>
                <w:color w:val="666666"/>
              </w:rPr>
              <w:t>Purchases of investments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(18,879)</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(15,442)</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(77,190)</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(57,697)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Maturities of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18,890</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5,154</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66,449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20,043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80" w:type="dxa"/>
            <w:vAlign w:val="bottom"/>
            <w:gridSpan w:val="2"/>
          </w:tcPr>
          <w:p>
            <w:pPr>
              <w:ind w:left="40"/>
              <w:spacing w:after="0"/>
              <w:rPr>
                <w:sz w:val="20"/>
                <w:szCs w:val="20"/>
                <w:color w:val="auto"/>
              </w:rPr>
            </w:pPr>
            <w:r>
              <w:rPr>
                <w:rFonts w:ascii="Arial" w:cs="Arial" w:eastAsia="Arial" w:hAnsi="Arial"/>
                <w:sz w:val="16"/>
                <w:szCs w:val="16"/>
                <w:color w:val="666666"/>
              </w:rPr>
              <w:t>Sales of investments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3,162</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7,363</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17,721</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38,194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Other, net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(1,241)</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(1,241)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6780" w:type="dxa"/>
            <w:vAlign w:val="bottom"/>
            <w:gridSpan w:val="2"/>
          </w:tcPr>
          <w:p>
            <w:pPr>
              <w:ind w:left="520"/>
              <w:spacing w:after="0"/>
              <w:rPr>
                <w:sz w:val="20"/>
                <w:szCs w:val="20"/>
                <w:color w:val="auto"/>
              </w:rPr>
            </w:pPr>
            <w:r>
              <w:rPr>
                <w:rFonts w:ascii="Arial" w:cs="Arial" w:eastAsia="Arial" w:hAnsi="Arial"/>
                <w:sz w:val="16"/>
                <w:szCs w:val="16"/>
                <w:color w:val="666666"/>
              </w:rPr>
              <w:t>Net cash used in investing</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(4,462)</w:t>
            </w:r>
          </w:p>
        </w:tc>
        <w:tc>
          <w:tcPr>
            <w:tcW w:w="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(7,257)</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(12,223)</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(15,773)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Effect of foreign exchange rates on cash and cash equivalents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(83)</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(21)</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(115)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6780" w:type="dxa"/>
            <w:vAlign w:val="bottom"/>
            <w:gridSpan w:val="2"/>
          </w:tcPr>
          <w:p>
            <w:pPr>
              <w:ind w:left="40"/>
              <w:spacing w:after="0"/>
              <w:rPr>
                <w:sz w:val="20"/>
                <w:szCs w:val="20"/>
                <w:color w:val="auto"/>
              </w:rPr>
            </w:pPr>
            <w:r>
              <w:rPr>
                <w:rFonts w:ascii="Arial" w:cs="Arial" w:eastAsia="Arial" w:hAnsi="Arial"/>
                <w:sz w:val="16"/>
                <w:szCs w:val="16"/>
                <w:color w:val="666666"/>
              </w:rPr>
              <w:t>Net change in cash and cash equivalents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666666"/>
              </w:rPr>
              <w:t>1,866</w:t>
            </w:r>
          </w:p>
        </w:tc>
        <w:tc>
          <w:tcPr>
            <w:tcW w:w="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666666"/>
              </w:rPr>
              <w:t>144</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666666"/>
              </w:rPr>
              <w:t>2,220</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(590)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666666"/>
              </w:rPr>
              <w:t>Cash and cash equivalents, beginning of period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11,710</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11,212</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11,356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11,946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580" w:type="dxa"/>
            <w:vAlign w:val="bottom"/>
          </w:tcPr>
          <w:p>
            <w:pPr>
              <w:ind w:left="40"/>
              <w:spacing w:after="0"/>
              <w:rPr>
                <w:sz w:val="20"/>
                <w:szCs w:val="20"/>
                <w:color w:val="auto"/>
              </w:rPr>
            </w:pPr>
            <w:r>
              <w:rPr>
                <w:rFonts w:ascii="Arial" w:cs="Arial" w:eastAsia="Arial" w:hAnsi="Arial"/>
                <w:sz w:val="16"/>
                <w:szCs w:val="16"/>
                <w:color w:val="666666"/>
              </w:rPr>
              <w:t>Cash and cash equivalents, end of period</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666666"/>
              </w:rPr>
              <w:t>$13,576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66666"/>
              </w:rPr>
              <w:t>$11,356</w:t>
            </w:r>
          </w:p>
        </w:tc>
        <w:tc>
          <w:tcPr>
            <w:tcW w:w="1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666666"/>
              </w:rPr>
              <w:t>$13,576</w:t>
            </w:r>
          </w:p>
        </w:tc>
        <w:tc>
          <w:tcPr>
            <w:tcW w:w="16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66666"/>
              </w:rPr>
              <w:t>$11,356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39"/>
        </w:trPr>
        <w:tc>
          <w:tcPr>
            <w:tcW w:w="322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7"/>
        </w:trPr>
        <w:tc>
          <w:tcPr>
            <w:tcW w:w="3220" w:type="dxa"/>
            <w:vAlign w:val="bottom"/>
          </w:tcPr>
          <w:p>
            <w:pPr>
              <w:spacing w:after="0"/>
              <w:rPr>
                <w:sz w:val="24"/>
                <w:szCs w:val="24"/>
                <w:color w:val="auto"/>
              </w:rPr>
            </w:pPr>
          </w:p>
        </w:tc>
        <w:tc>
          <w:tcPr>
            <w:tcW w:w="4920" w:type="dxa"/>
            <w:vAlign w:val="bottom"/>
            <w:gridSpan w:val="3"/>
          </w:tcPr>
          <w:p>
            <w:pPr>
              <w:jc w:val="center"/>
              <w:ind w:right="340"/>
              <w:spacing w:after="0"/>
              <w:rPr>
                <w:sz w:val="20"/>
                <w:szCs w:val="20"/>
                <w:color w:val="auto"/>
              </w:rPr>
            </w:pPr>
            <w:r>
              <w:rPr>
                <w:rFonts w:ascii="Arial" w:cs="Arial" w:eastAsia="Arial" w:hAnsi="Arial"/>
                <w:sz w:val="18"/>
                <w:szCs w:val="18"/>
                <w:color w:val="666666"/>
                <w:w w:val="99"/>
              </w:rPr>
              <w:t>SEGMENT REVENUE AND OPERATING INCOME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3220" w:type="dxa"/>
            <w:vAlign w:val="bottom"/>
          </w:tcPr>
          <w:p>
            <w:pPr>
              <w:spacing w:after="0"/>
              <w:rPr>
                <w:sz w:val="24"/>
                <w:szCs w:val="24"/>
                <w:color w:val="auto"/>
              </w:rPr>
            </w:pPr>
          </w:p>
        </w:tc>
        <w:tc>
          <w:tcPr>
            <w:tcW w:w="4920" w:type="dxa"/>
            <w:vAlign w:val="bottom"/>
            <w:gridSpan w:val="3"/>
          </w:tcPr>
          <w:p>
            <w:pPr>
              <w:jc w:val="center"/>
              <w:ind w:right="360"/>
              <w:spacing w:after="0"/>
              <w:rPr>
                <w:sz w:val="20"/>
                <w:szCs w:val="20"/>
                <w:color w:val="auto"/>
              </w:rPr>
            </w:pPr>
            <w:r>
              <w:rPr>
                <w:rFonts w:ascii="Arial" w:cs="Arial" w:eastAsia="Arial" w:hAnsi="Arial"/>
                <w:sz w:val="18"/>
                <w:szCs w:val="18"/>
                <w:color w:val="666666"/>
              </w:rPr>
              <w:t>(In millions) (Unaudited)</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32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666666"/>
              </w:rPr>
              <w:t>Three Months Ended</w:t>
            </w:r>
          </w:p>
        </w:tc>
        <w:tc>
          <w:tcPr>
            <w:tcW w:w="19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w w:val="99"/>
              </w:rPr>
              <w:t>Twelve Months Ended</w:t>
            </w:r>
          </w:p>
        </w:tc>
      </w:tr>
      <w:tr>
        <w:trPr>
          <w:trHeight w:val="216"/>
        </w:trPr>
        <w:tc>
          <w:tcPr>
            <w:tcW w:w="3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666666"/>
              </w:rPr>
              <w:t>June 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June 30,</w:t>
            </w:r>
          </w:p>
        </w:tc>
      </w:tr>
      <w:tr>
        <w:trPr>
          <w:trHeight w:val="225"/>
        </w:trPr>
        <w:tc>
          <w:tcPr>
            <w:tcW w:w="3220" w:type="dxa"/>
            <w:vAlign w:val="bottom"/>
          </w:tcPr>
          <w:p>
            <w:pPr>
              <w:spacing w:after="0"/>
              <w:rPr>
                <w:sz w:val="19"/>
                <w:szCs w:val="19"/>
                <w:color w:val="auto"/>
              </w:rPr>
            </w:pPr>
          </w:p>
        </w:tc>
        <w:tc>
          <w:tcPr>
            <w:tcW w:w="4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666666"/>
              </w:rPr>
              <w:t>2020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666666"/>
              </w:rPr>
              <w:t>2019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666666"/>
              </w:rPr>
              <w:t>2020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2019</w:t>
            </w:r>
          </w:p>
        </w:tc>
      </w:tr>
      <w:tr>
        <w:trPr>
          <w:trHeight w:val="61"/>
        </w:trPr>
        <w:tc>
          <w:tcPr>
            <w:tcW w:w="3220" w:type="dxa"/>
            <w:vAlign w:val="bottom"/>
            <w:tcBorders>
              <w:top w:val="single" w:sz="8" w:color="auto"/>
            </w:tcBorders>
          </w:tcPr>
          <w:p>
            <w:pPr>
              <w:spacing w:after="0"/>
              <w:rPr>
                <w:sz w:val="5"/>
                <w:szCs w:val="5"/>
                <w:color w:val="auto"/>
              </w:rPr>
            </w:pPr>
          </w:p>
        </w:tc>
        <w:tc>
          <w:tcPr>
            <w:tcW w:w="340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56"/>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666666"/>
              </w:rPr>
              <w:t>Revenue</w:t>
            </w:r>
          </w:p>
        </w:tc>
        <w:tc>
          <w:tcPr>
            <w:tcW w:w="3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48"/>
        </w:trPr>
        <w:tc>
          <w:tcPr>
            <w:tcW w:w="3220" w:type="dxa"/>
            <w:vAlign w:val="bottom"/>
          </w:tcPr>
          <w:p>
            <w:pPr>
              <w:ind w:left="40"/>
              <w:spacing w:after="0"/>
              <w:rPr>
                <w:sz w:val="20"/>
                <w:szCs w:val="20"/>
                <w:color w:val="auto"/>
              </w:rPr>
            </w:pPr>
            <w:r>
              <w:rPr>
                <w:rFonts w:ascii="Arial" w:cs="Arial" w:eastAsia="Arial" w:hAnsi="Arial"/>
                <w:sz w:val="18"/>
                <w:szCs w:val="18"/>
                <w:color w:val="666666"/>
              </w:rPr>
              <w:t>Productivity and Business Processes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$11,752</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666666"/>
              </w:rPr>
              <w:t>$11,047</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666666"/>
              </w:rPr>
              <w:t>$46,398</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666666"/>
              </w:rPr>
              <w:t>$41,160</w:t>
            </w:r>
          </w:p>
        </w:tc>
        <w:tc>
          <w:tcPr>
            <w:tcW w:w="60" w:type="dxa"/>
            <w:vAlign w:val="bottom"/>
          </w:tcPr>
          <w:p>
            <w:pPr>
              <w:spacing w:after="0"/>
              <w:rPr>
                <w:sz w:val="21"/>
                <w:szCs w:val="21"/>
                <w:color w:val="auto"/>
              </w:rPr>
            </w:pPr>
          </w:p>
        </w:tc>
      </w:tr>
      <w:tr>
        <w:trPr>
          <w:trHeight w:val="265"/>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666666"/>
              </w:rPr>
              <w:t>Intelligent Cloud</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13,371</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666666"/>
              </w:rPr>
              <w:t>11,391</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666666"/>
              </w:rPr>
              <w:t>48,366</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666666"/>
              </w:rPr>
              <w:t>38,985</w:t>
            </w:r>
          </w:p>
        </w:tc>
        <w:tc>
          <w:tcPr>
            <w:tcW w:w="60" w:type="dxa"/>
            <w:vAlign w:val="bottom"/>
            <w:shd w:val="clear" w:color="auto" w:fill="CCEEFF"/>
          </w:tcPr>
          <w:p>
            <w:pPr>
              <w:spacing w:after="0"/>
              <w:rPr>
                <w:sz w:val="23"/>
                <w:szCs w:val="23"/>
                <w:color w:val="auto"/>
              </w:rPr>
            </w:pPr>
          </w:p>
        </w:tc>
      </w:tr>
      <w:tr>
        <w:trPr>
          <w:trHeight w:val="257"/>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666666"/>
              </w:rPr>
              <w:t>More Personal Computing</w:t>
            </w:r>
          </w:p>
        </w:tc>
        <w:tc>
          <w:tcPr>
            <w:tcW w:w="4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12,910</w:t>
            </w:r>
          </w:p>
        </w:tc>
        <w:tc>
          <w:tcPr>
            <w:tcW w:w="1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11,279</w:t>
            </w:r>
          </w:p>
        </w:tc>
        <w:tc>
          <w:tcPr>
            <w:tcW w:w="1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48,251</w:t>
            </w:r>
          </w:p>
        </w:tc>
        <w:tc>
          <w:tcPr>
            <w:tcW w:w="1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45,698</w:t>
            </w:r>
          </w:p>
        </w:tc>
        <w:tc>
          <w:tcPr>
            <w:tcW w:w="60" w:type="dxa"/>
            <w:vAlign w:val="bottom"/>
          </w:tcPr>
          <w:p>
            <w:pPr>
              <w:spacing w:after="0"/>
              <w:rPr>
                <w:sz w:val="22"/>
                <w:szCs w:val="22"/>
                <w:color w:val="auto"/>
              </w:rPr>
            </w:pPr>
          </w:p>
        </w:tc>
      </w:tr>
      <w:tr>
        <w:trPr>
          <w:trHeight w:val="311"/>
        </w:trPr>
        <w:tc>
          <w:tcPr>
            <w:tcW w:w="3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Total</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$38,033</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$33,717</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$143,015</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$125,843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446"/>
        </w:trPr>
        <w:tc>
          <w:tcPr>
            <w:tcW w:w="3220" w:type="dxa"/>
            <w:vAlign w:val="bottom"/>
          </w:tcPr>
          <w:p>
            <w:pPr>
              <w:ind w:left="40"/>
              <w:spacing w:after="0"/>
              <w:rPr>
                <w:sz w:val="20"/>
                <w:szCs w:val="20"/>
                <w:color w:val="auto"/>
              </w:rPr>
            </w:pPr>
            <w:r>
              <w:rPr>
                <w:rFonts w:ascii="Arial" w:cs="Arial" w:eastAsia="Arial" w:hAnsi="Arial"/>
                <w:sz w:val="18"/>
                <w:szCs w:val="18"/>
                <w:b w:val="1"/>
                <w:bCs w:val="1"/>
                <w:color w:val="666666"/>
              </w:rPr>
              <w:t>Operating Income</w:t>
            </w:r>
          </w:p>
        </w:tc>
        <w:tc>
          <w:tcPr>
            <w:tcW w:w="34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0"/>
        </w:trPr>
        <w:tc>
          <w:tcPr>
            <w:tcW w:w="32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666666"/>
              </w:rPr>
              <w:t>Productivity and Business Processes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$3,972</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666666"/>
              </w:rPr>
              <w:t>$4,344</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666666"/>
              </w:rPr>
              <w:t>$18,724</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666666"/>
              </w:rPr>
              <w:t>$16,219</w:t>
            </w:r>
          </w:p>
        </w:tc>
        <w:tc>
          <w:tcPr>
            <w:tcW w:w="60" w:type="dxa"/>
            <w:vAlign w:val="bottom"/>
            <w:shd w:val="clear" w:color="auto" w:fill="CCEEFF"/>
          </w:tcPr>
          <w:p>
            <w:pPr>
              <w:spacing w:after="0"/>
              <w:rPr>
                <w:sz w:val="22"/>
                <w:szCs w:val="22"/>
                <w:color w:val="auto"/>
              </w:rPr>
            </w:pPr>
          </w:p>
        </w:tc>
      </w:tr>
      <w:tr>
        <w:trPr>
          <w:trHeight w:val="248"/>
        </w:trPr>
        <w:tc>
          <w:tcPr>
            <w:tcW w:w="3220" w:type="dxa"/>
            <w:vAlign w:val="bottom"/>
          </w:tcPr>
          <w:p>
            <w:pPr>
              <w:ind w:left="40"/>
              <w:spacing w:after="0"/>
              <w:rPr>
                <w:sz w:val="20"/>
                <w:szCs w:val="20"/>
                <w:color w:val="auto"/>
              </w:rPr>
            </w:pPr>
            <w:r>
              <w:rPr>
                <w:rFonts w:ascii="Arial" w:cs="Arial" w:eastAsia="Arial" w:hAnsi="Arial"/>
                <w:sz w:val="18"/>
                <w:szCs w:val="18"/>
                <w:color w:val="666666"/>
              </w:rPr>
              <w:t>Intelligent Cloud</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5,344</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666666"/>
              </w:rPr>
              <w:t>4,502</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666666"/>
              </w:rPr>
              <w:t>18,324</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666666"/>
              </w:rPr>
              <w:t>13,920</w:t>
            </w:r>
          </w:p>
        </w:tc>
        <w:tc>
          <w:tcPr>
            <w:tcW w:w="60" w:type="dxa"/>
            <w:vAlign w:val="bottom"/>
          </w:tcPr>
          <w:p>
            <w:pPr>
              <w:spacing w:after="0"/>
              <w:rPr>
                <w:sz w:val="21"/>
                <w:szCs w:val="21"/>
                <w:color w:val="auto"/>
              </w:rPr>
            </w:pPr>
          </w:p>
        </w:tc>
      </w:tr>
      <w:tr>
        <w:trPr>
          <w:trHeight w:val="259"/>
        </w:trPr>
        <w:tc>
          <w:tcPr>
            <w:tcW w:w="3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666666"/>
              </w:rPr>
              <w:t>More Personal Computing</w:t>
            </w:r>
          </w:p>
        </w:tc>
        <w:tc>
          <w:tcPr>
            <w:tcW w:w="4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4,091</w:t>
            </w:r>
          </w:p>
        </w:tc>
        <w:tc>
          <w:tcPr>
            <w:tcW w:w="16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66666"/>
              </w:rPr>
              <w:t>3,559</w:t>
            </w:r>
          </w:p>
        </w:tc>
        <w:tc>
          <w:tcPr>
            <w:tcW w:w="16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15,911</w:t>
            </w:r>
          </w:p>
        </w:tc>
        <w:tc>
          <w:tcPr>
            <w:tcW w:w="16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66666"/>
              </w:rPr>
              <w:t>12,820</w:t>
            </w:r>
          </w:p>
        </w:tc>
        <w:tc>
          <w:tcPr>
            <w:tcW w:w="60" w:type="dxa"/>
            <w:vAlign w:val="bottom"/>
            <w:shd w:val="clear" w:color="auto" w:fill="CCEEFF"/>
          </w:tcPr>
          <w:p>
            <w:pPr>
              <w:spacing w:after="0"/>
              <w:rPr>
                <w:sz w:val="22"/>
                <w:szCs w:val="22"/>
                <w:color w:val="auto"/>
              </w:rPr>
            </w:pPr>
          </w:p>
        </w:tc>
      </w:tr>
      <w:tr>
        <w:trPr>
          <w:trHeight w:val="270"/>
        </w:trPr>
        <w:tc>
          <w:tcPr>
            <w:tcW w:w="3220" w:type="dxa"/>
            <w:vAlign w:val="bottom"/>
          </w:tcPr>
          <w:p>
            <w:pPr>
              <w:ind w:left="220"/>
              <w:spacing w:after="0"/>
              <w:rPr>
                <w:sz w:val="20"/>
                <w:szCs w:val="20"/>
                <w:color w:val="auto"/>
              </w:rPr>
            </w:pPr>
            <w:r>
              <w:rPr>
                <w:rFonts w:ascii="Arial" w:cs="Arial" w:eastAsia="Arial" w:hAnsi="Arial"/>
                <w:sz w:val="18"/>
                <w:szCs w:val="18"/>
                <w:color w:val="666666"/>
              </w:rPr>
              <w:t>Total</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$13,407</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666666"/>
              </w:rPr>
              <w:t>$12,405</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666666"/>
              </w:rPr>
              <w:t>$52,959</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666666"/>
              </w:rPr>
              <w:t>$42,959</w:t>
            </w:r>
          </w:p>
        </w:tc>
        <w:tc>
          <w:tcPr>
            <w:tcW w:w="60" w:type="dxa"/>
            <w:vAlign w:val="bottom"/>
          </w:tcPr>
          <w:p>
            <w:pPr>
              <w:spacing w:after="0"/>
              <w:rPr>
                <w:sz w:val="23"/>
                <w:szCs w:val="23"/>
                <w:color w:val="auto"/>
              </w:rPr>
            </w:pPr>
          </w:p>
        </w:tc>
      </w:tr>
      <w:tr>
        <w:trPr>
          <w:trHeight w:val="47"/>
        </w:trPr>
        <w:tc>
          <w:tcPr>
            <w:tcW w:w="32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6" w:name="page17"/>
    <w:bookmarkEnd w:id="16"/>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MICROSOFT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FOURTH QUARTER FINANCIAL HIGHLIGHTS</w:t>
      </w:r>
    </w:p>
    <w:p>
      <w:pPr>
        <w:spacing w:after="0" w:line="234"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666666"/>
        </w:rPr>
        <w:t>All growth comparisons relate to the corresponding period in the last fiscal year. Please refer to the reconciliation of our GAAP and non-GAAP financial results in the table provided above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SUMMARY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$4.3 billion or 13%, driven by growth across each of our segments. Intelligent Cloud revenue increased, driven by server products and cloud services. More Personal Computing revenue increased, driven by Gaming, Surface, and Windows, offset in part by a decrease in Search advertising. Productivity and Business Processes revenue increased, driven by Office 365.</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666666"/>
        </w:rPr>
        <w:t>Gross margin increased $2.4 billion or 10%, driven by growth in Intelligent Cloud and More Personal Computing. Gross margin percentage decreased, driven by sales mix. Commercial cloud gross margin percentage increased 1 point to 66%, primarily driven by improvement in Azure.</w:t>
      </w:r>
    </w:p>
    <w:p>
      <w:pPr>
        <w:spacing w:after="0" w:line="20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666666"/>
        </w:rPr>
        <w:t>Operating income increased $1.0 billion or 8%, driven by growth in Intelligent Cloud and More Personal Computing, offset in part by a decrease in Productivity and Business Processes.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included an unfavorable foreign currency impact of 2%, 2%, and 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SEGMENT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Productivity and Business Processes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$705 million or 6%.</w:t>
      </w:r>
    </w:p>
    <w:p>
      <w:pPr>
        <w:spacing w:after="0" w:line="239" w:lineRule="exact"/>
        <w:rPr>
          <w:sz w:val="20"/>
          <w:szCs w:val="20"/>
          <w:color w:val="auto"/>
        </w:rPr>
      </w:pPr>
    </w:p>
    <w:p>
      <w:pPr>
        <w:ind w:left="960" w:right="100" w:hanging="424"/>
        <w:spacing w:after="0" w:line="238" w:lineRule="auto"/>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Office Commercial products and cloud services revenue increased $394 million or 5%, on a strong prior year comparable. Office 365 Commercial revenue grew 19%, driven by Office 365 Commercial seat growth of 15% and growth in revenue per user. Office Commercial products revenue declined 34% reflecting continued customer shift to cloud offerings from multi-year on-premises agreements and a slowdown in transactional licensing, primarily in small and medium businesses.</w:t>
      </w:r>
    </w:p>
    <w:p>
      <w:pPr>
        <w:spacing w:after="0" w:line="231" w:lineRule="exact"/>
        <w:rPr>
          <w:rFonts w:ascii="Arial" w:cs="Arial" w:eastAsia="Arial" w:hAnsi="Arial"/>
          <w:sz w:val="18"/>
          <w:szCs w:val="18"/>
          <w:color w:val="666666"/>
        </w:rPr>
      </w:pPr>
    </w:p>
    <w:p>
      <w:pPr>
        <w:ind w:left="960" w:right="280" w:hanging="424"/>
        <w:spacing w:after="0" w:line="261" w:lineRule="auto"/>
        <w:tabs>
          <w:tab w:leader="none" w:pos="960" w:val="left"/>
        </w:tabs>
        <w:numPr>
          <w:ilvl w:val="0"/>
          <w:numId w:val="9"/>
        </w:numPr>
        <w:rPr>
          <w:rFonts w:ascii="Arial" w:cs="Arial" w:eastAsia="Arial" w:hAnsi="Arial"/>
          <w:sz w:val="17"/>
          <w:szCs w:val="17"/>
          <w:color w:val="666666"/>
        </w:rPr>
      </w:pPr>
      <w:r>
        <w:rPr>
          <w:rFonts w:ascii="Arial" w:cs="Arial" w:eastAsia="Arial" w:hAnsi="Arial"/>
          <w:sz w:val="17"/>
          <w:szCs w:val="17"/>
          <w:color w:val="666666"/>
        </w:rPr>
        <w:t>Office Consumer products and cloud services revenue increased $57 million or 6%, driven by Office 365 Consumer (rebranded to Microsoft 365 Consumer) subscription revenue, offset in part by a slowdown in transactional licensing. Office 365 Consumer subscribers increased 23% to 42.7 million with increased demand from remote work and learn scenarios.</w:t>
      </w:r>
    </w:p>
    <w:p>
      <w:pPr>
        <w:spacing w:after="0" w:line="212" w:lineRule="exact"/>
        <w:rPr>
          <w:rFonts w:ascii="Arial" w:cs="Arial" w:eastAsia="Arial" w:hAnsi="Arial"/>
          <w:sz w:val="17"/>
          <w:szCs w:val="17"/>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LinkedIn revenue increased $181 million or 10%.</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Dynamics products and cloud services revenue increased 13%, driven by Dynamics 365 growth of 38%.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decreased $372 million or 9%.</w:t>
      </w:r>
    </w:p>
    <w:p>
      <w:pPr>
        <w:spacing w:after="0" w:line="239" w:lineRule="exact"/>
        <w:rPr>
          <w:sz w:val="20"/>
          <w:szCs w:val="20"/>
          <w:color w:val="auto"/>
        </w:rPr>
      </w:pPr>
    </w:p>
    <w:p>
      <w:pPr>
        <w:ind w:left="960" w:right="140" w:hanging="424"/>
        <w:spacing w:after="0" w:line="274" w:lineRule="auto"/>
        <w:tabs>
          <w:tab w:leader="none" w:pos="960" w:val="left"/>
        </w:tabs>
        <w:numPr>
          <w:ilvl w:val="0"/>
          <w:numId w:val="10"/>
        </w:numPr>
        <w:rPr>
          <w:rFonts w:ascii="Arial" w:cs="Arial" w:eastAsia="Arial" w:hAnsi="Arial"/>
          <w:sz w:val="17"/>
          <w:szCs w:val="17"/>
          <w:color w:val="666666"/>
        </w:rPr>
      </w:pPr>
      <w:r>
        <w:rPr>
          <w:rFonts w:ascii="Arial" w:cs="Arial" w:eastAsia="Arial" w:hAnsi="Arial"/>
          <w:sz w:val="17"/>
          <w:szCs w:val="17"/>
          <w:color w:val="666666"/>
        </w:rPr>
        <w:t>Gross margin was relatively unchanged, with growth in LinkedIn and Dynamics, offset in part by a decrease in Office. Gross margin percentage decreased, driven by increased usage of Office 365 Commercial and an increased mix of cloud offerings.</w:t>
      </w:r>
    </w:p>
    <w:p>
      <w:pPr>
        <w:sectPr>
          <w:pgSz w:w="11900" w:h="16838" w:orient="portrait"/>
          <w:cols w:equalWidth="0" w:num="1">
            <w:col w:w="11000"/>
          </w:cols>
          <w:pgMar w:left="440" w:top="265" w:right="459" w:bottom="1440" w:gutter="0" w:footer="0" w:header="0"/>
        </w:sectPr>
      </w:pPr>
    </w:p>
    <w:bookmarkStart w:id="17" w:name="page18"/>
    <w:bookmarkEnd w:id="17"/>
    <w:p>
      <w:pPr>
        <w:ind w:right="640" w:firstLine="536"/>
        <w:spacing w:after="0" w:line="500" w:lineRule="auto"/>
        <w:tabs>
          <w:tab w:leader="none" w:pos="972" w:val="left"/>
        </w:tabs>
        <w:numPr>
          <w:ilvl w:val="0"/>
          <w:numId w:val="11"/>
        </w:numPr>
        <w:rPr>
          <w:rFonts w:ascii="Arial" w:cs="Arial" w:eastAsia="Arial" w:hAnsi="Arial"/>
          <w:sz w:val="17"/>
          <w:szCs w:val="17"/>
          <w:color w:val="666666"/>
        </w:rPr>
      </w:pPr>
      <w:r>
        <w:rPr>
          <w:rFonts w:ascii="Arial" w:cs="Arial" w:eastAsia="Arial" w:hAnsi="Arial"/>
          <w:sz w:val="17"/>
          <w:szCs w:val="17"/>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Operating expenses increased $407 million or 10%, driven by Teams marketing and investments in cloud engineering. Revenue, gross margin, and operating income included an unfavorable foreign currency impact of 2%, 3%, and 4%,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Intelligent Cloud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$2.0 billion or 17%.</w:t>
      </w:r>
    </w:p>
    <w:p>
      <w:pPr>
        <w:spacing w:after="0" w:line="239" w:lineRule="exact"/>
        <w:rPr>
          <w:sz w:val="20"/>
          <w:szCs w:val="20"/>
          <w:color w:val="auto"/>
        </w:rPr>
      </w:pPr>
    </w:p>
    <w:p>
      <w:pPr>
        <w:ind w:left="960" w:hanging="424"/>
        <w:spacing w:after="0"/>
        <w:tabs>
          <w:tab w:leader="none" w:pos="96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Server products and cloud services revenue increased $1.9 billion or 19%, driven by Azure. Azure revenue grew 47%, primarily driven by growth in our consumption-based services. Server products revenue was relatively unchanged, with growth in hybrid and premium solutions, offset by a slowdown in transactional licensing.</w:t>
      </w:r>
    </w:p>
    <w:p>
      <w:pPr>
        <w:spacing w:after="0" w:line="229" w:lineRule="exact"/>
        <w:rPr>
          <w:rFonts w:ascii="Arial" w:cs="Arial" w:eastAsia="Arial" w:hAnsi="Arial"/>
          <w:sz w:val="18"/>
          <w:szCs w:val="18"/>
          <w:color w:val="666666"/>
        </w:rPr>
      </w:pPr>
    </w:p>
    <w:p>
      <w:pPr>
        <w:ind w:left="960" w:hanging="424"/>
        <w:spacing w:after="0"/>
        <w:tabs>
          <w:tab w:leader="none" w:pos="96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Enterprise Services revenue was relatively unchanged.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increased $842 million or 19%.</w:t>
      </w:r>
    </w:p>
    <w:p>
      <w:pPr>
        <w:spacing w:after="0" w:line="239" w:lineRule="exact"/>
        <w:rPr>
          <w:sz w:val="20"/>
          <w:szCs w:val="20"/>
          <w:color w:val="auto"/>
        </w:rPr>
      </w:pPr>
    </w:p>
    <w:p>
      <w:pPr>
        <w:ind w:left="960" w:right="100" w:hanging="424"/>
        <w:spacing w:after="0"/>
        <w:tabs>
          <w:tab w:leader="none" w:pos="96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Gross margin increased $1.5 billion or 19%, driven by growth in server products and cloud services revenue and cloud services scale and efficiencies. Gross margin percentage increased slightly, due to improvement in Azure, offset in part by an increased mix of cloud offerings.</w:t>
      </w:r>
    </w:p>
    <w:p>
      <w:pPr>
        <w:spacing w:after="0" w:line="229" w:lineRule="exact"/>
        <w:rPr>
          <w:rFonts w:ascii="Arial" w:cs="Arial" w:eastAsia="Arial" w:hAnsi="Arial"/>
          <w:sz w:val="18"/>
          <w:szCs w:val="18"/>
          <w:color w:val="666666"/>
        </w:rPr>
      </w:pPr>
    </w:p>
    <w:p>
      <w:pPr>
        <w:ind w:left="960" w:hanging="424"/>
        <w:spacing w:after="0"/>
        <w:tabs>
          <w:tab w:leader="none" w:pos="96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Operating expenses increased $678 million or 19%, driven by investments in Azure.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included an unfavorable foreign currency impact of 2%, 2%, and 3%,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More Personal Computing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$1.6 billion or 14%.</w:t>
      </w:r>
    </w:p>
    <w:p>
      <w:pPr>
        <w:spacing w:after="0" w:line="239" w:lineRule="exact"/>
        <w:rPr>
          <w:sz w:val="20"/>
          <w:szCs w:val="20"/>
          <w:color w:val="auto"/>
        </w:rPr>
      </w:pPr>
    </w:p>
    <w:p>
      <w:pPr>
        <w:ind w:left="960" w:right="20" w:hanging="424"/>
        <w:spacing w:after="0" w:line="237" w:lineRule="auto"/>
        <w:tabs>
          <w:tab w:leader="none" w:pos="96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Windows revenue increased $337 million or 6%, driven by growth in Windows OEM and Windows Commercial. Windows OEM revenue increased 7%. Windows OEM non-Pro revenue grew 34%, driven by consumer demand from remote work and learn scenarios, including the benefit in April from unfulfilled third quarter demand. Windows OEM Pro revenue declined 4%, driven by weakness in small and medium businesses, more than offsetting the benefit in April from unfulfilled third quarter demand. Windows Commercial products and cloud services revenue increased 9%, driven by increased demand for Microsoft 365, offset in part by a slowdown in transactional licensing.</w:t>
      </w:r>
    </w:p>
    <w:p>
      <w:pPr>
        <w:spacing w:after="0" w:line="231" w:lineRule="exact"/>
        <w:rPr>
          <w:rFonts w:ascii="Arial" w:cs="Arial" w:eastAsia="Arial" w:hAnsi="Arial"/>
          <w:sz w:val="18"/>
          <w:szCs w:val="18"/>
          <w:color w:val="666666"/>
        </w:rPr>
      </w:pPr>
    </w:p>
    <w:p>
      <w:pPr>
        <w:ind w:left="960" w:right="360" w:hanging="424"/>
        <w:spacing w:after="0" w:line="238" w:lineRule="auto"/>
        <w:tabs>
          <w:tab w:leader="none" w:pos="96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Gaming revenue increased $1.3 billion or 64%, driven by growth in Xbox content and services. Xbox content and services revenue increased $1.2 billion or 65%, primarily due to record engagement, including strength from third-party titles, as stay-at-home guidelines continued. Xbox hardware revenue increased 49%, primarily due to an increase in volume of consoles sold.</w:t>
      </w:r>
    </w:p>
    <w:p>
      <w:pPr>
        <w:spacing w:after="0" w:line="231" w:lineRule="exact"/>
        <w:rPr>
          <w:rFonts w:ascii="Arial" w:cs="Arial" w:eastAsia="Arial" w:hAnsi="Arial"/>
          <w:sz w:val="18"/>
          <w:szCs w:val="18"/>
          <w:color w:val="666666"/>
        </w:rPr>
      </w:pPr>
    </w:p>
    <w:p>
      <w:pPr>
        <w:ind w:left="960" w:hanging="424"/>
        <w:spacing w:after="0"/>
        <w:tabs>
          <w:tab w:leader="none" w:pos="96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Surface revenue increased $374 million or 28%, driven by increased demand from remote work and learn scenarios.</w:t>
      </w:r>
    </w:p>
    <w:p>
      <w:pPr>
        <w:spacing w:after="0" w:line="238" w:lineRule="exact"/>
        <w:rPr>
          <w:rFonts w:ascii="Arial" w:cs="Arial" w:eastAsia="Arial" w:hAnsi="Arial"/>
          <w:sz w:val="18"/>
          <w:szCs w:val="18"/>
          <w:color w:val="666666"/>
        </w:rPr>
      </w:pPr>
    </w:p>
    <w:p>
      <w:pPr>
        <w:ind w:left="960" w:right="260" w:hanging="424"/>
        <w:spacing w:after="0" w:line="246" w:lineRule="auto"/>
        <w:tabs>
          <w:tab w:leader="none" w:pos="96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Search advertising revenue decreased $353 million or 18%. Search advertising revenue, excluding traffic acquisition costs, decreased 18%, with reduced customer advertising spend.</w:t>
      </w:r>
    </w:p>
    <w:p>
      <w:pPr>
        <w:sectPr>
          <w:pgSz w:w="11900" w:h="16838" w:orient="portrait"/>
          <w:cols w:equalWidth="0" w:num="1">
            <w:col w:w="11000"/>
          </w:cols>
          <w:pgMar w:left="440" w:top="287"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Operating income increased $532 million or 15%.</w:t>
      </w:r>
    </w:p>
    <w:p>
      <w:pPr>
        <w:spacing w:after="0" w:line="239" w:lineRule="exact"/>
        <w:rPr>
          <w:sz w:val="20"/>
          <w:szCs w:val="20"/>
          <w:color w:val="auto"/>
        </w:rPr>
      </w:pPr>
    </w:p>
    <w:p>
      <w:pPr>
        <w:ind w:left="960" w:hanging="424"/>
        <w:spacing w:after="0" w:line="246" w:lineRule="auto"/>
        <w:tabs>
          <w:tab w:leader="none" w:pos="960" w:val="left"/>
        </w:tabs>
        <w:numPr>
          <w:ilvl w:val="0"/>
          <w:numId w:val="15"/>
        </w:numPr>
        <w:rPr>
          <w:rFonts w:ascii="Arial" w:cs="Arial" w:eastAsia="Arial" w:hAnsi="Arial"/>
          <w:sz w:val="18"/>
          <w:szCs w:val="18"/>
          <w:color w:val="666666"/>
        </w:rPr>
      </w:pPr>
      <w:r>
        <w:rPr>
          <w:rFonts w:ascii="Arial" w:cs="Arial" w:eastAsia="Arial" w:hAnsi="Arial"/>
          <w:sz w:val="18"/>
          <w:szCs w:val="18"/>
          <w:color w:val="666666"/>
        </w:rPr>
        <w:t>Gross margin increased $834 million or 12%, driven by growth in Gaming and Windows. Gross margin percentage decreased, driven by sales mix.</w:t>
      </w:r>
    </w:p>
    <w:p>
      <w:pPr>
        <w:spacing w:after="0" w:line="223" w:lineRule="exact"/>
        <w:rPr>
          <w:rFonts w:ascii="Arial" w:cs="Arial" w:eastAsia="Arial" w:hAnsi="Arial"/>
          <w:sz w:val="18"/>
          <w:szCs w:val="18"/>
          <w:color w:val="666666"/>
        </w:rPr>
      </w:pPr>
    </w:p>
    <w:p>
      <w:pPr>
        <w:ind w:left="960" w:right="480" w:hanging="424"/>
        <w:spacing w:after="0" w:line="246" w:lineRule="auto"/>
        <w:tabs>
          <w:tab w:leader="none" w:pos="960" w:val="left"/>
        </w:tabs>
        <w:numPr>
          <w:ilvl w:val="0"/>
          <w:numId w:val="15"/>
        </w:numPr>
        <w:rPr>
          <w:rFonts w:ascii="Arial" w:cs="Arial" w:eastAsia="Arial" w:hAnsi="Arial"/>
          <w:sz w:val="18"/>
          <w:szCs w:val="18"/>
          <w:color w:val="666666"/>
        </w:rPr>
      </w:pPr>
      <w:r>
        <w:rPr>
          <w:rFonts w:ascii="Arial" w:cs="Arial" w:eastAsia="Arial" w:hAnsi="Arial"/>
          <w:sz w:val="18"/>
          <w:szCs w:val="18"/>
          <w:color w:val="666666"/>
        </w:rPr>
        <w:t>Operating expenses increased $302 million or 10%, driven by charges associated with the closing of our Microsoft Store physical locations, offset in part by the redeployment of engineering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each included an unfavorable foreign currency impact of 2%, 3%, and 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EXPENSES</w:t>
      </w:r>
    </w:p>
    <w:p>
      <w:pPr>
        <w:spacing w:after="0" w:line="261" w:lineRule="exact"/>
        <w:rPr>
          <w:sz w:val="20"/>
          <w:szCs w:val="20"/>
          <w:color w:val="auto"/>
        </w:rPr>
      </w:pPr>
    </w:p>
    <w:p>
      <w:pPr>
        <w:ind w:left="960" w:hanging="424"/>
        <w:spacing w:after="0"/>
        <w:tabs>
          <w:tab w:leader="none" w:pos="9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Cost of revenue increased $1.9 billion or 19%, driven by growth in commercial cloud and Gaming.</w:t>
      </w:r>
    </w:p>
    <w:p>
      <w:pPr>
        <w:spacing w:after="0" w:line="238" w:lineRule="exact"/>
        <w:rPr>
          <w:rFonts w:ascii="Arial" w:cs="Arial" w:eastAsia="Arial" w:hAnsi="Arial"/>
          <w:sz w:val="18"/>
          <w:szCs w:val="18"/>
          <w:color w:val="666666"/>
        </w:rPr>
      </w:pPr>
    </w:p>
    <w:p>
      <w:pPr>
        <w:ind w:left="960" w:right="700" w:hanging="424"/>
        <w:spacing w:after="0" w:line="246" w:lineRule="auto"/>
        <w:tabs>
          <w:tab w:leader="none" w:pos="9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Research and development expenses increased $701 million or 16%, driven by investments in cloud engineering and Devices.</w:t>
      </w:r>
    </w:p>
    <w:p>
      <w:pPr>
        <w:spacing w:after="0" w:line="223" w:lineRule="exact"/>
        <w:rPr>
          <w:rFonts w:ascii="Arial" w:cs="Arial" w:eastAsia="Arial" w:hAnsi="Arial"/>
          <w:sz w:val="18"/>
          <w:szCs w:val="18"/>
          <w:color w:val="666666"/>
        </w:rPr>
      </w:pPr>
    </w:p>
    <w:p>
      <w:pPr>
        <w:ind w:left="960" w:right="180" w:hanging="424"/>
        <w:spacing w:after="0" w:line="246" w:lineRule="auto"/>
        <w:tabs>
          <w:tab w:leader="none" w:pos="9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Sales and marketing expenses increased $455 million or 9%, driven by an increase in bad debt expense and investments in commercial sales.</w:t>
      </w:r>
    </w:p>
    <w:p>
      <w:pPr>
        <w:spacing w:after="0" w:line="223" w:lineRule="exact"/>
        <w:rPr>
          <w:rFonts w:ascii="Arial" w:cs="Arial" w:eastAsia="Arial" w:hAnsi="Arial"/>
          <w:sz w:val="18"/>
          <w:szCs w:val="18"/>
          <w:color w:val="666666"/>
        </w:rPr>
      </w:pPr>
    </w:p>
    <w:p>
      <w:pPr>
        <w:ind w:left="960" w:right="380" w:hanging="424"/>
        <w:spacing w:after="0" w:line="246" w:lineRule="auto"/>
        <w:tabs>
          <w:tab w:leader="none" w:pos="9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General and administrative expenses increased $231 million or 16%, driven by charges associated with the closing of our Microsoft Store physical locations, offset in part by a reduction in legal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OTHER INCOME, NET</w:t>
      </w:r>
    </w:p>
    <w:p>
      <w:pPr>
        <w:spacing w:after="0" w:line="234"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666666"/>
        </w:rPr>
        <w:t>Other income, net was $15 million, driven by interest and dividends income and net gains on derivatives, investments, and foreign currency remeasurements, offset in part by interest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The current quarter effective tax rate was 17% on both a GAAP and non-GAAP basis, compared to (5)% and 16%, respectively, in the prior year. Prior year GAAP results include a $ 2.6 billion net income tax benefit in the fourth quarter of fiscal year 2019 related to intangible property transfers. This net income tax benefit is excluded from our non-GAAP results.</w:t>
      </w:r>
    </w:p>
    <w:p>
      <w:pPr>
        <w:spacing w:after="0" w:line="203"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666666"/>
        </w:rPr>
        <w:t>In the fourth quarter of fiscal year 2019, in response to the TCJA and recently issued regulations, we transferred certain intangible properties held by our foreign subsidiaries to the United States and Ireland. The transfers of intangible properties resulted in a net $2.6 billion tax benefit recorded in the fourth quarter of fiscal year 2019, as the value of future tax deductions exceeded the current tax liability from foreign jurisdictions and United States GILTI tax.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REMAINING PERFORMANCE OBLIGATIONS</w:t>
      </w:r>
    </w:p>
    <w:p>
      <w:pPr>
        <w:spacing w:after="0" w:line="234" w:lineRule="exact"/>
        <w:rPr>
          <w:sz w:val="20"/>
          <w:szCs w:val="20"/>
          <w:color w:val="auto"/>
        </w:rPr>
      </w:pPr>
    </w:p>
    <w:p>
      <w:pPr>
        <w:ind w:right="60"/>
        <w:spacing w:after="0"/>
        <w:rPr>
          <w:sz w:val="20"/>
          <w:szCs w:val="20"/>
          <w:color w:val="auto"/>
        </w:rPr>
      </w:pPr>
      <w:r>
        <w:rPr>
          <w:rFonts w:ascii="Arial" w:cs="Arial" w:eastAsia="Arial" w:hAnsi="Arial"/>
          <w:sz w:val="18"/>
          <w:szCs w:val="18"/>
          <w:color w:val="666666"/>
        </w:rPr>
        <w:t>Revenue allocated to remaining performance obligations, which includes unearned revenue and amounts that will be invoiced and recognized as revenue in future periods, was $111 billion as of June 30, 2020, of which $107 billion is related to the commercial portion of revenue. We expect to recognize approximately 50% of this revenue over the next 12 months and the remainder thereafter.</w:t>
      </w:r>
    </w:p>
    <w:sectPr>
      <w:pgSz w:w="11900" w:h="16838" w:orient="portrait"/>
      <w:cols w:equalWidth="0" w:num="1">
        <w:col w:w="11000"/>
      </w:cols>
      <w:pgMar w:left="440" w:top="2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2020-07-22T15:04:26Z</dcterms:created>
  <dcterms:modified xsi:type="dcterms:W3CDTF">2020-07-22T15:04:26Z</dcterms:modified>
</cp:coreProperties>
</file>