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66675</wp:posOffset>
            </wp:positionV>
            <wp:extent cx="1817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85725</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9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86" w:lineRule="exact"/>
        <w:rPr>
          <w:sz w:val="24"/>
          <w:szCs w:val="24"/>
          <w:color w:val="auto"/>
        </w:rPr>
      </w:pPr>
    </w:p>
    <w:p>
      <w:pPr>
        <w:ind w:left="520"/>
        <w:spacing w:after="0"/>
        <w:rPr>
          <w:sz w:val="20"/>
          <w:szCs w:val="20"/>
          <w:color w:val="auto"/>
        </w:rPr>
      </w:pPr>
      <w:r>
        <w:rPr>
          <w:rFonts w:ascii="Arial" w:cs="Arial" w:eastAsia="Arial" w:hAnsi="Arial"/>
          <w:sz w:val="14"/>
          <w:szCs w:val="14"/>
          <w:b w:val="1"/>
          <w:bCs w:val="1"/>
          <w:color w:val="auto"/>
        </w:rPr>
        <w:t>For the Quarterly Period Ended September 30, 2026</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86" w:lineRule="exact"/>
        <w:rPr>
          <w:sz w:val="24"/>
          <w:szCs w:val="24"/>
          <w:color w:val="auto"/>
        </w:rPr>
      </w:pPr>
    </w:p>
    <w:tbl>
      <w:tblPr>
        <w:tblLayout w:type="fixed"/>
        <w:tblInd w:w="520" w:type="dxa"/>
        <w:tblCellMar>
          <w:top w:w="0" w:type="dxa"/>
          <w:left w:w="0" w:type="dxa"/>
          <w:bottom w:w="0" w:type="dxa"/>
          <w:right w:w="0" w:type="dxa"/>
        </w:tblCellMar>
      </w:tblPr>
      <w:tr>
        <w:trPr>
          <w:trHeight w:val="193"/>
        </w:trPr>
        <w:tc>
          <w:tcPr>
            <w:tcW w:w="2820" w:type="dxa"/>
            <w:vAlign w:val="bottom"/>
          </w:tcPr>
          <w:p>
            <w:pPr>
              <w:spacing w:after="0"/>
              <w:rPr>
                <w:sz w:val="20"/>
                <w:szCs w:val="20"/>
                <w:color w:val="auto"/>
              </w:rPr>
            </w:pPr>
            <w:r>
              <w:rPr>
                <w:rFonts w:ascii="Arial" w:cs="Arial" w:eastAsia="Arial" w:hAnsi="Arial"/>
                <w:sz w:val="14"/>
                <w:szCs w:val="14"/>
                <w:b w:val="1"/>
                <w:bCs w:val="1"/>
                <w:color w:val="auto"/>
              </w:rPr>
              <w:t>For the Transition Period From</w:t>
            </w:r>
          </w:p>
        </w:tc>
        <w:tc>
          <w:tcPr>
            <w:tcW w:w="5960" w:type="dxa"/>
            <w:vAlign w:val="bottom"/>
            <w:gridSpan w:val="3"/>
          </w:tcPr>
          <w:p>
            <w:pPr>
              <w:ind w:left="20"/>
              <w:spacing w:after="0"/>
              <w:rPr>
                <w:sz w:val="20"/>
                <w:szCs w:val="20"/>
                <w:color w:val="auto"/>
              </w:rPr>
            </w:pPr>
            <w:r>
              <w:rPr>
                <w:rFonts w:ascii="Arial" w:cs="Arial" w:eastAsia="Arial" w:hAnsi="Arial"/>
                <w:sz w:val="14"/>
                <w:szCs w:val="14"/>
                <w:b w:val="1"/>
                <w:bCs w:val="1"/>
                <w:color w:val="auto"/>
              </w:rPr>
              <w:t>to</w:t>
            </w:r>
          </w:p>
        </w:tc>
      </w:tr>
      <w:tr>
        <w:trPr>
          <w:trHeight w:val="247"/>
        </w:trPr>
        <w:tc>
          <w:tcPr>
            <w:tcW w:w="2820" w:type="dxa"/>
            <w:vAlign w:val="bottom"/>
          </w:tcPr>
          <w:p>
            <w:pPr>
              <w:spacing w:after="0"/>
              <w:rPr>
                <w:sz w:val="21"/>
                <w:szCs w:val="21"/>
                <w:color w:val="auto"/>
              </w:rPr>
            </w:pPr>
          </w:p>
        </w:tc>
        <w:tc>
          <w:tcPr>
            <w:tcW w:w="5960" w:type="dxa"/>
            <w:vAlign w:val="bottom"/>
            <w:gridSpan w:val="3"/>
          </w:tcPr>
          <w:p>
            <w:pPr>
              <w:jc w:val="center"/>
              <w:ind w:right="1333"/>
              <w:spacing w:after="0"/>
              <w:rPr>
                <w:sz w:val="20"/>
                <w:szCs w:val="20"/>
                <w:color w:val="auto"/>
              </w:rPr>
            </w:pPr>
            <w:r>
              <w:rPr>
                <w:rFonts w:ascii="Arial" w:cs="Arial" w:eastAsia="Arial" w:hAnsi="Arial"/>
                <w:sz w:val="18"/>
                <w:szCs w:val="18"/>
                <w:b w:val="1"/>
                <w:bCs w:val="1"/>
                <w:color w:val="auto"/>
                <w:w w:val="99"/>
              </w:rPr>
              <w:t>Commission File Number 001-37845</w:t>
            </w:r>
          </w:p>
        </w:tc>
      </w:tr>
      <w:tr>
        <w:trPr>
          <w:trHeight w:val="83"/>
        </w:trPr>
        <w:tc>
          <w:tcPr>
            <w:tcW w:w="3680" w:type="dxa"/>
            <w:vAlign w:val="bottom"/>
            <w:gridSpan w:val="2"/>
          </w:tcPr>
          <w:p>
            <w:pPr>
              <w:spacing w:after="0"/>
              <w:rPr>
                <w:sz w:val="7"/>
                <w:szCs w:val="7"/>
                <w:color w:val="auto"/>
              </w:rPr>
            </w:pPr>
          </w:p>
        </w:tc>
        <w:tc>
          <w:tcPr>
            <w:tcW w:w="2860" w:type="dxa"/>
            <w:vAlign w:val="bottom"/>
            <w:tcBorders>
              <w:bottom w:val="single" w:sz="8" w:color="auto"/>
            </w:tcBorders>
          </w:tcPr>
          <w:p>
            <w:pPr>
              <w:spacing w:after="0"/>
              <w:rPr>
                <w:sz w:val="7"/>
                <w:szCs w:val="7"/>
                <w:color w:val="auto"/>
              </w:rPr>
            </w:pPr>
          </w:p>
        </w:tc>
        <w:tc>
          <w:tcPr>
            <w:tcW w:w="2240" w:type="dxa"/>
            <w:vAlign w:val="bottom"/>
          </w:tcPr>
          <w:p>
            <w:pPr>
              <w:spacing w:after="0"/>
              <w:rPr>
                <w:sz w:val="7"/>
                <w:szCs w:val="7"/>
                <w:color w:val="auto"/>
              </w:rPr>
            </w:pPr>
          </w:p>
        </w:tc>
      </w:tr>
      <w:tr>
        <w:trPr>
          <w:trHeight w:val="628"/>
        </w:trPr>
        <w:tc>
          <w:tcPr>
            <w:tcW w:w="8780" w:type="dxa"/>
            <w:vAlign w:val="bottom"/>
            <w:gridSpan w:val="4"/>
          </w:tcPr>
          <w:p>
            <w:pPr>
              <w:jc w:val="center"/>
              <w:ind w:left="1312"/>
              <w:spacing w:after="0"/>
              <w:rPr>
                <w:sz w:val="20"/>
                <w:szCs w:val="20"/>
                <w:color w:val="auto"/>
              </w:rPr>
            </w:pPr>
            <w:r>
              <w:rPr>
                <w:rFonts w:ascii="Arial" w:cs="Arial" w:eastAsia="Arial" w:hAnsi="Arial"/>
                <w:sz w:val="43"/>
                <w:szCs w:val="43"/>
                <w:b w:val="1"/>
                <w:bCs w:val="1"/>
                <w:color w:val="auto"/>
              </w:rPr>
              <w:t>MICROSOFT CORPORATION</w:t>
            </w:r>
          </w:p>
        </w:tc>
      </w:tr>
      <w:tr>
        <w:trPr>
          <w:trHeight w:val="41"/>
        </w:trPr>
        <w:tc>
          <w:tcPr>
            <w:tcW w:w="2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2240" w:type="dxa"/>
            <w:vAlign w:val="bottom"/>
          </w:tcPr>
          <w:p>
            <w:pPr>
              <w:spacing w:after="0"/>
              <w:rPr>
                <w:sz w:val="3"/>
                <w:szCs w:val="3"/>
                <w:color w:val="auto"/>
              </w:rPr>
            </w:pPr>
          </w:p>
        </w:tc>
      </w:tr>
      <w:tr>
        <w:trPr>
          <w:trHeight w:val="222"/>
        </w:trPr>
        <w:tc>
          <w:tcPr>
            <w:tcW w:w="2820" w:type="dxa"/>
            <w:vAlign w:val="bottom"/>
          </w:tcPr>
          <w:p>
            <w:pPr>
              <w:jc w:val="center"/>
              <w:ind w:left="772"/>
              <w:spacing w:after="0"/>
              <w:rPr>
                <w:sz w:val="20"/>
                <w:szCs w:val="20"/>
                <w:color w:val="auto"/>
              </w:rPr>
            </w:pPr>
            <w:r>
              <w:rPr>
                <w:rFonts w:ascii="Arial" w:cs="Arial" w:eastAsia="Arial" w:hAnsi="Arial"/>
                <w:sz w:val="15"/>
                <w:szCs w:val="15"/>
                <w:b w:val="1"/>
                <w:bCs w:val="1"/>
                <w:color w:val="auto"/>
              </w:rPr>
              <w:t>WASHINGTON</w:t>
            </w:r>
          </w:p>
        </w:tc>
        <w:tc>
          <w:tcPr>
            <w:tcW w:w="5960" w:type="dxa"/>
            <w:vAlign w:val="bottom"/>
            <w:gridSpan w:val="3"/>
          </w:tcPr>
          <w:p>
            <w:pPr>
              <w:jc w:val="right"/>
              <w:spacing w:after="0"/>
              <w:rPr>
                <w:sz w:val="20"/>
                <w:szCs w:val="20"/>
                <w:color w:val="auto"/>
              </w:rPr>
            </w:pPr>
            <w:r>
              <w:rPr>
                <w:rFonts w:ascii="Arial" w:cs="Arial" w:eastAsia="Arial" w:hAnsi="Arial"/>
                <w:sz w:val="15"/>
                <w:szCs w:val="15"/>
                <w:b w:val="1"/>
                <w:bCs w:val="1"/>
                <w:color w:val="auto"/>
              </w:rPr>
              <w:t>91-1144442</w:t>
            </w:r>
          </w:p>
        </w:tc>
      </w:tr>
      <w:tr>
        <w:trPr>
          <w:trHeight w:val="186"/>
        </w:trPr>
        <w:tc>
          <w:tcPr>
            <w:tcW w:w="2820" w:type="dxa"/>
            <w:vAlign w:val="bottom"/>
          </w:tcPr>
          <w:p>
            <w:pPr>
              <w:jc w:val="center"/>
              <w:ind w:left="772"/>
              <w:spacing w:after="0"/>
              <w:rPr>
                <w:sz w:val="20"/>
                <w:szCs w:val="20"/>
                <w:color w:val="auto"/>
              </w:rPr>
            </w:pPr>
            <w:r>
              <w:rPr>
                <w:rFonts w:ascii="Arial" w:cs="Arial" w:eastAsia="Arial" w:hAnsi="Arial"/>
                <w:sz w:val="13"/>
                <w:szCs w:val="13"/>
                <w:b w:val="1"/>
                <w:bCs w:val="1"/>
                <w:color w:val="auto"/>
              </w:rPr>
              <w:t>(STATE OF INCORPORATION)</w:t>
            </w:r>
          </w:p>
        </w:tc>
        <w:tc>
          <w:tcPr>
            <w:tcW w:w="8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240" w:type="dxa"/>
            <w:vAlign w:val="bottom"/>
          </w:tcPr>
          <w:p>
            <w:pPr>
              <w:jc w:val="center"/>
              <w:ind w:left="1333"/>
              <w:spacing w:after="0"/>
              <w:rPr>
                <w:sz w:val="20"/>
                <w:szCs w:val="20"/>
                <w:color w:val="auto"/>
              </w:rPr>
            </w:pPr>
            <w:r>
              <w:rPr>
                <w:rFonts w:ascii="Arial" w:cs="Arial" w:eastAsia="Arial" w:hAnsi="Arial"/>
                <w:sz w:val="13"/>
                <w:szCs w:val="13"/>
                <w:b w:val="1"/>
                <w:bCs w:val="1"/>
                <w:color w:val="auto"/>
              </w:rPr>
              <w:t>(I.R.S. ID)</w:t>
            </w:r>
          </w:p>
        </w:tc>
      </w:tr>
    </w:tbl>
    <w:p>
      <w:pPr>
        <w:spacing w:after="0" w:line="3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ONE MICROSOFT WAY, REDMOND, WASHINGTON 98052-6399</w:t>
      </w:r>
    </w:p>
    <w:p>
      <w:pPr>
        <w:ind w:left="5500" w:hanging="399"/>
        <w:spacing w:after="0" w:line="233" w:lineRule="auto"/>
        <w:tabs>
          <w:tab w:leader="none" w:pos="550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882-8080</w:t>
      </w:r>
    </w:p>
    <w:p>
      <w:pPr>
        <w:ind w:left="4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www.microsoft.com/investor</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4500" w:type="dxa"/>
            <w:vAlign w:val="bottom"/>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236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5"/>
                <w:szCs w:val="15"/>
                <w:color w:val="auto"/>
              </w:rPr>
              <w:t>Title of each class</w:t>
            </w:r>
          </w:p>
        </w:tc>
        <w:tc>
          <w:tcPr>
            <w:tcW w:w="2360" w:type="dxa"/>
            <w:vAlign w:val="bottom"/>
          </w:tcPr>
          <w:p>
            <w:pPr>
              <w:jc w:val="center"/>
              <w:ind w:right="4"/>
              <w:spacing w:after="0"/>
              <w:rPr>
                <w:sz w:val="20"/>
                <w:szCs w:val="20"/>
                <w:color w:val="auto"/>
              </w:rPr>
            </w:pPr>
            <w:r>
              <w:rPr>
                <w:rFonts w:ascii="Arial" w:cs="Arial" w:eastAsia="Arial" w:hAnsi="Arial"/>
                <w:sz w:val="15"/>
                <w:szCs w:val="15"/>
                <w:color w:val="auto"/>
              </w:rPr>
              <w:t>Trading Symbol</w:t>
            </w:r>
          </w:p>
        </w:tc>
        <w:tc>
          <w:tcPr>
            <w:tcW w:w="3360" w:type="dxa"/>
            <w:vAlign w:val="bottom"/>
          </w:tcPr>
          <w:p>
            <w:pPr>
              <w:jc w:val="center"/>
              <w:ind w:left="624"/>
              <w:spacing w:after="0"/>
              <w:rPr>
                <w:sz w:val="20"/>
                <w:szCs w:val="20"/>
                <w:color w:val="auto"/>
              </w:rPr>
            </w:pPr>
            <w:r>
              <w:rPr>
                <w:rFonts w:ascii="Arial" w:cs="Arial" w:eastAsia="Arial" w:hAnsi="Arial"/>
                <w:sz w:val="15"/>
                <w:szCs w:val="15"/>
                <w:color w:val="auto"/>
              </w:rPr>
              <w:t>Name of exchange on which registered</w:t>
            </w:r>
          </w:p>
        </w:tc>
      </w:tr>
      <w:tr>
        <w:trPr>
          <w:trHeight w:val="162"/>
        </w:trPr>
        <w:tc>
          <w:tcPr>
            <w:tcW w:w="4500" w:type="dxa"/>
            <w:vAlign w:val="bottom"/>
          </w:tcPr>
          <w:p>
            <w:pPr>
              <w:spacing w:after="0" w:line="162" w:lineRule="exact"/>
              <w:rPr>
                <w:sz w:val="20"/>
                <w:szCs w:val="20"/>
                <w:color w:val="auto"/>
              </w:rPr>
            </w:pPr>
            <w:r>
              <w:rPr>
                <w:rFonts w:ascii="Arial" w:cs="Arial" w:eastAsia="Arial" w:hAnsi="Arial"/>
                <w:sz w:val="15"/>
                <w:szCs w:val="15"/>
                <w:b w:val="1"/>
                <w:bCs w:val="1"/>
                <w:color w:val="auto"/>
              </w:rPr>
              <w:t>Common stock, $0.00000625 par value per share</w:t>
            </w:r>
          </w:p>
        </w:tc>
        <w:tc>
          <w:tcPr>
            <w:tcW w:w="2360" w:type="dxa"/>
            <w:vAlign w:val="bottom"/>
          </w:tcPr>
          <w:p>
            <w:pPr>
              <w:jc w:val="center"/>
              <w:ind w:right="24"/>
              <w:spacing w:after="0" w:line="162" w:lineRule="exact"/>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line="162" w:lineRule="exact"/>
              <w:rPr>
                <w:sz w:val="20"/>
                <w:szCs w:val="20"/>
                <w:color w:val="auto"/>
              </w:rPr>
            </w:pPr>
            <w:r>
              <w:rPr>
                <w:rFonts w:ascii="Arial" w:cs="Arial" w:eastAsia="Arial" w:hAnsi="Arial"/>
                <w:sz w:val="15"/>
                <w:szCs w:val="15"/>
                <w:b w:val="1"/>
                <w:bCs w:val="1"/>
                <w:color w:val="auto"/>
              </w:rPr>
              <w:t>NASDAQ</w:t>
            </w:r>
          </w:p>
        </w:tc>
      </w:tr>
      <w:tr>
        <w:trPr>
          <w:trHeight w:val="162"/>
        </w:trPr>
        <w:tc>
          <w:tcPr>
            <w:tcW w:w="4500" w:type="dxa"/>
            <w:vAlign w:val="bottom"/>
          </w:tcPr>
          <w:p>
            <w:pPr>
              <w:spacing w:after="0" w:line="162" w:lineRule="exact"/>
              <w:rPr>
                <w:sz w:val="20"/>
                <w:szCs w:val="20"/>
                <w:color w:val="auto"/>
              </w:rPr>
            </w:pPr>
            <w:r>
              <w:rPr>
                <w:rFonts w:ascii="Arial" w:cs="Arial" w:eastAsia="Arial" w:hAnsi="Arial"/>
                <w:sz w:val="15"/>
                <w:szCs w:val="15"/>
                <w:b w:val="1"/>
                <w:bCs w:val="1"/>
                <w:color w:val="auto"/>
              </w:rPr>
              <w:t>3.125% Notes due 2028</w:t>
            </w:r>
          </w:p>
        </w:tc>
        <w:tc>
          <w:tcPr>
            <w:tcW w:w="2360" w:type="dxa"/>
            <w:vAlign w:val="bottom"/>
          </w:tcPr>
          <w:p>
            <w:pPr>
              <w:jc w:val="center"/>
              <w:ind w:right="24"/>
              <w:spacing w:after="0" w:line="162" w:lineRule="exact"/>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line="162" w:lineRule="exact"/>
              <w:rPr>
                <w:sz w:val="20"/>
                <w:szCs w:val="20"/>
                <w:color w:val="auto"/>
              </w:rPr>
            </w:pPr>
            <w:r>
              <w:rPr>
                <w:rFonts w:ascii="Arial" w:cs="Arial" w:eastAsia="Arial" w:hAnsi="Arial"/>
                <w:sz w:val="15"/>
                <w:szCs w:val="15"/>
                <w:b w:val="1"/>
                <w:bCs w:val="1"/>
                <w:color w:val="auto"/>
              </w:rPr>
              <w:t>NASDAQ</w:t>
            </w:r>
          </w:p>
        </w:tc>
      </w:tr>
      <w:tr>
        <w:trPr>
          <w:trHeight w:val="210"/>
        </w:trPr>
        <w:tc>
          <w:tcPr>
            <w:tcW w:w="4500" w:type="dxa"/>
            <w:vAlign w:val="bottom"/>
          </w:tcPr>
          <w:p>
            <w:pPr>
              <w:spacing w:after="0"/>
              <w:rPr>
                <w:sz w:val="20"/>
                <w:szCs w:val="20"/>
                <w:color w:val="auto"/>
              </w:rPr>
            </w:pPr>
            <w:r>
              <w:rPr>
                <w:rFonts w:ascii="Arial" w:cs="Arial" w:eastAsia="Arial" w:hAnsi="Arial"/>
                <w:sz w:val="15"/>
                <w:szCs w:val="15"/>
                <w:b w:val="1"/>
                <w:bCs w:val="1"/>
                <w:color w:val="auto"/>
              </w:rPr>
              <w:t>2.625% Notes due 2033</w:t>
            </w:r>
          </w:p>
        </w:tc>
        <w:tc>
          <w:tcPr>
            <w:tcW w:w="2360" w:type="dxa"/>
            <w:vAlign w:val="bottom"/>
          </w:tcPr>
          <w:p>
            <w:pPr>
              <w:jc w:val="center"/>
              <w:ind w:right="24"/>
              <w:spacing w:after="0"/>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rPr>
                <w:sz w:val="20"/>
                <w:szCs w:val="20"/>
                <w:color w:val="auto"/>
              </w:rPr>
            </w:pPr>
            <w:r>
              <w:rPr>
                <w:rFonts w:ascii="Arial" w:cs="Arial" w:eastAsia="Arial" w:hAnsi="Arial"/>
                <w:sz w:val="15"/>
                <w:szCs w:val="15"/>
                <w:b w:val="1"/>
                <w:bCs w:val="1"/>
                <w:color w:val="auto"/>
              </w:rPr>
              <w:t>NASDAQ</w:t>
            </w:r>
          </w:p>
        </w:tc>
      </w:tr>
    </w:tbl>
    <w:p>
      <w:pPr>
        <w:spacing w:after="0" w:line="35" w:lineRule="exact"/>
        <w:rPr>
          <w:sz w:val="24"/>
          <w:szCs w:val="24"/>
          <w:color w:val="auto"/>
        </w:rPr>
      </w:pPr>
    </w:p>
    <w:p>
      <w:pPr>
        <w:jc w:val="both"/>
        <w:spacing w:after="0" w:line="24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73" w:lineRule="exact"/>
        <w:tabs>
          <w:tab w:leader="none" w:pos="740" w:val="left"/>
          <w:tab w:leader="none" w:pos="1380" w:val="left"/>
        </w:tabs>
        <w:rPr>
          <w:sz w:val="20"/>
          <w:szCs w:val="20"/>
          <w:color w:val="auto"/>
        </w:rPr>
      </w:pPr>
      <w:r>
        <w:rPr>
          <w:rFonts w:ascii="Arial" w:cs="Arial" w:eastAsia="Arial" w:hAnsi="Arial"/>
          <w:sz w:val="15"/>
          <w:szCs w:val="15"/>
          <w:color w:val="auto"/>
        </w:rPr>
        <w:t>90 days.</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60" w:lineRule="exact"/>
        <w:rPr>
          <w:sz w:val="24"/>
          <w:szCs w:val="24"/>
          <w:color w:val="auto"/>
        </w:rPr>
      </w:pPr>
    </w:p>
    <w:p>
      <w:pPr>
        <w:jc w:val="both"/>
        <w:spacing w:after="0" w:line="19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jc w:val="both"/>
        <w:spacing w:after="0" w:line="24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49" w:right="339" w:bottom="1440" w:gutter="0" w:footer="0" w:header="0"/>
        </w:sectPr>
      </w:pPr>
    </w:p>
    <w:p>
      <w:pPr>
        <w:spacing w:after="0" w:line="1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83" w:lineRule="exact"/>
        <w:rPr>
          <w:sz w:val="24"/>
          <w:szCs w:val="24"/>
          <w:color w:val="auto"/>
        </w:rPr>
      </w:pPr>
    </w:p>
    <w:p>
      <w:pPr>
        <w:sectPr>
          <w:pgSz w:w="11900" w:h="16838" w:orient="portrait"/>
          <w:cols w:equalWidth="0" w:num="2">
            <w:col w:w="7640" w:space="720"/>
            <w:col w:w="2880"/>
          </w:cols>
          <w:pgMar w:left="320" w:top="1149" w:right="339" w:bottom="1440" w:gutter="0" w:footer="0" w:header="0"/>
          <w:type w:val="continuous"/>
        </w:sectPr>
      </w:pPr>
    </w:p>
    <w:p>
      <w:pPr>
        <w:spacing w:after="0" w:line="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70" w:lineRule="exact"/>
        <w:rPr>
          <w:sz w:val="24"/>
          <w:szCs w:val="24"/>
          <w:color w:val="auto"/>
        </w:rPr>
      </w:pPr>
    </w:p>
    <w:p>
      <w:pPr>
        <w:sectPr>
          <w:pgSz w:w="11900" w:h="16838" w:orient="portrait"/>
          <w:cols w:equalWidth="0" w:num="2">
            <w:col w:w="7640" w:space="720"/>
            <w:col w:w="2880"/>
          </w:cols>
          <w:pgMar w:left="320" w:top="1149" w:right="339" w:bottom="1440" w:gutter="0" w:footer="0" w:header="0"/>
          <w:type w:val="continuous"/>
        </w:sectPr>
      </w:pPr>
    </w:p>
    <w:p>
      <w:pPr>
        <w:spacing w:after="0" w:line="19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3" w:lineRule="exact"/>
        <w:rPr>
          <w:sz w:val="24"/>
          <w:szCs w:val="24"/>
          <w:color w:val="auto"/>
        </w:rPr>
      </w:pPr>
    </w:p>
    <w:p>
      <w:pPr>
        <w:ind w:right="2340"/>
        <w:spacing w:after="0" w:line="24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the number of shares outstanding of each of the issuer’s classes of common stock, as of the latest practicable date.</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60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Class</w:t>
            </w:r>
          </w:p>
        </w:tc>
        <w:tc>
          <w:tcPr>
            <w:tcW w:w="5180" w:type="dxa"/>
            <w:vAlign w:val="bottom"/>
            <w:tcBorders>
              <w:bottom w:val="single" w:sz="8" w:color="auto"/>
            </w:tcBorders>
          </w:tcPr>
          <w:p>
            <w:pPr>
              <w:ind w:left="2680"/>
              <w:spacing w:after="0"/>
              <w:rPr>
                <w:sz w:val="20"/>
                <w:szCs w:val="20"/>
                <w:color w:val="auto"/>
              </w:rPr>
            </w:pPr>
            <w:r>
              <w:rPr>
                <w:rFonts w:ascii="Arial" w:cs="Arial" w:eastAsia="Arial" w:hAnsi="Arial"/>
                <w:sz w:val="13"/>
                <w:szCs w:val="13"/>
                <w:b w:val="1"/>
                <w:bCs w:val="1"/>
                <w:color w:val="auto"/>
              </w:rPr>
              <w:t>Outstanding as of October 22, 2026</w:t>
            </w:r>
          </w:p>
        </w:tc>
      </w:tr>
      <w:tr>
        <w:trPr>
          <w:trHeight w:val="203"/>
        </w:trPr>
        <w:tc>
          <w:tcPr>
            <w:tcW w:w="60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Common Stock, $0.00000625 par value per share</w:t>
            </w:r>
          </w:p>
        </w:tc>
        <w:tc>
          <w:tcPr>
            <w:tcW w:w="5180" w:type="dxa"/>
            <w:vAlign w:val="bottom"/>
            <w:tcBorders>
              <w:bottom w:val="single" w:sz="8" w:color="auto"/>
            </w:tcBorders>
          </w:tcPr>
          <w:p>
            <w:pPr>
              <w:ind w:left="3480"/>
              <w:spacing w:after="0"/>
              <w:rPr>
                <w:sz w:val="20"/>
                <w:szCs w:val="20"/>
                <w:color w:val="auto"/>
              </w:rPr>
            </w:pPr>
            <w:r>
              <w:rPr>
                <w:rFonts w:ascii="Arial" w:cs="Arial" w:eastAsia="Arial" w:hAnsi="Arial"/>
                <w:sz w:val="15"/>
                <w:szCs w:val="15"/>
                <w:color w:val="auto"/>
              </w:rPr>
              <w:t>7,426,194,552 shares</w:t>
            </w:r>
          </w:p>
        </w:tc>
      </w:tr>
      <w:tr>
        <w:trPr>
          <w:trHeight w:val="1202"/>
        </w:trPr>
        <w:tc>
          <w:tcPr>
            <w:tcW w:w="606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MICROSOFT CORPORATION</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2026</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440" w:type="dxa"/>
            <w:vAlign w:val="bottom"/>
            <w:gridSpan w:val="21"/>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53"/>
        </w:trPr>
        <w:tc>
          <w:tcPr>
            <w:tcW w:w="920" w:type="dxa"/>
            <w:vAlign w:val="bottom"/>
            <w:vMerge w:val="continue"/>
          </w:tcPr>
          <w:p>
            <w:pPr>
              <w:spacing w:after="0"/>
              <w:rPr>
                <w:sz w:val="13"/>
                <w:szCs w:val="13"/>
                <w:color w:val="auto"/>
              </w:rPr>
            </w:pPr>
          </w:p>
        </w:tc>
        <w:tc>
          <w:tcPr>
            <w:tcW w:w="9440" w:type="dxa"/>
            <w:vAlign w:val="bottom"/>
            <w:gridSpan w:val="21"/>
            <w:vMerge w:val="continue"/>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6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auto"/>
                <w:w w:val="98"/>
              </w:rPr>
              <w:t>Financial Statements</w:t>
            </w:r>
          </w:p>
        </w:tc>
        <w:tc>
          <w:tcPr>
            <w:tcW w:w="6860" w:type="dxa"/>
            <w:vAlign w:val="bottom"/>
            <w:gridSpan w:val="12"/>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40" w:type="dxa"/>
            <w:vAlign w:val="bottom"/>
            <w:gridSpan w:val="19"/>
          </w:tcPr>
          <w:p>
            <w:pPr>
              <w:spacing w:after="0"/>
              <w:rPr>
                <w:sz w:val="20"/>
                <w:szCs w:val="20"/>
                <w:color w:val="auto"/>
              </w:rPr>
            </w:pPr>
            <w:r>
              <w:rPr>
                <w:rFonts w:ascii="Arial" w:cs="Arial" w:eastAsia="Arial" w:hAnsi="Arial"/>
                <w:sz w:val="18"/>
                <w:szCs w:val="18"/>
                <w:color w:val="auto"/>
              </w:rPr>
              <w:t>a)  Income Statements for the Three Months Ended September 30, 2026 and 2025</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40" w:type="dxa"/>
            <w:vAlign w:val="bottom"/>
            <w:gridSpan w:val="19"/>
          </w:tcPr>
          <w:p>
            <w:pPr>
              <w:spacing w:after="0"/>
              <w:rPr>
                <w:sz w:val="20"/>
                <w:szCs w:val="20"/>
                <w:color w:val="auto"/>
              </w:rPr>
            </w:pPr>
            <w:r>
              <w:rPr>
                <w:rFonts w:ascii="Arial" w:cs="Arial" w:eastAsia="Arial" w:hAnsi="Arial"/>
                <w:sz w:val="18"/>
                <w:szCs w:val="18"/>
                <w:color w:val="auto"/>
              </w:rPr>
              <w:t>b)  Comprehensive Income Statements for the Three Months Ended September 30, 2026 and 2025</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40" w:type="dxa"/>
            <w:vAlign w:val="bottom"/>
            <w:gridSpan w:val="19"/>
          </w:tcPr>
          <w:p>
            <w:pPr>
              <w:spacing w:after="0"/>
              <w:rPr>
                <w:sz w:val="20"/>
                <w:szCs w:val="20"/>
                <w:color w:val="auto"/>
              </w:rPr>
            </w:pPr>
            <w:r>
              <w:rPr>
                <w:rFonts w:ascii="Arial" w:cs="Arial" w:eastAsia="Arial" w:hAnsi="Arial"/>
                <w:sz w:val="18"/>
                <w:szCs w:val="18"/>
                <w:color w:val="auto"/>
              </w:rPr>
              <w:t>c)  Balance Sheets as of September 30, 2026 and June 30, 2026</w:t>
            </w: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40" w:type="dxa"/>
            <w:vAlign w:val="bottom"/>
            <w:gridSpan w:val="19"/>
          </w:tcPr>
          <w:p>
            <w:pPr>
              <w:spacing w:after="0"/>
              <w:rPr>
                <w:sz w:val="20"/>
                <w:szCs w:val="20"/>
                <w:color w:val="auto"/>
              </w:rPr>
            </w:pPr>
            <w:r>
              <w:rPr>
                <w:rFonts w:ascii="Arial" w:cs="Arial" w:eastAsia="Arial" w:hAnsi="Arial"/>
                <w:sz w:val="18"/>
                <w:szCs w:val="18"/>
                <w:color w:val="auto"/>
              </w:rPr>
              <w:t>d)  Cash Flows Statements for the Three Months Ended September 30, 2026 and 2025</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40" w:type="dxa"/>
            <w:vAlign w:val="bottom"/>
            <w:gridSpan w:val="19"/>
          </w:tcPr>
          <w:p>
            <w:pPr>
              <w:spacing w:after="0"/>
              <w:rPr>
                <w:sz w:val="20"/>
                <w:szCs w:val="20"/>
                <w:color w:val="auto"/>
              </w:rPr>
            </w:pPr>
            <w:r>
              <w:rPr>
                <w:rFonts w:ascii="Arial" w:cs="Arial" w:eastAsia="Arial" w:hAnsi="Arial"/>
                <w:sz w:val="18"/>
                <w:szCs w:val="18"/>
                <w:color w:val="auto"/>
              </w:rPr>
              <w:t>e)  Stockholders’ Equity Statements for the Three Months Ended September 30, 2026 and 2025</w:t>
            </w: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40" w:type="dxa"/>
            <w:vAlign w:val="bottom"/>
            <w:gridSpan w:val="19"/>
          </w:tcPr>
          <w:p>
            <w:pPr>
              <w:spacing w:after="0"/>
              <w:rPr>
                <w:sz w:val="20"/>
                <w:szCs w:val="20"/>
                <w:color w:val="auto"/>
              </w:rPr>
            </w:pPr>
            <w:r>
              <w:rPr>
                <w:rFonts w:ascii="Arial" w:cs="Arial" w:eastAsia="Arial" w:hAnsi="Arial"/>
                <w:sz w:val="18"/>
                <w:szCs w:val="18"/>
                <w:color w:val="auto"/>
              </w:rPr>
              <w:t>f)   Notes to Financial Statements</w:t>
            </w: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40" w:type="dxa"/>
            <w:vAlign w:val="bottom"/>
            <w:gridSpan w:val="19"/>
          </w:tcPr>
          <w:p>
            <w:pPr>
              <w:spacing w:after="0"/>
              <w:rPr>
                <w:sz w:val="20"/>
                <w:szCs w:val="20"/>
                <w:color w:val="auto"/>
              </w:rPr>
            </w:pPr>
            <w:r>
              <w:rPr>
                <w:rFonts w:ascii="Arial" w:cs="Arial" w:eastAsia="Arial" w:hAnsi="Arial"/>
                <w:sz w:val="18"/>
                <w:szCs w:val="18"/>
                <w:color w:val="auto"/>
              </w:rPr>
              <w:t>g)  Report of Independent Registered Public Accounting Firm</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auto"/>
                <w:w w:val="99"/>
              </w:rPr>
              <w:t>Management’s Discussion and Analysis of Financial Condition and Results of Operations</w:t>
            </w:r>
          </w:p>
        </w:tc>
        <w:tc>
          <w:tcPr>
            <w:tcW w:w="1460" w:type="dxa"/>
            <w:vAlign w:val="bottom"/>
            <w:gridSpan w:val="3"/>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85"/>
        </w:trPr>
        <w:tc>
          <w:tcPr>
            <w:tcW w:w="9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540" w:type="dxa"/>
            <w:vAlign w:val="bottom"/>
            <w:gridSpan w:val="19"/>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85"/>
        </w:trPr>
        <w:tc>
          <w:tcPr>
            <w:tcW w:w="9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0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Controls and Procedures</w:t>
            </w:r>
          </w:p>
        </w:tc>
        <w:tc>
          <w:tcPr>
            <w:tcW w:w="3840" w:type="dxa"/>
            <w:vAlign w:val="bottom"/>
            <w:gridSpan w:val="9"/>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70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440" w:type="dxa"/>
            <w:vAlign w:val="bottom"/>
            <w:gridSpan w:val="21"/>
          </w:tcPr>
          <w:p>
            <w:pPr>
              <w:spacing w:after="0"/>
              <w:rPr>
                <w:sz w:val="20"/>
                <w:szCs w:val="20"/>
                <w:color w:val="auto"/>
              </w:rPr>
            </w:pPr>
            <w:r>
              <w:rPr>
                <w:rFonts w:ascii="Arial" w:cs="Arial" w:eastAsia="Arial" w:hAnsi="Arial"/>
                <w:sz w:val="18"/>
                <w:szCs w:val="18"/>
                <w:b w:val="1"/>
                <w:bCs w:val="1"/>
                <w:color w:val="auto"/>
              </w:rPr>
              <w:t>OTHER INFORMATION</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370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540" w:type="dxa"/>
            <w:vAlign w:val="bottom"/>
            <w:gridSpan w:val="19"/>
          </w:tcPr>
          <w:p>
            <w:pPr>
              <w:spacing w:after="0"/>
              <w:rPr>
                <w:sz w:val="20"/>
                <w:szCs w:val="20"/>
                <w:color w:val="auto"/>
              </w:rPr>
            </w:pPr>
            <w:r>
              <w:rPr>
                <w:rFonts w:ascii="Arial" w:cs="Arial" w:eastAsia="Arial" w:hAnsi="Arial"/>
                <w:sz w:val="18"/>
                <w:szCs w:val="18"/>
                <w:color w:val="auto"/>
              </w:rPr>
              <w:t>Legal Proceedings</w:t>
            </w: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85"/>
        </w:trPr>
        <w:tc>
          <w:tcPr>
            <w:tcW w:w="9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auto"/>
                <w:w w:val="99"/>
              </w:rPr>
              <w:t>Risk Factors</w:t>
            </w:r>
          </w:p>
        </w:tc>
        <w:tc>
          <w:tcPr>
            <w:tcW w:w="440" w:type="dxa"/>
            <w:vAlign w:val="bottom"/>
            <w:tcBorders>
              <w:top w:val="single" w:sz="8" w:color="0000EE"/>
            </w:tcBorders>
            <w:gridSpan w:val="3"/>
          </w:tcPr>
          <w:p>
            <w:pPr>
              <w:spacing w:after="0"/>
              <w:rPr>
                <w:sz w:val="24"/>
                <w:szCs w:val="24"/>
                <w:color w:val="auto"/>
              </w:rPr>
            </w:pPr>
          </w:p>
        </w:tc>
        <w:tc>
          <w:tcPr>
            <w:tcW w:w="7060" w:type="dxa"/>
            <w:vAlign w:val="bottom"/>
            <w:gridSpan w:val="13"/>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85"/>
        </w:trPr>
        <w:tc>
          <w:tcPr>
            <w:tcW w:w="9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540" w:type="dxa"/>
            <w:vAlign w:val="bottom"/>
            <w:gridSpan w:val="19"/>
          </w:tcPr>
          <w:p>
            <w:pPr>
              <w:spacing w:after="0"/>
              <w:rPr>
                <w:sz w:val="20"/>
                <w:szCs w:val="20"/>
                <w:color w:val="auto"/>
              </w:rPr>
            </w:pPr>
            <w:r>
              <w:rPr>
                <w:rFonts w:ascii="Arial" w:cs="Arial" w:eastAsia="Arial" w:hAnsi="Arial"/>
                <w:sz w:val="18"/>
                <w:szCs w:val="18"/>
                <w:color w:val="auto"/>
              </w:rPr>
              <w:t>Unregistered Sales of Equity Securities and Use of Proceeds</w:t>
            </w: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85"/>
        </w:trPr>
        <w:tc>
          <w:tcPr>
            <w:tcW w:w="9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auto"/>
                <w:w w:val="98"/>
              </w:rPr>
              <w:t>Other Information</w:t>
            </w:r>
          </w:p>
        </w:tc>
        <w:tc>
          <w:tcPr>
            <w:tcW w:w="3440" w:type="dxa"/>
            <w:vAlign w:val="bottom"/>
            <w:tcBorders>
              <w:top w:val="single" w:sz="8" w:color="0000EE"/>
            </w:tcBorders>
            <w:gridSpan w:val="6"/>
          </w:tcPr>
          <w:p>
            <w:pPr>
              <w:spacing w:after="0"/>
              <w:rPr>
                <w:sz w:val="24"/>
                <w:szCs w:val="24"/>
                <w:color w:val="auto"/>
              </w:rPr>
            </w:pPr>
          </w:p>
        </w:tc>
        <w:tc>
          <w:tcPr>
            <w:tcW w:w="3700" w:type="dxa"/>
            <w:vAlign w:val="bottom"/>
            <w:gridSpan w:val="8"/>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85"/>
        </w:trPr>
        <w:tc>
          <w:tcPr>
            <w:tcW w:w="9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540" w:type="dxa"/>
            <w:vAlign w:val="bottom"/>
            <w:gridSpan w:val="19"/>
          </w:tcPr>
          <w:p>
            <w:pPr>
              <w:spacing w:after="0"/>
              <w:rPr>
                <w:sz w:val="20"/>
                <w:szCs w:val="20"/>
                <w:color w:val="auto"/>
              </w:rPr>
            </w:pPr>
            <w:r>
              <w:rPr>
                <w:rFonts w:ascii="Arial" w:cs="Arial" w:eastAsia="Arial" w:hAnsi="Arial"/>
                <w:sz w:val="18"/>
                <w:szCs w:val="18"/>
                <w:color w:val="auto"/>
              </w:rPr>
              <w:t>Exhibits</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85"/>
        </w:trPr>
        <w:tc>
          <w:tcPr>
            <w:tcW w:w="1820" w:type="dxa"/>
            <w:vAlign w:val="bottom"/>
            <w:gridSpan w:val="3"/>
          </w:tcPr>
          <w:p>
            <w:pPr>
              <w:spacing w:after="0"/>
              <w:rPr>
                <w:sz w:val="20"/>
                <w:szCs w:val="20"/>
                <w:color w:val="auto"/>
              </w:rPr>
            </w:pPr>
            <w:r>
              <w:rPr>
                <w:rFonts w:ascii="Arial" w:cs="Arial" w:eastAsia="Arial" w:hAnsi="Arial"/>
                <w:sz w:val="18"/>
                <w:szCs w:val="18"/>
                <w:b w:val="1"/>
                <w:bCs w:val="1"/>
                <w:color w:val="auto"/>
              </w:rPr>
              <w:t>SIGNATURE</w:t>
            </w:r>
          </w:p>
        </w:tc>
        <w:tc>
          <w:tcPr>
            <w:tcW w:w="3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620"/>
        </w:trPr>
        <w:tc>
          <w:tcPr>
            <w:tcW w:w="9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700" w:type="dxa"/>
            <w:vAlign w:val="bottom"/>
            <w:gridSpan w:val="10"/>
          </w:tcPr>
          <w:p>
            <w:pPr>
              <w:ind w:left="3760"/>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2" w:name="page3"/>
    <w:bookmarkEnd w:id="2"/>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FINANCIAL STATEMENTS</w:t>
      </w:r>
    </w:p>
    <w:p>
      <w:pPr>
        <w:spacing w:after="0" w:line="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INCOME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294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5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211"/>
        </w:trPr>
        <w:tc>
          <w:tcPr>
            <w:tcW w:w="800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00" w:type="dxa"/>
            <w:vAlign w:val="bottom"/>
          </w:tcPr>
          <w:p>
            <w:pPr>
              <w:ind w:left="200"/>
              <w:spacing w:after="0" w:line="202" w:lineRule="exact"/>
              <w:rPr>
                <w:sz w:val="20"/>
                <w:szCs w:val="20"/>
                <w:color w:val="auto"/>
              </w:rPr>
            </w:pPr>
            <w:r>
              <w:rPr>
                <w:rFonts w:ascii="Arial" w:cs="Arial" w:eastAsia="Arial" w:hAnsi="Arial"/>
                <w:sz w:val="18"/>
                <w:szCs w:val="18"/>
                <w:color w:val="auto"/>
              </w:rPr>
              <w:t>Product</w:t>
            </w:r>
          </w:p>
        </w:tc>
        <w:tc>
          <w:tcPr>
            <w:tcW w:w="52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14,631</w:t>
            </w:r>
          </w:p>
        </w:tc>
        <w:tc>
          <w:tcPr>
            <w:tcW w:w="5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15,922</w:t>
            </w: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Service and other</w:t>
            </w:r>
          </w:p>
        </w:tc>
        <w:tc>
          <w:tcPr>
            <w:tcW w:w="52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77,648</w:t>
            </w:r>
          </w:p>
        </w:tc>
        <w:tc>
          <w:tcPr>
            <w:tcW w:w="10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61,751</w:t>
            </w:r>
          </w:p>
        </w:tc>
        <w:tc>
          <w:tcPr>
            <w:tcW w:w="0" w:type="dxa"/>
            <w:vAlign w:val="bottom"/>
          </w:tcPr>
          <w:p>
            <w:pPr>
              <w:spacing w:after="0"/>
              <w:rPr>
                <w:sz w:val="1"/>
                <w:szCs w:val="1"/>
                <w:color w:val="auto"/>
              </w:rPr>
            </w:pPr>
          </w:p>
        </w:tc>
      </w:tr>
      <w:tr>
        <w:trPr>
          <w:trHeight w:val="41"/>
        </w:trPr>
        <w:tc>
          <w:tcPr>
            <w:tcW w:w="80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52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92,279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77,673</w:t>
            </w:r>
          </w:p>
        </w:tc>
        <w:tc>
          <w:tcPr>
            <w:tcW w:w="0" w:type="dxa"/>
            <w:vAlign w:val="bottom"/>
          </w:tcPr>
          <w:p>
            <w:pPr>
              <w:spacing w:after="0"/>
              <w:rPr>
                <w:sz w:val="1"/>
                <w:szCs w:val="1"/>
                <w:color w:val="auto"/>
              </w:rPr>
            </w:pPr>
          </w:p>
        </w:tc>
      </w:tr>
      <w:tr>
        <w:trPr>
          <w:trHeight w:val="41"/>
        </w:trPr>
        <w:tc>
          <w:tcPr>
            <w:tcW w:w="800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Cost of revenue:</w:t>
            </w:r>
          </w:p>
        </w:tc>
        <w:tc>
          <w:tcPr>
            <w:tcW w:w="52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ind w:left="200"/>
              <w:spacing w:after="0" w:line="202" w:lineRule="exact"/>
              <w:rPr>
                <w:sz w:val="20"/>
                <w:szCs w:val="20"/>
                <w:color w:val="auto"/>
              </w:rPr>
            </w:pPr>
            <w:r>
              <w:rPr>
                <w:rFonts w:ascii="Arial" w:cs="Arial" w:eastAsia="Arial" w:hAnsi="Arial"/>
                <w:sz w:val="18"/>
                <w:szCs w:val="18"/>
                <w:color w:val="auto"/>
              </w:rPr>
              <w:t>Product</w:t>
            </w:r>
          </w:p>
        </w:tc>
        <w:tc>
          <w:tcPr>
            <w:tcW w:w="52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2,471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2,922</w:t>
            </w: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Service and other</w:t>
            </w:r>
          </w:p>
        </w:tc>
        <w:tc>
          <w:tcPr>
            <w:tcW w:w="52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27,249</w:t>
            </w:r>
          </w:p>
        </w:tc>
        <w:tc>
          <w:tcPr>
            <w:tcW w:w="10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21,121</w:t>
            </w:r>
          </w:p>
        </w:tc>
        <w:tc>
          <w:tcPr>
            <w:tcW w:w="0" w:type="dxa"/>
            <w:vAlign w:val="bottom"/>
          </w:tcPr>
          <w:p>
            <w:pPr>
              <w:spacing w:after="0"/>
              <w:rPr>
                <w:sz w:val="1"/>
                <w:szCs w:val="1"/>
                <w:color w:val="auto"/>
              </w:rPr>
            </w:pPr>
          </w:p>
        </w:tc>
      </w:tr>
      <w:tr>
        <w:trPr>
          <w:trHeight w:val="40"/>
        </w:trPr>
        <w:tc>
          <w:tcPr>
            <w:tcW w:w="80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8000" w:type="dxa"/>
            <w:vAlign w:val="bottom"/>
          </w:tcPr>
          <w:p>
            <w:pPr>
              <w:ind w:left="360"/>
              <w:spacing w:after="0"/>
              <w:rPr>
                <w:sz w:val="20"/>
                <w:szCs w:val="20"/>
                <w:color w:val="auto"/>
              </w:rPr>
            </w:pPr>
            <w:r>
              <w:rPr>
                <w:rFonts w:ascii="Arial" w:cs="Arial" w:eastAsia="Arial" w:hAnsi="Arial"/>
                <w:sz w:val="18"/>
                <w:szCs w:val="18"/>
                <w:color w:val="auto"/>
              </w:rPr>
              <w:t>Total cost of revenue</w:t>
            </w:r>
          </w:p>
        </w:tc>
        <w:tc>
          <w:tcPr>
            <w:tcW w:w="52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29,720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24,043</w:t>
            </w:r>
          </w:p>
        </w:tc>
        <w:tc>
          <w:tcPr>
            <w:tcW w:w="0" w:type="dxa"/>
            <w:vAlign w:val="bottom"/>
          </w:tcPr>
          <w:p>
            <w:pPr>
              <w:spacing w:after="0"/>
              <w:rPr>
                <w:sz w:val="1"/>
                <w:szCs w:val="1"/>
                <w:color w:val="auto"/>
              </w:rPr>
            </w:pPr>
          </w:p>
        </w:tc>
      </w:tr>
      <w:tr>
        <w:trPr>
          <w:trHeight w:val="41"/>
        </w:trPr>
        <w:tc>
          <w:tcPr>
            <w:tcW w:w="800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ind w:left="360"/>
              <w:spacing w:after="0" w:line="202" w:lineRule="exact"/>
              <w:rPr>
                <w:sz w:val="20"/>
                <w:szCs w:val="20"/>
                <w:color w:val="auto"/>
              </w:rPr>
            </w:pPr>
            <w:r>
              <w:rPr>
                <w:rFonts w:ascii="Arial" w:cs="Arial" w:eastAsia="Arial" w:hAnsi="Arial"/>
                <w:sz w:val="18"/>
                <w:szCs w:val="18"/>
                <w:color w:val="auto"/>
              </w:rPr>
              <w:t>Gross margin</w:t>
            </w:r>
          </w:p>
        </w:tc>
        <w:tc>
          <w:tcPr>
            <w:tcW w:w="52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62,559</w:t>
            </w:r>
          </w:p>
        </w:tc>
        <w:tc>
          <w:tcPr>
            <w:tcW w:w="10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53,630</w:t>
            </w:r>
          </w:p>
        </w:tc>
        <w:tc>
          <w:tcPr>
            <w:tcW w:w="0" w:type="dxa"/>
            <w:vAlign w:val="bottom"/>
          </w:tcPr>
          <w:p>
            <w:pPr>
              <w:spacing w:after="0"/>
              <w:rPr>
                <w:sz w:val="1"/>
                <w:szCs w:val="1"/>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9,047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8,146</w:t>
            </w: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Sales and marketing</w:t>
            </w:r>
          </w:p>
        </w:tc>
        <w:tc>
          <w:tcPr>
            <w:tcW w:w="52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5,716</w:t>
            </w:r>
          </w:p>
        </w:tc>
        <w:tc>
          <w:tcPr>
            <w:tcW w:w="10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5,717</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34"/>
        </w:trPr>
        <w:tc>
          <w:tcPr>
            <w:tcW w:w="80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income</w:t>
            </w:r>
          </w:p>
        </w:tc>
        <w:tc>
          <w:tcPr>
            <w:tcW w:w="52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45,915</w:t>
            </w:r>
          </w:p>
        </w:tc>
        <w:tc>
          <w:tcPr>
            <w:tcW w:w="10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37,961</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(3,660)</w:t>
            </w:r>
          </w:p>
        </w:tc>
        <w:tc>
          <w:tcPr>
            <w:tcW w:w="0" w:type="dxa"/>
            <w:vAlign w:val="bottom"/>
          </w:tcPr>
          <w:p>
            <w:pPr>
              <w:spacing w:after="0"/>
              <w:rPr>
                <w:sz w:val="1"/>
                <w:szCs w:val="1"/>
                <w:color w:val="auto"/>
              </w:rPr>
            </w:pPr>
          </w:p>
        </w:tc>
      </w:tr>
      <w:tr>
        <w:trPr>
          <w:trHeight w:val="34"/>
        </w:trPr>
        <w:tc>
          <w:tcPr>
            <w:tcW w:w="80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Income before income taxes</w:t>
            </w:r>
          </w:p>
        </w:tc>
        <w:tc>
          <w:tcPr>
            <w:tcW w:w="52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45,953</w:t>
            </w:r>
          </w:p>
        </w:tc>
        <w:tc>
          <w:tcPr>
            <w:tcW w:w="10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34,301</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9,324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6,554</w:t>
            </w:r>
          </w:p>
        </w:tc>
        <w:tc>
          <w:tcPr>
            <w:tcW w:w="0" w:type="dxa"/>
            <w:vAlign w:val="bottom"/>
          </w:tcPr>
          <w:p>
            <w:pPr>
              <w:spacing w:after="0"/>
              <w:rPr>
                <w:sz w:val="1"/>
                <w:szCs w:val="1"/>
                <w:color w:val="auto"/>
              </w:rPr>
            </w:pPr>
          </w:p>
        </w:tc>
      </w:tr>
      <w:tr>
        <w:trPr>
          <w:trHeight w:val="34"/>
        </w:trPr>
        <w:tc>
          <w:tcPr>
            <w:tcW w:w="80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income</w:t>
            </w:r>
          </w:p>
        </w:tc>
        <w:tc>
          <w:tcPr>
            <w:tcW w:w="520" w:type="dxa"/>
            <w:vAlign w:val="bottom"/>
            <w:shd w:val="clear" w:color="auto" w:fill="E5E5E5"/>
          </w:tcPr>
          <w:p>
            <w:pPr>
              <w:jc w:val="right"/>
              <w:ind w:right="330"/>
              <w:spacing w:after="0" w:line="202"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36,629</w:t>
            </w:r>
          </w:p>
        </w:tc>
        <w:tc>
          <w:tcPr>
            <w:tcW w:w="58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27,747</w:t>
            </w:r>
          </w:p>
        </w:tc>
        <w:tc>
          <w:tcPr>
            <w:tcW w:w="0" w:type="dxa"/>
            <w:vAlign w:val="bottom"/>
          </w:tcPr>
          <w:p>
            <w:pPr>
              <w:spacing w:after="0"/>
              <w:rPr>
                <w:sz w:val="1"/>
                <w:szCs w:val="1"/>
                <w:color w:val="auto"/>
              </w:rPr>
            </w:pPr>
          </w:p>
        </w:tc>
      </w:tr>
      <w:tr>
        <w:trPr>
          <w:trHeight w:val="48"/>
        </w:trPr>
        <w:tc>
          <w:tcPr>
            <w:tcW w:w="800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5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0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Basic</w:t>
            </w:r>
          </w:p>
        </w:tc>
        <w:tc>
          <w:tcPr>
            <w:tcW w:w="520" w:type="dxa"/>
            <w:vAlign w:val="bottom"/>
            <w:shd w:val="clear" w:color="auto" w:fill="E5E5E5"/>
          </w:tcPr>
          <w:p>
            <w:pPr>
              <w:jc w:val="right"/>
              <w:ind w:right="330"/>
              <w:spacing w:after="0" w:line="202"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4.93</w:t>
            </w:r>
          </w:p>
        </w:tc>
        <w:tc>
          <w:tcPr>
            <w:tcW w:w="58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47"/>
        </w:trPr>
        <w:tc>
          <w:tcPr>
            <w:tcW w:w="8000" w:type="dxa"/>
            <w:vAlign w:val="bottom"/>
          </w:tcPr>
          <w:p>
            <w:pPr>
              <w:ind w:left="200"/>
              <w:spacing w:after="0"/>
              <w:rPr>
                <w:sz w:val="20"/>
                <w:szCs w:val="20"/>
                <w:color w:val="auto"/>
              </w:rPr>
            </w:pPr>
            <w:r>
              <w:rPr>
                <w:rFonts w:ascii="Arial" w:cs="Arial" w:eastAsia="Arial" w:hAnsi="Arial"/>
                <w:sz w:val="18"/>
                <w:szCs w:val="18"/>
                <w:color w:val="auto"/>
              </w:rPr>
              <w:t>Diluted</w:t>
            </w:r>
          </w:p>
        </w:tc>
        <w:tc>
          <w:tcPr>
            <w:tcW w:w="52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4.92</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158"/>
        </w:trPr>
        <w:tc>
          <w:tcPr>
            <w:tcW w:w="8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Weighted average shares outstanding:</w:t>
            </w:r>
          </w:p>
        </w:tc>
        <w:tc>
          <w:tcPr>
            <w:tcW w:w="52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52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7,426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7,433</w:t>
            </w: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Diluted</w:t>
            </w:r>
          </w:p>
        </w:tc>
        <w:tc>
          <w:tcPr>
            <w:tcW w:w="52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7,446</w:t>
            </w:r>
          </w:p>
        </w:tc>
        <w:tc>
          <w:tcPr>
            <w:tcW w:w="10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7,466</w:t>
            </w:r>
          </w:p>
        </w:tc>
        <w:tc>
          <w:tcPr>
            <w:tcW w:w="0" w:type="dxa"/>
            <w:vAlign w:val="bottom"/>
          </w:tcPr>
          <w:p>
            <w:pPr>
              <w:spacing w:after="0"/>
              <w:rPr>
                <w:sz w:val="1"/>
                <w:szCs w:val="1"/>
                <w:color w:val="auto"/>
              </w:rPr>
            </w:pPr>
          </w:p>
        </w:tc>
      </w:tr>
      <w:tr>
        <w:trPr>
          <w:trHeight w:val="40"/>
        </w:trPr>
        <w:tc>
          <w:tcPr>
            <w:tcW w:w="80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 w:name="page4"/>
    <w:bookmarkEnd w:id="3"/>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465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52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2026</w:t>
            </w:r>
          </w:p>
        </w:tc>
        <w:tc>
          <w:tcPr>
            <w:tcW w:w="4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211"/>
        </w:trPr>
        <w:tc>
          <w:tcPr>
            <w:tcW w:w="798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E5E5E5"/>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36,629</w:t>
            </w:r>
          </w:p>
        </w:tc>
        <w:tc>
          <w:tcPr>
            <w:tcW w:w="480" w:type="dxa"/>
            <w:vAlign w:val="bottom"/>
            <w:shd w:val="clear" w:color="auto" w:fill="E5E5E5"/>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27,747</w:t>
            </w:r>
          </w:p>
        </w:tc>
        <w:tc>
          <w:tcPr>
            <w:tcW w:w="0" w:type="dxa"/>
            <w:vAlign w:val="bottom"/>
          </w:tcPr>
          <w:p>
            <w:pPr>
              <w:spacing w:after="0"/>
              <w:rPr>
                <w:sz w:val="1"/>
                <w:szCs w:val="1"/>
                <w:color w:val="auto"/>
              </w:rPr>
            </w:pPr>
          </w:p>
        </w:tc>
      </w:tr>
      <w:tr>
        <w:trPr>
          <w:trHeight w:val="48"/>
        </w:trPr>
        <w:tc>
          <w:tcPr>
            <w:tcW w:w="7980" w:type="dxa"/>
            <w:vAlign w:val="bottom"/>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5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98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98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Net change related to derivatives</w:t>
            </w:r>
          </w:p>
        </w:tc>
        <w:tc>
          <w:tcPr>
            <w:tcW w:w="52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3</w:t>
            </w:r>
          </w:p>
        </w:tc>
        <w:tc>
          <w:tcPr>
            <w:tcW w:w="4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7980" w:type="dxa"/>
            <w:vAlign w:val="bottom"/>
          </w:tcPr>
          <w:p>
            <w:pPr>
              <w:ind w:left="180"/>
              <w:spacing w:after="0" w:line="202" w:lineRule="exact"/>
              <w:rPr>
                <w:sz w:val="20"/>
                <w:szCs w:val="20"/>
                <w:color w:val="auto"/>
              </w:rPr>
            </w:pPr>
            <w:r>
              <w:rPr>
                <w:rFonts w:ascii="Arial" w:cs="Arial" w:eastAsia="Arial" w:hAnsi="Arial"/>
                <w:sz w:val="18"/>
                <w:szCs w:val="18"/>
                <w:color w:val="auto"/>
              </w:rPr>
              <w:t>Net change related to investments</w:t>
            </w:r>
          </w:p>
        </w:tc>
        <w:tc>
          <w:tcPr>
            <w:tcW w:w="52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(559)</w:t>
            </w:r>
          </w:p>
        </w:tc>
        <w:tc>
          <w:tcPr>
            <w:tcW w:w="48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3"/>
        </w:trPr>
        <w:tc>
          <w:tcPr>
            <w:tcW w:w="798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Translation adjustments and other</w:t>
            </w:r>
          </w:p>
        </w:tc>
        <w:tc>
          <w:tcPr>
            <w:tcW w:w="52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(17)</w:t>
            </w:r>
          </w:p>
        </w:tc>
        <w:tc>
          <w:tcPr>
            <w:tcW w:w="4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40"/>
        </w:trPr>
        <w:tc>
          <w:tcPr>
            <w:tcW w:w="7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7980" w:type="dxa"/>
            <w:vAlign w:val="bottom"/>
          </w:tcPr>
          <w:p>
            <w:pPr>
              <w:ind w:left="360"/>
              <w:spacing w:after="0"/>
              <w:rPr>
                <w:sz w:val="20"/>
                <w:szCs w:val="20"/>
                <w:color w:val="auto"/>
              </w:rPr>
            </w:pPr>
            <w:r>
              <w:rPr>
                <w:rFonts w:ascii="Arial" w:cs="Arial" w:eastAsia="Arial" w:hAnsi="Arial"/>
                <w:sz w:val="18"/>
                <w:szCs w:val="18"/>
                <w:color w:val="auto"/>
              </w:rPr>
              <w:t>Other comprehensive income (loss)</w:t>
            </w:r>
          </w:p>
        </w:tc>
        <w:tc>
          <w:tcPr>
            <w:tcW w:w="52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(573)</w:t>
            </w:r>
          </w:p>
        </w:tc>
        <w:tc>
          <w:tcPr>
            <w:tcW w:w="480" w:type="dxa"/>
            <w:vAlign w:val="bottom"/>
          </w:tcPr>
          <w:p>
            <w:pPr>
              <w:spacing w:after="0"/>
              <w:rPr>
                <w:sz w:val="23"/>
                <w:szCs w:val="2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40"/>
        </w:trPr>
        <w:tc>
          <w:tcPr>
            <w:tcW w:w="798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Comprehensive income</w:t>
            </w:r>
          </w:p>
        </w:tc>
        <w:tc>
          <w:tcPr>
            <w:tcW w:w="520" w:type="dxa"/>
            <w:vAlign w:val="bottom"/>
            <w:shd w:val="clear" w:color="auto" w:fill="E5E5E5"/>
          </w:tcPr>
          <w:p>
            <w:pPr>
              <w:jc w:val="right"/>
              <w:ind w:right="330"/>
              <w:spacing w:after="0" w:line="202" w:lineRule="exact"/>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36,056</w:t>
            </w:r>
          </w:p>
        </w:tc>
        <w:tc>
          <w:tcPr>
            <w:tcW w:w="480" w:type="dxa"/>
            <w:vAlign w:val="bottom"/>
            <w:shd w:val="clear" w:color="auto" w:fill="E5E5E5"/>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28,333</w:t>
            </w:r>
          </w:p>
        </w:tc>
        <w:tc>
          <w:tcPr>
            <w:tcW w:w="0" w:type="dxa"/>
            <w:vAlign w:val="bottom"/>
          </w:tcPr>
          <w:p>
            <w:pPr>
              <w:spacing w:after="0"/>
              <w:rPr>
                <w:sz w:val="1"/>
                <w:szCs w:val="1"/>
                <w:color w:val="auto"/>
              </w:rPr>
            </w:pPr>
          </w:p>
        </w:tc>
      </w:tr>
      <w:tr>
        <w:trPr>
          <w:trHeight w:val="48"/>
        </w:trPr>
        <w:tc>
          <w:tcPr>
            <w:tcW w:w="798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 w:name="page5"/>
    <w:bookmarkEnd w:id="4"/>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r>
      <w:tr>
        <w:trPr>
          <w:trHeight w:val="195"/>
        </w:trPr>
        <w:tc>
          <w:tcPr>
            <w:tcW w:w="8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2026</w:t>
            </w:r>
          </w:p>
        </w:tc>
      </w:tr>
      <w:tr>
        <w:trPr>
          <w:trHeight w:val="211"/>
        </w:trPr>
        <w:tc>
          <w:tcPr>
            <w:tcW w:w="80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20,281</w:t>
            </w:r>
          </w:p>
        </w:tc>
        <w:tc>
          <w:tcPr>
            <w:tcW w:w="54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20,935</w:t>
            </w:r>
          </w:p>
        </w:tc>
      </w:tr>
      <w:tr>
        <w:trPr>
          <w:trHeight w:val="243"/>
        </w:trPr>
        <w:tc>
          <w:tcPr>
            <w:tcW w:w="800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44,228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55,908</w:t>
            </w:r>
          </w:p>
        </w:tc>
      </w:tr>
      <w:tr>
        <w:trPr>
          <w:trHeight w:val="34"/>
        </w:trPr>
        <w:tc>
          <w:tcPr>
            <w:tcW w:w="80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000" w:type="dxa"/>
            <w:vAlign w:val="bottom"/>
            <w:shd w:val="clear" w:color="auto" w:fill="E5E5E5"/>
          </w:tcPr>
          <w:p>
            <w:pPr>
              <w:ind w:left="360"/>
              <w:spacing w:after="0" w:line="202" w:lineRule="exact"/>
              <w:rPr>
                <w:sz w:val="20"/>
                <w:szCs w:val="20"/>
                <w:color w:val="auto"/>
              </w:rPr>
            </w:pPr>
            <w:r>
              <w:rPr>
                <w:rFonts w:ascii="Arial" w:cs="Arial" w:eastAsia="Arial" w:hAnsi="Arial"/>
                <w:sz w:val="18"/>
                <w:szCs w:val="18"/>
                <w:color w:val="auto"/>
              </w:rPr>
              <w:t>Total cash, cash equivalents, and short-term investments</w:t>
            </w:r>
          </w:p>
        </w:tc>
        <w:tc>
          <w:tcPr>
            <w:tcW w:w="32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64,509</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76,843</w:t>
            </w:r>
          </w:p>
        </w:tc>
      </w:tr>
      <w:tr>
        <w:trPr>
          <w:trHeight w:val="203"/>
        </w:trPr>
        <w:tc>
          <w:tcPr>
            <w:tcW w:w="8000" w:type="dxa"/>
            <w:vAlign w:val="bottom"/>
          </w:tcPr>
          <w:p>
            <w:pPr>
              <w:ind w:left="200"/>
              <w:spacing w:after="0" w:line="202" w:lineRule="exact"/>
              <w:rPr>
                <w:sz w:val="20"/>
                <w:szCs w:val="20"/>
                <w:color w:val="auto"/>
              </w:rPr>
            </w:pPr>
            <w:r>
              <w:rPr>
                <w:rFonts w:ascii="Arial" w:cs="Arial" w:eastAsia="Arial" w:hAnsi="Arial"/>
                <w:sz w:val="18"/>
                <w:szCs w:val="18"/>
                <w:color w:val="auto"/>
              </w:rPr>
              <w:t xml:space="preserve">Accounts receivable, net of allowance for doubtful accounts of </w:t>
            </w:r>
            <w:r>
              <w:rPr>
                <w:rFonts w:ascii="Arial" w:cs="Arial" w:eastAsia="Arial" w:hAnsi="Arial"/>
                <w:sz w:val="18"/>
                <w:szCs w:val="18"/>
                <w:b w:val="1"/>
                <w:bCs w:val="1"/>
                <w:color w:val="auto"/>
              </w:rPr>
              <w:t>$728</w:t>
            </w:r>
            <w:r>
              <w:rPr>
                <w:rFonts w:ascii="Arial" w:cs="Arial" w:eastAsia="Arial" w:hAnsi="Arial"/>
                <w:sz w:val="18"/>
                <w:szCs w:val="18"/>
                <w:color w:val="auto"/>
              </w:rPr>
              <w:t xml:space="preserve"> and $1,040</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62,084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80,876</w:t>
            </w: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Inventories</w:t>
            </w:r>
          </w:p>
        </w:tc>
        <w:tc>
          <w:tcPr>
            <w:tcW w:w="32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1,835</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1,397</w:t>
            </w:r>
          </w:p>
        </w:tc>
      </w:tr>
      <w:tr>
        <w:trPr>
          <w:trHeight w:val="243"/>
        </w:trPr>
        <w:tc>
          <w:tcPr>
            <w:tcW w:w="800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57,709</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48,594</w:t>
            </w:r>
          </w:p>
        </w:tc>
      </w:tr>
      <w:tr>
        <w:trPr>
          <w:trHeight w:val="34"/>
        </w:trPr>
        <w:tc>
          <w:tcPr>
            <w:tcW w:w="80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000" w:type="dxa"/>
            <w:vAlign w:val="bottom"/>
            <w:shd w:val="clear" w:color="auto" w:fill="E5E5E5"/>
          </w:tcPr>
          <w:p>
            <w:pPr>
              <w:ind w:left="360"/>
              <w:spacing w:after="0" w:line="202" w:lineRule="exact"/>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186,137</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207,710</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$127,208</w:t>
            </w:r>
            <w:r>
              <w:rPr>
                <w:rFonts w:ascii="Arial" w:cs="Arial" w:eastAsia="Arial" w:hAnsi="Arial"/>
                <w:sz w:val="18"/>
                <w:szCs w:val="18"/>
                <w:color w:val="auto"/>
              </w:rPr>
              <w:t xml:space="preserve"> and $118,691</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346,844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313,076</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30,178</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24,177</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Equity and other investments</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37,808</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36,348</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Goodwill</w:t>
            </w:r>
          </w:p>
        </w:tc>
        <w:tc>
          <w:tcPr>
            <w:tcW w:w="32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119,646</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119,651</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17,751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18,609</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long-term assets</w:t>
            </w:r>
          </w:p>
        </w:tc>
        <w:tc>
          <w:tcPr>
            <w:tcW w:w="32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41,039</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38,805</w:t>
            </w:r>
          </w:p>
        </w:tc>
      </w:tr>
      <w:tr>
        <w:trPr>
          <w:trHeight w:val="41"/>
        </w:trPr>
        <w:tc>
          <w:tcPr>
            <w:tcW w:w="80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80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779,403</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758,376</w:t>
            </w:r>
          </w:p>
        </w:tc>
      </w:tr>
      <w:tr>
        <w:trPr>
          <w:trHeight w:val="41"/>
        </w:trPr>
        <w:tc>
          <w:tcPr>
            <w:tcW w:w="80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42,625</w:t>
            </w:r>
          </w:p>
        </w:tc>
        <w:tc>
          <w:tcPr>
            <w:tcW w:w="54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42,416</w:t>
            </w:r>
          </w:p>
        </w:tc>
      </w:tr>
      <w:tr>
        <w:trPr>
          <w:trHeight w:val="203"/>
        </w:trPr>
        <w:tc>
          <w:tcPr>
            <w:tcW w:w="8000" w:type="dxa"/>
            <w:vAlign w:val="bottom"/>
          </w:tcPr>
          <w:p>
            <w:pPr>
              <w:ind w:left="200"/>
              <w:spacing w:after="0" w:line="202" w:lineRule="exact"/>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4,391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9,227</w:t>
            </w: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10,156</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14,945</w:t>
            </w:r>
          </w:p>
        </w:tc>
      </w:tr>
      <w:tr>
        <w:trPr>
          <w:trHeight w:val="203"/>
        </w:trPr>
        <w:tc>
          <w:tcPr>
            <w:tcW w:w="8000" w:type="dxa"/>
            <w:vAlign w:val="bottom"/>
          </w:tcPr>
          <w:p>
            <w:pPr>
              <w:ind w:left="200"/>
              <w:spacing w:after="0" w:line="202" w:lineRule="exact"/>
              <w:rPr>
                <w:sz w:val="20"/>
                <w:szCs w:val="20"/>
                <w:color w:val="auto"/>
              </w:rPr>
            </w:pPr>
            <w:r>
              <w:rPr>
                <w:rFonts w:ascii="Arial" w:cs="Arial" w:eastAsia="Arial" w:hAnsi="Arial"/>
                <w:sz w:val="18"/>
                <w:szCs w:val="18"/>
                <w:color w:val="auto"/>
              </w:rPr>
              <w:t>Short-term income taxes</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1,447</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2,534</w:t>
            </w: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Short-term unearned revenue</w:t>
            </w:r>
          </w:p>
        </w:tc>
        <w:tc>
          <w:tcPr>
            <w:tcW w:w="32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66,866</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72,965</w:t>
            </w:r>
          </w:p>
        </w:tc>
      </w:tr>
      <w:tr>
        <w:trPr>
          <w:trHeight w:val="243"/>
        </w:trPr>
        <w:tc>
          <w:tcPr>
            <w:tcW w:w="800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26,483</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26,738</w:t>
            </w:r>
          </w:p>
        </w:tc>
      </w:tr>
      <w:tr>
        <w:trPr>
          <w:trHeight w:val="34"/>
        </w:trPr>
        <w:tc>
          <w:tcPr>
            <w:tcW w:w="80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000" w:type="dxa"/>
            <w:vAlign w:val="bottom"/>
            <w:shd w:val="clear" w:color="auto" w:fill="E5E5E5"/>
          </w:tcPr>
          <w:p>
            <w:pPr>
              <w:ind w:left="360"/>
              <w:spacing w:after="0" w:line="202" w:lineRule="exact"/>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151,968</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168,825</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31,090</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31,067</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Long-term income taxes</w:t>
            </w:r>
          </w:p>
        </w:tc>
        <w:tc>
          <w:tcPr>
            <w:tcW w:w="32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29,235</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28,647</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Long-term unearned revenue</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2,697</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2,747</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3,174</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3,054</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21,719</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16,532</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69,011</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65,117</w:t>
            </w:r>
          </w:p>
        </w:tc>
      </w:tr>
      <w:tr>
        <w:trPr>
          <w:trHeight w:val="40"/>
        </w:trPr>
        <w:tc>
          <w:tcPr>
            <w:tcW w:w="80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70"/>
        </w:trPr>
        <w:tc>
          <w:tcPr>
            <w:tcW w:w="8000" w:type="dxa"/>
            <w:vAlign w:val="bottom"/>
          </w:tcPr>
          <w:p>
            <w:pPr>
              <w:ind w:left="54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308,894</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315,989</w:t>
            </w:r>
          </w:p>
        </w:tc>
      </w:tr>
      <w:tr>
        <w:trPr>
          <w:trHeight w:val="41"/>
        </w:trPr>
        <w:tc>
          <w:tcPr>
            <w:tcW w:w="800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2"/>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 xml:space="preserve">Common stock and paid-in capital – shares authorized 24,000; outstanding </w:t>
            </w:r>
            <w:r>
              <w:rPr>
                <w:rFonts w:ascii="Arial" w:cs="Arial" w:eastAsia="Arial" w:hAnsi="Arial"/>
                <w:sz w:val="18"/>
                <w:szCs w:val="18"/>
                <w:b w:val="1"/>
                <w:bCs w:val="1"/>
                <w:color w:val="auto"/>
              </w:rPr>
              <w:t>7,427</w:t>
            </w:r>
            <w:r>
              <w:rPr>
                <w:rFonts w:ascii="Arial" w:cs="Arial" w:eastAsia="Arial" w:hAnsi="Arial"/>
                <w:sz w:val="18"/>
                <w:szCs w:val="18"/>
                <w:color w:val="auto"/>
              </w:rPr>
              <w:t xml:space="preserve"> and 7,427</w:t>
            </w:r>
          </w:p>
        </w:tc>
        <w:tc>
          <w:tcPr>
            <w:tcW w:w="32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119,571</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117,406</w:t>
            </w:r>
          </w:p>
        </w:tc>
      </w:tr>
      <w:tr>
        <w:trPr>
          <w:trHeight w:val="203"/>
        </w:trPr>
        <w:tc>
          <w:tcPr>
            <w:tcW w:w="8000" w:type="dxa"/>
            <w:vAlign w:val="bottom"/>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354,795</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328,265</w:t>
            </w: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(3,857)</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(3,284)</w:t>
            </w:r>
          </w:p>
        </w:tc>
      </w:tr>
      <w:tr>
        <w:trPr>
          <w:trHeight w:val="41"/>
        </w:trPr>
        <w:tc>
          <w:tcPr>
            <w:tcW w:w="80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70"/>
        </w:trPr>
        <w:tc>
          <w:tcPr>
            <w:tcW w:w="8000" w:type="dxa"/>
            <w:vAlign w:val="bottom"/>
          </w:tcPr>
          <w:p>
            <w:pPr>
              <w:ind w:left="540"/>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470,509</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442,387</w:t>
            </w:r>
          </w:p>
        </w:tc>
      </w:tr>
      <w:tr>
        <w:trPr>
          <w:trHeight w:val="40"/>
        </w:trPr>
        <w:tc>
          <w:tcPr>
            <w:tcW w:w="800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8000" w:type="dxa"/>
            <w:vAlign w:val="bottom"/>
            <w:shd w:val="clear" w:color="auto" w:fill="E5E5E5"/>
          </w:tcPr>
          <w:p>
            <w:pPr>
              <w:ind w:left="720"/>
              <w:spacing w:after="0" w:line="202" w:lineRule="exact"/>
              <w:rPr>
                <w:sz w:val="20"/>
                <w:szCs w:val="20"/>
                <w:color w:val="auto"/>
              </w:rPr>
            </w:pPr>
            <w:r>
              <w:rPr>
                <w:rFonts w:ascii="Arial" w:cs="Arial" w:eastAsia="Arial" w:hAnsi="Arial"/>
                <w:sz w:val="18"/>
                <w:szCs w:val="18"/>
                <w:color w:val="auto"/>
              </w:rPr>
              <w:t>Total liabilities and stockholders’ equity</w:t>
            </w:r>
          </w:p>
        </w:tc>
        <w:tc>
          <w:tcPr>
            <w:tcW w:w="32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779,403</w:t>
            </w:r>
          </w:p>
        </w:tc>
        <w:tc>
          <w:tcPr>
            <w:tcW w:w="54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758,376</w:t>
            </w:r>
          </w:p>
        </w:tc>
      </w:tr>
      <w:tr>
        <w:trPr>
          <w:trHeight w:val="48"/>
        </w:trPr>
        <w:tc>
          <w:tcPr>
            <w:tcW w:w="80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 w:name="page6"/>
    <w:bookmarkEnd w:id="5"/>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FLOWS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465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4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2025</w:t>
            </w:r>
          </w:p>
        </w:tc>
      </w:tr>
      <w:tr>
        <w:trPr>
          <w:trHeight w:val="211"/>
        </w:trPr>
        <w:tc>
          <w:tcPr>
            <w:tcW w:w="80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Operations</w:t>
            </w:r>
          </w:p>
        </w:tc>
        <w:tc>
          <w:tcPr>
            <w:tcW w:w="4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4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36,629</w:t>
            </w:r>
          </w:p>
        </w:tc>
        <w:tc>
          <w:tcPr>
            <w:tcW w:w="5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27,747</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Adjustments to reconcile net income to net cash from operations:</w:t>
            </w:r>
          </w:p>
        </w:tc>
        <w:tc>
          <w:tcPr>
            <w:tcW w:w="48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r>
      <w:tr>
        <w:trPr>
          <w:trHeight w:val="203"/>
        </w:trPr>
        <w:tc>
          <w:tcPr>
            <w:tcW w:w="8000" w:type="dxa"/>
            <w:vAlign w:val="bottom"/>
          </w:tcPr>
          <w:p>
            <w:pPr>
              <w:ind w:left="200"/>
              <w:spacing w:after="0" w:line="202" w:lineRule="exact"/>
              <w:rPr>
                <w:sz w:val="20"/>
                <w:szCs w:val="20"/>
                <w:color w:val="auto"/>
              </w:rPr>
            </w:pPr>
            <w:r>
              <w:rPr>
                <w:rFonts w:ascii="Arial" w:cs="Arial" w:eastAsia="Arial" w:hAnsi="Arial"/>
                <w:sz w:val="18"/>
                <w:szCs w:val="18"/>
                <w:color w:val="auto"/>
              </w:rPr>
              <w:t>Depreciation, amortization, and other</w:t>
            </w:r>
          </w:p>
        </w:tc>
        <w:tc>
          <w:tcPr>
            <w:tcW w:w="48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11,744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8,147</w:t>
            </w: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Stock-based compensation expense</w:t>
            </w:r>
          </w:p>
        </w:tc>
        <w:tc>
          <w:tcPr>
            <w:tcW w:w="48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3,134</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2,983</w:t>
            </w:r>
          </w:p>
        </w:tc>
      </w:tr>
      <w:tr>
        <w:trPr>
          <w:trHeight w:val="203"/>
        </w:trPr>
        <w:tc>
          <w:tcPr>
            <w:tcW w:w="8000" w:type="dxa"/>
            <w:vAlign w:val="bottom"/>
          </w:tcPr>
          <w:p>
            <w:pPr>
              <w:ind w:left="200"/>
              <w:spacing w:after="0" w:line="202" w:lineRule="exact"/>
              <w:rPr>
                <w:sz w:val="20"/>
                <w:szCs w:val="20"/>
                <w:color w:val="auto"/>
              </w:rPr>
            </w:pPr>
            <w:r>
              <w:rPr>
                <w:rFonts w:ascii="Arial" w:cs="Arial" w:eastAsia="Arial" w:hAnsi="Arial"/>
                <w:sz w:val="18"/>
                <w:szCs w:val="18"/>
                <w:color w:val="auto"/>
              </w:rPr>
              <w:t>Net recognized losses (gains) on investments and derivatives</w:t>
            </w:r>
          </w:p>
        </w:tc>
        <w:tc>
          <w:tcPr>
            <w:tcW w:w="48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(231)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3,907</w:t>
            </w: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48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4,609</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2,491</w:t>
            </w:r>
          </w:p>
        </w:tc>
      </w:tr>
      <w:tr>
        <w:trPr>
          <w:trHeight w:val="203"/>
        </w:trPr>
        <w:tc>
          <w:tcPr>
            <w:tcW w:w="8000" w:type="dxa"/>
            <w:vAlign w:val="bottom"/>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000" w:type="dxa"/>
            <w:vAlign w:val="bottom"/>
            <w:shd w:val="clear" w:color="auto" w:fill="E5E5E5"/>
          </w:tcPr>
          <w:p>
            <w:pPr>
              <w:ind w:left="360"/>
              <w:spacing w:after="0" w:line="202" w:lineRule="exact"/>
              <w:rPr>
                <w:sz w:val="20"/>
                <w:szCs w:val="20"/>
                <w:color w:val="auto"/>
              </w:rPr>
            </w:pPr>
            <w:r>
              <w:rPr>
                <w:rFonts w:ascii="Arial" w:cs="Arial" w:eastAsia="Arial" w:hAnsi="Arial"/>
                <w:sz w:val="18"/>
                <w:szCs w:val="18"/>
                <w:color w:val="auto"/>
              </w:rPr>
              <w:t>Accounts receivable</w:t>
            </w:r>
          </w:p>
        </w:tc>
        <w:tc>
          <w:tcPr>
            <w:tcW w:w="48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17,104</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16,490</w:t>
            </w:r>
          </w:p>
        </w:tc>
      </w:tr>
      <w:tr>
        <w:trPr>
          <w:trHeight w:val="203"/>
        </w:trPr>
        <w:tc>
          <w:tcPr>
            <w:tcW w:w="8000" w:type="dxa"/>
            <w:vAlign w:val="bottom"/>
          </w:tcPr>
          <w:p>
            <w:pPr>
              <w:ind w:left="360"/>
              <w:spacing w:after="0" w:line="202" w:lineRule="exact"/>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(436)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(192)</w:t>
            </w:r>
          </w:p>
        </w:tc>
      </w:tr>
      <w:tr>
        <w:trPr>
          <w:trHeight w:val="203"/>
        </w:trPr>
        <w:tc>
          <w:tcPr>
            <w:tcW w:w="8000" w:type="dxa"/>
            <w:vAlign w:val="bottom"/>
            <w:shd w:val="clear" w:color="auto" w:fill="E5E5E5"/>
          </w:tcPr>
          <w:p>
            <w:pPr>
              <w:ind w:left="360"/>
              <w:spacing w:after="0" w:line="202" w:lineRule="exact"/>
              <w:rPr>
                <w:sz w:val="20"/>
                <w:szCs w:val="20"/>
                <w:color w:val="auto"/>
              </w:rPr>
            </w:pPr>
            <w:r>
              <w:rPr>
                <w:rFonts w:ascii="Arial" w:cs="Arial" w:eastAsia="Arial" w:hAnsi="Arial"/>
                <w:sz w:val="18"/>
                <w:szCs w:val="18"/>
                <w:color w:val="auto"/>
              </w:rPr>
              <w:t>Other current assets</w:t>
            </w:r>
          </w:p>
        </w:tc>
        <w:tc>
          <w:tcPr>
            <w:tcW w:w="48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(1,903)</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(1,162)</w:t>
            </w:r>
          </w:p>
        </w:tc>
      </w:tr>
      <w:tr>
        <w:trPr>
          <w:trHeight w:val="203"/>
        </w:trPr>
        <w:tc>
          <w:tcPr>
            <w:tcW w:w="8000" w:type="dxa"/>
            <w:vAlign w:val="bottom"/>
          </w:tcPr>
          <w:p>
            <w:pPr>
              <w:ind w:left="360"/>
              <w:spacing w:after="0" w:line="202" w:lineRule="exact"/>
              <w:rPr>
                <w:sz w:val="20"/>
                <w:szCs w:val="20"/>
                <w:color w:val="auto"/>
              </w:rPr>
            </w:pPr>
            <w:r>
              <w:rPr>
                <w:rFonts w:ascii="Arial" w:cs="Arial" w:eastAsia="Arial" w:hAnsi="Arial"/>
                <w:sz w:val="18"/>
                <w:szCs w:val="18"/>
                <w:color w:val="auto"/>
              </w:rPr>
              <w:t>Other long-term assets</w:t>
            </w:r>
          </w:p>
        </w:tc>
        <w:tc>
          <w:tcPr>
            <w:tcW w:w="48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(6,389)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(394)</w:t>
            </w:r>
          </w:p>
        </w:tc>
      </w:tr>
      <w:tr>
        <w:trPr>
          <w:trHeight w:val="203"/>
        </w:trPr>
        <w:tc>
          <w:tcPr>
            <w:tcW w:w="8000" w:type="dxa"/>
            <w:vAlign w:val="bottom"/>
            <w:shd w:val="clear" w:color="auto" w:fill="E5E5E5"/>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48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525</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(614)</w:t>
            </w:r>
          </w:p>
        </w:tc>
      </w:tr>
      <w:tr>
        <w:trPr>
          <w:trHeight w:val="203"/>
        </w:trPr>
        <w:tc>
          <w:tcPr>
            <w:tcW w:w="8000" w:type="dxa"/>
            <w:vAlign w:val="bottom"/>
          </w:tcPr>
          <w:p>
            <w:pPr>
              <w:ind w:left="360"/>
              <w:spacing w:after="0" w:line="202" w:lineRule="exact"/>
              <w:rPr>
                <w:sz w:val="20"/>
                <w:szCs w:val="20"/>
                <w:color w:val="auto"/>
              </w:rPr>
            </w:pPr>
            <w:r>
              <w:rPr>
                <w:rFonts w:ascii="Arial" w:cs="Arial" w:eastAsia="Arial" w:hAnsi="Arial"/>
                <w:sz w:val="18"/>
                <w:szCs w:val="18"/>
                <w:color w:val="auto"/>
              </w:rPr>
              <w:t>Unearned revenue</w:t>
            </w:r>
          </w:p>
        </w:tc>
        <w:tc>
          <w:tcPr>
            <w:tcW w:w="48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(5,942)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(5,418)</w:t>
            </w:r>
          </w:p>
        </w:tc>
      </w:tr>
      <w:tr>
        <w:trPr>
          <w:trHeight w:val="203"/>
        </w:trPr>
        <w:tc>
          <w:tcPr>
            <w:tcW w:w="8000" w:type="dxa"/>
            <w:vAlign w:val="bottom"/>
            <w:shd w:val="clear" w:color="auto" w:fill="E5E5E5"/>
          </w:tcPr>
          <w:p>
            <w:pPr>
              <w:ind w:left="360"/>
              <w:spacing w:after="0" w:line="202" w:lineRule="exact"/>
              <w:rPr>
                <w:sz w:val="20"/>
                <w:szCs w:val="20"/>
                <w:color w:val="auto"/>
              </w:rPr>
            </w:pPr>
            <w:r>
              <w:rPr>
                <w:rFonts w:ascii="Arial" w:cs="Arial" w:eastAsia="Arial" w:hAnsi="Arial"/>
                <w:sz w:val="18"/>
                <w:szCs w:val="18"/>
                <w:color w:val="auto"/>
              </w:rPr>
              <w:t>Income taxes</w:t>
            </w:r>
          </w:p>
        </w:tc>
        <w:tc>
          <w:tcPr>
            <w:tcW w:w="48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(556)</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(2,944)</w:t>
            </w:r>
          </w:p>
        </w:tc>
      </w:tr>
      <w:tr>
        <w:trPr>
          <w:trHeight w:val="203"/>
        </w:trPr>
        <w:tc>
          <w:tcPr>
            <w:tcW w:w="8000" w:type="dxa"/>
            <w:vAlign w:val="bottom"/>
          </w:tcPr>
          <w:p>
            <w:pPr>
              <w:ind w:left="360"/>
              <w:spacing w:after="0" w:line="202" w:lineRule="exact"/>
              <w:rPr>
                <w:sz w:val="20"/>
                <w:szCs w:val="20"/>
                <w:color w:val="auto"/>
              </w:rPr>
            </w:pPr>
            <w:r>
              <w:rPr>
                <w:rFonts w:ascii="Arial" w:cs="Arial" w:eastAsia="Arial" w:hAnsi="Arial"/>
                <w:sz w:val="18"/>
                <w:szCs w:val="18"/>
                <w:color w:val="auto"/>
              </w:rPr>
              <w:t>Other current liabilities</w:t>
            </w:r>
          </w:p>
        </w:tc>
        <w:tc>
          <w:tcPr>
            <w:tcW w:w="48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(4,528)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(5,507)</w:t>
            </w:r>
          </w:p>
        </w:tc>
      </w:tr>
      <w:tr>
        <w:trPr>
          <w:trHeight w:val="203"/>
        </w:trPr>
        <w:tc>
          <w:tcPr>
            <w:tcW w:w="8000" w:type="dxa"/>
            <w:vAlign w:val="bottom"/>
            <w:shd w:val="clear" w:color="auto" w:fill="E5E5E5"/>
          </w:tcPr>
          <w:p>
            <w:pPr>
              <w:ind w:left="360"/>
              <w:spacing w:after="0" w:line="202" w:lineRule="exact"/>
              <w:rPr>
                <w:sz w:val="20"/>
                <w:szCs w:val="20"/>
                <w:color w:val="auto"/>
              </w:rPr>
            </w:pPr>
            <w:r>
              <w:rPr>
                <w:rFonts w:ascii="Arial" w:cs="Arial" w:eastAsia="Arial" w:hAnsi="Arial"/>
                <w:sz w:val="18"/>
                <w:szCs w:val="18"/>
                <w:color w:val="auto"/>
              </w:rPr>
              <w:t>Other long-term liabilities</w:t>
            </w:r>
          </w:p>
        </w:tc>
        <w:tc>
          <w:tcPr>
            <w:tcW w:w="48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4,240</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(477)</w:t>
            </w:r>
          </w:p>
        </w:tc>
      </w:tr>
      <w:tr>
        <w:trPr>
          <w:trHeight w:val="41"/>
        </w:trPr>
        <w:tc>
          <w:tcPr>
            <w:tcW w:w="8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70"/>
        </w:trPr>
        <w:tc>
          <w:tcPr>
            <w:tcW w:w="8000" w:type="dxa"/>
            <w:vAlign w:val="bottom"/>
          </w:tcPr>
          <w:p>
            <w:pPr>
              <w:ind w:left="540"/>
              <w:spacing w:after="0"/>
              <w:rPr>
                <w:sz w:val="20"/>
                <w:szCs w:val="20"/>
                <w:color w:val="auto"/>
              </w:rPr>
            </w:pPr>
            <w:r>
              <w:rPr>
                <w:rFonts w:ascii="Arial" w:cs="Arial" w:eastAsia="Arial" w:hAnsi="Arial"/>
                <w:sz w:val="18"/>
                <w:szCs w:val="18"/>
                <w:color w:val="auto"/>
              </w:rPr>
              <w:t>Net cash from operations</w:t>
            </w:r>
          </w:p>
        </w:tc>
        <w:tc>
          <w:tcPr>
            <w:tcW w:w="48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58,000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45,057</w:t>
            </w:r>
          </w:p>
        </w:tc>
      </w:tr>
      <w:tr>
        <w:trPr>
          <w:trHeight w:val="41"/>
        </w:trPr>
        <w:tc>
          <w:tcPr>
            <w:tcW w:w="800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Financing</w:t>
            </w:r>
          </w:p>
        </w:tc>
        <w:tc>
          <w:tcPr>
            <w:tcW w:w="48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Repayments of debt</w:t>
            </w:r>
          </w:p>
        </w:tc>
        <w:tc>
          <w:tcPr>
            <w:tcW w:w="48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(4,850)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stock issued</w:t>
            </w:r>
          </w:p>
        </w:tc>
        <w:tc>
          <w:tcPr>
            <w:tcW w:w="48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598</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689</w:t>
            </w:r>
          </w:p>
        </w:tc>
      </w:tr>
      <w:tr>
        <w:trPr>
          <w:trHeight w:val="202"/>
        </w:trPr>
        <w:tc>
          <w:tcPr>
            <w:tcW w:w="8000" w:type="dxa"/>
            <w:vAlign w:val="bottom"/>
          </w:tcPr>
          <w:p>
            <w:pPr>
              <w:spacing w:after="0" w:line="202" w:lineRule="exact"/>
              <w:rPr>
                <w:sz w:val="20"/>
                <w:szCs w:val="20"/>
                <w:color w:val="auto"/>
              </w:rPr>
            </w:pPr>
            <w:r>
              <w:rPr>
                <w:rFonts w:ascii="Arial" w:cs="Arial" w:eastAsia="Arial" w:hAnsi="Arial"/>
                <w:sz w:val="18"/>
                <w:szCs w:val="18"/>
                <w:color w:val="auto"/>
              </w:rPr>
              <w:t>Common stock repurchased</w:t>
            </w:r>
          </w:p>
        </w:tc>
        <w:tc>
          <w:tcPr>
            <w:tcW w:w="48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(4,379)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(5,650)</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stock cash dividends paid</w:t>
            </w:r>
          </w:p>
        </w:tc>
        <w:tc>
          <w:tcPr>
            <w:tcW w:w="48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(6,757)</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(6,169)</w:t>
            </w: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Other, net</w:t>
            </w:r>
          </w:p>
        </w:tc>
        <w:tc>
          <w:tcPr>
            <w:tcW w:w="48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(669)</w:t>
            </w:r>
          </w:p>
        </w:tc>
      </w:tr>
      <w:tr>
        <w:trPr>
          <w:trHeight w:val="34"/>
        </w:trPr>
        <w:tc>
          <w:tcPr>
            <w:tcW w:w="80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000" w:type="dxa"/>
            <w:vAlign w:val="bottom"/>
            <w:shd w:val="clear" w:color="auto" w:fill="E5E5E5"/>
          </w:tcPr>
          <w:p>
            <w:pPr>
              <w:ind w:left="540"/>
              <w:spacing w:after="0" w:line="202" w:lineRule="exact"/>
              <w:rPr>
                <w:sz w:val="20"/>
                <w:szCs w:val="20"/>
                <w:color w:val="auto"/>
              </w:rPr>
            </w:pPr>
            <w:r>
              <w:rPr>
                <w:rFonts w:ascii="Arial" w:cs="Arial" w:eastAsia="Arial" w:hAnsi="Arial"/>
                <w:sz w:val="18"/>
                <w:szCs w:val="18"/>
                <w:color w:val="auto"/>
              </w:rPr>
              <w:t>Net cash used in financing</w:t>
            </w:r>
          </w:p>
        </w:tc>
        <w:tc>
          <w:tcPr>
            <w:tcW w:w="48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(16,640)</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(11,799)</w:t>
            </w:r>
          </w:p>
        </w:tc>
      </w:tr>
      <w:tr>
        <w:trPr>
          <w:trHeight w:val="40"/>
        </w:trPr>
        <w:tc>
          <w:tcPr>
            <w:tcW w:w="8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37"/>
        </w:trPr>
        <w:tc>
          <w:tcPr>
            <w:tcW w:w="8000" w:type="dxa"/>
            <w:vAlign w:val="bottom"/>
          </w:tcPr>
          <w:p>
            <w:pPr>
              <w:spacing w:after="0"/>
              <w:rPr>
                <w:sz w:val="20"/>
                <w:szCs w:val="20"/>
                <w:color w:val="auto"/>
              </w:rPr>
            </w:pPr>
            <w:r>
              <w:rPr>
                <w:rFonts w:ascii="Arial" w:cs="Arial" w:eastAsia="Arial" w:hAnsi="Arial"/>
                <w:sz w:val="18"/>
                <w:szCs w:val="18"/>
                <w:b w:val="1"/>
                <w:bCs w:val="1"/>
                <w:color w:val="auto"/>
              </w:rPr>
              <w:t>Investing</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Additions to property and equipment</w:t>
            </w:r>
          </w:p>
        </w:tc>
        <w:tc>
          <w:tcPr>
            <w:tcW w:w="48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(39,367)</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(19,394)</w:t>
            </w:r>
          </w:p>
        </w:tc>
      </w:tr>
      <w:tr>
        <w:trPr>
          <w:trHeight w:val="184"/>
        </w:trPr>
        <w:tc>
          <w:tcPr>
            <w:tcW w:w="8000" w:type="dxa"/>
            <w:vAlign w:val="bottom"/>
          </w:tcPr>
          <w:p>
            <w:pPr>
              <w:spacing w:after="0" w:line="183" w:lineRule="exact"/>
              <w:rPr>
                <w:sz w:val="20"/>
                <w:szCs w:val="20"/>
                <w:color w:val="auto"/>
              </w:rPr>
            </w:pPr>
            <w:r>
              <w:rPr>
                <w:rFonts w:ascii="Arial" w:cs="Arial" w:eastAsia="Arial" w:hAnsi="Arial"/>
                <w:sz w:val="18"/>
                <w:szCs w:val="18"/>
                <w:color w:val="auto"/>
              </w:rPr>
              <w:t>Acquisition of companies, net of cash acquired and divestitures, and purchases of intangible and</w:t>
            </w: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21"/>
        </w:trPr>
        <w:tc>
          <w:tcPr>
            <w:tcW w:w="800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(578)</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Purchases of investments</w:t>
            </w:r>
          </w:p>
        </w:tc>
        <w:tc>
          <w:tcPr>
            <w:tcW w:w="48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(5,394)</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(17,671)</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Maturities of investments</w:t>
            </w:r>
          </w:p>
        </w:tc>
        <w:tc>
          <w:tcPr>
            <w:tcW w:w="48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5,672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6,031</w:t>
            </w:r>
          </w:p>
        </w:tc>
      </w:tr>
      <w:tr>
        <w:trPr>
          <w:trHeight w:val="202"/>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Sales of investments</w:t>
            </w:r>
          </w:p>
        </w:tc>
        <w:tc>
          <w:tcPr>
            <w:tcW w:w="48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10,470</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3,262</w:t>
            </w: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Other, net</w:t>
            </w:r>
          </w:p>
        </w:tc>
        <w:tc>
          <w:tcPr>
            <w:tcW w:w="48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(12,949)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(6,209)</w:t>
            </w:r>
          </w:p>
        </w:tc>
      </w:tr>
      <w:tr>
        <w:trPr>
          <w:trHeight w:val="34"/>
        </w:trPr>
        <w:tc>
          <w:tcPr>
            <w:tcW w:w="80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000" w:type="dxa"/>
            <w:vAlign w:val="bottom"/>
            <w:shd w:val="clear" w:color="auto" w:fill="E5E5E5"/>
          </w:tcPr>
          <w:p>
            <w:pPr>
              <w:ind w:left="540"/>
              <w:spacing w:after="0" w:line="202" w:lineRule="exact"/>
              <w:rPr>
                <w:sz w:val="20"/>
                <w:szCs w:val="20"/>
                <w:color w:val="auto"/>
              </w:rPr>
            </w:pPr>
            <w:r>
              <w:rPr>
                <w:rFonts w:ascii="Arial" w:cs="Arial" w:eastAsia="Arial" w:hAnsi="Arial"/>
                <w:sz w:val="18"/>
                <w:szCs w:val="18"/>
                <w:color w:val="auto"/>
              </w:rPr>
              <w:t>Net cash used in investing</w:t>
            </w:r>
          </w:p>
        </w:tc>
        <w:tc>
          <w:tcPr>
            <w:tcW w:w="48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(41,965)</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(34,559)</w:t>
            </w:r>
          </w:p>
        </w:tc>
      </w:tr>
      <w:tr>
        <w:trPr>
          <w:trHeight w:val="40"/>
        </w:trPr>
        <w:tc>
          <w:tcPr>
            <w:tcW w:w="8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71"/>
        </w:trPr>
        <w:tc>
          <w:tcPr>
            <w:tcW w:w="8000" w:type="dxa"/>
            <w:vAlign w:val="bottom"/>
          </w:tcPr>
          <w:p>
            <w:pPr>
              <w:spacing w:after="0"/>
              <w:rPr>
                <w:sz w:val="20"/>
                <w:szCs w:val="20"/>
                <w:color w:val="auto"/>
              </w:rPr>
            </w:pPr>
            <w:r>
              <w:rPr>
                <w:rFonts w:ascii="Arial" w:cs="Arial" w:eastAsia="Arial" w:hAnsi="Arial"/>
                <w:sz w:val="18"/>
                <w:szCs w:val="18"/>
                <w:color w:val="auto"/>
              </w:rPr>
              <w:t>Effect of foreign exchange rates on cash and cash equivalents</w:t>
            </w:r>
          </w:p>
        </w:tc>
        <w:tc>
          <w:tcPr>
            <w:tcW w:w="48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r>
      <w:tr>
        <w:trPr>
          <w:trHeight w:val="40"/>
        </w:trPr>
        <w:tc>
          <w:tcPr>
            <w:tcW w:w="800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change in cash and cash equivalents</w:t>
            </w:r>
          </w:p>
        </w:tc>
        <w:tc>
          <w:tcPr>
            <w:tcW w:w="48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(654)</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(1,393)</w:t>
            </w: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4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20,935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30,242</w:t>
            </w:r>
          </w:p>
        </w:tc>
      </w:tr>
      <w:tr>
        <w:trPr>
          <w:trHeight w:val="34"/>
        </w:trPr>
        <w:tc>
          <w:tcPr>
            <w:tcW w:w="80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Cash and cash equivalents, end of period</w:t>
            </w:r>
          </w:p>
        </w:tc>
        <w:tc>
          <w:tcPr>
            <w:tcW w:w="480" w:type="dxa"/>
            <w:vAlign w:val="bottom"/>
            <w:shd w:val="clear" w:color="auto" w:fill="E5E5E5"/>
          </w:tcPr>
          <w:p>
            <w:pPr>
              <w:jc w:val="right"/>
              <w:ind w:right="290"/>
              <w:spacing w:after="0" w:line="202"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20,281</w:t>
            </w:r>
          </w:p>
        </w:tc>
        <w:tc>
          <w:tcPr>
            <w:tcW w:w="54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28,849</w:t>
            </w:r>
          </w:p>
        </w:tc>
      </w:tr>
      <w:tr>
        <w:trPr>
          <w:trHeight w:val="48"/>
        </w:trPr>
        <w:tc>
          <w:tcPr>
            <w:tcW w:w="80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 w:name="page7"/>
    <w:bookmarkEnd w:id="6"/>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STOCKHOLDERS’ EQUITY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6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3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2025</w:t>
            </w:r>
          </w:p>
        </w:tc>
      </w:tr>
      <w:tr>
        <w:trPr>
          <w:trHeight w:val="211"/>
        </w:trPr>
        <w:tc>
          <w:tcPr>
            <w:tcW w:w="45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Common stock and paid-in capital</w:t>
            </w:r>
          </w:p>
        </w:tc>
        <w:tc>
          <w:tcPr>
            <w:tcW w:w="344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Balance, beginning of period</w:t>
            </w:r>
          </w:p>
        </w:tc>
        <w:tc>
          <w:tcPr>
            <w:tcW w:w="390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117,406</w:t>
            </w:r>
          </w:p>
        </w:tc>
        <w:tc>
          <w:tcPr>
            <w:tcW w:w="5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109,095</w:t>
            </w:r>
          </w:p>
        </w:tc>
      </w:tr>
      <w:tr>
        <w:trPr>
          <w:trHeight w:val="203"/>
        </w:trPr>
        <w:tc>
          <w:tcPr>
            <w:tcW w:w="4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stock issued</w:t>
            </w:r>
          </w:p>
        </w:tc>
        <w:tc>
          <w:tcPr>
            <w:tcW w:w="34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598</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689</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Common stock repurchased</w:t>
            </w:r>
          </w:p>
        </w:tc>
        <w:tc>
          <w:tcPr>
            <w:tcW w:w="3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(1,566)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(1,801)</w:t>
            </w:r>
          </w:p>
        </w:tc>
      </w:tr>
      <w:tr>
        <w:trPr>
          <w:trHeight w:val="203"/>
        </w:trPr>
        <w:tc>
          <w:tcPr>
            <w:tcW w:w="4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34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3,134</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2,983</w:t>
            </w:r>
          </w:p>
        </w:tc>
      </w:tr>
      <w:tr>
        <w:trPr>
          <w:trHeight w:val="243"/>
        </w:trPr>
        <w:tc>
          <w:tcPr>
            <w:tcW w:w="4560" w:type="dxa"/>
            <w:vAlign w:val="bottom"/>
          </w:tcPr>
          <w:p>
            <w:pPr>
              <w:spacing w:after="0"/>
              <w:rPr>
                <w:sz w:val="20"/>
                <w:szCs w:val="20"/>
                <w:color w:val="auto"/>
              </w:rPr>
            </w:pPr>
            <w:r>
              <w:rPr>
                <w:rFonts w:ascii="Arial" w:cs="Arial" w:eastAsia="Arial" w:hAnsi="Arial"/>
                <w:sz w:val="18"/>
                <w:szCs w:val="18"/>
                <w:color w:val="auto"/>
              </w:rPr>
              <w:t>Other, net</w:t>
            </w:r>
          </w:p>
        </w:tc>
        <w:tc>
          <w:tcPr>
            <w:tcW w:w="3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34"/>
        </w:trPr>
        <w:tc>
          <w:tcPr>
            <w:tcW w:w="4560" w:type="dxa"/>
            <w:vAlign w:val="bottom"/>
            <w:tcBorders>
              <w:top w:val="single" w:sz="8" w:color="auto"/>
            </w:tcBorders>
          </w:tcPr>
          <w:p>
            <w:pPr>
              <w:spacing w:after="0"/>
              <w:rPr>
                <w:sz w:val="2"/>
                <w:szCs w:val="2"/>
                <w:color w:val="auto"/>
              </w:rPr>
            </w:pPr>
          </w:p>
        </w:tc>
        <w:tc>
          <w:tcPr>
            <w:tcW w:w="34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456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Balance, end of period</w:t>
            </w:r>
          </w:p>
        </w:tc>
        <w:tc>
          <w:tcPr>
            <w:tcW w:w="34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119,571</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110,964</w:t>
            </w:r>
          </w:p>
        </w:tc>
      </w:tr>
      <w:tr>
        <w:trPr>
          <w:trHeight w:val="40"/>
        </w:trPr>
        <w:tc>
          <w:tcPr>
            <w:tcW w:w="456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3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3"/>
        </w:trPr>
        <w:tc>
          <w:tcPr>
            <w:tcW w:w="4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beginning of period</w:t>
            </w:r>
          </w:p>
        </w:tc>
        <w:tc>
          <w:tcPr>
            <w:tcW w:w="34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328,265</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237,731</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3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36,629</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27,747</w:t>
            </w:r>
          </w:p>
        </w:tc>
      </w:tr>
      <w:tr>
        <w:trPr>
          <w:trHeight w:val="203"/>
        </w:trPr>
        <w:tc>
          <w:tcPr>
            <w:tcW w:w="4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stock cash dividends</w:t>
            </w:r>
          </w:p>
        </w:tc>
        <w:tc>
          <w:tcPr>
            <w:tcW w:w="34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(7,277)</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(6,764)</w:t>
            </w:r>
          </w:p>
        </w:tc>
      </w:tr>
      <w:tr>
        <w:trPr>
          <w:trHeight w:val="243"/>
        </w:trPr>
        <w:tc>
          <w:tcPr>
            <w:tcW w:w="4560" w:type="dxa"/>
            <w:vAlign w:val="bottom"/>
          </w:tcPr>
          <w:p>
            <w:pPr>
              <w:spacing w:after="0"/>
              <w:rPr>
                <w:sz w:val="20"/>
                <w:szCs w:val="20"/>
                <w:color w:val="auto"/>
              </w:rPr>
            </w:pPr>
            <w:r>
              <w:rPr>
                <w:rFonts w:ascii="Arial" w:cs="Arial" w:eastAsia="Arial" w:hAnsi="Arial"/>
                <w:sz w:val="18"/>
                <w:szCs w:val="18"/>
                <w:color w:val="auto"/>
              </w:rPr>
              <w:t>Common stock repurchased</w:t>
            </w:r>
          </w:p>
        </w:tc>
        <w:tc>
          <w:tcPr>
            <w:tcW w:w="3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(2,822)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(3,841)</w:t>
            </w:r>
          </w:p>
        </w:tc>
      </w:tr>
      <w:tr>
        <w:trPr>
          <w:trHeight w:val="34"/>
        </w:trPr>
        <w:tc>
          <w:tcPr>
            <w:tcW w:w="4560" w:type="dxa"/>
            <w:vAlign w:val="bottom"/>
            <w:tcBorders>
              <w:top w:val="single" w:sz="8" w:color="auto"/>
            </w:tcBorders>
          </w:tcPr>
          <w:p>
            <w:pPr>
              <w:spacing w:after="0"/>
              <w:rPr>
                <w:sz w:val="2"/>
                <w:szCs w:val="2"/>
                <w:color w:val="auto"/>
              </w:rPr>
            </w:pPr>
          </w:p>
        </w:tc>
        <w:tc>
          <w:tcPr>
            <w:tcW w:w="34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456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Balance, end of period</w:t>
            </w:r>
          </w:p>
        </w:tc>
        <w:tc>
          <w:tcPr>
            <w:tcW w:w="34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354,795</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254,873</w:t>
            </w:r>
          </w:p>
        </w:tc>
      </w:tr>
      <w:tr>
        <w:trPr>
          <w:trHeight w:val="41"/>
        </w:trPr>
        <w:tc>
          <w:tcPr>
            <w:tcW w:w="456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3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3"/>
        </w:trPr>
        <w:tc>
          <w:tcPr>
            <w:tcW w:w="4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beginning of period</w:t>
            </w:r>
          </w:p>
        </w:tc>
        <w:tc>
          <w:tcPr>
            <w:tcW w:w="34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(3,284)</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(3,347)</w:t>
            </w:r>
          </w:p>
        </w:tc>
      </w:tr>
      <w:tr>
        <w:trPr>
          <w:trHeight w:val="243"/>
        </w:trPr>
        <w:tc>
          <w:tcPr>
            <w:tcW w:w="45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(573)</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586</w:t>
            </w:r>
          </w:p>
        </w:tc>
      </w:tr>
      <w:tr>
        <w:trPr>
          <w:trHeight w:val="34"/>
        </w:trPr>
        <w:tc>
          <w:tcPr>
            <w:tcW w:w="4560" w:type="dxa"/>
            <w:vAlign w:val="bottom"/>
            <w:tcBorders>
              <w:top w:val="single" w:sz="8" w:color="auto"/>
            </w:tcBorders>
          </w:tcPr>
          <w:p>
            <w:pPr>
              <w:spacing w:after="0"/>
              <w:rPr>
                <w:sz w:val="2"/>
                <w:szCs w:val="2"/>
                <w:color w:val="auto"/>
              </w:rPr>
            </w:pPr>
          </w:p>
        </w:tc>
        <w:tc>
          <w:tcPr>
            <w:tcW w:w="34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456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Balance, end of period</w:t>
            </w:r>
          </w:p>
        </w:tc>
        <w:tc>
          <w:tcPr>
            <w:tcW w:w="34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(3,857)</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(2,761)</w:t>
            </w:r>
          </w:p>
        </w:tc>
      </w:tr>
      <w:tr>
        <w:trPr>
          <w:trHeight w:val="41"/>
        </w:trPr>
        <w:tc>
          <w:tcPr>
            <w:tcW w:w="456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45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470,509</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363,076</w:t>
            </w:r>
          </w:p>
        </w:tc>
      </w:tr>
      <w:tr>
        <w:trPr>
          <w:trHeight w:val="203"/>
        </w:trPr>
        <w:tc>
          <w:tcPr>
            <w:tcW w:w="45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Cash dividends declared per common share</w:t>
            </w:r>
          </w:p>
        </w:tc>
        <w:tc>
          <w:tcPr>
            <w:tcW w:w="390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0.98</w:t>
            </w:r>
          </w:p>
        </w:tc>
        <w:tc>
          <w:tcPr>
            <w:tcW w:w="54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0.91</w:t>
            </w:r>
          </w:p>
        </w:tc>
      </w:tr>
      <w:tr>
        <w:trPr>
          <w:trHeight w:val="40"/>
        </w:trPr>
        <w:tc>
          <w:tcPr>
            <w:tcW w:w="456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402"/>
        </w:trPr>
        <w:tc>
          <w:tcPr>
            <w:tcW w:w="4560" w:type="dxa"/>
            <w:vAlign w:val="bottom"/>
          </w:tcPr>
          <w:p>
            <w:pPr>
              <w:spacing w:after="0"/>
              <w:rPr>
                <w:sz w:val="20"/>
                <w:szCs w:val="20"/>
                <w:color w:val="auto"/>
              </w:rPr>
            </w:pPr>
            <w:r>
              <w:rPr>
                <w:rFonts w:ascii="Arial" w:cs="Arial" w:eastAsia="Arial" w:hAnsi="Arial"/>
                <w:sz w:val="18"/>
                <w:szCs w:val="18"/>
                <w:color w:val="auto"/>
              </w:rPr>
              <w:t>Refer to accompanying notes.</w:t>
            </w:r>
          </w:p>
        </w:tc>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0"/>
        </w:trPr>
        <w:tc>
          <w:tcPr>
            <w:tcW w:w="4560" w:type="dxa"/>
            <w:vAlign w:val="bottom"/>
          </w:tcPr>
          <w:p>
            <w:pPr>
              <w:spacing w:after="0"/>
              <w:rPr>
                <w:sz w:val="24"/>
                <w:szCs w:val="24"/>
                <w:color w:val="auto"/>
              </w:rPr>
            </w:pPr>
          </w:p>
        </w:tc>
        <w:tc>
          <w:tcPr>
            <w:tcW w:w="3440" w:type="dxa"/>
            <w:vAlign w:val="bottom"/>
          </w:tcPr>
          <w:p>
            <w:pPr>
              <w:jc w:val="right"/>
              <w:ind w:right="2255"/>
              <w:spacing w:after="0"/>
              <w:rPr>
                <w:sz w:val="20"/>
                <w:szCs w:val="20"/>
                <w:color w:val="auto"/>
              </w:rPr>
            </w:pPr>
            <w:r>
              <w:rPr>
                <w:rFonts w:ascii="Arial" w:cs="Arial" w:eastAsia="Arial" w:hAnsi="Arial"/>
                <w:sz w:val="14"/>
                <w:szCs w:val="14"/>
                <w:color w:val="auto"/>
              </w:rPr>
              <w:t>7</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09"/>
        </w:trPr>
        <w:tc>
          <w:tcPr>
            <w:tcW w:w="456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 w:name="page8"/>
    <w:bookmarkEnd w:id="7"/>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(Unaudited)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 —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unaudited interim consolidated financial statements and accompanying notes are prepared in accordance with accounting principles generally accepted in the United States of America. In the opinion of management, the unaudited interim consolidated financial statements reflect all adjustments of a normal recurring nature that are necessary for a fair presentation of the results for the interim periods presented. Interim results are not necessarily indicative of results for a full year. The information included in this Form 10-Q should be read in conjunction with information included in the Microsoft Corporation fiscal year 2026 Form 10-K filed with the U.S. Securities and Exchange Commission on July 29, 2026.</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consolidated financial statements include the accounts of Microsoft Corporation and its subsidiaries. Intercompany transactions and balances have been eliminated.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Recast of Certain Prior Period Information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September 2026, we announced changes in our segment reporting structure. These changes align our segments with how we currently manage our business, creating the Agents and Infra segment that brings together our applications and agents, our multi-model system, and Azure infrastructure, and the Devices and Consumer segment that comprises our key consumer offerings. Beginning in fiscal year 2027, the information that our chief operating decision maker (“CODM”) is regularly provided and reviews for purposes of allocating resources and assessing performance reflects these segment changes. Prior period segment information has been recast to conform to the way we internally manage and monitor our business during fiscal year 2027. These changes impacted Note 7 – Goodwill and Note 16 – Segment Information and Geographic Data.</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also recast certain prior period amounts on our consolidated cash flows statements to conform to the current period presentation. The recast of these prior period amounts had no impact on our consolidated balance sheets, consolidated income statements, or net cash from (used in) operations, investing, or financing on our consolidated cash flows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of performance obligations, variable consideration, and other obligations such as product returns and refunds; loss contingencies; the fair value of and/or potential impairment of goodwill and intangible assets for our reporting units; useful lives of our tangible and intangible assets; allowances for doubtful accounts; stock-based compensation forfeiture rates; when technological feasibility is achieved for our products; the potential outcome of uncertain tax positions that have been recognized in our consolidated financial statements or tax returns; and determining the timing and amount of measurement adjustments or impairments for investments. Actual results and outcomes may differ from management’s estimates and assumptions due to risks and uncertainties.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8" w:name="page9"/>
    <w:bookmarkEnd w:id="8"/>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Debt investments are classified as available-for-sale and realized gains and losses are recorded using the specific identification method. Changes in fair value, excluding credit losses and impairments, are recorded in other comprehensive income. Fair value is calculated based on publicly available market information or other estimates determined by management. If the cost of an investment exceeds its fair value, we evaluate, among other factors, general market conditions, credit quality of debt instrument issuers, and the extent to which the fair value is less than cost. To determine credit losses, we employ a systematic methodology that considers available quantitative and qualitative evidence.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Equity investments with readily determinable fair values are generally measured at fair value. Equity investments that are not recorded at fair value are measured using the equity method of accounting when required or measured at cost less impairments, if any, with adjustments for observable changes in price (referred to as the measurement alternative). Identifying observable changes in price requires judgment in evaluating whether transactions are orderly and whether the securities are comparable, including consideration of the rights and preferences of the securities, the composition of the investor group, and other relevant facts and circumstances. For equity investments not recorded at fair value, we perform a qualitative assessment on a periodic basis and recognize an impairment if there are sufficient indicators that the fair value of the investment is less than carrying value. Changes in fair value are recorded in other income (expense), net. Equity method investments may be recorded on a lag of up to three months when sufficient financial information is not available in a timely manner. For equity method investments recorded on a lag, we recognize the impact of intervening events that have a material impact on our consolidated financial statements in the period in which they occurred.</w:t>
      </w:r>
    </w:p>
    <w:p>
      <w:pPr>
        <w:spacing w:after="0" w:line="12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Investments that are considered variable interest entities (“VIEs”) are evaluated to determine whether we are the primary beneficiary of the VIE, in which case we would be required to consolidate the entity. We evaluate whether we have (1) the power to direct the activities that most significantly impact the VIE’s economic performance, and (2) the obligation to absorb losses or the right to receive benefits from the VIE that could potentially be significant to the VIE. We have determined we are not the primary beneficiary of any of our VIE investments. Therefore, our VIE investments are not consolidated and the majority are accounted for under the equity method of accounting or the measurement alternative.</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 long-term strategic partnership with OpenAI. We have an investment accounted for under the equity method that represents an approximate 24% interest on an as-converted basis. As an equity method investee, OpenAI is a related party as defined in Accounting Standards Codification Topic 850, Related Party Disclosures (“ASC 850”). In accordance with ASC 850, we are disclosing revenue and accounts receivable balances from transactions with OpenAI. For the three months ended September 30, 2026, we recorded revenue from commercial arrangements with OpenAI, inclusive of revenue-sharing payments, of $10.0 billion. Accounts receivable from OpenAI as of September 30, 2026 and June 30, 2026 was $7.2 billion and $6.0 billion, respectively. We have made total funding commitments of $13.0 billion related to our investment, of which $12.0 billion has been funded as of September 30, 2026. We calculate our equity method income or loss using the hypothetical liquidation at book value (“HLBV”) method because our liquidation rights and priorities differ from our underlying ownership interest. Under the HLBV method, we recognize income or loss based on the change in the amount we would receive if the net assets of the investee were distributed at book value.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Derivative instruments are recognized as either assets or liabilities and measured at fair value. The accounting for changes in the fair value of a derivative depends on the intended use of the derivative and the resulting designation.</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derivative instruments designated as fair value hedges, gains and losses are recognized in other income (expense), net with offsetting gains and losses on the hedged items. Gains and losses representing hedge components excluded from the assessment of effectiveness are recognized in other income (expense), net.</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derivative instruments designated as cash flow hedges, gains and losses are initially reported as a component of other comprehensive income and subsequently recognized in other income (expense), net with the corresponding hedged item. Gains and losses representing hedge components excluded from the assessment of effectiveness are recognized in other income (expense), net.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9" w:name="page10"/>
    <w:bookmarkEnd w:id="9"/>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derivative instruments that are not designated as hedges, gains and losses from changes in fair values are primarily recognized in other income (expense), net.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spacing w:after="0" w:line="34" w:lineRule="exact"/>
        <w:rPr>
          <w:sz w:val="20"/>
          <w:szCs w:val="20"/>
          <w:color w:val="auto"/>
        </w:rPr>
      </w:pPr>
    </w:p>
    <w:p>
      <w:pPr>
        <w:jc w:val="both"/>
        <w:ind w:left="1020" w:hanging="368"/>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based upon unadjusted quoted prices for identical instruments in active markets. Our Level 1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U.S. government securities, common and preferred stock, and mutual funds. Our Level 1 derivative assets and liabilities include those actively traded on exchanges.</w:t>
      </w:r>
    </w:p>
    <w:p>
      <w:pPr>
        <w:spacing w:after="0" w:line="35" w:lineRule="exact"/>
        <w:rPr>
          <w:rFonts w:ascii="Times New Roman" w:cs="Times New Roman" w:eastAsia="Times New Roman" w:hAnsi="Times New Roman"/>
          <w:sz w:val="18"/>
          <w:szCs w:val="18"/>
          <w:color w:val="auto"/>
        </w:rPr>
      </w:pPr>
    </w:p>
    <w:p>
      <w:pPr>
        <w:jc w:val="both"/>
        <w:ind w:left="1020" w:hanging="368"/>
        <w:spacing w:after="0" w:line="239"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are based upon quoted prices for similar instruments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include certain cleared swap contracts and over-the-counter forward, option, and swap contracts.</w:t>
      </w:r>
    </w:p>
    <w:p>
      <w:pPr>
        <w:spacing w:after="0" w:line="47" w:lineRule="exact"/>
        <w:rPr>
          <w:rFonts w:ascii="Times New Roman" w:cs="Times New Roman" w:eastAsia="Times New Roman" w:hAnsi="Times New Roman"/>
          <w:sz w:val="18"/>
          <w:szCs w:val="18"/>
          <w:color w:val="auto"/>
        </w:rPr>
      </w:pPr>
    </w:p>
    <w:p>
      <w:pPr>
        <w:jc w:val="both"/>
        <w:ind w:left="1020" w:hanging="368"/>
        <w:spacing w:after="0" w:line="243"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are generally unobservable and typically reflect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 The fair values are therefore determined using model-based techniques, including option pricing models and discounted cash flow models. Our Level 3 assets and liabilities include investments in corporate notes and bonds, municipal securities, and goodwill and intangible assets, when they are recorded at fair value due to an impairment charge. Unobservable inputs used in the models are significant to the fair values of the assets and liabilities.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other current financial assets and current financial liabilities have fair values that approximate their carrying values.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and Other Receivables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September 30, 2026 and June 30, 2026, long-term accounts receivable, net of allowance for doubtful accounts, was $5.6 billion and $5.5 billion, respectively, and is included in other long-term assets in our consolidated balance sheets.</w:t>
      </w:r>
    </w:p>
    <w:p>
      <w:pPr>
        <w:spacing w:after="0" w:line="1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of September 30, 2026 and June 30, 2026, the current portion of other receivables related to activities to facilitate the purchase of server components was $35.7 billion and $27.8 billion, respectively, and are included in other current assets in our consolidated balance sheets. Additionally, as of September 30, 2026 and June 30, 2026, restricted investments pursuant to a supplier agreement were $12.6 billion and $11.3 billion, respectively, with $4.0 billion and $3.8 billion included in short-term investments and $8.6 billion and $7.5 billion included in equity and other investments in our consolidated balance sheet.</w:t>
      </w:r>
    </w:p>
    <w:p>
      <w:pPr>
        <w:spacing w:after="0" w:line="1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record financing receivables when we offer certain customers the option to acquire our software products and services offerings through a financing program in a limited number of countries. As of September 30, 2026 and June 30, 2026, our financing receivables, net were $3.5 billion and $3.7 billion, respectively, for short-term and long-term financing receivables, which are included in other current assets and other long-term assets in our consolidated balance sheets.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 an allowance for doubtful accounts which reflects our best estimate of credit losses inherent in the accounts receivable and financing receivable balances. We determine the allowance based on known troubled accounts, historical experience, and other currently available evidence.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0" w:name="page11"/>
    <w:bookmarkEnd w:id="10"/>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Statement – Disaggregation of Income Statement Expenses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November 2024, the Financial Accounting Standards Board issued a new standard to expand disclosures about income statement expenses. The guidance requires disaggregation of certain costs and expenses included in each relevant expense caption on our consolidated income statements in a separate note to the financial statements at each interim and annual reporting period, including amounts of purchases of inventory, employee compensation, depreciation, and intangible asset amortization. The standard will be effective for us beginning with our annual reporting for fiscal year 2028 and interim periods thereafter, with early adoption permitted. We are currently evaluating the impact of this standard on our disclosures.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2 — EARNINGS PER SHARE</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basic and diluted EPS were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465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0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1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2026</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140" w:type="dxa"/>
            <w:vAlign w:val="bottom"/>
          </w:tcPr>
          <w:p>
            <w:pPr>
              <w:spacing w:after="0"/>
              <w:rPr>
                <w:sz w:val="16"/>
                <w:szCs w:val="16"/>
                <w:color w:val="auto"/>
              </w:rPr>
            </w:pPr>
          </w:p>
        </w:tc>
      </w:tr>
      <w:tr>
        <w:trPr>
          <w:trHeight w:val="211"/>
        </w:trPr>
        <w:tc>
          <w:tcPr>
            <w:tcW w:w="6300" w:type="dxa"/>
            <w:vAlign w:val="bottom"/>
            <w:shd w:val="clear" w:color="auto" w:fill="E5E5E5"/>
          </w:tcPr>
          <w:p>
            <w:pPr>
              <w:spacing w:after="0"/>
              <w:rPr>
                <w:sz w:val="20"/>
                <w:szCs w:val="20"/>
                <w:color w:val="auto"/>
              </w:rPr>
            </w:pPr>
            <w:r>
              <w:rPr>
                <w:rFonts w:ascii="Arial" w:cs="Arial" w:eastAsia="Arial" w:hAnsi="Arial"/>
                <w:sz w:val="18"/>
                <w:szCs w:val="18"/>
                <w:color w:val="auto"/>
              </w:rPr>
              <w:t>Net income available for common shareholders (A)</w:t>
            </w:r>
          </w:p>
        </w:tc>
        <w:tc>
          <w:tcPr>
            <w:tcW w:w="2080" w:type="dxa"/>
            <w:vAlign w:val="bottom"/>
            <w:gridSpan w:val="2"/>
            <w:shd w:val="clear" w:color="auto" w:fill="E5E5E5"/>
          </w:tcPr>
          <w:p>
            <w:pPr>
              <w:jc w:val="right"/>
              <w:ind w:right="4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b w:val="1"/>
                <w:bCs w:val="1"/>
                <w:color w:val="auto"/>
              </w:rPr>
              <w:t>36,629</w:t>
            </w:r>
          </w:p>
        </w:tc>
        <w:tc>
          <w:tcPr>
            <w:tcW w:w="520" w:type="dxa"/>
            <w:vAlign w:val="bottom"/>
            <w:shd w:val="clear" w:color="auto" w:fill="E5E5E5"/>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27,747</w:t>
            </w:r>
          </w:p>
        </w:tc>
      </w:tr>
      <w:tr>
        <w:trPr>
          <w:trHeight w:val="48"/>
        </w:trPr>
        <w:tc>
          <w:tcPr>
            <w:tcW w:w="6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43"/>
        </w:trPr>
        <w:tc>
          <w:tcPr>
            <w:tcW w:w="6300" w:type="dxa"/>
            <w:vAlign w:val="bottom"/>
          </w:tcPr>
          <w:p>
            <w:pPr>
              <w:spacing w:after="0"/>
              <w:rPr>
                <w:sz w:val="20"/>
                <w:szCs w:val="20"/>
                <w:color w:val="auto"/>
              </w:rPr>
            </w:pPr>
            <w:r>
              <w:rPr>
                <w:rFonts w:ascii="Arial" w:cs="Arial" w:eastAsia="Arial" w:hAnsi="Arial"/>
                <w:sz w:val="18"/>
                <w:szCs w:val="18"/>
                <w:color w:val="auto"/>
              </w:rPr>
              <w:t>Weighted average outstanding shares of common stock (B)</w:t>
            </w:r>
          </w:p>
        </w:tc>
        <w:tc>
          <w:tcPr>
            <w:tcW w:w="1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7,426</w:t>
            </w:r>
          </w:p>
        </w:tc>
        <w:tc>
          <w:tcPr>
            <w:tcW w:w="5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7,433</w:t>
            </w:r>
          </w:p>
        </w:tc>
      </w:tr>
      <w:tr>
        <w:trPr>
          <w:trHeight w:val="203"/>
        </w:trPr>
        <w:tc>
          <w:tcPr>
            <w:tcW w:w="63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Dilutive effect of stock-based awards</w:t>
            </w:r>
          </w:p>
        </w:tc>
        <w:tc>
          <w:tcPr>
            <w:tcW w:w="15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20</w:t>
            </w:r>
          </w:p>
        </w:tc>
        <w:tc>
          <w:tcPr>
            <w:tcW w:w="52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33</w:t>
            </w:r>
          </w:p>
        </w:tc>
      </w:tr>
      <w:tr>
        <w:trPr>
          <w:trHeight w:val="41"/>
        </w:trPr>
        <w:tc>
          <w:tcPr>
            <w:tcW w:w="63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6300" w:type="dxa"/>
            <w:vAlign w:val="bottom"/>
          </w:tcPr>
          <w:p>
            <w:pPr>
              <w:spacing w:after="0"/>
              <w:rPr>
                <w:sz w:val="20"/>
                <w:szCs w:val="20"/>
                <w:color w:val="auto"/>
              </w:rPr>
            </w:pPr>
            <w:r>
              <w:rPr>
                <w:rFonts w:ascii="Arial" w:cs="Arial" w:eastAsia="Arial" w:hAnsi="Arial"/>
                <w:sz w:val="18"/>
                <w:szCs w:val="18"/>
                <w:color w:val="auto"/>
              </w:rPr>
              <w:t>Common stock and common stock equivalents (C)</w:t>
            </w: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7,446</w:t>
            </w:r>
          </w:p>
        </w:tc>
        <w:tc>
          <w:tcPr>
            <w:tcW w:w="5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7,466</w:t>
            </w:r>
          </w:p>
        </w:tc>
      </w:tr>
      <w:tr>
        <w:trPr>
          <w:trHeight w:val="221"/>
        </w:trPr>
        <w:tc>
          <w:tcPr>
            <w:tcW w:w="6300" w:type="dxa"/>
            <w:vAlign w:val="bottom"/>
          </w:tcPr>
          <w:p>
            <w:pPr>
              <w:spacing w:after="0"/>
              <w:rPr>
                <w:sz w:val="20"/>
                <w:szCs w:val="20"/>
                <w:color w:val="auto"/>
              </w:rPr>
            </w:pPr>
            <w:r>
              <w:rPr>
                <w:rFonts w:ascii="Arial" w:cs="Arial" w:eastAsia="Arial" w:hAnsi="Arial"/>
                <w:sz w:val="13"/>
                <w:szCs w:val="13"/>
                <w:b w:val="1"/>
                <w:bCs w:val="1"/>
                <w:color w:val="auto"/>
              </w:rPr>
              <w:t>Earnings Per Share</w:t>
            </w:r>
          </w:p>
        </w:tc>
        <w:tc>
          <w:tcPr>
            <w:tcW w:w="15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1"/>
        </w:trPr>
        <w:tc>
          <w:tcPr>
            <w:tcW w:w="6300" w:type="dxa"/>
            <w:vAlign w:val="bottom"/>
            <w:shd w:val="clear" w:color="auto" w:fill="E5E5E5"/>
          </w:tcPr>
          <w:p>
            <w:pPr>
              <w:spacing w:after="0"/>
              <w:rPr>
                <w:sz w:val="20"/>
                <w:szCs w:val="20"/>
                <w:color w:val="auto"/>
              </w:rPr>
            </w:pPr>
            <w:r>
              <w:rPr>
                <w:rFonts w:ascii="Arial" w:cs="Arial" w:eastAsia="Arial" w:hAnsi="Arial"/>
                <w:sz w:val="18"/>
                <w:szCs w:val="18"/>
                <w:color w:val="auto"/>
              </w:rPr>
              <w:t>Basic (A/B)</w:t>
            </w:r>
          </w:p>
        </w:tc>
        <w:tc>
          <w:tcPr>
            <w:tcW w:w="2080" w:type="dxa"/>
            <w:vAlign w:val="bottom"/>
            <w:gridSpan w:val="2"/>
            <w:shd w:val="clear" w:color="auto" w:fill="E5E5E5"/>
          </w:tcPr>
          <w:p>
            <w:pPr>
              <w:jc w:val="right"/>
              <w:ind w:right="4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b w:val="1"/>
                <w:bCs w:val="1"/>
                <w:color w:val="auto"/>
              </w:rPr>
              <w:t>4.93</w:t>
            </w:r>
          </w:p>
        </w:tc>
        <w:tc>
          <w:tcPr>
            <w:tcW w:w="520" w:type="dxa"/>
            <w:vAlign w:val="bottom"/>
            <w:shd w:val="clear" w:color="auto" w:fill="E5E5E5"/>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3.73</w:t>
            </w:r>
          </w:p>
        </w:tc>
        <w:tc>
          <w:tcPr>
            <w:tcW w:w="140" w:type="dxa"/>
            <w:vAlign w:val="bottom"/>
            <w:shd w:val="clear" w:color="auto" w:fill="E5E5E5"/>
          </w:tcPr>
          <w:p>
            <w:pPr>
              <w:spacing w:after="0"/>
              <w:rPr>
                <w:sz w:val="18"/>
                <w:szCs w:val="18"/>
                <w:color w:val="auto"/>
              </w:rPr>
            </w:pPr>
          </w:p>
        </w:tc>
      </w:tr>
      <w:tr>
        <w:trPr>
          <w:trHeight w:val="243"/>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(A/C)</w:t>
            </w:r>
          </w:p>
        </w:tc>
        <w:tc>
          <w:tcPr>
            <w:tcW w:w="20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4.92</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21"/>
                <w:szCs w:val="2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Anti-dilutive stock-based awards excluded from the calculations of diluted EPS were immaterial during the periods presented.</w:t>
      </w:r>
    </w:p>
    <w:p>
      <w:pPr>
        <w:spacing w:after="0" w:line="239" w:lineRule="exact"/>
        <w:rPr>
          <w:sz w:val="20"/>
          <w:szCs w:val="20"/>
          <w:color w:val="auto"/>
        </w:rPr>
      </w:pPr>
    </w:p>
    <w:p>
      <w:pPr>
        <w:ind w:right="3720" w:firstLine="3711"/>
        <w:spacing w:after="0" w:line="440" w:lineRule="auto"/>
        <w:rPr>
          <w:sz w:val="20"/>
          <w:szCs w:val="20"/>
          <w:color w:val="auto"/>
        </w:rPr>
      </w:pPr>
      <w:r>
        <w:rPr>
          <w:rFonts w:ascii="Arial" w:cs="Arial" w:eastAsia="Arial" w:hAnsi="Arial"/>
          <w:sz w:val="18"/>
          <w:szCs w:val="18"/>
          <w:u w:val="single" w:color="auto"/>
          <w:color w:val="auto"/>
        </w:rPr>
        <w:t xml:space="preserve">NOTE 3 — OTHER INCOME (EXPENSE), NET </w:t>
      </w:r>
      <w:r>
        <w:rPr>
          <w:rFonts w:ascii="Arial" w:cs="Arial" w:eastAsia="Arial" w:hAnsi="Arial"/>
          <w:sz w:val="18"/>
          <w:szCs w:val="18"/>
          <w:color w:val="auto"/>
        </w:rPr>
        <w:t>The components of other income (expense), net were as follows: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548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4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2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2026</w:t>
            </w:r>
          </w:p>
        </w:tc>
        <w:tc>
          <w:tcPr>
            <w:tcW w:w="54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2025</w:t>
            </w:r>
          </w:p>
        </w:tc>
      </w:tr>
      <w:tr>
        <w:trPr>
          <w:trHeight w:val="211"/>
        </w:trPr>
        <w:tc>
          <w:tcPr>
            <w:tcW w:w="5840" w:type="dxa"/>
            <w:vAlign w:val="bottom"/>
            <w:shd w:val="clear" w:color="auto" w:fill="E5E5E5"/>
          </w:tcPr>
          <w:p>
            <w:pPr>
              <w:spacing w:after="0"/>
              <w:rPr>
                <w:sz w:val="20"/>
                <w:szCs w:val="20"/>
                <w:color w:val="auto"/>
              </w:rPr>
            </w:pPr>
            <w:r>
              <w:rPr>
                <w:rFonts w:ascii="Arial" w:cs="Arial" w:eastAsia="Arial" w:hAnsi="Arial"/>
                <w:sz w:val="18"/>
                <w:szCs w:val="18"/>
                <w:color w:val="auto"/>
              </w:rPr>
              <w:t>Interest and dividends income</w:t>
            </w:r>
          </w:p>
        </w:tc>
        <w:tc>
          <w:tcPr>
            <w:tcW w:w="2640" w:type="dxa"/>
            <w:vAlign w:val="bottom"/>
            <w:gridSpan w:val="2"/>
            <w:shd w:val="clear" w:color="auto" w:fill="E5E5E5"/>
          </w:tcPr>
          <w:p>
            <w:pPr>
              <w:jc w:val="right"/>
              <w:ind w:right="5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E5E5E5"/>
          </w:tcPr>
          <w:p>
            <w:pPr>
              <w:jc w:val="right"/>
              <w:ind w:right="280"/>
              <w:spacing w:after="0"/>
              <w:rPr>
                <w:sz w:val="20"/>
                <w:szCs w:val="20"/>
                <w:color w:val="auto"/>
              </w:rPr>
            </w:pPr>
            <w:r>
              <w:rPr>
                <w:rFonts w:ascii="Arial" w:cs="Arial" w:eastAsia="Arial" w:hAnsi="Arial"/>
                <w:sz w:val="18"/>
                <w:szCs w:val="18"/>
                <w:b w:val="1"/>
                <w:bCs w:val="1"/>
                <w:color w:val="auto"/>
              </w:rPr>
              <w:t>744</w:t>
            </w:r>
          </w:p>
        </w:tc>
        <w:tc>
          <w:tcPr>
            <w:tcW w:w="540" w:type="dxa"/>
            <w:vAlign w:val="bottom"/>
            <w:shd w:val="clear" w:color="auto" w:fill="E5E5E5"/>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976</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(870)</w:t>
            </w:r>
          </w:p>
        </w:tc>
        <w:tc>
          <w:tcPr>
            <w:tcW w:w="54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(698)</w:t>
            </w:r>
          </w:p>
        </w:tc>
      </w:tr>
      <w:tr>
        <w:trPr>
          <w:trHeight w:val="203"/>
        </w:trPr>
        <w:tc>
          <w:tcPr>
            <w:tcW w:w="58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recognized losses on investments</w:t>
            </w:r>
          </w:p>
        </w:tc>
        <w:tc>
          <w:tcPr>
            <w:tcW w:w="202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(46)</w:t>
            </w:r>
          </w:p>
        </w:tc>
        <w:tc>
          <w:tcPr>
            <w:tcW w:w="54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(572)</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Net gains (losses) on derivatives</w:t>
            </w:r>
          </w:p>
        </w:tc>
        <w:tc>
          <w:tcPr>
            <w:tcW w:w="2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(42)</w:t>
            </w:r>
          </w:p>
        </w:tc>
        <w:tc>
          <w:tcPr>
            <w:tcW w:w="54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1,579</w:t>
            </w:r>
          </w:p>
        </w:tc>
      </w:tr>
      <w:tr>
        <w:trPr>
          <w:trHeight w:val="203"/>
        </w:trPr>
        <w:tc>
          <w:tcPr>
            <w:tcW w:w="58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losses on foreign currency remeasurements</w:t>
            </w:r>
          </w:p>
        </w:tc>
        <w:tc>
          <w:tcPr>
            <w:tcW w:w="202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(30)</w:t>
            </w:r>
          </w:p>
        </w:tc>
        <w:tc>
          <w:tcPr>
            <w:tcW w:w="54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(22)</w:t>
            </w: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Other, net</w:t>
            </w:r>
          </w:p>
        </w:tc>
        <w:tc>
          <w:tcPr>
            <w:tcW w:w="2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282</w:t>
            </w:r>
          </w:p>
        </w:tc>
        <w:tc>
          <w:tcPr>
            <w:tcW w:w="5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(4,923)</w:t>
            </w:r>
          </w:p>
        </w:tc>
      </w:tr>
      <w:tr>
        <w:trPr>
          <w:trHeight w:val="34"/>
        </w:trPr>
        <w:tc>
          <w:tcPr>
            <w:tcW w:w="5840" w:type="dxa"/>
            <w:vAlign w:val="bottom"/>
            <w:tcBorders>
              <w:top w:val="single" w:sz="8" w:color="auto"/>
            </w:tcBorders>
          </w:tcPr>
          <w:p>
            <w:pPr>
              <w:spacing w:after="0"/>
              <w:rPr>
                <w:sz w:val="2"/>
                <w:szCs w:val="2"/>
                <w:color w:val="auto"/>
              </w:rPr>
            </w:pPr>
          </w:p>
        </w:tc>
        <w:tc>
          <w:tcPr>
            <w:tcW w:w="202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84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Total</w:t>
            </w:r>
          </w:p>
        </w:tc>
        <w:tc>
          <w:tcPr>
            <w:tcW w:w="2640" w:type="dxa"/>
            <w:vAlign w:val="bottom"/>
            <w:gridSpan w:val="2"/>
            <w:shd w:val="clear" w:color="auto" w:fill="E5E5E5"/>
          </w:tcPr>
          <w:p>
            <w:pPr>
              <w:jc w:val="right"/>
              <w:ind w:right="52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38</w:t>
            </w:r>
          </w:p>
        </w:tc>
        <w:tc>
          <w:tcPr>
            <w:tcW w:w="540" w:type="dxa"/>
            <w:vAlign w:val="bottom"/>
            <w:shd w:val="clear" w:color="auto" w:fill="E5E5E5"/>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(3,660)</w:t>
            </w:r>
          </w:p>
        </w:tc>
      </w:tr>
      <w:tr>
        <w:trPr>
          <w:trHeight w:val="48"/>
        </w:trPr>
        <w:tc>
          <w:tcPr>
            <w:tcW w:w="58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Other income (expense), net included $272 million of net gains and $4.1 billion of net losses for the three months ended September 30, 2026 and 2025, respectively, from investments in OpenAI.</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1" w:name="page12"/>
    <w:bookmarkEnd w:id="11"/>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Recognized Gains (Losses) on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Net recognized gains (losses) on debt investments were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548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2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2026</w:t>
            </w:r>
          </w:p>
        </w:tc>
        <w:tc>
          <w:tcPr>
            <w:tcW w:w="6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2025</w:t>
            </w:r>
          </w:p>
        </w:tc>
      </w:tr>
      <w:tr>
        <w:trPr>
          <w:trHeight w:val="211"/>
        </w:trPr>
        <w:tc>
          <w:tcPr>
            <w:tcW w:w="5520" w:type="dxa"/>
            <w:vAlign w:val="bottom"/>
            <w:shd w:val="clear" w:color="auto" w:fill="E5E5E5"/>
          </w:tcPr>
          <w:p>
            <w:pPr>
              <w:spacing w:after="0"/>
              <w:rPr>
                <w:sz w:val="20"/>
                <w:szCs w:val="20"/>
                <w:color w:val="auto"/>
              </w:rPr>
            </w:pPr>
            <w:r>
              <w:rPr>
                <w:rFonts w:ascii="Arial" w:cs="Arial" w:eastAsia="Arial" w:hAnsi="Arial"/>
                <w:sz w:val="18"/>
                <w:szCs w:val="18"/>
                <w:color w:val="auto"/>
              </w:rPr>
              <w:t>Realized gains from sales of available-for-sale securities</w:t>
            </w:r>
          </w:p>
        </w:tc>
        <w:tc>
          <w:tcPr>
            <w:tcW w:w="3000" w:type="dxa"/>
            <w:vAlign w:val="bottom"/>
            <w:gridSpan w:val="2"/>
            <w:shd w:val="clear" w:color="auto" w:fill="E5E5E5"/>
          </w:tcPr>
          <w:p>
            <w:pPr>
              <w:jc w:val="right"/>
              <w:ind w:right="5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b w:val="1"/>
                <w:bCs w:val="1"/>
                <w:color w:val="auto"/>
              </w:rPr>
              <w:t>12</w:t>
            </w:r>
          </w:p>
        </w:tc>
        <w:tc>
          <w:tcPr>
            <w:tcW w:w="620" w:type="dxa"/>
            <w:vAlign w:val="bottom"/>
            <w:shd w:val="clear" w:color="auto" w:fill="E5E5E5"/>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16</w:t>
            </w: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Realized losses from sales of available-for-sale securities</w:t>
            </w:r>
          </w:p>
        </w:tc>
        <w:tc>
          <w:tcPr>
            <w:tcW w:w="2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(18)</w:t>
            </w:r>
          </w:p>
        </w:tc>
        <w:tc>
          <w:tcPr>
            <w:tcW w:w="6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r>
      <w:tr>
        <w:trPr>
          <w:trHeight w:val="203"/>
        </w:trPr>
        <w:tc>
          <w:tcPr>
            <w:tcW w:w="5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Impairments and allowance for credit losses</w:t>
            </w:r>
          </w:p>
        </w:tc>
        <w:tc>
          <w:tcPr>
            <w:tcW w:w="236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(35)</w:t>
            </w:r>
          </w:p>
        </w:tc>
        <w:tc>
          <w:tcPr>
            <w:tcW w:w="62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4</w:t>
            </w:r>
          </w:p>
        </w:tc>
      </w:tr>
      <w:tr>
        <w:trPr>
          <w:trHeight w:val="41"/>
        </w:trPr>
        <w:tc>
          <w:tcPr>
            <w:tcW w:w="552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5520" w:type="dxa"/>
            <w:vAlign w:val="bottom"/>
          </w:tcPr>
          <w:p>
            <w:pPr>
              <w:ind w:left="180"/>
              <w:spacing w:after="0"/>
              <w:rPr>
                <w:sz w:val="20"/>
                <w:szCs w:val="20"/>
                <w:color w:val="auto"/>
              </w:rPr>
            </w:pPr>
            <w:r>
              <w:rPr>
                <w:rFonts w:ascii="Arial" w:cs="Arial" w:eastAsia="Arial" w:hAnsi="Arial"/>
                <w:sz w:val="18"/>
                <w:szCs w:val="18"/>
                <w:color w:val="auto"/>
              </w:rPr>
              <w:t>Total</w:t>
            </w:r>
          </w:p>
        </w:tc>
        <w:tc>
          <w:tcPr>
            <w:tcW w:w="30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r>
      <w:tr>
        <w:trPr>
          <w:trHeight w:val="409"/>
        </w:trPr>
        <w:tc>
          <w:tcPr>
            <w:tcW w:w="5520" w:type="dxa"/>
            <w:vAlign w:val="bottom"/>
          </w:tcPr>
          <w:p>
            <w:pPr>
              <w:spacing w:after="0"/>
              <w:rPr>
                <w:sz w:val="20"/>
                <w:szCs w:val="20"/>
                <w:color w:val="auto"/>
              </w:rPr>
            </w:pPr>
            <w:r>
              <w:rPr>
                <w:rFonts w:ascii="Arial" w:cs="Arial" w:eastAsia="Arial" w:hAnsi="Arial"/>
                <w:sz w:val="18"/>
                <w:szCs w:val="18"/>
                <w:color w:val="auto"/>
              </w:rPr>
              <w:t>Net recognized gains (losses) on equity investments were as follows:</w:t>
            </w:r>
          </w:p>
        </w:tc>
        <w:tc>
          <w:tcPr>
            <w:tcW w:w="23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54"/>
        </w:trPr>
        <w:tc>
          <w:tcPr>
            <w:tcW w:w="5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millions)</w:t>
            </w:r>
          </w:p>
        </w:tc>
        <w:tc>
          <w:tcPr>
            <w:tcW w:w="2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1"/>
        </w:trPr>
        <w:tc>
          <w:tcPr>
            <w:tcW w:w="552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2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2026</w:t>
            </w:r>
          </w:p>
        </w:tc>
        <w:tc>
          <w:tcPr>
            <w:tcW w:w="6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2025</w:t>
            </w:r>
          </w:p>
        </w:tc>
      </w:tr>
      <w:tr>
        <w:trPr>
          <w:trHeight w:val="211"/>
        </w:trPr>
        <w:tc>
          <w:tcPr>
            <w:tcW w:w="5520" w:type="dxa"/>
            <w:vAlign w:val="bottom"/>
            <w:shd w:val="clear" w:color="auto" w:fill="E5E5E5"/>
          </w:tcPr>
          <w:p>
            <w:pPr>
              <w:spacing w:after="0"/>
              <w:rPr>
                <w:sz w:val="20"/>
                <w:szCs w:val="20"/>
                <w:color w:val="auto"/>
              </w:rPr>
            </w:pPr>
            <w:r>
              <w:rPr>
                <w:rFonts w:ascii="Arial" w:cs="Arial" w:eastAsia="Arial" w:hAnsi="Arial"/>
                <w:sz w:val="18"/>
                <w:szCs w:val="18"/>
                <w:color w:val="auto"/>
              </w:rPr>
              <w:t>Net realized gains on investments sold</w:t>
            </w:r>
          </w:p>
        </w:tc>
        <w:tc>
          <w:tcPr>
            <w:tcW w:w="3000" w:type="dxa"/>
            <w:vAlign w:val="bottom"/>
            <w:gridSpan w:val="2"/>
            <w:shd w:val="clear" w:color="auto" w:fill="E5E5E5"/>
          </w:tcPr>
          <w:p>
            <w:pPr>
              <w:jc w:val="right"/>
              <w:ind w:right="5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b w:val="1"/>
                <w:bCs w:val="1"/>
                <w:color w:val="auto"/>
              </w:rPr>
              <w:t>74</w:t>
            </w:r>
          </w:p>
        </w:tc>
        <w:tc>
          <w:tcPr>
            <w:tcW w:w="620" w:type="dxa"/>
            <w:vAlign w:val="bottom"/>
            <w:shd w:val="clear" w:color="auto" w:fill="E5E5E5"/>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71</w:t>
            </w: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Net unrealized losses on investments still held</w:t>
            </w:r>
          </w:p>
        </w:tc>
        <w:tc>
          <w:tcPr>
            <w:tcW w:w="2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(60)</w:t>
            </w:r>
          </w:p>
        </w:tc>
        <w:tc>
          <w:tcPr>
            <w:tcW w:w="6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(635)</w:t>
            </w:r>
          </w:p>
        </w:tc>
      </w:tr>
      <w:tr>
        <w:trPr>
          <w:trHeight w:val="203"/>
        </w:trPr>
        <w:tc>
          <w:tcPr>
            <w:tcW w:w="5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Impairments of investments</w:t>
            </w:r>
          </w:p>
        </w:tc>
        <w:tc>
          <w:tcPr>
            <w:tcW w:w="236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(19)</w:t>
            </w:r>
          </w:p>
        </w:tc>
        <w:tc>
          <w:tcPr>
            <w:tcW w:w="62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(18)</w:t>
            </w:r>
          </w:p>
        </w:tc>
      </w:tr>
      <w:tr>
        <w:trPr>
          <w:trHeight w:val="41"/>
        </w:trPr>
        <w:tc>
          <w:tcPr>
            <w:tcW w:w="552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gridSpan w:val="2"/>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5520" w:type="dxa"/>
            <w:vAlign w:val="bottom"/>
          </w:tcPr>
          <w:p>
            <w:pPr>
              <w:ind w:left="180"/>
              <w:spacing w:after="0"/>
              <w:rPr>
                <w:sz w:val="20"/>
                <w:szCs w:val="20"/>
                <w:color w:val="auto"/>
              </w:rPr>
            </w:pPr>
            <w:r>
              <w:rPr>
                <w:rFonts w:ascii="Arial" w:cs="Arial" w:eastAsia="Arial" w:hAnsi="Arial"/>
                <w:sz w:val="18"/>
                <w:szCs w:val="18"/>
                <w:color w:val="auto"/>
              </w:rPr>
              <w:t>Total</w:t>
            </w:r>
          </w:p>
        </w:tc>
        <w:tc>
          <w:tcPr>
            <w:tcW w:w="30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(582)</w:t>
            </w:r>
          </w:p>
        </w:tc>
      </w:tr>
      <w:tr>
        <w:trPr>
          <w:trHeight w:val="613"/>
        </w:trPr>
        <w:tc>
          <w:tcPr>
            <w:tcW w:w="5520" w:type="dxa"/>
            <w:vAlign w:val="bottom"/>
          </w:tcPr>
          <w:p>
            <w:pPr>
              <w:spacing w:after="0"/>
              <w:rPr>
                <w:sz w:val="24"/>
                <w:szCs w:val="24"/>
                <w:color w:val="auto"/>
              </w:rPr>
            </w:pPr>
          </w:p>
        </w:tc>
        <w:tc>
          <w:tcPr>
            <w:tcW w:w="2360" w:type="dxa"/>
            <w:vAlign w:val="bottom"/>
          </w:tcPr>
          <w:p>
            <w:pPr>
              <w:jc w:val="right"/>
              <w:ind w:right="2094"/>
              <w:spacing w:after="0"/>
              <w:rPr>
                <w:sz w:val="20"/>
                <w:szCs w:val="20"/>
                <w:color w:val="auto"/>
              </w:rPr>
            </w:pPr>
            <w:r>
              <w:rPr>
                <w:rFonts w:ascii="Arial" w:cs="Arial" w:eastAsia="Arial" w:hAnsi="Arial"/>
                <w:sz w:val="14"/>
                <w:szCs w:val="14"/>
                <w:color w:val="auto"/>
              </w:rPr>
              <w:t>12</w:t>
            </w:r>
          </w:p>
        </w:tc>
        <w:tc>
          <w:tcPr>
            <w:tcW w:w="6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609"/>
        </w:trPr>
        <w:tc>
          <w:tcPr>
            <w:tcW w:w="55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2" w:name="page13"/>
    <w:bookmarkEnd w:id="12"/>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4 —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Components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investments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spacing w:after="0"/>
              <w:rPr>
                <w:sz w:val="13"/>
                <w:szCs w:val="13"/>
                <w:color w:val="auto"/>
              </w:rPr>
            </w:pPr>
          </w:p>
        </w:tc>
        <w:tc>
          <w:tcPr>
            <w:tcW w:w="920" w:type="dxa"/>
            <w:vAlign w:val="bottom"/>
          </w:tcPr>
          <w:p>
            <w:pPr>
              <w:jc w:val="center"/>
              <w:ind w:right="35"/>
              <w:spacing w:after="0"/>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Adjusted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3"/>
                <w:szCs w:val="13"/>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3"/>
                <w:szCs w:val="13"/>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Recorded</w:t>
            </w:r>
          </w:p>
        </w:tc>
        <w:tc>
          <w:tcPr>
            <w:tcW w:w="20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Cash</w:t>
            </w:r>
          </w:p>
        </w:tc>
        <w:tc>
          <w:tcPr>
            <w:tcW w:w="120" w:type="dxa"/>
            <w:vAlign w:val="bottom"/>
          </w:tcPr>
          <w:p>
            <w:pPr>
              <w:spacing w:after="0"/>
              <w:rPr>
                <w:sz w:val="13"/>
                <w:szCs w:val="13"/>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Short-term</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ind w:left="100"/>
              <w:spacing w:after="0"/>
              <w:rPr>
                <w:sz w:val="20"/>
                <w:szCs w:val="20"/>
                <w:color w:val="auto"/>
              </w:rPr>
            </w:pPr>
            <w:r>
              <w:rPr>
                <w:rFonts w:ascii="Arial" w:cs="Arial" w:eastAsia="Arial" w:hAnsi="Arial"/>
                <w:sz w:val="13"/>
                <w:szCs w:val="13"/>
                <w:b w:val="1"/>
                <w:bCs w:val="1"/>
                <w:color w:val="auto"/>
              </w:rPr>
              <w:t>Equity and</w:t>
            </w:r>
          </w:p>
        </w:tc>
        <w:tc>
          <w:tcPr>
            <w:tcW w:w="0" w:type="dxa"/>
            <w:vAlign w:val="bottom"/>
          </w:tcPr>
          <w:p>
            <w:pPr>
              <w:spacing w:after="0"/>
              <w:rPr>
                <w:sz w:val="1"/>
                <w:szCs w:val="1"/>
                <w:color w:val="auto"/>
              </w:rPr>
            </w:pPr>
          </w:p>
        </w:tc>
      </w:tr>
      <w:tr>
        <w:trPr>
          <w:trHeight w:val="148"/>
        </w:trPr>
        <w:tc>
          <w:tcPr>
            <w:tcW w:w="23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920" w:type="dxa"/>
            <w:vAlign w:val="bottom"/>
          </w:tcPr>
          <w:p>
            <w:pPr>
              <w:jc w:val="center"/>
              <w:ind w:right="35"/>
              <w:spacing w:after="0"/>
              <w:rPr>
                <w:sz w:val="20"/>
                <w:szCs w:val="20"/>
                <w:color w:val="auto"/>
              </w:rPr>
            </w:pPr>
            <w:r>
              <w:rPr>
                <w:rFonts w:ascii="Arial" w:cs="Arial" w:eastAsia="Arial" w:hAnsi="Arial"/>
                <w:sz w:val="13"/>
                <w:szCs w:val="13"/>
                <w:b w:val="1"/>
                <w:bCs w:val="1"/>
                <w:color w:val="auto"/>
              </w:rPr>
              <w:t>Value</w:t>
            </w:r>
          </w:p>
        </w:tc>
        <w:tc>
          <w:tcPr>
            <w:tcW w:w="16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and Cash</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Other</w:t>
            </w:r>
          </w:p>
        </w:tc>
        <w:tc>
          <w:tcPr>
            <w:tcW w:w="0" w:type="dxa"/>
            <w:vAlign w:val="bottom"/>
          </w:tcPr>
          <w:p>
            <w:pPr>
              <w:spacing w:after="0"/>
              <w:rPr>
                <w:sz w:val="1"/>
                <w:szCs w:val="1"/>
                <w:color w:val="auto"/>
              </w:rPr>
            </w:pPr>
          </w:p>
        </w:tc>
      </w:tr>
      <w:tr>
        <w:trPr>
          <w:trHeight w:val="197"/>
        </w:trPr>
        <w:tc>
          <w:tcPr>
            <w:tcW w:w="2360" w:type="dxa"/>
            <w:vAlign w:val="bottom"/>
            <w:vMerge w:val="continue"/>
          </w:tcPr>
          <w:p>
            <w:pPr>
              <w:spacing w:after="0"/>
              <w:rPr>
                <w:sz w:val="17"/>
                <w:szCs w:val="17"/>
                <w:color w:val="auto"/>
              </w:rPr>
            </w:pPr>
          </w:p>
        </w:tc>
        <w:tc>
          <w:tcPr>
            <w:tcW w:w="920" w:type="dxa"/>
            <w:vAlign w:val="bottom"/>
          </w:tcPr>
          <w:p>
            <w:pPr>
              <w:jc w:val="center"/>
              <w:ind w:right="35"/>
              <w:spacing w:after="0"/>
              <w:rPr>
                <w:sz w:val="20"/>
                <w:szCs w:val="20"/>
                <w:color w:val="auto"/>
              </w:rPr>
            </w:pPr>
            <w:r>
              <w:rPr>
                <w:rFonts w:ascii="Arial" w:cs="Arial" w:eastAsia="Arial" w:hAnsi="Arial"/>
                <w:sz w:val="13"/>
                <w:szCs w:val="13"/>
                <w:b w:val="1"/>
                <w:bCs w:val="1"/>
                <w:color w:val="auto"/>
              </w:rPr>
              <w:t>Level</w:t>
            </w: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Basis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Gains</w:t>
            </w: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Basis</w:t>
            </w:r>
          </w:p>
        </w:tc>
        <w:tc>
          <w:tcPr>
            <w:tcW w:w="2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Equivalents</w:t>
            </w:r>
          </w:p>
        </w:tc>
        <w:tc>
          <w:tcPr>
            <w:tcW w:w="1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Investments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212"/>
        </w:trPr>
        <w:tc>
          <w:tcPr>
            <w:tcW w:w="23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September 30, 2026</w:t>
            </w: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360" w:type="dxa"/>
            <w:vAlign w:val="bottom"/>
          </w:tcPr>
          <w:p>
            <w:pPr>
              <w:spacing w:after="0"/>
              <w:rPr>
                <w:sz w:val="20"/>
                <w:szCs w:val="20"/>
                <w:color w:val="auto"/>
              </w:rPr>
            </w:pPr>
            <w:r>
              <w:rPr>
                <w:rFonts w:ascii="Arial" w:cs="Arial" w:eastAsia="Arial" w:hAnsi="Arial"/>
                <w:sz w:val="13"/>
                <w:szCs w:val="13"/>
                <w:b w:val="1"/>
                <w:bCs w:val="1"/>
                <w:color w:val="auto"/>
              </w:rPr>
              <w:t>Changes in Fair Value Recorded in</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Other Comprehensive Income</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360" w:type="dxa"/>
            <w:vAlign w:val="bottom"/>
            <w:shd w:val="clear" w:color="auto" w:fill="E5E5E5"/>
          </w:tcPr>
          <w:p>
            <w:pPr>
              <w:spacing w:after="0"/>
              <w:rPr>
                <w:sz w:val="20"/>
                <w:szCs w:val="20"/>
                <w:color w:val="auto"/>
              </w:rPr>
            </w:pPr>
            <w:r>
              <w:rPr>
                <w:rFonts w:ascii="Arial" w:cs="Arial" w:eastAsia="Arial" w:hAnsi="Arial"/>
                <w:sz w:val="18"/>
                <w:szCs w:val="18"/>
                <w:color w:val="auto"/>
              </w:rPr>
              <w:t>Commercial paper</w:t>
            </w:r>
          </w:p>
        </w:tc>
        <w:tc>
          <w:tcPr>
            <w:tcW w:w="920" w:type="dxa"/>
            <w:vAlign w:val="bottom"/>
            <w:shd w:val="clear" w:color="auto" w:fill="E5E5E5"/>
          </w:tcPr>
          <w:p>
            <w:pPr>
              <w:jc w:val="center"/>
              <w:ind w:right="15"/>
              <w:spacing w:after="0"/>
              <w:rPr>
                <w:sz w:val="20"/>
                <w:szCs w:val="20"/>
                <w:color w:val="auto"/>
              </w:rPr>
            </w:pPr>
            <w:r>
              <w:rPr>
                <w:rFonts w:ascii="Arial" w:cs="Arial" w:eastAsia="Arial" w:hAnsi="Arial"/>
                <w:sz w:val="18"/>
                <w:szCs w:val="18"/>
                <w:color w:val="auto"/>
                <w:w w:val="99"/>
              </w:rPr>
              <w:t>Level 2</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1,184</w:t>
            </w:r>
          </w:p>
        </w:tc>
        <w:tc>
          <w:tcPr>
            <w:tcW w:w="2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0</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0</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1,184</w:t>
            </w:r>
          </w:p>
        </w:tc>
        <w:tc>
          <w:tcPr>
            <w:tcW w:w="200" w:type="dxa"/>
            <w:vAlign w:val="bottom"/>
            <w:shd w:val="clear" w:color="auto" w:fill="E5E5E5"/>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1,182</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2</w:t>
            </w:r>
          </w:p>
        </w:tc>
        <w:tc>
          <w:tcPr>
            <w:tcW w:w="26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Certificates of deposit</w:t>
            </w:r>
          </w:p>
        </w:tc>
        <w:tc>
          <w:tcPr>
            <w:tcW w:w="920" w:type="dxa"/>
            <w:vAlign w:val="bottom"/>
          </w:tcPr>
          <w:p>
            <w:pPr>
              <w:jc w:val="center"/>
              <w:ind w:right="15"/>
              <w:spacing w:after="0" w:line="202" w:lineRule="exact"/>
              <w:rPr>
                <w:sz w:val="20"/>
                <w:szCs w:val="20"/>
                <w:color w:val="auto"/>
              </w:rPr>
            </w:pPr>
            <w:r>
              <w:rPr>
                <w:rFonts w:ascii="Arial" w:cs="Arial" w:eastAsia="Arial" w:hAnsi="Arial"/>
                <w:sz w:val="18"/>
                <w:szCs w:val="18"/>
                <w:color w:val="auto"/>
                <w:w w:val="99"/>
              </w:rPr>
              <w:t>Level 2</w:t>
            </w:r>
          </w:p>
        </w:tc>
        <w:tc>
          <w:tcPr>
            <w:tcW w:w="16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1,844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0</w:t>
            </w:r>
          </w:p>
        </w:tc>
        <w:tc>
          <w:tcPr>
            <w:tcW w:w="16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16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1,844</w:t>
            </w:r>
          </w:p>
        </w:tc>
        <w:tc>
          <w:tcPr>
            <w:tcW w:w="20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1,800</w:t>
            </w:r>
          </w:p>
        </w:tc>
        <w:tc>
          <w:tcPr>
            <w:tcW w:w="12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3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U.S. government securities</w:t>
            </w:r>
          </w:p>
        </w:tc>
        <w:tc>
          <w:tcPr>
            <w:tcW w:w="920" w:type="dxa"/>
            <w:vAlign w:val="bottom"/>
            <w:shd w:val="clear" w:color="auto" w:fill="E5E5E5"/>
          </w:tcPr>
          <w:p>
            <w:pPr>
              <w:jc w:val="center"/>
              <w:ind w:right="15"/>
              <w:spacing w:after="0" w:line="202" w:lineRule="exact"/>
              <w:rPr>
                <w:sz w:val="20"/>
                <w:szCs w:val="20"/>
                <w:color w:val="auto"/>
              </w:rPr>
            </w:pPr>
            <w:r>
              <w:rPr>
                <w:rFonts w:ascii="Arial" w:cs="Arial" w:eastAsia="Arial" w:hAnsi="Arial"/>
                <w:sz w:val="18"/>
                <w:szCs w:val="18"/>
                <w:color w:val="auto"/>
                <w:w w:val="99"/>
              </w:rPr>
              <w:t>Level 1</w:t>
            </w:r>
          </w:p>
        </w:tc>
        <w:tc>
          <w:tcPr>
            <w:tcW w:w="16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42,694</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0</w:t>
            </w:r>
          </w:p>
        </w:tc>
        <w:tc>
          <w:tcPr>
            <w:tcW w:w="1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(1,587)</w:t>
            </w:r>
          </w:p>
        </w:tc>
        <w:tc>
          <w:tcPr>
            <w:tcW w:w="16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41,107</w:t>
            </w:r>
          </w:p>
        </w:tc>
        <w:tc>
          <w:tcPr>
            <w:tcW w:w="20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1,072</w:t>
            </w:r>
          </w:p>
        </w:tc>
        <w:tc>
          <w:tcPr>
            <w:tcW w:w="12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31,427</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8,608</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U.S. agency securities</w:t>
            </w:r>
          </w:p>
        </w:tc>
        <w:tc>
          <w:tcPr>
            <w:tcW w:w="920" w:type="dxa"/>
            <w:vAlign w:val="bottom"/>
          </w:tcPr>
          <w:p>
            <w:pPr>
              <w:jc w:val="center"/>
              <w:ind w:right="15"/>
              <w:spacing w:after="0" w:line="202" w:lineRule="exact"/>
              <w:rPr>
                <w:sz w:val="20"/>
                <w:szCs w:val="20"/>
                <w:color w:val="auto"/>
              </w:rPr>
            </w:pPr>
            <w:r>
              <w:rPr>
                <w:rFonts w:ascii="Arial" w:cs="Arial" w:eastAsia="Arial" w:hAnsi="Arial"/>
                <w:sz w:val="18"/>
                <w:szCs w:val="18"/>
                <w:color w:val="auto"/>
                <w:w w:val="99"/>
              </w:rPr>
              <w:t>Level 2</w:t>
            </w:r>
          </w:p>
        </w:tc>
        <w:tc>
          <w:tcPr>
            <w:tcW w:w="16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608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0</w:t>
            </w:r>
          </w:p>
        </w:tc>
        <w:tc>
          <w:tcPr>
            <w:tcW w:w="16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16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608</w:t>
            </w:r>
          </w:p>
        </w:tc>
        <w:tc>
          <w:tcPr>
            <w:tcW w:w="20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599</w:t>
            </w:r>
          </w:p>
        </w:tc>
        <w:tc>
          <w:tcPr>
            <w:tcW w:w="12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3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government bonds</w:t>
            </w:r>
          </w:p>
        </w:tc>
        <w:tc>
          <w:tcPr>
            <w:tcW w:w="920" w:type="dxa"/>
            <w:vAlign w:val="bottom"/>
            <w:shd w:val="clear" w:color="auto" w:fill="E5E5E5"/>
          </w:tcPr>
          <w:p>
            <w:pPr>
              <w:jc w:val="center"/>
              <w:ind w:right="15"/>
              <w:spacing w:after="0" w:line="202" w:lineRule="exact"/>
              <w:rPr>
                <w:sz w:val="20"/>
                <w:szCs w:val="20"/>
                <w:color w:val="auto"/>
              </w:rPr>
            </w:pPr>
            <w:r>
              <w:rPr>
                <w:rFonts w:ascii="Arial" w:cs="Arial" w:eastAsia="Arial" w:hAnsi="Arial"/>
                <w:sz w:val="18"/>
                <w:szCs w:val="18"/>
                <w:color w:val="auto"/>
                <w:w w:val="99"/>
              </w:rPr>
              <w:t>Level 2</w:t>
            </w:r>
          </w:p>
        </w:tc>
        <w:tc>
          <w:tcPr>
            <w:tcW w:w="16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203</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7</w:t>
            </w:r>
          </w:p>
        </w:tc>
        <w:tc>
          <w:tcPr>
            <w:tcW w:w="1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(10)</w:t>
            </w:r>
          </w:p>
        </w:tc>
        <w:tc>
          <w:tcPr>
            <w:tcW w:w="16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200</w:t>
            </w:r>
          </w:p>
        </w:tc>
        <w:tc>
          <w:tcPr>
            <w:tcW w:w="20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200</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4"/>
        </w:trPr>
        <w:tc>
          <w:tcPr>
            <w:tcW w:w="2360" w:type="dxa"/>
            <w:vAlign w:val="bottom"/>
          </w:tcPr>
          <w:p>
            <w:pPr>
              <w:spacing w:after="0" w:line="183" w:lineRule="exact"/>
              <w:rPr>
                <w:sz w:val="20"/>
                <w:szCs w:val="20"/>
                <w:color w:val="auto"/>
              </w:rPr>
            </w:pPr>
            <w:r>
              <w:rPr>
                <w:rFonts w:ascii="Arial" w:cs="Arial" w:eastAsia="Arial" w:hAnsi="Arial"/>
                <w:sz w:val="18"/>
                <w:szCs w:val="18"/>
                <w:color w:val="auto"/>
              </w:rPr>
              <w:t>Mortgage- and asset-</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360" w:type="dxa"/>
            <w:vAlign w:val="bottom"/>
          </w:tcPr>
          <w:p>
            <w:pPr>
              <w:ind w:left="60"/>
              <w:spacing w:after="0"/>
              <w:rPr>
                <w:sz w:val="20"/>
                <w:szCs w:val="20"/>
                <w:color w:val="auto"/>
              </w:rPr>
            </w:pPr>
            <w:r>
              <w:rPr>
                <w:rFonts w:ascii="Arial" w:cs="Arial" w:eastAsia="Arial" w:hAnsi="Arial"/>
                <w:sz w:val="18"/>
                <w:szCs w:val="18"/>
                <w:color w:val="auto"/>
              </w:rPr>
              <w:t>backed securities</w:t>
            </w:r>
          </w:p>
        </w:tc>
        <w:tc>
          <w:tcPr>
            <w:tcW w:w="920" w:type="dxa"/>
            <w:vAlign w:val="bottom"/>
          </w:tcPr>
          <w:p>
            <w:pPr>
              <w:jc w:val="center"/>
              <w:ind w:right="15"/>
              <w:spacing w:after="0"/>
              <w:rPr>
                <w:sz w:val="20"/>
                <w:szCs w:val="20"/>
                <w:color w:val="auto"/>
              </w:rPr>
            </w:pPr>
            <w:r>
              <w:rPr>
                <w:rFonts w:ascii="Arial" w:cs="Arial" w:eastAsia="Arial" w:hAnsi="Arial"/>
                <w:sz w:val="18"/>
                <w:szCs w:val="18"/>
                <w:color w:val="auto"/>
                <w:w w:val="99"/>
              </w:rPr>
              <w:t>Level 2</w:t>
            </w:r>
          </w:p>
        </w:tc>
        <w:tc>
          <w:tcPr>
            <w:tcW w:w="1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w:t>
            </w: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1,460</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3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Corporate notes and bonds</w:t>
            </w:r>
          </w:p>
        </w:tc>
        <w:tc>
          <w:tcPr>
            <w:tcW w:w="920" w:type="dxa"/>
            <w:vAlign w:val="bottom"/>
            <w:shd w:val="clear" w:color="auto" w:fill="E5E5E5"/>
          </w:tcPr>
          <w:p>
            <w:pPr>
              <w:jc w:val="center"/>
              <w:ind w:right="15"/>
              <w:spacing w:after="0" w:line="202" w:lineRule="exact"/>
              <w:rPr>
                <w:sz w:val="20"/>
                <w:szCs w:val="20"/>
                <w:color w:val="auto"/>
              </w:rPr>
            </w:pPr>
            <w:r>
              <w:rPr>
                <w:rFonts w:ascii="Arial" w:cs="Arial" w:eastAsia="Arial" w:hAnsi="Arial"/>
                <w:sz w:val="18"/>
                <w:szCs w:val="18"/>
                <w:color w:val="auto"/>
                <w:w w:val="99"/>
              </w:rPr>
              <w:t>Level 2</w:t>
            </w:r>
          </w:p>
        </w:tc>
        <w:tc>
          <w:tcPr>
            <w:tcW w:w="16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10,799</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11</w:t>
            </w:r>
          </w:p>
        </w:tc>
        <w:tc>
          <w:tcPr>
            <w:tcW w:w="1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(267)</w:t>
            </w:r>
          </w:p>
        </w:tc>
        <w:tc>
          <w:tcPr>
            <w:tcW w:w="16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10,543</w:t>
            </w:r>
          </w:p>
        </w:tc>
        <w:tc>
          <w:tcPr>
            <w:tcW w:w="20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10,543</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Corporate notes and bonds</w:t>
            </w:r>
          </w:p>
        </w:tc>
        <w:tc>
          <w:tcPr>
            <w:tcW w:w="920" w:type="dxa"/>
            <w:vAlign w:val="bottom"/>
          </w:tcPr>
          <w:p>
            <w:pPr>
              <w:jc w:val="center"/>
              <w:ind w:right="15"/>
              <w:spacing w:after="0" w:line="202" w:lineRule="exact"/>
              <w:rPr>
                <w:sz w:val="20"/>
                <w:szCs w:val="20"/>
                <w:color w:val="auto"/>
              </w:rPr>
            </w:pPr>
            <w:r>
              <w:rPr>
                <w:rFonts w:ascii="Arial" w:cs="Arial" w:eastAsia="Arial" w:hAnsi="Arial"/>
                <w:sz w:val="18"/>
                <w:szCs w:val="18"/>
                <w:color w:val="auto"/>
                <w:w w:val="99"/>
              </w:rPr>
              <w:t>Level 3</w:t>
            </w:r>
          </w:p>
        </w:tc>
        <w:tc>
          <w:tcPr>
            <w:tcW w:w="16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1,602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120</w:t>
            </w:r>
          </w:p>
        </w:tc>
        <w:tc>
          <w:tcPr>
            <w:tcW w:w="16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16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1,722</w:t>
            </w:r>
          </w:p>
        </w:tc>
        <w:tc>
          <w:tcPr>
            <w:tcW w:w="20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1,620</w:t>
            </w:r>
          </w:p>
        </w:tc>
        <w:tc>
          <w:tcPr>
            <w:tcW w:w="0" w:type="dxa"/>
            <w:vAlign w:val="bottom"/>
          </w:tcPr>
          <w:p>
            <w:pPr>
              <w:spacing w:after="0"/>
              <w:rPr>
                <w:sz w:val="1"/>
                <w:szCs w:val="1"/>
                <w:color w:val="auto"/>
              </w:rPr>
            </w:pPr>
          </w:p>
        </w:tc>
      </w:tr>
      <w:tr>
        <w:trPr>
          <w:trHeight w:val="203"/>
        </w:trPr>
        <w:tc>
          <w:tcPr>
            <w:tcW w:w="23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Municipal securities</w:t>
            </w:r>
          </w:p>
        </w:tc>
        <w:tc>
          <w:tcPr>
            <w:tcW w:w="920" w:type="dxa"/>
            <w:vAlign w:val="bottom"/>
            <w:shd w:val="clear" w:color="auto" w:fill="E5E5E5"/>
          </w:tcPr>
          <w:p>
            <w:pPr>
              <w:jc w:val="center"/>
              <w:ind w:right="15"/>
              <w:spacing w:after="0" w:line="202" w:lineRule="exact"/>
              <w:rPr>
                <w:sz w:val="20"/>
                <w:szCs w:val="20"/>
                <w:color w:val="auto"/>
              </w:rPr>
            </w:pPr>
            <w:r>
              <w:rPr>
                <w:rFonts w:ascii="Arial" w:cs="Arial" w:eastAsia="Arial" w:hAnsi="Arial"/>
                <w:sz w:val="18"/>
                <w:szCs w:val="18"/>
                <w:color w:val="auto"/>
                <w:w w:val="99"/>
              </w:rPr>
              <w:t>Level 2</w:t>
            </w:r>
          </w:p>
        </w:tc>
        <w:tc>
          <w:tcPr>
            <w:tcW w:w="16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148</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0</w:t>
            </w:r>
          </w:p>
        </w:tc>
        <w:tc>
          <w:tcPr>
            <w:tcW w:w="1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(11)</w:t>
            </w:r>
          </w:p>
        </w:tc>
        <w:tc>
          <w:tcPr>
            <w:tcW w:w="16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137</w:t>
            </w:r>
          </w:p>
        </w:tc>
        <w:tc>
          <w:tcPr>
            <w:tcW w:w="20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137</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Arial" w:cs="Arial" w:eastAsia="Arial" w:hAnsi="Arial"/>
                <w:sz w:val="18"/>
                <w:szCs w:val="18"/>
                <w:color w:val="auto"/>
              </w:rPr>
              <w:t>Municipal securities</w:t>
            </w:r>
          </w:p>
        </w:tc>
        <w:tc>
          <w:tcPr>
            <w:tcW w:w="920" w:type="dxa"/>
            <w:vAlign w:val="bottom"/>
          </w:tcPr>
          <w:p>
            <w:pPr>
              <w:jc w:val="center"/>
              <w:ind w:right="15"/>
              <w:spacing w:after="0"/>
              <w:rPr>
                <w:sz w:val="20"/>
                <w:szCs w:val="20"/>
                <w:color w:val="auto"/>
              </w:rPr>
            </w:pPr>
            <w:r>
              <w:rPr>
                <w:rFonts w:ascii="Arial" w:cs="Arial" w:eastAsia="Arial" w:hAnsi="Arial"/>
                <w:sz w:val="18"/>
                <w:szCs w:val="18"/>
                <w:color w:val="auto"/>
                <w:w w:val="99"/>
              </w:rPr>
              <w:t>Level 3</w:t>
            </w:r>
          </w:p>
        </w:tc>
        <w:tc>
          <w:tcPr>
            <w:tcW w:w="16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w:t>
            </w: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w:t>
            </w: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89</w:t>
            </w: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4"/>
        </w:trPr>
        <w:tc>
          <w:tcPr>
            <w:tcW w:w="236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36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Total debt investments</w:t>
            </w:r>
          </w:p>
        </w:tc>
        <w:tc>
          <w:tcPr>
            <w:tcW w:w="92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60,687</w:t>
            </w:r>
          </w:p>
        </w:tc>
        <w:tc>
          <w:tcPr>
            <w:tcW w:w="2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141</w:t>
            </w: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(1,934)</w:t>
            </w: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58,894</w:t>
            </w:r>
          </w:p>
        </w:tc>
        <w:tc>
          <w:tcPr>
            <w:tcW w:w="2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4,653</w:t>
            </w: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44,013</w:t>
            </w:r>
          </w:p>
        </w:tc>
        <w:tc>
          <w:tcPr>
            <w:tcW w:w="2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10,228</w:t>
            </w:r>
          </w:p>
        </w:tc>
        <w:tc>
          <w:tcPr>
            <w:tcW w:w="0" w:type="dxa"/>
            <w:vAlign w:val="bottom"/>
          </w:tcPr>
          <w:p>
            <w:pPr>
              <w:spacing w:after="0"/>
              <w:rPr>
                <w:sz w:val="1"/>
                <w:szCs w:val="1"/>
                <w:color w:val="auto"/>
              </w:rPr>
            </w:pPr>
          </w:p>
        </w:tc>
      </w:tr>
      <w:tr>
        <w:trPr>
          <w:trHeight w:val="74"/>
        </w:trPr>
        <w:tc>
          <w:tcPr>
            <w:tcW w:w="236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 Value Recorded in</w:t>
            </w:r>
          </w:p>
        </w:tc>
        <w:tc>
          <w:tcPr>
            <w:tcW w:w="9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Net Income</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360" w:type="dxa"/>
            <w:vAlign w:val="bottom"/>
            <w:shd w:val="clear" w:color="auto" w:fill="E5E5E5"/>
          </w:tcPr>
          <w:p>
            <w:pPr>
              <w:spacing w:after="0"/>
              <w:rPr>
                <w:sz w:val="20"/>
                <w:szCs w:val="20"/>
                <w:color w:val="auto"/>
              </w:rPr>
            </w:pPr>
            <w:r>
              <w:rPr>
                <w:rFonts w:ascii="Arial" w:cs="Arial" w:eastAsia="Arial" w:hAnsi="Arial"/>
                <w:sz w:val="18"/>
                <w:szCs w:val="18"/>
                <w:color w:val="auto"/>
              </w:rPr>
              <w:t>Equity investments</w:t>
            </w:r>
          </w:p>
        </w:tc>
        <w:tc>
          <w:tcPr>
            <w:tcW w:w="920" w:type="dxa"/>
            <w:vAlign w:val="bottom"/>
            <w:shd w:val="clear" w:color="auto" w:fill="E5E5E5"/>
          </w:tcPr>
          <w:p>
            <w:pPr>
              <w:jc w:val="center"/>
              <w:ind w:right="15"/>
              <w:spacing w:after="0"/>
              <w:rPr>
                <w:sz w:val="20"/>
                <w:szCs w:val="20"/>
                <w:color w:val="auto"/>
              </w:rPr>
            </w:pPr>
            <w:r>
              <w:rPr>
                <w:rFonts w:ascii="Arial" w:cs="Arial" w:eastAsia="Arial" w:hAnsi="Arial"/>
                <w:sz w:val="18"/>
                <w:szCs w:val="18"/>
                <w:color w:val="auto"/>
                <w:w w:val="99"/>
              </w:rPr>
              <w:t>Level 1</w:t>
            </w: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4,263</w:t>
            </w:r>
          </w:p>
        </w:tc>
        <w:tc>
          <w:tcPr>
            <w:tcW w:w="200" w:type="dxa"/>
            <w:vAlign w:val="bottom"/>
            <w:shd w:val="clear" w:color="auto" w:fill="E5E5E5"/>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1,598</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0</w:t>
            </w:r>
          </w:p>
        </w:tc>
        <w:tc>
          <w:tcPr>
            <w:tcW w:w="26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2,665</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Arial" w:cs="Arial" w:eastAsia="Arial" w:hAnsi="Arial"/>
                <w:sz w:val="18"/>
                <w:szCs w:val="18"/>
                <w:color w:val="auto"/>
              </w:rPr>
              <w:t>Equity investments</w:t>
            </w:r>
          </w:p>
        </w:tc>
        <w:tc>
          <w:tcPr>
            <w:tcW w:w="920" w:type="dxa"/>
            <w:vAlign w:val="bottom"/>
          </w:tcPr>
          <w:p>
            <w:pPr>
              <w:jc w:val="center"/>
              <w:ind w:right="35"/>
              <w:spacing w:after="0"/>
              <w:rPr>
                <w:sz w:val="20"/>
                <w:szCs w:val="20"/>
                <w:color w:val="auto"/>
              </w:rPr>
            </w:pPr>
            <w:r>
              <w:rPr>
                <w:rFonts w:ascii="Arial" w:cs="Arial" w:eastAsia="Arial" w:hAnsi="Arial"/>
                <w:sz w:val="18"/>
                <w:szCs w:val="18"/>
                <w:color w:val="auto"/>
                <w:w w:val="97"/>
              </w:rPr>
              <w:t>Other</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24,915</w:t>
            </w: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24,915</w:t>
            </w:r>
          </w:p>
        </w:tc>
        <w:tc>
          <w:tcPr>
            <w:tcW w:w="0" w:type="dxa"/>
            <w:vAlign w:val="bottom"/>
          </w:tcPr>
          <w:p>
            <w:pPr>
              <w:spacing w:after="0"/>
              <w:rPr>
                <w:sz w:val="1"/>
                <w:szCs w:val="1"/>
                <w:color w:val="auto"/>
              </w:rPr>
            </w:pPr>
          </w:p>
        </w:tc>
      </w:tr>
      <w:tr>
        <w:trPr>
          <w:trHeight w:val="34"/>
        </w:trPr>
        <w:tc>
          <w:tcPr>
            <w:tcW w:w="236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36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Total equity investments</w:t>
            </w:r>
          </w:p>
        </w:tc>
        <w:tc>
          <w:tcPr>
            <w:tcW w:w="9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29,178</w:t>
            </w:r>
          </w:p>
        </w:tc>
        <w:tc>
          <w:tcPr>
            <w:tcW w:w="2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1,598</w:t>
            </w: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0</w:t>
            </w:r>
          </w:p>
        </w:tc>
        <w:tc>
          <w:tcPr>
            <w:tcW w:w="2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27,580</w:t>
            </w:r>
          </w:p>
        </w:tc>
        <w:tc>
          <w:tcPr>
            <w:tcW w:w="0" w:type="dxa"/>
            <w:vAlign w:val="bottom"/>
          </w:tcPr>
          <w:p>
            <w:pPr>
              <w:spacing w:after="0"/>
              <w:rPr>
                <w:sz w:val="1"/>
                <w:szCs w:val="1"/>
                <w:color w:val="auto"/>
              </w:rPr>
            </w:pPr>
          </w:p>
        </w:tc>
      </w:tr>
      <w:tr>
        <w:trPr>
          <w:trHeight w:val="48"/>
        </w:trPr>
        <w:tc>
          <w:tcPr>
            <w:tcW w:w="2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Arial" w:cs="Arial" w:eastAsia="Arial" w:hAnsi="Arial"/>
                <w:sz w:val="18"/>
                <w:szCs w:val="18"/>
                <w:color w:val="auto"/>
              </w:rPr>
              <w:t>Cash</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14,030</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14,030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360" w:type="dxa"/>
            <w:vAlign w:val="bottom"/>
            <w:shd w:val="clear" w:color="auto" w:fill="E5E5E5"/>
          </w:tcPr>
          <w:p>
            <w:pPr>
              <w:spacing w:after="0" w:line="216" w:lineRule="exact"/>
              <w:rPr>
                <w:sz w:val="20"/>
                <w:szCs w:val="20"/>
                <w:color w:val="auto"/>
              </w:rPr>
            </w:pPr>
            <w:r>
              <w:rPr>
                <w:rFonts w:ascii="Arial" w:cs="Arial" w:eastAsia="Arial" w:hAnsi="Arial"/>
                <w:sz w:val="18"/>
                <w:szCs w:val="18"/>
                <w:color w:val="auto"/>
              </w:rPr>
              <w:t xml:space="preserve">Derivatives, net </w:t>
            </w:r>
            <w:r>
              <w:rPr>
                <w:rFonts w:ascii="Arial" w:cs="Arial" w:eastAsia="Arial" w:hAnsi="Arial"/>
                <w:sz w:val="24"/>
                <w:szCs w:val="24"/>
                <w:color w:val="auto"/>
                <w:vertAlign w:val="superscript"/>
              </w:rPr>
              <w:t>(a)</w:t>
            </w:r>
          </w:p>
        </w:tc>
        <w:tc>
          <w:tcPr>
            <w:tcW w:w="9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9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215</w:t>
            </w:r>
          </w:p>
        </w:tc>
        <w:tc>
          <w:tcPr>
            <w:tcW w:w="200" w:type="dxa"/>
            <w:vAlign w:val="bottom"/>
            <w:shd w:val="clear" w:color="auto" w:fill="E5E5E5"/>
          </w:tcPr>
          <w:p>
            <w:pPr>
              <w:spacing w:after="0"/>
              <w:rPr>
                <w:sz w:val="18"/>
                <w:szCs w:val="18"/>
                <w:color w:val="auto"/>
              </w:rPr>
            </w:pPr>
          </w:p>
        </w:tc>
        <w:tc>
          <w:tcPr>
            <w:tcW w:w="108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8"/>
                <w:szCs w:val="18"/>
                <w:color w:val="auto"/>
              </w:rPr>
            </w:pP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215</w:t>
            </w:r>
          </w:p>
        </w:tc>
        <w:tc>
          <w:tcPr>
            <w:tcW w:w="1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41"/>
        </w:trPr>
        <w:tc>
          <w:tcPr>
            <w:tcW w:w="2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360" w:type="dxa"/>
            <w:vAlign w:val="bottom"/>
          </w:tcPr>
          <w:p>
            <w:pPr>
              <w:ind w:left="6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102,317</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20,281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44,228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37,808</w:t>
            </w:r>
          </w:p>
        </w:tc>
        <w:tc>
          <w:tcPr>
            <w:tcW w:w="0" w:type="dxa"/>
            <w:vAlign w:val="bottom"/>
          </w:tcPr>
          <w:p>
            <w:pPr>
              <w:spacing w:after="0"/>
              <w:rPr>
                <w:sz w:val="1"/>
                <w:szCs w:val="1"/>
                <w:color w:val="auto"/>
              </w:rPr>
            </w:pPr>
          </w:p>
        </w:tc>
      </w:tr>
      <w:tr>
        <w:trPr>
          <w:trHeight w:val="613"/>
        </w:trPr>
        <w:tc>
          <w:tcPr>
            <w:tcW w:w="2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593"/>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23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3" w:name="page14"/>
    <w:bookmarkEnd w:id="13"/>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Adjusted</w:t>
            </w:r>
          </w:p>
        </w:tc>
        <w:tc>
          <w:tcPr>
            <w:tcW w:w="120" w:type="dxa"/>
            <w:vAlign w:val="bottom"/>
          </w:tcPr>
          <w:p>
            <w:pPr>
              <w:spacing w:after="0"/>
              <w:rPr>
                <w:sz w:val="13"/>
                <w:szCs w:val="13"/>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3"/>
                <w:szCs w:val="13"/>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Recorded</w:t>
            </w:r>
          </w:p>
        </w:tc>
        <w:tc>
          <w:tcPr>
            <w:tcW w:w="180" w:type="dxa"/>
            <w:vAlign w:val="bottom"/>
          </w:tcPr>
          <w:p>
            <w:pPr>
              <w:spacing w:after="0"/>
              <w:rPr>
                <w:sz w:val="13"/>
                <w:szCs w:val="1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Cash</w:t>
            </w:r>
          </w:p>
        </w:tc>
        <w:tc>
          <w:tcPr>
            <w:tcW w:w="140" w:type="dxa"/>
            <w:vAlign w:val="bottom"/>
          </w:tcPr>
          <w:p>
            <w:pPr>
              <w:spacing w:after="0"/>
              <w:rPr>
                <w:sz w:val="13"/>
                <w:szCs w:val="13"/>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Short-term</w:t>
            </w:r>
          </w:p>
        </w:tc>
        <w:tc>
          <w:tcPr>
            <w:tcW w:w="140" w:type="dxa"/>
            <w:vAlign w:val="bottom"/>
          </w:tcPr>
          <w:p>
            <w:pPr>
              <w:spacing w:after="0"/>
              <w:rPr>
                <w:sz w:val="13"/>
                <w:szCs w:val="13"/>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Equity and</w:t>
            </w:r>
          </w:p>
        </w:tc>
        <w:tc>
          <w:tcPr>
            <w:tcW w:w="0" w:type="dxa"/>
            <w:vAlign w:val="bottom"/>
          </w:tcPr>
          <w:p>
            <w:pPr>
              <w:spacing w:after="0"/>
              <w:rPr>
                <w:sz w:val="1"/>
                <w:szCs w:val="1"/>
                <w:color w:val="auto"/>
              </w:rPr>
            </w:pPr>
          </w:p>
        </w:tc>
      </w:tr>
      <w:tr>
        <w:trPr>
          <w:trHeight w:val="148"/>
        </w:trPr>
        <w:tc>
          <w:tcPr>
            <w:tcW w:w="23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Value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and Cash</w:t>
            </w: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Other</w:t>
            </w:r>
          </w:p>
        </w:tc>
        <w:tc>
          <w:tcPr>
            <w:tcW w:w="0" w:type="dxa"/>
            <w:vAlign w:val="bottom"/>
          </w:tcPr>
          <w:p>
            <w:pPr>
              <w:spacing w:after="0"/>
              <w:rPr>
                <w:sz w:val="1"/>
                <w:szCs w:val="1"/>
                <w:color w:val="auto"/>
              </w:rPr>
            </w:pPr>
          </w:p>
        </w:tc>
      </w:tr>
      <w:tr>
        <w:trPr>
          <w:trHeight w:val="197"/>
        </w:trPr>
        <w:tc>
          <w:tcPr>
            <w:tcW w:w="2360" w:type="dxa"/>
            <w:vAlign w:val="bottom"/>
            <w:vMerge w:val="continue"/>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Level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Basis</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Gains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Losses</w:t>
            </w: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Basis</w:t>
            </w:r>
          </w:p>
        </w:tc>
        <w:tc>
          <w:tcPr>
            <w:tcW w:w="18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Equivalents</w:t>
            </w:r>
          </w:p>
        </w:tc>
        <w:tc>
          <w:tcPr>
            <w:tcW w:w="14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Investments</w:t>
            </w:r>
          </w:p>
        </w:tc>
        <w:tc>
          <w:tcPr>
            <w:tcW w:w="1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212"/>
        </w:trPr>
        <w:tc>
          <w:tcPr>
            <w:tcW w:w="23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June 30, 2026</w:t>
            </w: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360" w:type="dxa"/>
            <w:vAlign w:val="bottom"/>
          </w:tcPr>
          <w:p>
            <w:pPr>
              <w:spacing w:after="0"/>
              <w:rPr>
                <w:sz w:val="20"/>
                <w:szCs w:val="20"/>
                <w:color w:val="auto"/>
              </w:rPr>
            </w:pPr>
            <w:r>
              <w:rPr>
                <w:rFonts w:ascii="Arial" w:cs="Arial" w:eastAsia="Arial" w:hAnsi="Arial"/>
                <w:sz w:val="13"/>
                <w:szCs w:val="13"/>
                <w:b w:val="1"/>
                <w:bCs w:val="1"/>
                <w:color w:val="auto"/>
              </w:rPr>
              <w:t>Changes in Fair Value Recorded in</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Other Comprehensive Income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360" w:type="dxa"/>
            <w:vAlign w:val="bottom"/>
            <w:shd w:val="clear" w:color="auto" w:fill="E5E5E5"/>
          </w:tcPr>
          <w:p>
            <w:pPr>
              <w:spacing w:after="0"/>
              <w:rPr>
                <w:sz w:val="20"/>
                <w:szCs w:val="20"/>
                <w:color w:val="auto"/>
              </w:rPr>
            </w:pPr>
            <w:r>
              <w:rPr>
                <w:rFonts w:ascii="Arial" w:cs="Arial" w:eastAsia="Arial" w:hAnsi="Arial"/>
                <w:sz w:val="18"/>
                <w:szCs w:val="18"/>
                <w:color w:val="auto"/>
              </w:rPr>
              <w:t>Commercial paper</w:t>
            </w:r>
          </w:p>
        </w:tc>
        <w:tc>
          <w:tcPr>
            <w:tcW w:w="8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Level 2</w:t>
            </w:r>
          </w:p>
        </w:tc>
        <w:tc>
          <w:tcPr>
            <w:tcW w:w="26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280"/>
              <w:spacing w:after="0"/>
              <w:rPr>
                <w:sz w:val="20"/>
                <w:szCs w:val="20"/>
                <w:color w:val="auto"/>
              </w:rPr>
            </w:pPr>
            <w:r>
              <w:rPr>
                <w:rFonts w:ascii="Arial" w:cs="Arial" w:eastAsia="Arial" w:hAnsi="Arial"/>
                <w:sz w:val="18"/>
                <w:szCs w:val="18"/>
                <w:color w:val="auto"/>
              </w:rPr>
              <w:t>2,987</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color w:val="auto"/>
              </w:rPr>
              <w:t>0</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color w:val="auto"/>
              </w:rPr>
              <w:t>2,987</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2,373</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614</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Certificates of deposit</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1,745</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w:t>
            </w:r>
          </w:p>
        </w:tc>
        <w:tc>
          <w:tcPr>
            <w:tcW w:w="16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1,745</w:t>
            </w:r>
          </w:p>
        </w:tc>
        <w:tc>
          <w:tcPr>
            <w:tcW w:w="18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1,701</w:t>
            </w:r>
          </w:p>
        </w:tc>
        <w:tc>
          <w:tcPr>
            <w:tcW w:w="14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44</w:t>
            </w:r>
          </w:p>
        </w:tc>
        <w:tc>
          <w:tcPr>
            <w:tcW w:w="14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3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U.S. government securities</w:t>
            </w:r>
          </w:p>
        </w:tc>
        <w:tc>
          <w:tcPr>
            <w:tcW w:w="82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1</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49,714</w:t>
            </w:r>
          </w:p>
        </w:tc>
        <w:tc>
          <w:tcPr>
            <w:tcW w:w="12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(1,154)</w:t>
            </w:r>
          </w:p>
        </w:tc>
        <w:tc>
          <w:tcPr>
            <w:tcW w:w="1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48,562</w:t>
            </w:r>
          </w:p>
        </w:tc>
        <w:tc>
          <w:tcPr>
            <w:tcW w:w="1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399</w:t>
            </w:r>
          </w:p>
        </w:tc>
        <w:tc>
          <w:tcPr>
            <w:tcW w:w="14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40,675</w:t>
            </w:r>
          </w:p>
        </w:tc>
        <w:tc>
          <w:tcPr>
            <w:tcW w:w="14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7,488</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U.S. agency securities</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3,133</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w:t>
            </w:r>
          </w:p>
        </w:tc>
        <w:tc>
          <w:tcPr>
            <w:tcW w:w="16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3,133</w:t>
            </w:r>
          </w:p>
        </w:tc>
        <w:tc>
          <w:tcPr>
            <w:tcW w:w="18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1,787</w:t>
            </w:r>
          </w:p>
        </w:tc>
        <w:tc>
          <w:tcPr>
            <w:tcW w:w="14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1,346</w:t>
            </w:r>
          </w:p>
        </w:tc>
        <w:tc>
          <w:tcPr>
            <w:tcW w:w="14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3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government bonds</w:t>
            </w:r>
          </w:p>
        </w:tc>
        <w:tc>
          <w:tcPr>
            <w:tcW w:w="82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221</w:t>
            </w:r>
          </w:p>
        </w:tc>
        <w:tc>
          <w:tcPr>
            <w:tcW w:w="12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12</w:t>
            </w: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(7)</w:t>
            </w:r>
          </w:p>
        </w:tc>
        <w:tc>
          <w:tcPr>
            <w:tcW w:w="16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226</w:t>
            </w:r>
          </w:p>
        </w:tc>
        <w:tc>
          <w:tcPr>
            <w:tcW w:w="2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226</w:t>
            </w:r>
          </w:p>
        </w:tc>
        <w:tc>
          <w:tcPr>
            <w:tcW w:w="14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4"/>
        </w:trPr>
        <w:tc>
          <w:tcPr>
            <w:tcW w:w="2360" w:type="dxa"/>
            <w:vAlign w:val="bottom"/>
          </w:tcPr>
          <w:p>
            <w:pPr>
              <w:spacing w:after="0" w:line="183" w:lineRule="exact"/>
              <w:rPr>
                <w:sz w:val="20"/>
                <w:szCs w:val="20"/>
                <w:color w:val="auto"/>
              </w:rPr>
            </w:pPr>
            <w:r>
              <w:rPr>
                <w:rFonts w:ascii="Arial" w:cs="Arial" w:eastAsia="Arial" w:hAnsi="Arial"/>
                <w:sz w:val="18"/>
                <w:szCs w:val="18"/>
                <w:color w:val="auto"/>
              </w:rPr>
              <w:t>Mortgage- and asset-</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360" w:type="dxa"/>
            <w:vAlign w:val="bottom"/>
          </w:tcPr>
          <w:p>
            <w:pPr>
              <w:ind w:left="60"/>
              <w:spacing w:after="0"/>
              <w:rPr>
                <w:sz w:val="20"/>
                <w:szCs w:val="20"/>
                <w:color w:val="auto"/>
              </w:rPr>
            </w:pPr>
            <w:r>
              <w:rPr>
                <w:rFonts w:ascii="Arial" w:cs="Arial" w:eastAsia="Arial" w:hAnsi="Arial"/>
                <w:sz w:val="18"/>
                <w:szCs w:val="18"/>
                <w:color w:val="auto"/>
              </w:rPr>
              <w:t>backed securities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Level 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1,795</w:t>
            </w:r>
          </w:p>
        </w:tc>
        <w:tc>
          <w:tcPr>
            <w:tcW w:w="1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1,795</w:t>
            </w:r>
          </w:p>
        </w:tc>
        <w:tc>
          <w:tcPr>
            <w:tcW w:w="1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3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Corporate notes and bonds</w:t>
            </w:r>
          </w:p>
        </w:tc>
        <w:tc>
          <w:tcPr>
            <w:tcW w:w="82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10,682</w:t>
            </w:r>
          </w:p>
        </w:tc>
        <w:tc>
          <w:tcPr>
            <w:tcW w:w="12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49</w:t>
            </w: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(71)</w:t>
            </w:r>
          </w:p>
        </w:tc>
        <w:tc>
          <w:tcPr>
            <w:tcW w:w="1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10,660</w:t>
            </w:r>
          </w:p>
        </w:tc>
        <w:tc>
          <w:tcPr>
            <w:tcW w:w="1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10,660</w:t>
            </w:r>
          </w:p>
        </w:tc>
        <w:tc>
          <w:tcPr>
            <w:tcW w:w="14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Corporate notes and bonds</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9"/>
              </w:rPr>
              <w:t>Level 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1,618</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w:t>
            </w:r>
          </w:p>
        </w:tc>
        <w:tc>
          <w:tcPr>
            <w:tcW w:w="16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1,738</w:t>
            </w:r>
          </w:p>
        </w:tc>
        <w:tc>
          <w:tcPr>
            <w:tcW w:w="18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0</w:t>
            </w:r>
          </w:p>
        </w:tc>
        <w:tc>
          <w:tcPr>
            <w:tcW w:w="14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118</w:t>
            </w:r>
          </w:p>
        </w:tc>
        <w:tc>
          <w:tcPr>
            <w:tcW w:w="14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03"/>
        </w:trPr>
        <w:tc>
          <w:tcPr>
            <w:tcW w:w="23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Municipal securities</w:t>
            </w:r>
          </w:p>
        </w:tc>
        <w:tc>
          <w:tcPr>
            <w:tcW w:w="82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152</w:t>
            </w:r>
          </w:p>
        </w:tc>
        <w:tc>
          <w:tcPr>
            <w:tcW w:w="12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(5)</w:t>
            </w:r>
          </w:p>
        </w:tc>
        <w:tc>
          <w:tcPr>
            <w:tcW w:w="16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147</w:t>
            </w:r>
          </w:p>
        </w:tc>
        <w:tc>
          <w:tcPr>
            <w:tcW w:w="2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147</w:t>
            </w:r>
          </w:p>
        </w:tc>
        <w:tc>
          <w:tcPr>
            <w:tcW w:w="14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1"/>
        </w:trPr>
        <w:tc>
          <w:tcPr>
            <w:tcW w:w="2360" w:type="dxa"/>
            <w:vAlign w:val="bottom"/>
          </w:tcPr>
          <w:p>
            <w:pPr>
              <w:spacing w:after="0"/>
              <w:rPr>
                <w:sz w:val="20"/>
                <w:szCs w:val="20"/>
                <w:color w:val="auto"/>
              </w:rPr>
            </w:pPr>
            <w:r>
              <w:rPr>
                <w:rFonts w:ascii="Arial" w:cs="Arial" w:eastAsia="Arial" w:hAnsi="Arial"/>
                <w:sz w:val="18"/>
                <w:szCs w:val="18"/>
                <w:color w:val="auto"/>
              </w:rPr>
              <w:t>Municipal securities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Level 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6"/>
        </w:trPr>
        <w:tc>
          <w:tcPr>
            <w:tcW w:w="236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36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Total debt investments</w:t>
            </w:r>
          </w:p>
        </w:tc>
        <w:tc>
          <w:tcPr>
            <w:tcW w:w="820" w:type="dxa"/>
            <w:vAlign w:val="bottom"/>
            <w:shd w:val="clear" w:color="auto" w:fill="E5E5E5"/>
          </w:tcPr>
          <w:p>
            <w:pPr>
              <w:spacing w:after="0"/>
              <w:rPr>
                <w:sz w:val="17"/>
                <w:szCs w:val="17"/>
                <w:color w:val="auto"/>
              </w:rPr>
            </w:pPr>
          </w:p>
        </w:tc>
        <w:tc>
          <w:tcPr>
            <w:tcW w:w="2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72,170</w:t>
            </w: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188</w:t>
            </w:r>
          </w:p>
        </w:tc>
        <w:tc>
          <w:tcPr>
            <w:tcW w:w="3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(1,274)</w:t>
            </w: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71,084</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6,260</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55,716</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48"/>
        </w:trPr>
        <w:tc>
          <w:tcPr>
            <w:tcW w:w="236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 Value Recorded in</w:t>
            </w: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Net Income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360" w:type="dxa"/>
            <w:vAlign w:val="bottom"/>
            <w:shd w:val="clear" w:color="auto" w:fill="E5E5E5"/>
          </w:tcPr>
          <w:p>
            <w:pPr>
              <w:spacing w:after="0"/>
              <w:rPr>
                <w:sz w:val="20"/>
                <w:szCs w:val="20"/>
                <w:color w:val="auto"/>
              </w:rPr>
            </w:pPr>
            <w:r>
              <w:rPr>
                <w:rFonts w:ascii="Arial" w:cs="Arial" w:eastAsia="Arial" w:hAnsi="Arial"/>
                <w:sz w:val="18"/>
                <w:szCs w:val="18"/>
                <w:color w:val="auto"/>
              </w:rPr>
              <w:t>Equity investments</w:t>
            </w:r>
          </w:p>
        </w:tc>
        <w:tc>
          <w:tcPr>
            <w:tcW w:w="8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Level 1</w:t>
            </w:r>
          </w:p>
        </w:tc>
        <w:tc>
          <w:tcPr>
            <w:tcW w:w="1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color w:val="auto"/>
              </w:rPr>
              <w:t>4,289</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1,616</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41"/>
        </w:trPr>
        <w:tc>
          <w:tcPr>
            <w:tcW w:w="2360" w:type="dxa"/>
            <w:vAlign w:val="bottom"/>
          </w:tcPr>
          <w:p>
            <w:pPr>
              <w:spacing w:after="0"/>
              <w:rPr>
                <w:sz w:val="20"/>
                <w:szCs w:val="20"/>
                <w:color w:val="auto"/>
              </w:rPr>
            </w:pPr>
            <w:r>
              <w:rPr>
                <w:rFonts w:ascii="Arial" w:cs="Arial" w:eastAsia="Arial" w:hAnsi="Arial"/>
                <w:sz w:val="18"/>
                <w:szCs w:val="18"/>
                <w:color w:val="auto"/>
              </w:rPr>
              <w:t>Equity investments</w:t>
            </w:r>
          </w:p>
        </w:tc>
        <w:tc>
          <w:tcPr>
            <w:tcW w:w="820" w:type="dxa"/>
            <w:vAlign w:val="bottom"/>
          </w:tcPr>
          <w:p>
            <w:pPr>
              <w:jc w:val="center"/>
              <w:spacing w:after="0"/>
              <w:rPr>
                <w:sz w:val="20"/>
                <w:szCs w:val="20"/>
                <w:color w:val="auto"/>
              </w:rPr>
            </w:pPr>
            <w:r>
              <w:rPr>
                <w:rFonts w:ascii="Arial" w:cs="Arial" w:eastAsia="Arial" w:hAnsi="Arial"/>
                <w:sz w:val="18"/>
                <w:szCs w:val="18"/>
                <w:color w:val="auto"/>
                <w:w w:val="97"/>
              </w:rPr>
              <w:t>Other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24,567</w:t>
            </w:r>
          </w:p>
        </w:tc>
        <w:tc>
          <w:tcPr>
            <w:tcW w:w="18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24,567</w:t>
            </w:r>
          </w:p>
        </w:tc>
        <w:tc>
          <w:tcPr>
            <w:tcW w:w="0" w:type="dxa"/>
            <w:vAlign w:val="bottom"/>
          </w:tcPr>
          <w:p>
            <w:pPr>
              <w:spacing w:after="0"/>
              <w:rPr>
                <w:sz w:val="1"/>
                <w:szCs w:val="1"/>
                <w:color w:val="auto"/>
              </w:rPr>
            </w:pPr>
          </w:p>
        </w:tc>
      </w:tr>
      <w:tr>
        <w:trPr>
          <w:trHeight w:val="36"/>
        </w:trPr>
        <w:tc>
          <w:tcPr>
            <w:tcW w:w="236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36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Total equity investments</w:t>
            </w:r>
          </w:p>
        </w:tc>
        <w:tc>
          <w:tcPr>
            <w:tcW w:w="8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28,856</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1,616</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27,240</w:t>
            </w:r>
          </w:p>
        </w:tc>
        <w:tc>
          <w:tcPr>
            <w:tcW w:w="0" w:type="dxa"/>
            <w:vAlign w:val="bottom"/>
          </w:tcPr>
          <w:p>
            <w:pPr>
              <w:spacing w:after="0"/>
              <w:rPr>
                <w:sz w:val="1"/>
                <w:szCs w:val="1"/>
                <w:color w:val="auto"/>
              </w:rPr>
            </w:pPr>
          </w:p>
        </w:tc>
      </w:tr>
      <w:tr>
        <w:trPr>
          <w:trHeight w:val="48"/>
        </w:trPr>
        <w:tc>
          <w:tcPr>
            <w:tcW w:w="2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Arial" w:cs="Arial" w:eastAsia="Arial" w:hAnsi="Arial"/>
                <w:sz w:val="18"/>
                <w:szCs w:val="18"/>
                <w:color w:val="auto"/>
              </w:rPr>
              <w:t>Cash</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13,059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13,059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360" w:type="dxa"/>
            <w:vAlign w:val="bottom"/>
            <w:shd w:val="clear" w:color="auto" w:fill="E5E5E5"/>
          </w:tcPr>
          <w:p>
            <w:pPr>
              <w:spacing w:after="0" w:line="216" w:lineRule="exact"/>
              <w:rPr>
                <w:sz w:val="20"/>
                <w:szCs w:val="20"/>
                <w:color w:val="auto"/>
              </w:rPr>
            </w:pPr>
            <w:r>
              <w:rPr>
                <w:rFonts w:ascii="Arial" w:cs="Arial" w:eastAsia="Arial" w:hAnsi="Arial"/>
                <w:sz w:val="18"/>
                <w:szCs w:val="18"/>
                <w:color w:val="auto"/>
              </w:rPr>
              <w:t xml:space="preserve">Derivatives, net </w:t>
            </w:r>
            <w:r>
              <w:rPr>
                <w:rFonts w:ascii="Arial" w:cs="Arial" w:eastAsia="Arial" w:hAnsi="Arial"/>
                <w:sz w:val="24"/>
                <w:szCs w:val="24"/>
                <w:color w:val="auto"/>
                <w:vertAlign w:val="superscript"/>
              </w:rPr>
              <w:t>(a)</w:t>
            </w:r>
          </w:p>
        </w:tc>
        <w:tc>
          <w:tcPr>
            <w:tcW w:w="8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108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18"/>
                <w:szCs w:val="18"/>
                <w:color w:val="auto"/>
              </w:rPr>
            </w:pPr>
          </w:p>
        </w:tc>
        <w:tc>
          <w:tcPr>
            <w:tcW w:w="106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E5E5E5"/>
          </w:tcPr>
          <w:p>
            <w:pPr>
              <w:spacing w:after="0"/>
              <w:rPr>
                <w:sz w:val="18"/>
                <w:szCs w:val="18"/>
                <w:color w:val="auto"/>
              </w:rPr>
            </w:pPr>
          </w:p>
        </w:tc>
        <w:tc>
          <w:tcPr>
            <w:tcW w:w="9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
        </w:trPr>
        <w:tc>
          <w:tcPr>
            <w:tcW w:w="2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360" w:type="dxa"/>
            <w:vAlign w:val="bottom"/>
          </w:tcPr>
          <w:p>
            <w:pPr>
              <w:ind w:left="60"/>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113,191</w:t>
            </w:r>
          </w:p>
        </w:tc>
        <w:tc>
          <w:tcPr>
            <w:tcW w:w="2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20,935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55,908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36,348</w:t>
            </w:r>
          </w:p>
        </w:tc>
        <w:tc>
          <w:tcPr>
            <w:tcW w:w="0" w:type="dxa"/>
            <w:vAlign w:val="bottom"/>
          </w:tcPr>
          <w:p>
            <w:pPr>
              <w:spacing w:after="0"/>
              <w:rPr>
                <w:sz w:val="1"/>
                <w:szCs w:val="1"/>
                <w:color w:val="auto"/>
              </w:rPr>
            </w:pPr>
          </w:p>
        </w:tc>
      </w:tr>
      <w:tr>
        <w:trPr>
          <w:trHeight w:val="30"/>
        </w:trPr>
        <w:tc>
          <w:tcPr>
            <w:tcW w:w="2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fair value of our derivative instruments.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Equity investments presented as “Other” in the tables above include investments without readily determinable fair values measured at cost with adjustments for observable changes in price or impairments, measured using the equity method, or measured at fair value using net asset value as a practical expedient which are not categorized in the fair value hierarchy. As of both September 30, 2026 and June 30, 2026, equity investments without readily determinable fair values measured at cost with adjustments for observable changes in price or impairments were $12.4 billion. As of September 30, 2026 and June 30, 2026, equity investments measured using the equity method were $12.4 billion and $12.0 billion,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4" w:name="page15"/>
    <w:bookmarkEnd w:id="14"/>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Losses on Debt Investments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Debt investments with continuous unrealized losses for less than 12 months and 12 months or greater and their related fair values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4"/>
          </w:tcPr>
          <w:p>
            <w:pPr>
              <w:jc w:val="right"/>
              <w:spacing w:after="0"/>
              <w:rPr>
                <w:sz w:val="20"/>
                <w:szCs w:val="20"/>
                <w:color w:val="auto"/>
              </w:rPr>
            </w:pPr>
            <w:r>
              <w:rPr>
                <w:rFonts w:ascii="Arial" w:cs="Arial" w:eastAsia="Arial" w:hAnsi="Arial"/>
                <w:sz w:val="13"/>
                <w:szCs w:val="13"/>
                <w:b w:val="1"/>
                <w:bCs w:val="1"/>
                <w:color w:val="auto"/>
              </w:rPr>
              <w:t>Less than 12 Months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7"/>
          </w:tcPr>
          <w:p>
            <w:pPr>
              <w:jc w:val="right"/>
              <w:ind w:right="220"/>
              <w:spacing w:after="0"/>
              <w:rPr>
                <w:sz w:val="20"/>
                <w:szCs w:val="20"/>
                <w:color w:val="auto"/>
              </w:rPr>
            </w:pPr>
            <w:r>
              <w:rPr>
                <w:rFonts w:ascii="Arial" w:cs="Arial" w:eastAsia="Arial" w:hAnsi="Arial"/>
                <w:sz w:val="13"/>
                <w:szCs w:val="13"/>
                <w:b w:val="1"/>
                <w:bCs w:val="1"/>
                <w:color w:val="auto"/>
              </w:rPr>
              <w:t>12 Months or Greater</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vMerge w:val="restart"/>
          </w:tcPr>
          <w:p>
            <w:pPr>
              <w:jc w:val="right"/>
              <w:ind w:righ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
        </w:trPr>
        <w:tc>
          <w:tcPr>
            <w:tcW w:w="3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Unrealized</w:t>
            </w:r>
          </w:p>
        </w:tc>
        <w:tc>
          <w:tcPr>
            <w:tcW w:w="20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60" w:type="dxa"/>
            <w:vAlign w:val="bottom"/>
          </w:tcPr>
          <w:p>
            <w:pPr>
              <w:spacing w:after="0"/>
              <w:rPr>
                <w:sz w:val="2"/>
                <w:szCs w:val="2"/>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9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Fair Value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97"/>
        </w:trPr>
        <w:tc>
          <w:tcPr>
            <w:tcW w:w="3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Losses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6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221"/>
        </w:trPr>
        <w:tc>
          <w:tcPr>
            <w:tcW w:w="39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September 30, 2026</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60" w:type="dxa"/>
            <w:vAlign w:val="bottom"/>
            <w:tcBorders>
              <w:right w:val="single" w:sz="8" w:color="E5E5E5"/>
            </w:tcBorders>
            <w:shd w:val="clear" w:color="auto" w:fill="E5E5E5"/>
          </w:tcPr>
          <w:p>
            <w:pPr>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16,229</w:t>
            </w:r>
          </w:p>
        </w:tc>
        <w:tc>
          <w:tcPr>
            <w:tcW w:w="4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(377)</w:t>
            </w:r>
          </w:p>
        </w:tc>
        <w:tc>
          <w:tcPr>
            <w:tcW w:w="28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19,542</w:t>
            </w:r>
          </w:p>
        </w:tc>
        <w:tc>
          <w:tcPr>
            <w:tcW w:w="80" w:type="dxa"/>
            <w:vAlign w:val="bottom"/>
            <w:shd w:val="clear" w:color="auto" w:fill="E5E5E5"/>
          </w:tcPr>
          <w:p>
            <w:pPr>
              <w:spacing w:after="0"/>
              <w:rPr>
                <w:sz w:val="18"/>
                <w:szCs w:val="18"/>
                <w:color w:val="auto"/>
              </w:rPr>
            </w:pPr>
          </w:p>
        </w:tc>
        <w:tc>
          <w:tcPr>
            <w:tcW w:w="3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(1,210)</w:t>
            </w:r>
          </w:p>
        </w:tc>
        <w:tc>
          <w:tcPr>
            <w:tcW w:w="260" w:type="dxa"/>
            <w:vAlign w:val="bottom"/>
            <w:tcBorders>
              <w:left w:val="single" w:sz="8" w:color="E5E5E5"/>
            </w:tcBorders>
            <w:shd w:val="clear" w:color="auto" w:fill="E5E5E5"/>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35,771</w:t>
            </w:r>
          </w:p>
        </w:tc>
        <w:tc>
          <w:tcPr>
            <w:tcW w:w="80" w:type="dxa"/>
            <w:vAlign w:val="bottom"/>
            <w:shd w:val="clear" w:color="auto" w:fill="E5E5E5"/>
          </w:tcPr>
          <w:p>
            <w:pPr>
              <w:spacing w:after="0"/>
              <w:rPr>
                <w:sz w:val="18"/>
                <w:szCs w:val="18"/>
                <w:color w:val="auto"/>
              </w:rPr>
            </w:pPr>
          </w:p>
        </w:tc>
        <w:tc>
          <w:tcPr>
            <w:tcW w:w="3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(1,587)</w:t>
            </w:r>
          </w:p>
        </w:tc>
        <w:tc>
          <w:tcPr>
            <w:tcW w:w="0" w:type="dxa"/>
            <w:vAlign w:val="bottom"/>
          </w:tcPr>
          <w:p>
            <w:pPr>
              <w:spacing w:after="0"/>
              <w:rPr>
                <w:sz w:val="1"/>
                <w:szCs w:val="1"/>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Foreign government bonds</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(7)</w:t>
            </w:r>
          </w:p>
        </w:tc>
        <w:tc>
          <w:tcPr>
            <w:tcW w:w="260" w:type="dxa"/>
            <w:vAlign w:val="bottom"/>
          </w:tcPr>
          <w:p>
            <w:pPr>
              <w:spacing w:after="0"/>
              <w:rPr>
                <w:sz w:val="17"/>
                <w:szCs w:val="17"/>
                <w:color w:val="auto"/>
              </w:rPr>
            </w:pP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131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3"/>
        </w:trPr>
        <w:tc>
          <w:tcPr>
            <w:tcW w:w="3960" w:type="dxa"/>
            <w:vAlign w:val="bottom"/>
            <w:tcBorders>
              <w:right w:val="single" w:sz="8" w:color="E5E5E5"/>
            </w:tcBorders>
            <w:shd w:val="clear" w:color="auto" w:fill="E5E5E5"/>
          </w:tcPr>
          <w:p>
            <w:pPr>
              <w:spacing w:after="0" w:line="202" w:lineRule="exact"/>
              <w:rPr>
                <w:sz w:val="20"/>
                <w:szCs w:val="20"/>
                <w:color w:val="auto"/>
              </w:rPr>
            </w:pPr>
            <w:r>
              <w:rPr>
                <w:rFonts w:ascii="Arial" w:cs="Arial" w:eastAsia="Arial" w:hAnsi="Arial"/>
                <w:sz w:val="18"/>
                <w:szCs w:val="18"/>
                <w:color w:val="auto"/>
              </w:rPr>
              <w:t>Mortgage- and asset-backed securities</w:t>
            </w:r>
          </w:p>
        </w:tc>
        <w:tc>
          <w:tcPr>
            <w:tcW w:w="24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1,138</w:t>
            </w:r>
          </w:p>
        </w:tc>
        <w:tc>
          <w:tcPr>
            <w:tcW w:w="240" w:type="dxa"/>
            <w:vAlign w:val="bottom"/>
            <w:tcBorders>
              <w:right w:val="single" w:sz="8" w:color="E5E5E5"/>
            </w:tcBorders>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(21)</w:t>
            </w:r>
          </w:p>
        </w:tc>
        <w:tc>
          <w:tcPr>
            <w:tcW w:w="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120</w:t>
            </w:r>
          </w:p>
        </w:tc>
        <w:tc>
          <w:tcPr>
            <w:tcW w:w="80" w:type="dxa"/>
            <w:vAlign w:val="bottom"/>
            <w:shd w:val="clear" w:color="auto" w:fill="E5E5E5"/>
          </w:tcPr>
          <w:p>
            <w:pPr>
              <w:spacing w:after="0"/>
              <w:rPr>
                <w:sz w:val="17"/>
                <w:szCs w:val="17"/>
                <w:color w:val="auto"/>
              </w:rPr>
            </w:pPr>
          </w:p>
        </w:tc>
        <w:tc>
          <w:tcPr>
            <w:tcW w:w="140" w:type="dxa"/>
            <w:vAlign w:val="bottom"/>
            <w:tcBorders>
              <w:right w:val="single" w:sz="8" w:color="E5E5E5"/>
            </w:tcBorders>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(22)</w:t>
            </w:r>
          </w:p>
        </w:tc>
        <w:tc>
          <w:tcPr>
            <w:tcW w:w="260" w:type="dxa"/>
            <w:vAlign w:val="bottom"/>
            <w:tcBorders>
              <w:left w:val="single" w:sz="8" w:color="E5E5E5"/>
            </w:tcBorders>
            <w:shd w:val="clear" w:color="auto" w:fill="E5E5E5"/>
          </w:tcPr>
          <w:p>
            <w:pPr>
              <w:spacing w:after="0"/>
              <w:rPr>
                <w:sz w:val="17"/>
                <w:szCs w:val="17"/>
                <w:color w:val="auto"/>
              </w:rPr>
            </w:pPr>
          </w:p>
        </w:tc>
        <w:tc>
          <w:tcPr>
            <w:tcW w:w="8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1,258</w:t>
            </w:r>
          </w:p>
        </w:tc>
        <w:tc>
          <w:tcPr>
            <w:tcW w:w="80" w:type="dxa"/>
            <w:vAlign w:val="bottom"/>
            <w:shd w:val="clear" w:color="auto" w:fill="E5E5E5"/>
          </w:tcPr>
          <w:p>
            <w:pPr>
              <w:spacing w:after="0"/>
              <w:rPr>
                <w:sz w:val="17"/>
                <w:szCs w:val="17"/>
                <w:color w:val="auto"/>
              </w:rPr>
            </w:pPr>
          </w:p>
        </w:tc>
        <w:tc>
          <w:tcPr>
            <w:tcW w:w="140" w:type="dxa"/>
            <w:vAlign w:val="bottom"/>
            <w:tcBorders>
              <w:right w:val="single" w:sz="8" w:color="E5E5E5"/>
            </w:tcBorders>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00" w:type="dxa"/>
            <w:vAlign w:val="bottom"/>
            <w:gridSpan w:val="3"/>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Corporate notes and bonds</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8,739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(208)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1,100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(59)</w:t>
            </w:r>
          </w:p>
        </w:tc>
        <w:tc>
          <w:tcPr>
            <w:tcW w:w="260" w:type="dxa"/>
            <w:vAlign w:val="bottom"/>
          </w:tcPr>
          <w:p>
            <w:pPr>
              <w:spacing w:after="0"/>
              <w:rPr>
                <w:sz w:val="17"/>
                <w:szCs w:val="17"/>
                <w:color w:val="auto"/>
              </w:rPr>
            </w:pP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9,839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(267)</w:t>
            </w:r>
          </w:p>
        </w:tc>
        <w:tc>
          <w:tcPr>
            <w:tcW w:w="0" w:type="dxa"/>
            <w:vAlign w:val="bottom"/>
          </w:tcPr>
          <w:p>
            <w:pPr>
              <w:spacing w:after="0"/>
              <w:rPr>
                <w:sz w:val="1"/>
                <w:szCs w:val="1"/>
                <w:color w:val="auto"/>
              </w:rPr>
            </w:pPr>
          </w:p>
        </w:tc>
      </w:tr>
      <w:tr>
        <w:trPr>
          <w:trHeight w:val="203"/>
        </w:trPr>
        <w:tc>
          <w:tcPr>
            <w:tcW w:w="3960" w:type="dxa"/>
            <w:vAlign w:val="bottom"/>
            <w:tcBorders>
              <w:right w:val="single" w:sz="8" w:color="E5E5E5"/>
            </w:tcBorders>
            <w:shd w:val="clear" w:color="auto" w:fill="E5E5E5"/>
          </w:tcPr>
          <w:p>
            <w:pPr>
              <w:spacing w:after="0" w:line="202" w:lineRule="exact"/>
              <w:rPr>
                <w:sz w:val="20"/>
                <w:szCs w:val="20"/>
                <w:color w:val="auto"/>
              </w:rPr>
            </w:pPr>
            <w:r>
              <w:rPr>
                <w:rFonts w:ascii="Arial" w:cs="Arial" w:eastAsia="Arial" w:hAnsi="Arial"/>
                <w:sz w:val="18"/>
                <w:szCs w:val="18"/>
                <w:color w:val="auto"/>
              </w:rPr>
              <w:t>Municipal securities</w:t>
            </w:r>
          </w:p>
        </w:tc>
        <w:tc>
          <w:tcPr>
            <w:tcW w:w="24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23</w:t>
            </w:r>
          </w:p>
        </w:tc>
        <w:tc>
          <w:tcPr>
            <w:tcW w:w="240" w:type="dxa"/>
            <w:vAlign w:val="bottom"/>
            <w:tcBorders>
              <w:right w:val="single" w:sz="8" w:color="E5E5E5"/>
            </w:tcBorders>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144</w:t>
            </w:r>
          </w:p>
        </w:tc>
        <w:tc>
          <w:tcPr>
            <w:tcW w:w="80" w:type="dxa"/>
            <w:vAlign w:val="bottom"/>
            <w:shd w:val="clear" w:color="auto" w:fill="E5E5E5"/>
          </w:tcPr>
          <w:p>
            <w:pPr>
              <w:spacing w:after="0"/>
              <w:rPr>
                <w:sz w:val="17"/>
                <w:szCs w:val="17"/>
                <w:color w:val="auto"/>
              </w:rPr>
            </w:pPr>
          </w:p>
        </w:tc>
        <w:tc>
          <w:tcPr>
            <w:tcW w:w="140" w:type="dxa"/>
            <w:vAlign w:val="bottom"/>
            <w:tcBorders>
              <w:right w:val="single" w:sz="8" w:color="E5E5E5"/>
            </w:tcBorders>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(26)</w:t>
            </w:r>
          </w:p>
        </w:tc>
        <w:tc>
          <w:tcPr>
            <w:tcW w:w="260" w:type="dxa"/>
            <w:vAlign w:val="bottom"/>
            <w:tcBorders>
              <w:left w:val="single" w:sz="8" w:color="E5E5E5"/>
            </w:tcBorders>
            <w:shd w:val="clear" w:color="auto" w:fill="E5E5E5"/>
          </w:tcPr>
          <w:p>
            <w:pPr>
              <w:spacing w:after="0"/>
              <w:rPr>
                <w:sz w:val="17"/>
                <w:szCs w:val="17"/>
                <w:color w:val="auto"/>
              </w:rPr>
            </w:pPr>
          </w:p>
        </w:tc>
        <w:tc>
          <w:tcPr>
            <w:tcW w:w="8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167</w:t>
            </w:r>
          </w:p>
        </w:tc>
        <w:tc>
          <w:tcPr>
            <w:tcW w:w="80" w:type="dxa"/>
            <w:vAlign w:val="bottom"/>
            <w:shd w:val="clear" w:color="auto" w:fill="E5E5E5"/>
          </w:tcPr>
          <w:p>
            <w:pPr>
              <w:spacing w:after="0"/>
              <w:rPr>
                <w:sz w:val="17"/>
                <w:szCs w:val="17"/>
                <w:color w:val="auto"/>
              </w:rPr>
            </w:pPr>
          </w:p>
        </w:tc>
        <w:tc>
          <w:tcPr>
            <w:tcW w:w="140" w:type="dxa"/>
            <w:vAlign w:val="bottom"/>
            <w:tcBorders>
              <w:right w:val="single" w:sz="8" w:color="E5E5E5"/>
            </w:tcBorders>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00" w:type="dxa"/>
            <w:vAlign w:val="bottom"/>
            <w:gridSpan w:val="3"/>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41"/>
        </w:trPr>
        <w:tc>
          <w:tcPr>
            <w:tcW w:w="3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3960" w:type="dxa"/>
            <w:vAlign w:val="bottom"/>
          </w:tcPr>
          <w:p>
            <w:pPr>
              <w:ind w:left="10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26,233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(610)</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20,933</w:t>
            </w:r>
          </w:p>
        </w:tc>
        <w:tc>
          <w:tcPr>
            <w:tcW w:w="80" w:type="dxa"/>
            <w:vAlign w:val="bottom"/>
          </w:tcPr>
          <w:p>
            <w:pPr>
              <w:spacing w:after="0"/>
              <w:rPr>
                <w:sz w:val="23"/>
                <w:szCs w:val="2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(1,324)</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47,166</w:t>
            </w:r>
          </w:p>
        </w:tc>
        <w:tc>
          <w:tcPr>
            <w:tcW w:w="8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(1,934)</w:t>
            </w:r>
          </w:p>
        </w:tc>
        <w:tc>
          <w:tcPr>
            <w:tcW w:w="0" w:type="dxa"/>
            <w:vAlign w:val="bottom"/>
          </w:tcPr>
          <w:p>
            <w:pPr>
              <w:spacing w:after="0"/>
              <w:rPr>
                <w:sz w:val="1"/>
                <w:szCs w:val="1"/>
                <w:color w:val="auto"/>
              </w:rPr>
            </w:pPr>
          </w:p>
        </w:tc>
      </w:tr>
      <w:tr>
        <w:trPr>
          <w:trHeight w:val="34"/>
        </w:trPr>
        <w:tc>
          <w:tcPr>
            <w:tcW w:w="396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1000" w:type="dxa"/>
            <w:vAlign w:val="bottom"/>
            <w:gridSpan w:val="2"/>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right w:val="single" w:sz="8" w:color="auto"/>
            </w:tcBorders>
            <w:gridSpan w:val="2"/>
          </w:tcPr>
          <w:p>
            <w:pPr>
              <w:spacing w:after="0"/>
              <w:rPr>
                <w:sz w:val="3"/>
                <w:szCs w:val="3"/>
                <w:color w:val="auto"/>
              </w:rPr>
            </w:pPr>
          </w:p>
        </w:tc>
        <w:tc>
          <w:tcPr>
            <w:tcW w:w="940" w:type="dxa"/>
            <w:vAlign w:val="bottom"/>
            <w:gridSpan w:val="2"/>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left w:val="single" w:sz="8" w:color="auto"/>
            </w:tcBorders>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9"/>
        </w:trPr>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4"/>
          </w:tcPr>
          <w:p>
            <w:pPr>
              <w:jc w:val="right"/>
              <w:spacing w:after="0"/>
              <w:rPr>
                <w:sz w:val="20"/>
                <w:szCs w:val="20"/>
                <w:color w:val="auto"/>
              </w:rPr>
            </w:pPr>
            <w:r>
              <w:rPr>
                <w:rFonts w:ascii="Arial" w:cs="Arial" w:eastAsia="Arial" w:hAnsi="Arial"/>
                <w:sz w:val="13"/>
                <w:szCs w:val="13"/>
                <w:b w:val="1"/>
                <w:bCs w:val="1"/>
                <w:color w:val="auto"/>
              </w:rPr>
              <w:t>Less than 12 Months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7"/>
          </w:tcPr>
          <w:p>
            <w:pPr>
              <w:jc w:val="right"/>
              <w:ind w:right="160"/>
              <w:spacing w:after="0"/>
              <w:rPr>
                <w:sz w:val="20"/>
                <w:szCs w:val="20"/>
                <w:color w:val="auto"/>
              </w:rPr>
            </w:pPr>
            <w:r>
              <w:rPr>
                <w:rFonts w:ascii="Arial" w:cs="Arial" w:eastAsia="Arial" w:hAnsi="Arial"/>
                <w:sz w:val="13"/>
                <w:szCs w:val="13"/>
                <w:b w:val="1"/>
                <w:bCs w:val="1"/>
                <w:color w:val="auto"/>
              </w:rPr>
              <w:t>12 Months or Greater</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vMerge w:val="restart"/>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
        </w:trPr>
        <w:tc>
          <w:tcPr>
            <w:tcW w:w="39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Unrealized</w:t>
            </w:r>
          </w:p>
        </w:tc>
        <w:tc>
          <w:tcPr>
            <w:tcW w:w="20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Unrealized</w:t>
            </w:r>
          </w:p>
        </w:tc>
        <w:tc>
          <w:tcPr>
            <w:tcW w:w="260" w:type="dxa"/>
            <w:vAlign w:val="bottom"/>
          </w:tcPr>
          <w:p>
            <w:pPr>
              <w:spacing w:after="0"/>
              <w:rPr>
                <w:sz w:val="2"/>
                <w:szCs w:val="2"/>
                <w:color w:val="auto"/>
              </w:rPr>
            </w:pPr>
          </w:p>
        </w:tc>
        <w:tc>
          <w:tcPr>
            <w:tcW w:w="880" w:type="dxa"/>
            <w:vAlign w:val="bottom"/>
            <w:gridSpan w:val="3"/>
            <w:vMerge w:val="restart"/>
          </w:tcPr>
          <w:p>
            <w:pPr>
              <w:jc w:val="right"/>
              <w:ind w:right="8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9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Fair Value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vMerge w:val="restart"/>
          </w:tcPr>
          <w:p>
            <w:pPr>
              <w:jc w:val="right"/>
              <w:ind w:right="8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97"/>
        </w:trPr>
        <w:tc>
          <w:tcPr>
            <w:tcW w:w="3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Losses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Losses</w:t>
            </w:r>
          </w:p>
        </w:tc>
        <w:tc>
          <w:tcPr>
            <w:tcW w:w="26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221"/>
        </w:trPr>
        <w:tc>
          <w:tcPr>
            <w:tcW w:w="39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June 30, 2026</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60" w:type="dxa"/>
            <w:vAlign w:val="bottom"/>
            <w:tcBorders>
              <w:right w:val="single" w:sz="8" w:color="E5E5E5"/>
            </w:tcBorders>
            <w:shd w:val="clear" w:color="auto" w:fill="E5E5E5"/>
          </w:tcPr>
          <w:p>
            <w:pPr>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shd w:val="clear" w:color="auto" w:fill="E5E5E5"/>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19,100</w:t>
            </w:r>
          </w:p>
        </w:tc>
        <w:tc>
          <w:tcPr>
            <w:tcW w:w="4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(100)</w:t>
            </w:r>
          </w:p>
        </w:tc>
        <w:tc>
          <w:tcPr>
            <w:tcW w:w="2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5E5E5"/>
          </w:tcPr>
          <w:p>
            <w:pPr>
              <w:jc w:val="right"/>
              <w:ind w:right="80"/>
              <w:spacing w:after="0"/>
              <w:rPr>
                <w:sz w:val="20"/>
                <w:szCs w:val="20"/>
                <w:color w:val="auto"/>
              </w:rPr>
            </w:pPr>
            <w:r>
              <w:rPr>
                <w:rFonts w:ascii="Arial" w:cs="Arial" w:eastAsia="Arial" w:hAnsi="Arial"/>
                <w:sz w:val="18"/>
                <w:szCs w:val="18"/>
                <w:color w:val="auto"/>
              </w:rPr>
              <w:t>22,042</w:t>
            </w:r>
          </w:p>
        </w:tc>
        <w:tc>
          <w:tcPr>
            <w:tcW w:w="32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(1,054)</w:t>
            </w:r>
          </w:p>
        </w:tc>
        <w:tc>
          <w:tcPr>
            <w:tcW w:w="260" w:type="dxa"/>
            <w:vAlign w:val="bottom"/>
            <w:tcBorders>
              <w:left w:val="single" w:sz="8" w:color="E5E5E5"/>
            </w:tcBorders>
            <w:shd w:val="clear" w:color="auto" w:fill="E5E5E5"/>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5E5E5"/>
          </w:tcPr>
          <w:p>
            <w:pPr>
              <w:jc w:val="right"/>
              <w:ind w:right="80"/>
              <w:spacing w:after="0"/>
              <w:rPr>
                <w:sz w:val="20"/>
                <w:szCs w:val="20"/>
                <w:color w:val="auto"/>
              </w:rPr>
            </w:pPr>
            <w:r>
              <w:rPr>
                <w:rFonts w:ascii="Arial" w:cs="Arial" w:eastAsia="Arial" w:hAnsi="Arial"/>
                <w:sz w:val="18"/>
                <w:szCs w:val="18"/>
                <w:color w:val="auto"/>
              </w:rPr>
              <w:t>41,142</w:t>
            </w:r>
          </w:p>
        </w:tc>
        <w:tc>
          <w:tcPr>
            <w:tcW w:w="3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E5E5E5"/>
          </w:tcPr>
          <w:p>
            <w:pPr>
              <w:jc w:val="right"/>
              <w:ind w:right="4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Foreign government bonds</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w:t>
            </w:r>
          </w:p>
        </w:tc>
        <w:tc>
          <w:tcPr>
            <w:tcW w:w="260" w:type="dxa"/>
            <w:vAlign w:val="bottom"/>
          </w:tcPr>
          <w:p>
            <w:pPr>
              <w:spacing w:after="0"/>
              <w:rPr>
                <w:sz w:val="17"/>
                <w:szCs w:val="17"/>
                <w:color w:val="auto"/>
              </w:rPr>
            </w:pPr>
          </w:p>
        </w:tc>
        <w:tc>
          <w:tcPr>
            <w:tcW w:w="8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104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3960" w:type="dxa"/>
            <w:vAlign w:val="bottom"/>
            <w:tcBorders>
              <w:right w:val="single" w:sz="8" w:color="E5E5E5"/>
            </w:tcBorders>
            <w:shd w:val="clear" w:color="auto" w:fill="E5E5E5"/>
          </w:tcPr>
          <w:p>
            <w:pPr>
              <w:spacing w:after="0" w:line="202" w:lineRule="exact"/>
              <w:rPr>
                <w:sz w:val="20"/>
                <w:szCs w:val="20"/>
                <w:color w:val="auto"/>
              </w:rPr>
            </w:pPr>
            <w:r>
              <w:rPr>
                <w:rFonts w:ascii="Arial" w:cs="Arial" w:eastAsia="Arial" w:hAnsi="Arial"/>
                <w:sz w:val="18"/>
                <w:szCs w:val="18"/>
                <w:color w:val="auto"/>
              </w:rPr>
              <w:t>Mortgage- and asset-backed securities</w:t>
            </w:r>
          </w:p>
        </w:tc>
        <w:tc>
          <w:tcPr>
            <w:tcW w:w="24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905</w:t>
            </w:r>
          </w:p>
        </w:tc>
        <w:tc>
          <w:tcPr>
            <w:tcW w:w="240" w:type="dxa"/>
            <w:vAlign w:val="bottom"/>
            <w:tcBorders>
              <w:right w:val="single" w:sz="8" w:color="E5E5E5"/>
            </w:tcBorders>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880" w:type="dxa"/>
            <w:vAlign w:val="bottom"/>
            <w:gridSpan w:val="3"/>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129</w:t>
            </w:r>
          </w:p>
        </w:tc>
        <w:tc>
          <w:tcPr>
            <w:tcW w:w="140" w:type="dxa"/>
            <w:vAlign w:val="bottom"/>
            <w:tcBorders>
              <w:right w:val="single" w:sz="8" w:color="E5E5E5"/>
            </w:tcBorders>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(18)</w:t>
            </w:r>
          </w:p>
        </w:tc>
        <w:tc>
          <w:tcPr>
            <w:tcW w:w="260" w:type="dxa"/>
            <w:vAlign w:val="bottom"/>
            <w:tcBorders>
              <w:left w:val="single" w:sz="8" w:color="E5E5E5"/>
            </w:tcBorders>
            <w:shd w:val="clear" w:color="auto" w:fill="E5E5E5"/>
          </w:tcPr>
          <w:p>
            <w:pPr>
              <w:spacing w:after="0"/>
              <w:rPr>
                <w:sz w:val="17"/>
                <w:szCs w:val="17"/>
                <w:color w:val="auto"/>
              </w:rPr>
            </w:pPr>
          </w:p>
        </w:tc>
        <w:tc>
          <w:tcPr>
            <w:tcW w:w="880" w:type="dxa"/>
            <w:vAlign w:val="bottom"/>
            <w:gridSpan w:val="3"/>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1,034</w:t>
            </w:r>
          </w:p>
        </w:tc>
        <w:tc>
          <w:tcPr>
            <w:tcW w:w="140" w:type="dxa"/>
            <w:vAlign w:val="bottom"/>
            <w:tcBorders>
              <w:right w:val="single" w:sz="8" w:color="E5E5E5"/>
            </w:tcBorders>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0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Corporate notes and bonds</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5,066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909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w:t>
            </w:r>
          </w:p>
        </w:tc>
        <w:tc>
          <w:tcPr>
            <w:tcW w:w="260" w:type="dxa"/>
            <w:vAlign w:val="bottom"/>
          </w:tcPr>
          <w:p>
            <w:pPr>
              <w:spacing w:after="0"/>
              <w:rPr>
                <w:sz w:val="17"/>
                <w:szCs w:val="17"/>
                <w:color w:val="auto"/>
              </w:rPr>
            </w:pPr>
          </w:p>
        </w:tc>
        <w:tc>
          <w:tcPr>
            <w:tcW w:w="8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5,975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3"/>
        </w:trPr>
        <w:tc>
          <w:tcPr>
            <w:tcW w:w="3960" w:type="dxa"/>
            <w:vAlign w:val="bottom"/>
            <w:tcBorders>
              <w:right w:val="single" w:sz="8" w:color="E5E5E5"/>
            </w:tcBorders>
            <w:shd w:val="clear" w:color="auto" w:fill="E5E5E5"/>
          </w:tcPr>
          <w:p>
            <w:pPr>
              <w:spacing w:after="0" w:line="202" w:lineRule="exact"/>
              <w:rPr>
                <w:sz w:val="20"/>
                <w:szCs w:val="20"/>
                <w:color w:val="auto"/>
              </w:rPr>
            </w:pPr>
            <w:r>
              <w:rPr>
                <w:rFonts w:ascii="Arial" w:cs="Arial" w:eastAsia="Arial" w:hAnsi="Arial"/>
                <w:sz w:val="18"/>
                <w:szCs w:val="18"/>
                <w:color w:val="auto"/>
              </w:rPr>
              <w:t>Municipal securities</w:t>
            </w:r>
          </w:p>
        </w:tc>
        <w:tc>
          <w:tcPr>
            <w:tcW w:w="24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240" w:type="dxa"/>
            <w:vAlign w:val="bottom"/>
            <w:tcBorders>
              <w:right w:val="single" w:sz="8" w:color="E5E5E5"/>
            </w:tcBorders>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880" w:type="dxa"/>
            <w:vAlign w:val="bottom"/>
            <w:gridSpan w:val="3"/>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122</w:t>
            </w:r>
          </w:p>
        </w:tc>
        <w:tc>
          <w:tcPr>
            <w:tcW w:w="140" w:type="dxa"/>
            <w:vAlign w:val="bottom"/>
            <w:tcBorders>
              <w:right w:val="single" w:sz="8" w:color="E5E5E5"/>
            </w:tcBorders>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(19)</w:t>
            </w:r>
          </w:p>
        </w:tc>
        <w:tc>
          <w:tcPr>
            <w:tcW w:w="260" w:type="dxa"/>
            <w:vAlign w:val="bottom"/>
            <w:tcBorders>
              <w:left w:val="single" w:sz="8" w:color="E5E5E5"/>
            </w:tcBorders>
            <w:shd w:val="clear" w:color="auto" w:fill="E5E5E5"/>
          </w:tcPr>
          <w:p>
            <w:pPr>
              <w:spacing w:after="0"/>
              <w:rPr>
                <w:sz w:val="17"/>
                <w:szCs w:val="17"/>
                <w:color w:val="auto"/>
              </w:rPr>
            </w:pPr>
          </w:p>
        </w:tc>
        <w:tc>
          <w:tcPr>
            <w:tcW w:w="880" w:type="dxa"/>
            <w:vAlign w:val="bottom"/>
            <w:gridSpan w:val="3"/>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122</w:t>
            </w:r>
          </w:p>
        </w:tc>
        <w:tc>
          <w:tcPr>
            <w:tcW w:w="140" w:type="dxa"/>
            <w:vAlign w:val="bottom"/>
            <w:tcBorders>
              <w:right w:val="single" w:sz="8" w:color="E5E5E5"/>
            </w:tcBorders>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0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0"/>
        </w:trPr>
        <w:tc>
          <w:tcPr>
            <w:tcW w:w="3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3960" w:type="dxa"/>
            <w:vAlign w:val="bottom"/>
          </w:tcPr>
          <w:p>
            <w:pPr>
              <w:ind w:left="10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25,145</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23,232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(1,137)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48,377</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30"/>
        </w:trPr>
        <w:tc>
          <w:tcPr>
            <w:tcW w:w="3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Unrealized losses from fixed-income securities are primarily attributable to changes in interest rates. Management does not believe any remaining unrealized losses represent impairments based on our evaluation of available evidence.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Maturities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maturities of our debt investments as of September 30, 2026: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0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2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Adjusted</w:t>
            </w:r>
          </w:p>
        </w:tc>
        <w:tc>
          <w:tcPr>
            <w:tcW w:w="440" w:type="dxa"/>
            <w:vAlign w:val="bottom"/>
          </w:tcPr>
          <w:p>
            <w:pPr>
              <w:spacing w:after="0"/>
              <w:rPr>
                <w:sz w:val="12"/>
                <w:szCs w:val="12"/>
                <w:color w:val="auto"/>
              </w:rPr>
            </w:pPr>
          </w:p>
        </w:tc>
        <w:tc>
          <w:tcPr>
            <w:tcW w:w="1100" w:type="dxa"/>
            <w:vAlign w:val="bottom"/>
            <w:gridSpan w:val="2"/>
          </w:tcPr>
          <w:p>
            <w:pPr>
              <w:ind w:left="340"/>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97"/>
        </w:trPr>
        <w:tc>
          <w:tcPr>
            <w:tcW w:w="5500" w:type="dxa"/>
            <w:vAlign w:val="bottom"/>
            <w:vMerge w:val="continue"/>
          </w:tcPr>
          <w:p>
            <w:pPr>
              <w:spacing w:after="0"/>
              <w:rPr>
                <w:sz w:val="17"/>
                <w:szCs w:val="17"/>
                <w:color w:val="auto"/>
              </w:rPr>
            </w:pPr>
          </w:p>
        </w:tc>
        <w:tc>
          <w:tcPr>
            <w:tcW w:w="2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Cost Basis</w:t>
            </w:r>
          </w:p>
        </w:tc>
        <w:tc>
          <w:tcPr>
            <w:tcW w:w="440" w:type="dxa"/>
            <w:vAlign w:val="bottom"/>
          </w:tcPr>
          <w:p>
            <w:pPr>
              <w:spacing w:after="0"/>
              <w:rPr>
                <w:sz w:val="17"/>
                <w:szCs w:val="17"/>
                <w:color w:val="auto"/>
              </w:rPr>
            </w:pPr>
          </w:p>
        </w:tc>
        <w:tc>
          <w:tcPr>
            <w:tcW w:w="1100" w:type="dxa"/>
            <w:vAlign w:val="bottom"/>
            <w:gridSpan w:val="2"/>
          </w:tcPr>
          <w:p>
            <w:pPr>
              <w:ind w:left="34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21"/>
        </w:trPr>
        <w:tc>
          <w:tcPr>
            <w:tcW w:w="55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September 30, 2026</w:t>
            </w:r>
          </w:p>
        </w:tc>
        <w:tc>
          <w:tcPr>
            <w:tcW w:w="25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00" w:type="dxa"/>
            <w:vAlign w:val="bottom"/>
            <w:shd w:val="clear" w:color="auto" w:fill="E5E5E5"/>
          </w:tcPr>
          <w:p>
            <w:pPr>
              <w:spacing w:after="0"/>
              <w:rPr>
                <w:sz w:val="20"/>
                <w:szCs w:val="20"/>
                <w:color w:val="auto"/>
              </w:rPr>
            </w:pPr>
            <w:r>
              <w:rPr>
                <w:rFonts w:ascii="Arial" w:cs="Arial" w:eastAsia="Arial" w:hAnsi="Arial"/>
                <w:sz w:val="18"/>
                <w:szCs w:val="18"/>
                <w:color w:val="auto"/>
              </w:rPr>
              <w:t>Due in one year or less</w:t>
            </w:r>
          </w:p>
        </w:tc>
        <w:tc>
          <w:tcPr>
            <w:tcW w:w="2960" w:type="dxa"/>
            <w:vAlign w:val="bottom"/>
            <w:gridSpan w:val="2"/>
            <w:shd w:val="clear" w:color="auto" w:fill="E5E5E5"/>
          </w:tcPr>
          <w:p>
            <w:pPr>
              <w:jc w:val="right"/>
              <w:ind w:right="3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18,544</w:t>
            </w:r>
          </w:p>
        </w:tc>
        <w:tc>
          <w:tcPr>
            <w:tcW w:w="440" w:type="dxa"/>
            <w:vAlign w:val="bottom"/>
            <w:shd w:val="clear" w:color="auto" w:fill="E5E5E5"/>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18,474</w:t>
            </w:r>
          </w:p>
        </w:tc>
        <w:tc>
          <w:tcPr>
            <w:tcW w:w="0" w:type="dxa"/>
            <w:vAlign w:val="bottom"/>
          </w:tcPr>
          <w:p>
            <w:pPr>
              <w:spacing w:after="0"/>
              <w:rPr>
                <w:sz w:val="1"/>
                <w:szCs w:val="1"/>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Due after one year through five years</w:t>
            </w:r>
          </w:p>
        </w:tc>
        <w:tc>
          <w:tcPr>
            <w:tcW w:w="2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36,882</w:t>
            </w:r>
          </w:p>
        </w:tc>
        <w:tc>
          <w:tcPr>
            <w:tcW w:w="44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35,274</w:t>
            </w:r>
          </w:p>
        </w:tc>
        <w:tc>
          <w:tcPr>
            <w:tcW w:w="0" w:type="dxa"/>
            <w:vAlign w:val="bottom"/>
          </w:tcPr>
          <w:p>
            <w:pPr>
              <w:spacing w:after="0"/>
              <w:rPr>
                <w:sz w:val="1"/>
                <w:szCs w:val="1"/>
                <w:color w:val="auto"/>
              </w:rPr>
            </w:pPr>
          </w:p>
        </w:tc>
      </w:tr>
      <w:tr>
        <w:trPr>
          <w:trHeight w:val="203"/>
        </w:trPr>
        <w:tc>
          <w:tcPr>
            <w:tcW w:w="5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Due after five years through 10 years</w:t>
            </w:r>
          </w:p>
        </w:tc>
        <w:tc>
          <w:tcPr>
            <w:tcW w:w="25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4,044</w:t>
            </w:r>
          </w:p>
        </w:tc>
        <w:tc>
          <w:tcPr>
            <w:tcW w:w="44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4,051</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Due after 10 years</w:t>
            </w:r>
          </w:p>
        </w:tc>
        <w:tc>
          <w:tcPr>
            <w:tcW w:w="2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1,217</w:t>
            </w:r>
          </w:p>
        </w:tc>
        <w:tc>
          <w:tcPr>
            <w:tcW w:w="4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1,095</w:t>
            </w:r>
          </w:p>
        </w:tc>
        <w:tc>
          <w:tcPr>
            <w:tcW w:w="0" w:type="dxa"/>
            <w:vAlign w:val="bottom"/>
          </w:tcPr>
          <w:p>
            <w:pPr>
              <w:spacing w:after="0"/>
              <w:rPr>
                <w:sz w:val="1"/>
                <w:szCs w:val="1"/>
                <w:color w:val="auto"/>
              </w:rPr>
            </w:pPr>
          </w:p>
        </w:tc>
      </w:tr>
      <w:tr>
        <w:trPr>
          <w:trHeight w:val="34"/>
        </w:trPr>
        <w:tc>
          <w:tcPr>
            <w:tcW w:w="5500" w:type="dxa"/>
            <w:vAlign w:val="bottom"/>
            <w:tcBorders>
              <w:top w:val="single" w:sz="8" w:color="auto"/>
            </w:tcBorders>
          </w:tcPr>
          <w:p>
            <w:pPr>
              <w:spacing w:after="0"/>
              <w:rPr>
                <w:sz w:val="2"/>
                <w:szCs w:val="2"/>
                <w:color w:val="auto"/>
              </w:rPr>
            </w:pPr>
          </w:p>
        </w:tc>
        <w:tc>
          <w:tcPr>
            <w:tcW w:w="252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296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60,687</w:t>
            </w:r>
          </w:p>
        </w:tc>
        <w:tc>
          <w:tcPr>
            <w:tcW w:w="44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58,894</w:t>
            </w:r>
          </w:p>
        </w:tc>
        <w:tc>
          <w:tcPr>
            <w:tcW w:w="0" w:type="dxa"/>
            <w:vAlign w:val="bottom"/>
          </w:tcPr>
          <w:p>
            <w:pPr>
              <w:spacing w:after="0"/>
              <w:rPr>
                <w:sz w:val="1"/>
                <w:szCs w:val="1"/>
                <w:color w:val="auto"/>
              </w:rPr>
            </w:pPr>
          </w:p>
        </w:tc>
      </w:tr>
      <w:tr>
        <w:trPr>
          <w:trHeight w:val="47"/>
        </w:trPr>
        <w:tc>
          <w:tcPr>
            <w:tcW w:w="5500" w:type="dxa"/>
            <w:vAlign w:val="bottom"/>
          </w:tcPr>
          <w:p>
            <w:pPr>
              <w:spacing w:after="0"/>
              <w:rPr>
                <w:sz w:val="4"/>
                <w:szCs w:val="4"/>
                <w:color w:val="auto"/>
              </w:rPr>
            </w:pPr>
          </w:p>
        </w:tc>
        <w:tc>
          <w:tcPr>
            <w:tcW w:w="25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5 — DERIVATIVES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use derivative instruments to manage risks related to foreign currencies, interest rates, equity prices,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hedge positions.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5" w:name="page16"/>
    <w:bookmarkEnd w:id="15"/>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Foreign currency risks related to certain Euro-denominated debt are hedged using foreign exchange forward contracts that are designated as cash flow hedging instruments.</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options and forwards not designated as hedging instruments are also used to manage the variability in foreign exchange rates on certain balance sheet amounts and to manage other foreign currency exposures.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Interest rate risks related to certain fixed-rate debt are hedged using interest rate swaps that are designated as fair value hedging instruments to effectively convert the fixed interest rates to floating interest rates.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our fixed-income portfolio to achieve economic returns that correlate to certain broad-based fixed-income indices using option, futures, and swap contracts. These contracts are not designated as hedging instruments and are included in “Other contracts” in the tables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Securities held in our equity investments portfolio are subject to market price risk. At times, we may hold options, futures, and swap contracts. These contracts are not designated as hedging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fixed-income portfolio is diversified and consists primarily of investment-grade securities. We use credit default swap contracts to manage credit exposures relative to broad-based indices and to facilitate portfolio diversification. These contracts are not designated as hedging instruments and are included in “Other contracts” in the tables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Certain counterparty agreements for derivative instruments contain provisions that require our issued and outstanding long-term unsecured debt to maintain an investment grade credit rating and require us to maintain minimum liquidity of $1.0 billion. To the extent we fail to meet these requirements, we will be required to post collateral, similar to the standard convention related to over-the-counter derivatives. As of September 30, 2026, our long-term unsecured debt rating was AAA, and cash investments were in excess of $1.0 billion. As a result, no collateral was required to be posted.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notional amounts of our outstanding derivative instruments measured in U.S. dollar equivalents: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4000" w:type="dxa"/>
            <w:vAlign w:val="bottom"/>
          </w:tcPr>
          <w:p>
            <w:pPr>
              <w:spacing w:after="0"/>
              <w:rPr>
                <w:sz w:val="12"/>
                <w:szCs w:val="12"/>
                <w:color w:val="auto"/>
              </w:rPr>
            </w:pPr>
          </w:p>
        </w:tc>
        <w:tc>
          <w:tcPr>
            <w:tcW w:w="1240" w:type="dxa"/>
            <w:vAlign w:val="bottom"/>
          </w:tcPr>
          <w:p>
            <w:pPr>
              <w:jc w:val="right"/>
              <w:ind w:right="15"/>
              <w:spacing w:after="0"/>
              <w:rPr>
                <w:sz w:val="20"/>
                <w:szCs w:val="20"/>
                <w:color w:val="auto"/>
              </w:rPr>
            </w:pPr>
            <w:r>
              <w:rPr>
                <w:rFonts w:ascii="Arial" w:cs="Arial" w:eastAsia="Arial" w:hAnsi="Arial"/>
                <w:sz w:val="13"/>
                <w:szCs w:val="13"/>
                <w:b w:val="1"/>
                <w:bCs w:val="1"/>
                <w:color w:val="auto"/>
              </w:rPr>
              <w:t>September 30,</w:t>
            </w:r>
          </w:p>
        </w:tc>
        <w:tc>
          <w:tcPr>
            <w:tcW w:w="600" w:type="dxa"/>
            <w:vAlign w:val="bottom"/>
          </w:tcPr>
          <w:p>
            <w:pPr>
              <w:spacing w:after="0"/>
              <w:rPr>
                <w:sz w:val="12"/>
                <w:szCs w:val="12"/>
                <w:color w:val="auto"/>
              </w:rPr>
            </w:pPr>
          </w:p>
        </w:tc>
        <w:tc>
          <w:tcPr>
            <w:tcW w:w="1060" w:type="dxa"/>
            <w:vAlign w:val="bottom"/>
            <w:gridSpan w:val="2"/>
          </w:tcPr>
          <w:p>
            <w:pPr>
              <w:ind w:left="42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97"/>
        </w:trPr>
        <w:tc>
          <w:tcPr>
            <w:tcW w:w="4340" w:type="dxa"/>
            <w:vAlign w:val="bottom"/>
            <w:vMerge w:val="continue"/>
          </w:tcPr>
          <w:p>
            <w:pPr>
              <w:spacing w:after="0"/>
              <w:rPr>
                <w:sz w:val="17"/>
                <w:szCs w:val="17"/>
                <w:color w:val="auto"/>
              </w:rPr>
            </w:pPr>
          </w:p>
        </w:tc>
        <w:tc>
          <w:tcPr>
            <w:tcW w:w="4000" w:type="dxa"/>
            <w:vAlign w:val="bottom"/>
          </w:tcPr>
          <w:p>
            <w:pPr>
              <w:spacing w:after="0"/>
              <w:rPr>
                <w:sz w:val="17"/>
                <w:szCs w:val="17"/>
                <w:color w:val="auto"/>
              </w:rPr>
            </w:pPr>
          </w:p>
        </w:tc>
        <w:tc>
          <w:tcPr>
            <w:tcW w:w="1240" w:type="dxa"/>
            <w:vAlign w:val="bottom"/>
          </w:tcPr>
          <w:p>
            <w:pPr>
              <w:jc w:val="right"/>
              <w:ind w:right="15"/>
              <w:spacing w:after="0"/>
              <w:rPr>
                <w:sz w:val="20"/>
                <w:szCs w:val="20"/>
                <w:color w:val="auto"/>
              </w:rPr>
            </w:pPr>
            <w:r>
              <w:rPr>
                <w:rFonts w:ascii="Arial" w:cs="Arial" w:eastAsia="Arial" w:hAnsi="Arial"/>
                <w:sz w:val="13"/>
                <w:szCs w:val="13"/>
                <w:b w:val="1"/>
                <w:bCs w:val="1"/>
                <w:color w:val="auto"/>
              </w:rPr>
              <w:t>2026</w:t>
            </w:r>
          </w:p>
        </w:tc>
        <w:tc>
          <w:tcPr>
            <w:tcW w:w="6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2026</w:t>
            </w:r>
          </w:p>
        </w:tc>
        <w:tc>
          <w:tcPr>
            <w:tcW w:w="0" w:type="dxa"/>
            <w:vAlign w:val="bottom"/>
          </w:tcPr>
          <w:p>
            <w:pPr>
              <w:spacing w:after="0"/>
              <w:rPr>
                <w:sz w:val="1"/>
                <w:szCs w:val="1"/>
                <w:color w:val="auto"/>
              </w:rPr>
            </w:pPr>
          </w:p>
        </w:tc>
      </w:tr>
      <w:tr>
        <w:trPr>
          <w:trHeight w:val="221"/>
        </w:trPr>
        <w:tc>
          <w:tcPr>
            <w:tcW w:w="43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40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34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 purchased</w:t>
            </w:r>
          </w:p>
        </w:tc>
        <w:tc>
          <w:tcPr>
            <w:tcW w:w="4000" w:type="dxa"/>
            <w:vAlign w:val="bottom"/>
            <w:shd w:val="clear" w:color="auto" w:fill="E5E5E5"/>
          </w:tcPr>
          <w:p>
            <w:pPr>
              <w:jc w:val="right"/>
              <w:ind w:right="139"/>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1,492</w:t>
            </w:r>
          </w:p>
        </w:tc>
        <w:tc>
          <w:tcPr>
            <w:tcW w:w="600" w:type="dxa"/>
            <w:vAlign w:val="bottom"/>
            <w:shd w:val="clear" w:color="auto" w:fill="E5E5E5"/>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28"/>
        </w:trPr>
        <w:tc>
          <w:tcPr>
            <w:tcW w:w="4340" w:type="dxa"/>
            <w:vAlign w:val="bottom"/>
          </w:tcPr>
          <w:p>
            <w:pPr>
              <w:spacing w:after="0"/>
              <w:rPr>
                <w:sz w:val="20"/>
                <w:szCs w:val="20"/>
                <w:color w:val="auto"/>
              </w:rPr>
            </w:pPr>
            <w:r>
              <w:rPr>
                <w:rFonts w:ascii="Arial" w:cs="Arial" w:eastAsia="Arial" w:hAnsi="Arial"/>
                <w:sz w:val="18"/>
                <w:szCs w:val="18"/>
                <w:color w:val="auto"/>
              </w:rPr>
              <w:t>Interest rate contracts purchased</w:t>
            </w:r>
          </w:p>
        </w:tc>
        <w:tc>
          <w:tcPr>
            <w:tcW w:w="4000" w:type="dxa"/>
            <w:vAlign w:val="bottom"/>
          </w:tcPr>
          <w:p>
            <w:pPr>
              <w:spacing w:after="0"/>
              <w:rPr>
                <w:sz w:val="19"/>
                <w:szCs w:val="19"/>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b w:val="1"/>
                <w:bCs w:val="1"/>
                <w:color w:val="auto"/>
              </w:rPr>
              <w:t>1,193</w:t>
            </w:r>
          </w:p>
        </w:tc>
        <w:tc>
          <w:tcPr>
            <w:tcW w:w="6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4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34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 purchased</w:t>
            </w:r>
          </w:p>
        </w:tc>
        <w:tc>
          <w:tcPr>
            <w:tcW w:w="4000" w:type="dxa"/>
            <w:vAlign w:val="bottom"/>
            <w:shd w:val="clear" w:color="auto" w:fill="E5E5E5"/>
          </w:tcPr>
          <w:p>
            <w:pPr>
              <w:spacing w:after="0"/>
              <w:rPr>
                <w:sz w:val="18"/>
                <w:szCs w:val="18"/>
                <w:color w:val="auto"/>
              </w:rPr>
            </w:pPr>
          </w:p>
        </w:tc>
        <w:tc>
          <w:tcPr>
            <w:tcW w:w="1240" w:type="dxa"/>
            <w:vAlign w:val="bottom"/>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11,489</w:t>
            </w:r>
          </w:p>
        </w:tc>
        <w:tc>
          <w:tcPr>
            <w:tcW w:w="600" w:type="dxa"/>
            <w:vAlign w:val="bottom"/>
            <w:shd w:val="clear" w:color="auto" w:fill="E5E5E5"/>
          </w:tcPr>
          <w:p>
            <w:pPr>
              <w:spacing w:after="0"/>
              <w:rPr>
                <w:sz w:val="18"/>
                <w:szCs w:val="18"/>
                <w:color w:val="auto"/>
              </w:rPr>
            </w:pPr>
          </w:p>
        </w:tc>
        <w:tc>
          <w:tcPr>
            <w:tcW w:w="10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12,052</w:t>
            </w:r>
          </w:p>
        </w:tc>
        <w:tc>
          <w:tcPr>
            <w:tcW w:w="0" w:type="dxa"/>
            <w:vAlign w:val="bottom"/>
          </w:tcPr>
          <w:p>
            <w:pPr>
              <w:spacing w:after="0"/>
              <w:rPr>
                <w:sz w:val="1"/>
                <w:szCs w:val="1"/>
                <w:color w:val="auto"/>
              </w:rPr>
            </w:pP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Foreign exchange contracts sold</w:t>
            </w:r>
          </w:p>
        </w:tc>
        <w:tc>
          <w:tcPr>
            <w:tcW w:w="4000" w:type="dxa"/>
            <w:vAlign w:val="bottom"/>
          </w:tcPr>
          <w:p>
            <w:pPr>
              <w:spacing w:after="0"/>
              <w:rPr>
                <w:sz w:val="17"/>
                <w:szCs w:val="17"/>
                <w:color w:val="auto"/>
              </w:rPr>
            </w:pPr>
          </w:p>
        </w:tc>
        <w:tc>
          <w:tcPr>
            <w:tcW w:w="124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50,507</w:t>
            </w:r>
          </w:p>
        </w:tc>
        <w:tc>
          <w:tcPr>
            <w:tcW w:w="6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51,413</w:t>
            </w:r>
          </w:p>
        </w:tc>
        <w:tc>
          <w:tcPr>
            <w:tcW w:w="0" w:type="dxa"/>
            <w:vAlign w:val="bottom"/>
          </w:tcPr>
          <w:p>
            <w:pPr>
              <w:spacing w:after="0"/>
              <w:rPr>
                <w:sz w:val="1"/>
                <w:szCs w:val="1"/>
                <w:color w:val="auto"/>
              </w:rPr>
            </w:pPr>
          </w:p>
        </w:tc>
      </w:tr>
      <w:tr>
        <w:trPr>
          <w:trHeight w:val="203"/>
        </w:trPr>
        <w:tc>
          <w:tcPr>
            <w:tcW w:w="43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Equity contracts purchased</w:t>
            </w:r>
          </w:p>
        </w:tc>
        <w:tc>
          <w:tcPr>
            <w:tcW w:w="4000" w:type="dxa"/>
            <w:vAlign w:val="bottom"/>
            <w:shd w:val="clear" w:color="auto" w:fill="E5E5E5"/>
          </w:tcPr>
          <w:p>
            <w:pPr>
              <w:spacing w:after="0"/>
              <w:rPr>
                <w:sz w:val="17"/>
                <w:szCs w:val="17"/>
                <w:color w:val="auto"/>
              </w:rPr>
            </w:pPr>
          </w:p>
        </w:tc>
        <w:tc>
          <w:tcPr>
            <w:tcW w:w="1240" w:type="dxa"/>
            <w:vAlign w:val="bottom"/>
            <w:shd w:val="clear" w:color="auto" w:fill="E5E5E5"/>
          </w:tcPr>
          <w:p>
            <w:pPr>
              <w:jc w:val="right"/>
              <w:ind w:right="15"/>
              <w:spacing w:after="0" w:line="202" w:lineRule="exact"/>
              <w:rPr>
                <w:sz w:val="20"/>
                <w:szCs w:val="20"/>
                <w:color w:val="auto"/>
              </w:rPr>
            </w:pPr>
            <w:r>
              <w:rPr>
                <w:rFonts w:ascii="Arial" w:cs="Arial" w:eastAsia="Arial" w:hAnsi="Arial"/>
                <w:sz w:val="18"/>
                <w:szCs w:val="18"/>
                <w:b w:val="1"/>
                <w:bCs w:val="1"/>
                <w:color w:val="auto"/>
              </w:rPr>
              <w:t>5,740</w:t>
            </w:r>
          </w:p>
        </w:tc>
        <w:tc>
          <w:tcPr>
            <w:tcW w:w="6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5,573</w:t>
            </w:r>
          </w:p>
        </w:tc>
        <w:tc>
          <w:tcPr>
            <w:tcW w:w="0" w:type="dxa"/>
            <w:vAlign w:val="bottom"/>
          </w:tcPr>
          <w:p>
            <w:pPr>
              <w:spacing w:after="0"/>
              <w:rPr>
                <w:sz w:val="1"/>
                <w:szCs w:val="1"/>
                <w:color w:val="auto"/>
              </w:rPr>
            </w:pPr>
          </w:p>
        </w:tc>
      </w:tr>
      <w:tr>
        <w:trPr>
          <w:trHeight w:val="202"/>
        </w:trPr>
        <w:tc>
          <w:tcPr>
            <w:tcW w:w="4340" w:type="dxa"/>
            <w:vAlign w:val="bottom"/>
          </w:tcPr>
          <w:p>
            <w:pPr>
              <w:spacing w:after="0" w:line="202" w:lineRule="exact"/>
              <w:rPr>
                <w:sz w:val="20"/>
                <w:szCs w:val="20"/>
                <w:color w:val="auto"/>
              </w:rPr>
            </w:pPr>
            <w:r>
              <w:rPr>
                <w:rFonts w:ascii="Arial" w:cs="Arial" w:eastAsia="Arial" w:hAnsi="Arial"/>
                <w:sz w:val="18"/>
                <w:szCs w:val="18"/>
                <w:color w:val="auto"/>
              </w:rPr>
              <w:t>Equity contracts sold</w:t>
            </w:r>
          </w:p>
        </w:tc>
        <w:tc>
          <w:tcPr>
            <w:tcW w:w="4000" w:type="dxa"/>
            <w:vAlign w:val="bottom"/>
          </w:tcPr>
          <w:p>
            <w:pPr>
              <w:spacing w:after="0"/>
              <w:rPr>
                <w:sz w:val="17"/>
                <w:szCs w:val="17"/>
                <w:color w:val="auto"/>
              </w:rPr>
            </w:pPr>
          </w:p>
        </w:tc>
        <w:tc>
          <w:tcPr>
            <w:tcW w:w="124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2,546</w:t>
            </w:r>
          </w:p>
        </w:tc>
        <w:tc>
          <w:tcPr>
            <w:tcW w:w="6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03"/>
        </w:trPr>
        <w:tc>
          <w:tcPr>
            <w:tcW w:w="43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contracts purchased</w:t>
            </w:r>
          </w:p>
        </w:tc>
        <w:tc>
          <w:tcPr>
            <w:tcW w:w="4000" w:type="dxa"/>
            <w:vAlign w:val="bottom"/>
            <w:shd w:val="clear" w:color="auto" w:fill="E5E5E5"/>
          </w:tcPr>
          <w:p>
            <w:pPr>
              <w:spacing w:after="0"/>
              <w:rPr>
                <w:sz w:val="17"/>
                <w:szCs w:val="17"/>
                <w:color w:val="auto"/>
              </w:rPr>
            </w:pPr>
          </w:p>
        </w:tc>
        <w:tc>
          <w:tcPr>
            <w:tcW w:w="1240" w:type="dxa"/>
            <w:vAlign w:val="bottom"/>
            <w:shd w:val="clear" w:color="auto" w:fill="E5E5E5"/>
          </w:tcPr>
          <w:p>
            <w:pPr>
              <w:jc w:val="right"/>
              <w:ind w:right="15"/>
              <w:spacing w:after="0" w:line="202" w:lineRule="exact"/>
              <w:rPr>
                <w:sz w:val="20"/>
                <w:szCs w:val="20"/>
                <w:color w:val="auto"/>
              </w:rPr>
            </w:pPr>
            <w:r>
              <w:rPr>
                <w:rFonts w:ascii="Arial" w:cs="Arial" w:eastAsia="Arial" w:hAnsi="Arial"/>
                <w:sz w:val="18"/>
                <w:szCs w:val="18"/>
                <w:b w:val="1"/>
                <w:bCs w:val="1"/>
                <w:color w:val="auto"/>
              </w:rPr>
              <w:t>4,854</w:t>
            </w:r>
          </w:p>
        </w:tc>
        <w:tc>
          <w:tcPr>
            <w:tcW w:w="6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Other contracts sold</w:t>
            </w:r>
          </w:p>
        </w:tc>
        <w:tc>
          <w:tcPr>
            <w:tcW w:w="40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b w:val="1"/>
                <w:bCs w:val="1"/>
                <w:color w:val="auto"/>
              </w:rPr>
              <w:t>711</w:t>
            </w:r>
          </w:p>
        </w:tc>
        <w:tc>
          <w:tcPr>
            <w:tcW w:w="6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606"/>
        </w:trPr>
        <w:tc>
          <w:tcPr>
            <w:tcW w:w="4340" w:type="dxa"/>
            <w:vAlign w:val="bottom"/>
            <w:tcBorders>
              <w:top w:val="single" w:sz="8" w:color="auto"/>
            </w:tcBorders>
          </w:tcPr>
          <w:p>
            <w:pPr>
              <w:spacing w:after="0"/>
              <w:rPr>
                <w:sz w:val="24"/>
                <w:szCs w:val="24"/>
                <w:color w:val="auto"/>
              </w:rPr>
            </w:pPr>
          </w:p>
        </w:tc>
        <w:tc>
          <w:tcPr>
            <w:tcW w:w="4000" w:type="dxa"/>
            <w:vAlign w:val="bottom"/>
            <w:tcBorders>
              <w:top w:val="single" w:sz="8" w:color="auto"/>
            </w:tcBorders>
          </w:tcPr>
          <w:p>
            <w:pPr>
              <w:jc w:val="right"/>
              <w:ind w:right="2559"/>
              <w:spacing w:after="0"/>
              <w:rPr>
                <w:sz w:val="20"/>
                <w:szCs w:val="20"/>
                <w:color w:val="auto"/>
              </w:rPr>
            </w:pPr>
            <w:r>
              <w:rPr>
                <w:rFonts w:ascii="Arial" w:cs="Arial" w:eastAsia="Arial" w:hAnsi="Arial"/>
                <w:sz w:val="14"/>
                <w:szCs w:val="14"/>
                <w:color w:val="auto"/>
              </w:rPr>
              <w:t>16</w:t>
            </w:r>
          </w:p>
        </w:tc>
        <w:tc>
          <w:tcPr>
            <w:tcW w:w="12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43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6" w:name="page17"/>
    <w:bookmarkEnd w:id="16"/>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derivative instruments: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0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16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Derivative</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Derivative</w:t>
            </w:r>
          </w:p>
        </w:tc>
        <w:tc>
          <w:tcPr>
            <w:tcW w:w="0" w:type="dxa"/>
            <w:vAlign w:val="bottom"/>
          </w:tcPr>
          <w:p>
            <w:pPr>
              <w:spacing w:after="0"/>
              <w:rPr>
                <w:sz w:val="1"/>
                <w:szCs w:val="1"/>
                <w:color w:val="auto"/>
              </w:rPr>
            </w:pPr>
          </w:p>
        </w:tc>
      </w:tr>
      <w:tr>
        <w:trPr>
          <w:trHeight w:val="197"/>
        </w:trPr>
        <w:tc>
          <w:tcPr>
            <w:tcW w:w="600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Assets</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Liabilities</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Assets</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Liabilities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00" w:type="dxa"/>
            <w:vAlign w:val="bottom"/>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00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48</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(69)</w:t>
            </w:r>
          </w:p>
        </w:tc>
        <w:tc>
          <w:tcPr>
            <w:tcW w:w="3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57</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E5E5E5"/>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8"/>
        </w:trPr>
        <w:tc>
          <w:tcPr>
            <w:tcW w:w="6000" w:type="dxa"/>
            <w:vAlign w:val="bottom"/>
          </w:tcPr>
          <w:p>
            <w:pPr>
              <w:spacing w:after="0"/>
              <w:rPr>
                <w:sz w:val="20"/>
                <w:szCs w:val="20"/>
                <w:color w:val="auto"/>
              </w:rPr>
            </w:pPr>
            <w:r>
              <w:rPr>
                <w:rFonts w:ascii="Arial" w:cs="Arial" w:eastAsia="Arial" w:hAnsi="Arial"/>
                <w:sz w:val="18"/>
                <w:szCs w:val="18"/>
                <w:color w:val="auto"/>
              </w:rPr>
              <w:t>Interest rate contracts</w:t>
            </w: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00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00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280" w:type="dxa"/>
            <w:vAlign w:val="bottom"/>
            <w:shd w:val="clear" w:color="auto" w:fill="E5E5E5"/>
          </w:tcPr>
          <w:p>
            <w:pPr>
              <w:spacing w:after="0"/>
              <w:rPr>
                <w:sz w:val="18"/>
                <w:szCs w:val="18"/>
                <w:color w:val="auto"/>
              </w:rPr>
            </w:pPr>
          </w:p>
        </w:tc>
        <w:tc>
          <w:tcPr>
            <w:tcW w:w="10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331</w:t>
            </w:r>
          </w:p>
        </w:tc>
        <w:tc>
          <w:tcPr>
            <w:tcW w:w="160" w:type="dxa"/>
            <w:vAlign w:val="bottom"/>
            <w:shd w:val="clear" w:color="auto" w:fill="E5E5E5"/>
          </w:tcPr>
          <w:p>
            <w:pPr>
              <w:spacing w:after="0"/>
              <w:rPr>
                <w:sz w:val="18"/>
                <w:szCs w:val="18"/>
                <w:color w:val="auto"/>
              </w:rPr>
            </w:pPr>
          </w:p>
        </w:tc>
        <w:tc>
          <w:tcPr>
            <w:tcW w:w="110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(379)</w:t>
            </w:r>
          </w:p>
        </w:tc>
        <w:tc>
          <w:tcPr>
            <w:tcW w:w="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1,742</w:t>
            </w:r>
          </w:p>
        </w:tc>
        <w:tc>
          <w:tcPr>
            <w:tcW w:w="280" w:type="dxa"/>
            <w:vAlign w:val="bottom"/>
            <w:shd w:val="clear" w:color="auto" w:fill="E5E5E5"/>
          </w:tcPr>
          <w:p>
            <w:pPr>
              <w:spacing w:after="0"/>
              <w:rPr>
                <w:sz w:val="18"/>
                <w:szCs w:val="18"/>
                <w:color w:val="auto"/>
              </w:rPr>
            </w:pPr>
          </w:p>
        </w:tc>
        <w:tc>
          <w:tcPr>
            <w:tcW w:w="960" w:type="dxa"/>
            <w:vAlign w:val="bottom"/>
            <w:gridSpan w:val="3"/>
            <w:shd w:val="clear" w:color="auto" w:fill="E5E5E5"/>
          </w:tcPr>
          <w:p>
            <w:pPr>
              <w:jc w:val="right"/>
              <w:ind w:right="6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Equity contracts</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312</w:t>
            </w:r>
          </w:p>
        </w:tc>
        <w:tc>
          <w:tcPr>
            <w:tcW w:w="16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346</w:t>
            </w:r>
          </w:p>
        </w:tc>
        <w:tc>
          <w:tcPr>
            <w:tcW w:w="280" w:type="dxa"/>
            <w:vAlign w:val="bottom"/>
          </w:tcPr>
          <w:p>
            <w:pPr>
              <w:spacing w:after="0"/>
              <w:rPr>
                <w:sz w:val="17"/>
                <w:szCs w:val="17"/>
                <w:color w:val="auto"/>
              </w:rPr>
            </w:pP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3"/>
        </w:trPr>
        <w:tc>
          <w:tcPr>
            <w:tcW w:w="6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contracts</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14</w:t>
            </w:r>
          </w:p>
        </w:tc>
        <w:tc>
          <w:tcPr>
            <w:tcW w:w="1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(22)</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20</w:t>
            </w:r>
          </w:p>
        </w:tc>
        <w:tc>
          <w:tcPr>
            <w:tcW w:w="280" w:type="dxa"/>
            <w:vAlign w:val="bottom"/>
            <w:shd w:val="clear" w:color="auto" w:fill="E5E5E5"/>
          </w:tcPr>
          <w:p>
            <w:pPr>
              <w:spacing w:after="0"/>
              <w:rPr>
                <w:sz w:val="17"/>
                <w:szCs w:val="17"/>
                <w:color w:val="auto"/>
              </w:rPr>
            </w:pPr>
          </w:p>
        </w:tc>
        <w:tc>
          <w:tcPr>
            <w:tcW w:w="960" w:type="dxa"/>
            <w:vAlign w:val="bottom"/>
            <w:gridSpan w:val="3"/>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
        </w:trPr>
        <w:tc>
          <w:tcPr>
            <w:tcW w:w="60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000" w:type="dxa"/>
            <w:vAlign w:val="bottom"/>
          </w:tcPr>
          <w:p>
            <w:pPr>
              <w:ind w:left="140"/>
              <w:spacing w:after="0"/>
              <w:rPr>
                <w:sz w:val="20"/>
                <w:szCs w:val="20"/>
                <w:color w:val="auto"/>
              </w:rPr>
            </w:pPr>
            <w:r>
              <w:rPr>
                <w:rFonts w:ascii="Arial" w:cs="Arial" w:eastAsia="Arial" w:hAnsi="Arial"/>
                <w:sz w:val="18"/>
                <w:szCs w:val="18"/>
                <w:color w:val="auto"/>
              </w:rPr>
              <w:t>Gross amounts of derivatives</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710</w:t>
            </w:r>
          </w:p>
        </w:tc>
        <w:tc>
          <w:tcPr>
            <w:tcW w:w="16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(594)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2,176</w:t>
            </w:r>
          </w:p>
        </w:tc>
        <w:tc>
          <w:tcPr>
            <w:tcW w:w="28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03"/>
        </w:trPr>
        <w:tc>
          <w:tcPr>
            <w:tcW w:w="6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Gross amounts of derivatives offset in the balance sheets</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(358)</w:t>
            </w:r>
          </w:p>
        </w:tc>
        <w:tc>
          <w:tcPr>
            <w:tcW w:w="1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360</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(1,300)</w:t>
            </w:r>
          </w:p>
        </w:tc>
        <w:tc>
          <w:tcPr>
            <w:tcW w:w="2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1,301</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Cash collateral received</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w:t>
            </w:r>
          </w:p>
        </w:tc>
        <w:tc>
          <w:tcPr>
            <w:tcW w:w="16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1"/>
                <w:szCs w:val="21"/>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34"/>
        </w:trPr>
        <w:tc>
          <w:tcPr>
            <w:tcW w:w="60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Net amounts of derivatives</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352</w:t>
            </w: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(377)</w:t>
            </w:r>
          </w:p>
        </w:tc>
        <w:tc>
          <w:tcPr>
            <w:tcW w:w="3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876</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48"/>
        </w:trPr>
        <w:tc>
          <w:tcPr>
            <w:tcW w:w="6000" w:type="dxa"/>
            <w:vAlign w:val="bottom"/>
            <w:vMerge w:val="restart"/>
          </w:tcPr>
          <w:p>
            <w:pPr>
              <w:spacing w:after="0"/>
              <w:rPr>
                <w:sz w:val="20"/>
                <w:szCs w:val="20"/>
                <w:color w:val="auto"/>
              </w:rPr>
            </w:pPr>
            <w:r>
              <w:rPr>
                <w:rFonts w:ascii="Arial" w:cs="Arial" w:eastAsia="Arial" w:hAnsi="Arial"/>
                <w:sz w:val="13"/>
                <w:szCs w:val="13"/>
                <w:b w:val="1"/>
                <w:bCs w:val="1"/>
                <w:color w:val="auto"/>
              </w:rPr>
              <w:t>Reported as</w:t>
            </w: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60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00" w:type="dxa"/>
            <w:vAlign w:val="bottom"/>
            <w:shd w:val="clear" w:color="auto" w:fill="E5E5E5"/>
          </w:tcPr>
          <w:p>
            <w:pPr>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215</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0</w:t>
            </w:r>
          </w:p>
        </w:tc>
        <w:tc>
          <w:tcPr>
            <w:tcW w:w="3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192</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134</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681</w:t>
            </w:r>
          </w:p>
        </w:tc>
        <w:tc>
          <w:tcPr>
            <w:tcW w:w="28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Equity and other investments</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1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Other long-term assets</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w:t>
            </w:r>
          </w:p>
        </w:tc>
        <w:tc>
          <w:tcPr>
            <w:tcW w:w="28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1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(245)</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7"/>
                <w:szCs w:val="17"/>
                <w:color w:val="auto"/>
              </w:rPr>
            </w:pPr>
          </w:p>
        </w:tc>
        <w:tc>
          <w:tcPr>
            <w:tcW w:w="960" w:type="dxa"/>
            <w:vAlign w:val="bottom"/>
            <w:gridSpan w:val="3"/>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w:t>
            </w:r>
          </w:p>
        </w:tc>
        <w:tc>
          <w:tcPr>
            <w:tcW w:w="16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1"/>
                <w:szCs w:val="21"/>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4"/>
        </w:trPr>
        <w:tc>
          <w:tcPr>
            <w:tcW w:w="60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Total</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352</w:t>
            </w: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(377)</w:t>
            </w:r>
          </w:p>
        </w:tc>
        <w:tc>
          <w:tcPr>
            <w:tcW w:w="3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876</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48"/>
        </w:trPr>
        <w:tc>
          <w:tcPr>
            <w:tcW w:w="60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Gross derivative assets and liabilities subject to legally enforceable master netting agreements for which we have elected to offset were $696 million and $578 million, respectively, as of September 30, 2026, and $2.2 billion and $1.4 billion, respectively, as of June 30, 2026.</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of our derivatives instruments on a gross basis: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840" w:type="dxa"/>
            <w:vAlign w:val="bottom"/>
          </w:tcPr>
          <w:p>
            <w:pPr>
              <w:spacing w:after="0"/>
              <w:rPr>
                <w:sz w:val="17"/>
                <w:szCs w:val="17"/>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b w:val="1"/>
                <w:bCs w:val="1"/>
                <w:color w:val="auto"/>
              </w:rPr>
              <w:t>Level 1</w:t>
            </w:r>
          </w:p>
        </w:tc>
        <w:tc>
          <w:tcPr>
            <w:tcW w:w="460" w:type="dxa"/>
            <w:vAlign w:val="bottom"/>
          </w:tcPr>
          <w:p>
            <w:pPr>
              <w:spacing w:after="0"/>
              <w:rPr>
                <w:sz w:val="17"/>
                <w:szCs w:val="17"/>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b w:val="1"/>
                <w:bCs w:val="1"/>
                <w:color w:val="auto"/>
              </w:rPr>
              <w:t>Level 2</w:t>
            </w:r>
          </w:p>
        </w:tc>
        <w:tc>
          <w:tcPr>
            <w:tcW w:w="460" w:type="dxa"/>
            <w:vAlign w:val="bottom"/>
          </w:tcPr>
          <w:p>
            <w:pPr>
              <w:spacing w:after="0"/>
              <w:rPr>
                <w:sz w:val="17"/>
                <w:szCs w:val="17"/>
                <w:color w:val="auto"/>
              </w:rPr>
            </w:pPr>
          </w:p>
        </w:tc>
        <w:tc>
          <w:tcPr>
            <w:tcW w:w="860" w:type="dxa"/>
            <w:vAlign w:val="bottom"/>
          </w:tcPr>
          <w:p>
            <w:pPr>
              <w:jc w:val="right"/>
              <w:ind w:right="35"/>
              <w:spacing w:after="0"/>
              <w:rPr>
                <w:sz w:val="20"/>
                <w:szCs w:val="20"/>
                <w:color w:val="auto"/>
              </w:rPr>
            </w:pPr>
            <w:r>
              <w:rPr>
                <w:rFonts w:ascii="Arial" w:cs="Arial" w:eastAsia="Arial" w:hAnsi="Arial"/>
                <w:sz w:val="13"/>
                <w:szCs w:val="13"/>
                <w:b w:val="1"/>
                <w:bCs w:val="1"/>
                <w:color w:val="auto"/>
              </w:rPr>
              <w:t>Level 3</w:t>
            </w:r>
          </w:p>
        </w:tc>
        <w:tc>
          <w:tcPr>
            <w:tcW w:w="4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Total</w:t>
            </w:r>
          </w:p>
        </w:tc>
      </w:tr>
      <w:tr>
        <w:trPr>
          <w:trHeight w:val="221"/>
        </w:trPr>
        <w:tc>
          <w:tcPr>
            <w:tcW w:w="35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September 30, 2026</w:t>
            </w:r>
          </w:p>
        </w:tc>
        <w:tc>
          <w:tcPr>
            <w:tcW w:w="28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3540" w:type="dxa"/>
            <w:vAlign w:val="bottom"/>
            <w:shd w:val="clear" w:color="auto" w:fill="E5E5E5"/>
          </w:tcPr>
          <w:p>
            <w:pPr>
              <w:spacing w:after="0"/>
              <w:rPr>
                <w:sz w:val="20"/>
                <w:szCs w:val="20"/>
                <w:color w:val="auto"/>
              </w:rPr>
            </w:pPr>
            <w:r>
              <w:rPr>
                <w:rFonts w:ascii="Arial" w:cs="Arial" w:eastAsia="Arial" w:hAnsi="Arial"/>
                <w:sz w:val="18"/>
                <w:szCs w:val="18"/>
                <w:color w:val="auto"/>
              </w:rPr>
              <w:t>Derivative assets</w:t>
            </w:r>
          </w:p>
        </w:tc>
        <w:tc>
          <w:tcPr>
            <w:tcW w:w="2840" w:type="dxa"/>
            <w:vAlign w:val="bottom"/>
            <w:shd w:val="clear" w:color="auto" w:fill="E5E5E5"/>
          </w:tcPr>
          <w:p>
            <w:pPr>
              <w:jc w:val="right"/>
              <w:ind w:right="199"/>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0</w:t>
            </w:r>
          </w:p>
        </w:tc>
        <w:tc>
          <w:tcPr>
            <w:tcW w:w="460" w:type="dxa"/>
            <w:vAlign w:val="bottom"/>
            <w:shd w:val="clear" w:color="auto" w:fill="E5E5E5"/>
          </w:tcPr>
          <w:p>
            <w:pPr>
              <w:jc w:val="right"/>
              <w:ind w:right="17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ind w:right="55"/>
              <w:spacing w:after="0"/>
              <w:rPr>
                <w:sz w:val="20"/>
                <w:szCs w:val="20"/>
                <w:color w:val="auto"/>
              </w:rPr>
            </w:pPr>
            <w:r>
              <w:rPr>
                <w:rFonts w:ascii="Arial" w:cs="Arial" w:eastAsia="Arial" w:hAnsi="Arial"/>
                <w:sz w:val="18"/>
                <w:szCs w:val="18"/>
                <w:b w:val="1"/>
                <w:bCs w:val="1"/>
                <w:color w:val="auto"/>
              </w:rPr>
              <w:t>705</w:t>
            </w:r>
          </w:p>
        </w:tc>
        <w:tc>
          <w:tcPr>
            <w:tcW w:w="460" w:type="dxa"/>
            <w:vAlign w:val="bottom"/>
            <w:shd w:val="clear" w:color="auto" w:fill="E5E5E5"/>
          </w:tcPr>
          <w:p>
            <w:pPr>
              <w:jc w:val="right"/>
              <w:ind w:right="19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5</w:t>
            </w:r>
          </w:p>
        </w:tc>
        <w:tc>
          <w:tcPr>
            <w:tcW w:w="460" w:type="dxa"/>
            <w:vAlign w:val="bottom"/>
            <w:shd w:val="clear" w:color="auto" w:fill="E5E5E5"/>
          </w:tcPr>
          <w:p>
            <w:pPr>
              <w:jc w:val="right"/>
              <w:ind w:right="17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710</w:t>
            </w:r>
          </w:p>
        </w:tc>
      </w:tr>
      <w:tr>
        <w:trPr>
          <w:trHeight w:val="228"/>
        </w:trPr>
        <w:tc>
          <w:tcPr>
            <w:tcW w:w="3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840" w:type="dxa"/>
            <w:vAlign w:val="bottom"/>
          </w:tcPr>
          <w:p>
            <w:pPr>
              <w:spacing w:after="0"/>
              <w:rPr>
                <w:sz w:val="19"/>
                <w:szCs w:val="19"/>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b w:val="1"/>
                <w:bCs w:val="1"/>
                <w:color w:val="auto"/>
              </w:rPr>
              <w:t>0</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(594)</w:t>
            </w:r>
          </w:p>
        </w:tc>
        <w:tc>
          <w:tcPr>
            <w:tcW w:w="46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b w:val="1"/>
                <w:bCs w:val="1"/>
                <w:color w:val="auto"/>
              </w:rPr>
              <w:t>0</w:t>
            </w:r>
          </w:p>
        </w:tc>
        <w:tc>
          <w:tcPr>
            <w:tcW w:w="4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(594)</w:t>
            </w:r>
          </w:p>
        </w:tc>
      </w:tr>
      <w:tr>
        <w:trPr>
          <w:trHeight w:val="195"/>
        </w:trPr>
        <w:tc>
          <w:tcPr>
            <w:tcW w:w="3540" w:type="dxa"/>
            <w:vAlign w:val="bottom"/>
          </w:tcPr>
          <w:p>
            <w:pPr>
              <w:spacing w:after="0"/>
              <w:rPr>
                <w:sz w:val="20"/>
                <w:szCs w:val="20"/>
                <w:color w:val="auto"/>
              </w:rPr>
            </w:pPr>
            <w:r>
              <w:rPr>
                <w:rFonts w:ascii="Arial" w:cs="Arial" w:eastAsia="Arial" w:hAnsi="Arial"/>
                <w:sz w:val="13"/>
                <w:szCs w:val="13"/>
                <w:b w:val="1"/>
                <w:bCs w:val="1"/>
                <w:color w:val="auto"/>
              </w:rPr>
              <w:t>June 30, 2026</w:t>
            </w:r>
          </w:p>
        </w:tc>
        <w:tc>
          <w:tcPr>
            <w:tcW w:w="2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1"/>
        </w:trPr>
        <w:tc>
          <w:tcPr>
            <w:tcW w:w="3540" w:type="dxa"/>
            <w:vAlign w:val="bottom"/>
            <w:shd w:val="clear" w:color="auto" w:fill="E5E5E5"/>
          </w:tcPr>
          <w:p>
            <w:pPr>
              <w:spacing w:after="0"/>
              <w:rPr>
                <w:sz w:val="20"/>
                <w:szCs w:val="20"/>
                <w:color w:val="auto"/>
              </w:rPr>
            </w:pPr>
            <w:r>
              <w:rPr>
                <w:rFonts w:ascii="Arial" w:cs="Arial" w:eastAsia="Arial" w:hAnsi="Arial"/>
                <w:sz w:val="18"/>
                <w:szCs w:val="18"/>
                <w:color w:val="auto"/>
              </w:rPr>
              <w:t>Derivative assets</w:t>
            </w:r>
          </w:p>
        </w:tc>
        <w:tc>
          <w:tcPr>
            <w:tcW w:w="28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0</w:t>
            </w:r>
          </w:p>
        </w:tc>
        <w:tc>
          <w:tcPr>
            <w:tcW w:w="4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2,168</w:t>
            </w:r>
          </w:p>
        </w:tc>
        <w:tc>
          <w:tcPr>
            <w:tcW w:w="4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8</w:t>
            </w:r>
          </w:p>
        </w:tc>
        <w:tc>
          <w:tcPr>
            <w:tcW w:w="460" w:type="dxa"/>
            <w:vAlign w:val="bottom"/>
            <w:shd w:val="clear" w:color="auto" w:fill="E5E5E5"/>
          </w:tcPr>
          <w:p>
            <w:pPr>
              <w:spacing w:after="0"/>
              <w:rPr>
                <w:sz w:val="18"/>
                <w:szCs w:val="18"/>
                <w:color w:val="auto"/>
              </w:rPr>
            </w:pPr>
          </w:p>
        </w:tc>
        <w:tc>
          <w:tcPr>
            <w:tcW w:w="88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2,176</w:t>
            </w:r>
          </w:p>
        </w:tc>
      </w:tr>
      <w:tr>
        <w:trPr>
          <w:trHeight w:val="241"/>
        </w:trPr>
        <w:tc>
          <w:tcPr>
            <w:tcW w:w="3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8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(1,430)</w:t>
            </w:r>
          </w:p>
        </w:tc>
        <w:tc>
          <w:tcPr>
            <w:tcW w:w="460" w:type="dxa"/>
            <w:vAlign w:val="bottom"/>
          </w:tcPr>
          <w:p>
            <w:pPr>
              <w:spacing w:after="0"/>
              <w:rPr>
                <w:sz w:val="20"/>
                <w:szCs w:val="20"/>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(1,430)</w:t>
            </w:r>
          </w:p>
        </w:tc>
      </w:tr>
      <w:tr>
        <w:trPr>
          <w:trHeight w:val="609"/>
        </w:trPr>
        <w:tc>
          <w:tcPr>
            <w:tcW w:w="3540" w:type="dxa"/>
            <w:vAlign w:val="bottom"/>
            <w:tcBorders>
              <w:top w:val="single" w:sz="8" w:color="auto"/>
            </w:tcBorders>
          </w:tcPr>
          <w:p>
            <w:pPr>
              <w:spacing w:after="0"/>
              <w:rPr>
                <w:sz w:val="24"/>
                <w:szCs w:val="24"/>
                <w:color w:val="auto"/>
              </w:rPr>
            </w:pPr>
          </w:p>
        </w:tc>
        <w:tc>
          <w:tcPr>
            <w:tcW w:w="2840" w:type="dxa"/>
            <w:vAlign w:val="bottom"/>
            <w:tcBorders>
              <w:top w:val="single" w:sz="8" w:color="auto"/>
            </w:tcBorders>
          </w:tcPr>
          <w:p>
            <w:pPr>
              <w:jc w:val="right"/>
              <w:ind w:right="599"/>
              <w:spacing w:after="0"/>
              <w:rPr>
                <w:sz w:val="20"/>
                <w:szCs w:val="20"/>
                <w:color w:val="auto"/>
              </w:rPr>
            </w:pPr>
            <w:r>
              <w:rPr>
                <w:rFonts w:ascii="Arial" w:cs="Arial" w:eastAsia="Arial" w:hAnsi="Arial"/>
                <w:sz w:val="14"/>
                <w:szCs w:val="14"/>
                <w:color w:val="auto"/>
              </w:rPr>
              <w:t>17</w:t>
            </w:r>
          </w:p>
        </w:tc>
        <w:tc>
          <w:tcPr>
            <w:tcW w:w="8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609"/>
        </w:trPr>
        <w:tc>
          <w:tcPr>
            <w:tcW w:w="35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7" w:name="page18"/>
    <w:bookmarkEnd w:id="17"/>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Gains (losses) on derivative instruments recognized in other income (expense), net were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377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1960" w:type="dxa"/>
            <w:vAlign w:val="bottom"/>
          </w:tcPr>
          <w:p>
            <w:pPr>
              <w:spacing w:after="0"/>
              <w:rPr>
                <w:sz w:val="16"/>
                <w:szCs w:val="16"/>
                <w:color w:val="auto"/>
              </w:rPr>
            </w:pPr>
          </w:p>
        </w:tc>
        <w:tc>
          <w:tcPr>
            <w:tcW w:w="960" w:type="dxa"/>
            <w:vAlign w:val="bottom"/>
          </w:tcPr>
          <w:p>
            <w:pPr>
              <w:jc w:val="right"/>
              <w:ind w:right="33"/>
              <w:spacing w:after="0"/>
              <w:rPr>
                <w:sz w:val="20"/>
                <w:szCs w:val="20"/>
                <w:color w:val="auto"/>
              </w:rPr>
            </w:pPr>
            <w:r>
              <w:rPr>
                <w:rFonts w:ascii="Arial" w:cs="Arial" w:eastAsia="Arial" w:hAnsi="Arial"/>
                <w:sz w:val="13"/>
                <w:szCs w:val="13"/>
                <w:b w:val="1"/>
                <w:bCs w:val="1"/>
                <w:color w:val="auto"/>
              </w:rPr>
              <w:t>2026</w:t>
            </w:r>
          </w:p>
        </w:tc>
        <w:tc>
          <w:tcPr>
            <w:tcW w:w="6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2025</w:t>
            </w:r>
          </w:p>
        </w:tc>
      </w:tr>
      <w:tr>
        <w:trPr>
          <w:trHeight w:val="198"/>
        </w:trPr>
        <w:tc>
          <w:tcPr>
            <w:tcW w:w="6680" w:type="dxa"/>
            <w:vAlign w:val="bottom"/>
          </w:tcPr>
          <w:p>
            <w:pPr>
              <w:spacing w:after="0"/>
              <w:rPr>
                <w:sz w:val="20"/>
                <w:szCs w:val="20"/>
                <w:color w:val="auto"/>
              </w:rPr>
            </w:pPr>
            <w:r>
              <w:rPr>
                <w:rFonts w:ascii="Arial" w:cs="Arial" w:eastAsia="Arial" w:hAnsi="Arial"/>
                <w:sz w:val="13"/>
                <w:szCs w:val="13"/>
                <w:b w:val="1"/>
                <w:bCs w:val="1"/>
                <w:color w:val="auto"/>
              </w:rPr>
              <w:t>Designated as Fair Value Hedging Instruments</w:t>
            </w:r>
          </w:p>
        </w:tc>
        <w:tc>
          <w:tcPr>
            <w:tcW w:w="1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1"/>
        </w:trPr>
        <w:tc>
          <w:tcPr>
            <w:tcW w:w="6680" w:type="dxa"/>
            <w:vAlign w:val="bottom"/>
            <w:shd w:val="clear" w:color="auto" w:fill="E5E5E5"/>
          </w:tcPr>
          <w:p>
            <w:pPr>
              <w:spacing w:after="0"/>
              <w:rPr>
                <w:sz w:val="20"/>
                <w:szCs w:val="20"/>
                <w:color w:val="auto"/>
              </w:rPr>
            </w:pPr>
            <w:r>
              <w:rPr>
                <w:rFonts w:ascii="Arial" w:cs="Arial" w:eastAsia="Arial" w:hAnsi="Arial"/>
                <w:sz w:val="18"/>
                <w:szCs w:val="18"/>
                <w:color w:val="auto"/>
              </w:rPr>
              <w:t>Interest rate contracts</w:t>
            </w:r>
          </w:p>
        </w:tc>
        <w:tc>
          <w:tcPr>
            <w:tcW w:w="196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r>
      <w:tr>
        <w:trPr>
          <w:trHeight w:val="203"/>
        </w:trPr>
        <w:tc>
          <w:tcPr>
            <w:tcW w:w="6680" w:type="dxa"/>
            <w:vAlign w:val="bottom"/>
          </w:tcPr>
          <w:p>
            <w:pPr>
              <w:ind w:left="200"/>
              <w:spacing w:after="0" w:line="202" w:lineRule="exact"/>
              <w:rPr>
                <w:sz w:val="20"/>
                <w:szCs w:val="20"/>
                <w:color w:val="auto"/>
              </w:rPr>
            </w:pPr>
            <w:r>
              <w:rPr>
                <w:rFonts w:ascii="Arial" w:cs="Arial" w:eastAsia="Arial" w:hAnsi="Arial"/>
                <w:sz w:val="18"/>
                <w:szCs w:val="18"/>
                <w:color w:val="auto"/>
              </w:rPr>
              <w:t>Derivatives</w:t>
            </w:r>
          </w:p>
        </w:tc>
        <w:tc>
          <w:tcPr>
            <w:tcW w:w="196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1</w:t>
            </w:r>
          </w:p>
        </w:tc>
        <w:tc>
          <w:tcPr>
            <w:tcW w:w="62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r>
      <w:tr>
        <w:trPr>
          <w:trHeight w:val="203"/>
        </w:trPr>
        <w:tc>
          <w:tcPr>
            <w:tcW w:w="66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Hedged items</w:t>
            </w:r>
          </w:p>
        </w:tc>
        <w:tc>
          <w:tcPr>
            <w:tcW w:w="196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w:t>
            </w:r>
          </w:p>
        </w:tc>
        <w:tc>
          <w:tcPr>
            <w:tcW w:w="62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(8)</w:t>
            </w:r>
          </w:p>
        </w:tc>
      </w:tr>
      <w:tr>
        <w:trPr>
          <w:trHeight w:val="221"/>
        </w:trPr>
        <w:tc>
          <w:tcPr>
            <w:tcW w:w="6680" w:type="dxa"/>
            <w:vAlign w:val="bottom"/>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1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1"/>
        </w:trPr>
        <w:tc>
          <w:tcPr>
            <w:tcW w:w="668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196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r>
      <w:tr>
        <w:trPr>
          <w:trHeight w:val="228"/>
        </w:trPr>
        <w:tc>
          <w:tcPr>
            <w:tcW w:w="6680" w:type="dxa"/>
            <w:vAlign w:val="bottom"/>
          </w:tcPr>
          <w:p>
            <w:pPr>
              <w:ind w:left="200"/>
              <w:spacing w:after="0"/>
              <w:rPr>
                <w:sz w:val="20"/>
                <w:szCs w:val="20"/>
                <w:color w:val="auto"/>
              </w:rPr>
            </w:pPr>
            <w:r>
              <w:rPr>
                <w:rFonts w:ascii="Arial" w:cs="Arial" w:eastAsia="Arial" w:hAnsi="Arial"/>
                <w:sz w:val="18"/>
                <w:szCs w:val="18"/>
                <w:color w:val="auto"/>
              </w:rPr>
              <w:t>Amount reclassified from accumulated other comprehensive loss</w:t>
            </w:r>
          </w:p>
        </w:tc>
        <w:tc>
          <w:tcPr>
            <w:tcW w:w="19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6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195"/>
        </w:trPr>
        <w:tc>
          <w:tcPr>
            <w:tcW w:w="668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1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1"/>
        </w:trPr>
        <w:tc>
          <w:tcPr>
            <w:tcW w:w="668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19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33"/>
              <w:spacing w:after="0"/>
              <w:rPr>
                <w:sz w:val="20"/>
                <w:szCs w:val="20"/>
                <w:color w:val="auto"/>
              </w:rPr>
            </w:pPr>
            <w:r>
              <w:rPr>
                <w:rFonts w:ascii="Arial" w:cs="Arial" w:eastAsia="Arial" w:hAnsi="Arial"/>
                <w:sz w:val="18"/>
                <w:szCs w:val="18"/>
                <w:b w:val="1"/>
                <w:bCs w:val="1"/>
                <w:color w:val="auto"/>
              </w:rPr>
              <w:t>262</w:t>
            </w:r>
          </w:p>
        </w:tc>
        <w:tc>
          <w:tcPr>
            <w:tcW w:w="620" w:type="dxa"/>
            <w:vAlign w:val="bottom"/>
            <w:shd w:val="clear" w:color="auto" w:fill="E5E5E5"/>
          </w:tcPr>
          <w:p>
            <w:pPr>
              <w:spacing w:after="0"/>
              <w:rPr>
                <w:sz w:val="18"/>
                <w:szCs w:val="18"/>
                <w:color w:val="auto"/>
              </w:rPr>
            </w:pPr>
          </w:p>
        </w:tc>
        <w:tc>
          <w:tcPr>
            <w:tcW w:w="10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381</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Equity contracts</w:t>
            </w:r>
          </w:p>
        </w:tc>
        <w:tc>
          <w:tcPr>
            <w:tcW w:w="1960" w:type="dxa"/>
            <w:vAlign w:val="bottom"/>
          </w:tcPr>
          <w:p>
            <w:pPr>
              <w:spacing w:after="0"/>
              <w:rPr>
                <w:sz w:val="17"/>
                <w:szCs w:val="17"/>
                <w:color w:val="auto"/>
              </w:rPr>
            </w:pPr>
          </w:p>
        </w:tc>
        <w:tc>
          <w:tcPr>
            <w:tcW w:w="9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5</w:t>
            </w:r>
          </w:p>
        </w:tc>
        <w:tc>
          <w:tcPr>
            <w:tcW w:w="62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1,579</w:t>
            </w:r>
          </w:p>
        </w:tc>
      </w:tr>
      <w:tr>
        <w:trPr>
          <w:trHeight w:val="203"/>
        </w:trPr>
        <w:tc>
          <w:tcPr>
            <w:tcW w:w="66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contracts</w:t>
            </w:r>
          </w:p>
        </w:tc>
        <w:tc>
          <w:tcPr>
            <w:tcW w:w="196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(47)</w:t>
            </w:r>
          </w:p>
        </w:tc>
        <w:tc>
          <w:tcPr>
            <w:tcW w:w="62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0</w:t>
            </w:r>
          </w:p>
        </w:tc>
      </w:tr>
      <w:tr>
        <w:trPr>
          <w:trHeight w:val="40"/>
        </w:trPr>
        <w:tc>
          <w:tcPr>
            <w:tcW w:w="668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Gains (losses), net of tax, on derivative instruments recognized in our consolidated comprehensive income statements were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gridSpan w:val="3"/>
          </w:tcPr>
          <w:p>
            <w:pPr>
              <w:spacing w:after="0"/>
              <w:rPr>
                <w:sz w:val="20"/>
                <w:szCs w:val="20"/>
                <w:color w:val="auto"/>
              </w:rPr>
            </w:pPr>
            <w:r>
              <w:rPr>
                <w:rFonts w:ascii="Arial" w:cs="Arial" w:eastAsia="Arial" w:hAnsi="Arial"/>
                <w:sz w:val="13"/>
                <w:szCs w:val="13"/>
                <w:b w:val="1"/>
                <w:bCs w:val="1"/>
                <w:color w:val="auto"/>
              </w:rPr>
              <w:t>Three Months Ended September 30,</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2025</w:t>
            </w:r>
          </w:p>
        </w:tc>
      </w:tr>
      <w:tr>
        <w:trPr>
          <w:trHeight w:val="198"/>
        </w:trPr>
        <w:tc>
          <w:tcPr>
            <w:tcW w:w="8000" w:type="dxa"/>
            <w:vAlign w:val="bottom"/>
            <w:gridSpan w:val="3"/>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8000" w:type="dxa"/>
            <w:vAlign w:val="bottom"/>
            <w:gridSpan w:val="3"/>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32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r>
      <w:tr>
        <w:trPr>
          <w:trHeight w:val="243"/>
        </w:trPr>
        <w:tc>
          <w:tcPr>
            <w:tcW w:w="8000" w:type="dxa"/>
            <w:vAlign w:val="bottom"/>
            <w:gridSpan w:val="3"/>
          </w:tcPr>
          <w:p>
            <w:pPr>
              <w:ind w:left="200"/>
              <w:spacing w:after="0"/>
              <w:rPr>
                <w:sz w:val="20"/>
                <w:szCs w:val="20"/>
                <w:color w:val="auto"/>
              </w:rPr>
            </w:pPr>
            <w:r>
              <w:rPr>
                <w:rFonts w:ascii="Arial" w:cs="Arial" w:eastAsia="Arial" w:hAnsi="Arial"/>
                <w:sz w:val="18"/>
                <w:szCs w:val="18"/>
                <w:color w:val="auto"/>
              </w:rPr>
              <w:t>Included in effectiveness assessment</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w:t>
            </w: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439"/>
        </w:trPr>
        <w:tc>
          <w:tcPr>
            <w:tcW w:w="3880" w:type="dxa"/>
            <w:vAlign w:val="bottom"/>
            <w:tcBorders>
              <w:top w:val="single" w:sz="8" w:color="auto"/>
            </w:tcBorders>
          </w:tcPr>
          <w:p>
            <w:pPr>
              <w:spacing w:after="0"/>
              <w:rPr>
                <w:sz w:val="24"/>
                <w:szCs w:val="24"/>
                <w:color w:val="auto"/>
              </w:rPr>
            </w:pPr>
          </w:p>
        </w:tc>
        <w:tc>
          <w:tcPr>
            <w:tcW w:w="3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NOTE 6 — PROPERTY AND EQUIPMENT</w:t>
            </w:r>
          </w:p>
        </w:tc>
        <w:tc>
          <w:tcPr>
            <w:tcW w:w="6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89"/>
        </w:trPr>
        <w:tc>
          <w:tcPr>
            <w:tcW w:w="8000" w:type="dxa"/>
            <w:vAlign w:val="bottom"/>
            <w:gridSpan w:val="3"/>
          </w:tcPr>
          <w:p>
            <w:pPr>
              <w:spacing w:after="0"/>
              <w:rPr>
                <w:sz w:val="20"/>
                <w:szCs w:val="20"/>
                <w:color w:val="auto"/>
              </w:rPr>
            </w:pPr>
            <w:r>
              <w:rPr>
                <w:rFonts w:ascii="Arial" w:cs="Arial" w:eastAsia="Arial" w:hAnsi="Arial"/>
                <w:sz w:val="18"/>
                <w:szCs w:val="18"/>
                <w:color w:val="auto"/>
              </w:rPr>
              <w:t>The components of property and equipment were as follows: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4"/>
        </w:trPr>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4"/>
        </w:trPr>
        <w:tc>
          <w:tcPr>
            <w:tcW w:w="38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r>
      <w:tr>
        <w:trPr>
          <w:trHeight w:val="195"/>
        </w:trPr>
        <w:tc>
          <w:tcPr>
            <w:tcW w:w="38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2026</w:t>
            </w:r>
          </w:p>
        </w:tc>
      </w:tr>
      <w:tr>
        <w:trPr>
          <w:trHeight w:val="211"/>
        </w:trPr>
        <w:tc>
          <w:tcPr>
            <w:tcW w:w="8000" w:type="dxa"/>
            <w:vAlign w:val="bottom"/>
            <w:gridSpan w:val="3"/>
            <w:shd w:val="clear" w:color="auto" w:fill="E5E5E5"/>
          </w:tcPr>
          <w:p>
            <w:pPr>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E5E5E5"/>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10,665</w:t>
            </w:r>
          </w:p>
        </w:tc>
        <w:tc>
          <w:tcPr>
            <w:tcW w:w="120" w:type="dxa"/>
            <w:vAlign w:val="bottom"/>
            <w:shd w:val="clear" w:color="auto" w:fill="E5E5E5"/>
          </w:tcPr>
          <w:p>
            <w:pPr>
              <w:spacing w:after="0"/>
              <w:rPr>
                <w:sz w:val="18"/>
                <w:szCs w:val="18"/>
                <w:color w:val="auto"/>
              </w:rPr>
            </w:pPr>
          </w:p>
        </w:tc>
        <w:tc>
          <w:tcPr>
            <w:tcW w:w="500" w:type="dxa"/>
            <w:vAlign w:val="bottom"/>
            <w:gridSpan w:val="2"/>
            <w:shd w:val="clear" w:color="auto" w:fill="E5E5E5"/>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10,546</w:t>
            </w:r>
          </w:p>
        </w:tc>
      </w:tr>
      <w:tr>
        <w:trPr>
          <w:trHeight w:val="203"/>
        </w:trPr>
        <w:tc>
          <w:tcPr>
            <w:tcW w:w="8000" w:type="dxa"/>
            <w:vAlign w:val="bottom"/>
            <w:gridSpan w:val="3"/>
          </w:tcPr>
          <w:p>
            <w:pPr>
              <w:spacing w:after="0" w:line="202" w:lineRule="exact"/>
              <w:rPr>
                <w:sz w:val="20"/>
                <w:szCs w:val="20"/>
                <w:color w:val="auto"/>
              </w:rPr>
            </w:pPr>
            <w:r>
              <w:rPr>
                <w:rFonts w:ascii="Arial" w:cs="Arial" w:eastAsia="Arial" w:hAnsi="Arial"/>
                <w:sz w:val="18"/>
                <w:szCs w:val="18"/>
                <w:color w:val="auto"/>
              </w:rPr>
              <w:t>Buildings and improvements</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194,619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182,749</w:t>
            </w:r>
          </w:p>
        </w:tc>
      </w:tr>
      <w:tr>
        <w:trPr>
          <w:trHeight w:val="203"/>
        </w:trPr>
        <w:tc>
          <w:tcPr>
            <w:tcW w:w="800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Leasehold improvements</w:t>
            </w:r>
          </w:p>
        </w:tc>
        <w:tc>
          <w:tcPr>
            <w:tcW w:w="32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17,647</w:t>
            </w:r>
          </w:p>
        </w:tc>
        <w:tc>
          <w:tcPr>
            <w:tcW w:w="1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16,348</w:t>
            </w:r>
          </w:p>
        </w:tc>
      </w:tr>
      <w:tr>
        <w:trPr>
          <w:trHeight w:val="203"/>
        </w:trPr>
        <w:tc>
          <w:tcPr>
            <w:tcW w:w="8000" w:type="dxa"/>
            <w:vAlign w:val="bottom"/>
            <w:gridSpan w:val="3"/>
          </w:tcPr>
          <w:p>
            <w:pPr>
              <w:spacing w:after="0" w:line="202" w:lineRule="exact"/>
              <w:rPr>
                <w:sz w:val="20"/>
                <w:szCs w:val="20"/>
                <w:color w:val="auto"/>
              </w:rPr>
            </w:pPr>
            <w:r>
              <w:rPr>
                <w:rFonts w:ascii="Arial" w:cs="Arial" w:eastAsia="Arial" w:hAnsi="Arial"/>
                <w:sz w:val="18"/>
                <w:szCs w:val="18"/>
                <w:color w:val="auto"/>
              </w:rPr>
              <w:t>Servers, network equipment, and software</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244,840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215,874</w:t>
            </w:r>
          </w:p>
        </w:tc>
      </w:tr>
      <w:tr>
        <w:trPr>
          <w:trHeight w:val="203"/>
        </w:trPr>
        <w:tc>
          <w:tcPr>
            <w:tcW w:w="800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Furniture and equipment</w:t>
            </w:r>
          </w:p>
        </w:tc>
        <w:tc>
          <w:tcPr>
            <w:tcW w:w="32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6,281</w:t>
            </w:r>
          </w:p>
        </w:tc>
        <w:tc>
          <w:tcPr>
            <w:tcW w:w="1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6,250</w:t>
            </w:r>
          </w:p>
        </w:tc>
      </w:tr>
      <w:tr>
        <w:trPr>
          <w:trHeight w:val="40"/>
        </w:trPr>
        <w:tc>
          <w:tcPr>
            <w:tcW w:w="3880" w:type="dxa"/>
            <w:vAlign w:val="bottom"/>
            <w:tcBorders>
              <w:bottom w:val="single" w:sz="8" w:color="auto"/>
            </w:tcBorders>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8000" w:type="dxa"/>
            <w:vAlign w:val="bottom"/>
            <w:gridSpan w:val="3"/>
          </w:tcPr>
          <w:p>
            <w:pPr>
              <w:ind w:left="200"/>
              <w:spacing w:after="0"/>
              <w:rPr>
                <w:sz w:val="20"/>
                <w:szCs w:val="20"/>
                <w:color w:val="auto"/>
              </w:rPr>
            </w:pPr>
            <w:r>
              <w:rPr>
                <w:rFonts w:ascii="Arial" w:cs="Arial" w:eastAsia="Arial" w:hAnsi="Arial"/>
                <w:sz w:val="18"/>
                <w:szCs w:val="18"/>
                <w:color w:val="auto"/>
              </w:rPr>
              <w:t>Total, at cost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474,052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431,767</w:t>
            </w:r>
          </w:p>
        </w:tc>
      </w:tr>
      <w:tr>
        <w:trPr>
          <w:trHeight w:val="203"/>
        </w:trPr>
        <w:tc>
          <w:tcPr>
            <w:tcW w:w="800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Accumulated depreciation</w:t>
            </w:r>
          </w:p>
        </w:tc>
        <w:tc>
          <w:tcPr>
            <w:tcW w:w="32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(127,208)</w:t>
            </w:r>
          </w:p>
        </w:tc>
        <w:tc>
          <w:tcPr>
            <w:tcW w:w="8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(118,691)</w:t>
            </w:r>
          </w:p>
        </w:tc>
      </w:tr>
      <w:tr>
        <w:trPr>
          <w:trHeight w:val="40"/>
        </w:trPr>
        <w:tc>
          <w:tcPr>
            <w:tcW w:w="3880" w:type="dxa"/>
            <w:vAlign w:val="bottom"/>
            <w:tcBorders>
              <w:bottom w:val="single" w:sz="8" w:color="auto"/>
            </w:tcBorders>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8000" w:type="dxa"/>
            <w:vAlign w:val="bottom"/>
            <w:gridSpan w:val="3"/>
          </w:tcPr>
          <w:p>
            <w:pPr>
              <w:ind w:left="200"/>
              <w:spacing w:after="0"/>
              <w:rPr>
                <w:sz w:val="20"/>
                <w:szCs w:val="20"/>
                <w:color w:val="auto"/>
              </w:rPr>
            </w:pPr>
            <w:r>
              <w:rPr>
                <w:rFonts w:ascii="Arial" w:cs="Arial" w:eastAsia="Arial" w:hAnsi="Arial"/>
                <w:sz w:val="18"/>
                <w:szCs w:val="18"/>
                <w:color w:val="auto"/>
              </w:rPr>
              <w:t>Total, net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346,844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313,076</w:t>
            </w:r>
          </w:p>
        </w:tc>
        <w:tc>
          <w:tcPr>
            <w:tcW w:w="100" w:type="dxa"/>
            <w:vAlign w:val="bottom"/>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$11.1 billion and $7.1 billion for the three months ended September 30, 2026 and 2025, respectively.</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September 30, 2026 and June 30, 2026, purchases of property and equipment remaining in accounts payable were $26.5 billion and $26.7 billion, respectively.</w:t>
      </w:r>
    </w:p>
    <w:p>
      <w:pPr>
        <w:spacing w:after="0" w:line="181" w:lineRule="exact"/>
        <w:rPr>
          <w:sz w:val="20"/>
          <w:szCs w:val="20"/>
          <w:color w:val="auto"/>
        </w:rPr>
      </w:pPr>
    </w:p>
    <w:p>
      <w:pPr>
        <w:ind w:left="4680"/>
        <w:spacing w:after="0"/>
        <w:rPr>
          <w:sz w:val="20"/>
          <w:szCs w:val="20"/>
          <w:color w:val="auto"/>
        </w:rPr>
      </w:pPr>
      <w:r>
        <w:rPr>
          <w:rFonts w:ascii="Arial" w:cs="Arial" w:eastAsia="Arial" w:hAnsi="Arial"/>
          <w:sz w:val="18"/>
          <w:szCs w:val="18"/>
          <w:u w:val="single" w:color="auto"/>
          <w:color w:val="auto"/>
        </w:rPr>
        <w:t>NOTE 7 — GOODWILL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3220" w:type="dxa"/>
            <w:vAlign w:val="bottom"/>
          </w:tcPr>
          <w:p>
            <w:pPr>
              <w:jc w:val="right"/>
              <w:ind w:right="433"/>
              <w:spacing w:after="0"/>
              <w:rPr>
                <w:sz w:val="20"/>
                <w:szCs w:val="20"/>
                <w:color w:val="auto"/>
              </w:rPr>
            </w:pPr>
            <w:r>
              <w:rPr>
                <w:rFonts w:ascii="Arial" w:cs="Arial" w:eastAsia="Arial" w:hAnsi="Arial"/>
                <w:sz w:val="13"/>
                <w:szCs w:val="13"/>
                <w:b w:val="1"/>
                <w:bCs w:val="1"/>
                <w:color w:val="auto"/>
              </w:rPr>
              <w:t>June 30,</w:t>
            </w:r>
          </w:p>
        </w:tc>
        <w:tc>
          <w:tcPr>
            <w:tcW w:w="2020" w:type="dxa"/>
            <w:vAlign w:val="bottom"/>
            <w:vMerge w:val="restart"/>
          </w:tcPr>
          <w:p>
            <w:pPr>
              <w:ind w:left="500"/>
              <w:spacing w:after="0"/>
              <w:rPr>
                <w:sz w:val="20"/>
                <w:szCs w:val="20"/>
                <w:color w:val="auto"/>
              </w:rPr>
            </w:pPr>
            <w:r>
              <w:rPr>
                <w:rFonts w:ascii="Arial" w:cs="Arial" w:eastAsia="Arial" w:hAnsi="Arial"/>
                <w:sz w:val="13"/>
                <w:szCs w:val="13"/>
                <w:b w:val="1"/>
                <w:bCs w:val="1"/>
                <w:color w:val="auto"/>
              </w:rPr>
              <w:t>Acquisitions</w:t>
            </w:r>
          </w:p>
        </w:tc>
        <w:tc>
          <w:tcPr>
            <w:tcW w:w="1540" w:type="dxa"/>
            <w:vAlign w:val="bottom"/>
            <w:vMerge w:val="restart"/>
          </w:tcPr>
          <w:p>
            <w:pPr>
              <w:ind w:left="700"/>
              <w:spacing w:after="0"/>
              <w:rPr>
                <w:sz w:val="20"/>
                <w:szCs w:val="20"/>
                <w:color w:val="auto"/>
              </w:rPr>
            </w:pPr>
            <w:r>
              <w:rPr>
                <w:rFonts w:ascii="Arial" w:cs="Arial" w:eastAsia="Arial" w:hAnsi="Arial"/>
                <w:sz w:val="13"/>
                <w:szCs w:val="13"/>
                <w:b w:val="1"/>
                <w:bCs w:val="1"/>
                <w:color w:val="auto"/>
              </w:rPr>
              <w:t>Other</w:t>
            </w: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86"/>
        </w:trPr>
        <w:tc>
          <w:tcPr>
            <w:tcW w:w="2940" w:type="dxa"/>
            <w:vAlign w:val="bottom"/>
            <w:vMerge w:val="continue"/>
          </w:tcPr>
          <w:p>
            <w:pPr>
              <w:spacing w:after="0"/>
              <w:rPr>
                <w:sz w:val="16"/>
                <w:szCs w:val="16"/>
                <w:color w:val="auto"/>
              </w:rPr>
            </w:pPr>
          </w:p>
        </w:tc>
        <w:tc>
          <w:tcPr>
            <w:tcW w:w="3220" w:type="dxa"/>
            <w:vAlign w:val="bottom"/>
          </w:tcPr>
          <w:p>
            <w:pPr>
              <w:jc w:val="right"/>
              <w:ind w:right="433"/>
              <w:spacing w:after="0"/>
              <w:rPr>
                <w:sz w:val="20"/>
                <w:szCs w:val="20"/>
                <w:color w:val="auto"/>
              </w:rPr>
            </w:pPr>
            <w:r>
              <w:rPr>
                <w:rFonts w:ascii="Arial" w:cs="Arial" w:eastAsia="Arial" w:hAnsi="Arial"/>
                <w:sz w:val="13"/>
                <w:szCs w:val="13"/>
                <w:b w:val="1"/>
                <w:bCs w:val="1"/>
                <w:color w:val="auto"/>
              </w:rPr>
              <w:t>2026</w:t>
            </w:r>
          </w:p>
        </w:tc>
        <w:tc>
          <w:tcPr>
            <w:tcW w:w="202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0637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shd w:val="clear" w:color="auto" w:fill="E5E5E5"/>
          </w:tcPr>
          <w:p>
            <w:pPr>
              <w:spacing w:after="0"/>
              <w:rPr>
                <w:sz w:val="20"/>
                <w:szCs w:val="20"/>
                <w:color w:val="auto"/>
              </w:rPr>
            </w:pPr>
            <w:r>
              <w:rPr>
                <w:rFonts w:ascii="Arial" w:cs="Arial" w:eastAsia="Arial" w:hAnsi="Arial"/>
                <w:sz w:val="18"/>
                <w:szCs w:val="18"/>
                <w:color w:val="auto"/>
              </w:rPr>
              <w:t>Agents and Infra</w:t>
            </w:r>
          </w:p>
        </w:tc>
        <w:tc>
          <w:tcPr>
            <w:tcW w:w="1620" w:type="dxa"/>
            <w:vAlign w:val="bottom"/>
            <w:gridSpan w:val="2"/>
            <w:shd w:val="clear" w:color="auto" w:fill="E5E5E5"/>
          </w:tcPr>
          <w:p>
            <w:pPr>
              <w:jc w:val="right"/>
              <w:ind w:right="36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48,945</w:t>
            </w:r>
          </w:p>
        </w:tc>
        <w:tc>
          <w:tcPr>
            <w:tcW w:w="780" w:type="dxa"/>
            <w:vAlign w:val="bottom"/>
            <w:shd w:val="clear" w:color="auto" w:fill="E5E5E5"/>
          </w:tcPr>
          <w:p>
            <w:pPr>
              <w:jc w:val="right"/>
              <w:ind w:right="5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0</w:t>
            </w:r>
          </w:p>
        </w:tc>
        <w:tc>
          <w:tcPr>
            <w:tcW w:w="700" w:type="dxa"/>
            <w:vAlign w:val="bottom"/>
            <w:shd w:val="clear" w:color="auto" w:fill="E5E5E5"/>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9</w:t>
            </w:r>
          </w:p>
        </w:tc>
        <w:tc>
          <w:tcPr>
            <w:tcW w:w="560" w:type="dxa"/>
            <w:vAlign w:val="bottom"/>
            <w:shd w:val="clear" w:color="auto" w:fill="E5E5E5"/>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48,954</w:t>
            </w:r>
          </w:p>
        </w:tc>
      </w:tr>
      <w:tr>
        <w:trPr>
          <w:trHeight w:val="243"/>
        </w:trPr>
        <w:tc>
          <w:tcPr>
            <w:tcW w:w="3020" w:type="dxa"/>
            <w:vAlign w:val="bottom"/>
          </w:tcPr>
          <w:p>
            <w:pPr>
              <w:spacing w:after="0"/>
              <w:rPr>
                <w:sz w:val="20"/>
                <w:szCs w:val="20"/>
                <w:color w:val="auto"/>
              </w:rPr>
            </w:pPr>
            <w:r>
              <w:rPr>
                <w:rFonts w:ascii="Arial" w:cs="Arial" w:eastAsia="Arial" w:hAnsi="Arial"/>
                <w:sz w:val="18"/>
                <w:szCs w:val="18"/>
                <w:color w:val="auto"/>
              </w:rPr>
              <w:t>Devices and Consumer</w:t>
            </w: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70,706</w:t>
            </w:r>
          </w:p>
        </w:tc>
        <w:tc>
          <w:tcPr>
            <w:tcW w:w="7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w:t>
            </w:r>
          </w:p>
        </w:tc>
        <w:tc>
          <w:tcPr>
            <w:tcW w:w="7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w:t>
            </w:r>
          </w:p>
        </w:tc>
        <w:tc>
          <w:tcPr>
            <w:tcW w:w="5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70,692</w:t>
            </w:r>
          </w:p>
        </w:tc>
      </w:tr>
      <w:tr>
        <w:trPr>
          <w:trHeight w:val="34"/>
        </w:trPr>
        <w:tc>
          <w:tcPr>
            <w:tcW w:w="302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302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Total</w:t>
            </w:r>
          </w:p>
        </w:tc>
        <w:tc>
          <w:tcPr>
            <w:tcW w:w="162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119,651</w:t>
            </w:r>
          </w:p>
        </w:tc>
        <w:tc>
          <w:tcPr>
            <w:tcW w:w="780" w:type="dxa"/>
            <w:vAlign w:val="bottom"/>
            <w:shd w:val="clear" w:color="auto" w:fill="E5E5E5"/>
          </w:tcPr>
          <w:p>
            <w:pPr>
              <w:jc w:val="right"/>
              <w:ind w:right="590"/>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700" w:type="dxa"/>
            <w:vAlign w:val="bottom"/>
            <w:shd w:val="clear" w:color="auto" w:fill="E5E5E5"/>
          </w:tcPr>
          <w:p>
            <w:pPr>
              <w:jc w:val="right"/>
              <w:ind w:right="510"/>
              <w:spacing w:after="0" w:line="202"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(5)</w:t>
            </w:r>
          </w:p>
        </w:tc>
        <w:tc>
          <w:tcPr>
            <w:tcW w:w="560" w:type="dxa"/>
            <w:vAlign w:val="bottom"/>
            <w:shd w:val="clear" w:color="auto" w:fill="E5E5E5"/>
          </w:tcPr>
          <w:p>
            <w:pPr>
              <w:jc w:val="right"/>
              <w:ind w:right="370"/>
              <w:spacing w:after="0" w:line="202" w:lineRule="exact"/>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119,646</w:t>
            </w:r>
          </w:p>
        </w:tc>
      </w:tr>
      <w:tr>
        <w:trPr>
          <w:trHeight w:val="48"/>
        </w:trPr>
        <w:tc>
          <w:tcPr>
            <w:tcW w:w="30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3"/>
        </w:trPr>
        <w:tc>
          <w:tcPr>
            <w:tcW w:w="3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18</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09"/>
        </w:trPr>
        <w:tc>
          <w:tcPr>
            <w:tcW w:w="30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8" w:name="page19"/>
    <w:bookmarkEnd w:id="18"/>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recast certain prior period amounts to conform to the way we internally manage and monitor our business. Refer to Note 1 – Accounting Policies for further information.</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measurement periods for the valuation of assets acquired and liabilities assumed end as soon as information on the facts and circumstances that existed as of the acquisition dates becomes available, but do not exceed 12 months following the close of the transaction. Adjustments in purchase price allocations may require a change in the amounts allocated to goodwill during the periods in which the adjustments are determined.</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p>
    <w:p>
      <w:pPr>
        <w:spacing w:after="0" w:line="11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During the first quarter of fiscal year 2027 we made changes to our segments. These segment changes also resulted in changes to our reporting units. We reallocated goodwill across impacted reporting units using a relative fair value approach. In addition, we completed an assessment of any potential goodwill impairment for all reporting units immediately prior to the reallocation and determined that no impairment existed.</w:t>
      </w: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NOTE 8 —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all of which are finite-lived,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3"/>
                <w:szCs w:val="13"/>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Net</w:t>
            </w:r>
          </w:p>
        </w:tc>
        <w:tc>
          <w:tcPr>
            <w:tcW w:w="38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48"/>
        </w:trPr>
        <w:tc>
          <w:tcPr>
            <w:tcW w:w="20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Carrying</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Carrying</w:t>
            </w:r>
          </w:p>
        </w:tc>
        <w:tc>
          <w:tcPr>
            <w:tcW w:w="3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Carrying</w:t>
            </w:r>
          </w:p>
        </w:tc>
        <w:tc>
          <w:tcPr>
            <w:tcW w:w="0" w:type="dxa"/>
            <w:vAlign w:val="bottom"/>
          </w:tcPr>
          <w:p>
            <w:pPr>
              <w:spacing w:after="0"/>
              <w:rPr>
                <w:sz w:val="1"/>
                <w:szCs w:val="1"/>
                <w:color w:val="auto"/>
              </w:rPr>
            </w:pPr>
          </w:p>
        </w:tc>
      </w:tr>
      <w:tr>
        <w:trPr>
          <w:trHeight w:val="197"/>
        </w:trPr>
        <w:tc>
          <w:tcPr>
            <w:tcW w:w="206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Amount</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Amortization</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September 30,</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95"/>
        </w:trPr>
        <w:tc>
          <w:tcPr>
            <w:tcW w:w="2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2026</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60" w:type="dxa"/>
            <w:vAlign w:val="bottom"/>
            <w:shd w:val="clear" w:color="auto" w:fill="E5E5E5"/>
          </w:tcPr>
          <w:p>
            <w:pPr>
              <w:spacing w:after="0"/>
              <w:rPr>
                <w:sz w:val="20"/>
                <w:szCs w:val="20"/>
                <w:color w:val="auto"/>
              </w:rPr>
            </w:pPr>
            <w:r>
              <w:rPr>
                <w:rFonts w:ascii="Arial" w:cs="Arial" w:eastAsia="Arial" w:hAnsi="Arial"/>
                <w:sz w:val="18"/>
                <w:szCs w:val="18"/>
                <w:color w:val="auto"/>
              </w:rPr>
              <w:t>Marketing-related</w:t>
            </w:r>
          </w:p>
        </w:tc>
        <w:tc>
          <w:tcPr>
            <w:tcW w:w="940" w:type="dxa"/>
            <w:vAlign w:val="bottom"/>
            <w:gridSpan w:val="2"/>
            <w:shd w:val="clear" w:color="auto" w:fill="E5E5E5"/>
          </w:tcPr>
          <w:p>
            <w:pPr>
              <w:jc w:val="right"/>
              <w:ind w:right="2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16,506</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(4,889)</w:t>
            </w:r>
          </w:p>
        </w:tc>
        <w:tc>
          <w:tcPr>
            <w:tcW w:w="200" w:type="dxa"/>
            <w:vAlign w:val="bottom"/>
            <w:shd w:val="clear" w:color="auto" w:fill="E5E5E5"/>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11,617</w:t>
            </w:r>
          </w:p>
        </w:tc>
        <w:tc>
          <w:tcPr>
            <w:tcW w:w="380" w:type="dxa"/>
            <w:vAlign w:val="bottom"/>
            <w:shd w:val="clear" w:color="auto" w:fill="E5E5E5"/>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16,506</w:t>
            </w:r>
          </w:p>
        </w:tc>
        <w:tc>
          <w:tcPr>
            <w:tcW w:w="36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(4,690)</w:t>
            </w:r>
          </w:p>
        </w:tc>
        <w:tc>
          <w:tcPr>
            <w:tcW w:w="480" w:type="dxa"/>
            <w:vAlign w:val="bottom"/>
            <w:gridSpan w:val="2"/>
            <w:shd w:val="clear" w:color="auto" w:fill="E5E5E5"/>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11,816</w:t>
            </w:r>
          </w:p>
        </w:tc>
        <w:tc>
          <w:tcPr>
            <w:tcW w:w="0" w:type="dxa"/>
            <w:vAlign w:val="bottom"/>
          </w:tcPr>
          <w:p>
            <w:pPr>
              <w:spacing w:after="0"/>
              <w:rPr>
                <w:sz w:val="1"/>
                <w:szCs w:val="1"/>
                <w:color w:val="auto"/>
              </w:rPr>
            </w:pPr>
          </w:p>
        </w:tc>
      </w:tr>
      <w:tr>
        <w:trPr>
          <w:trHeight w:val="203"/>
        </w:trPr>
        <w:tc>
          <w:tcPr>
            <w:tcW w:w="2060" w:type="dxa"/>
            <w:vAlign w:val="bottom"/>
          </w:tcPr>
          <w:p>
            <w:pPr>
              <w:spacing w:after="0" w:line="202" w:lineRule="exact"/>
              <w:rPr>
                <w:sz w:val="20"/>
                <w:szCs w:val="20"/>
                <w:color w:val="auto"/>
              </w:rPr>
            </w:pPr>
            <w:r>
              <w:rPr>
                <w:rFonts w:ascii="Arial" w:cs="Arial" w:eastAsia="Arial" w:hAnsi="Arial"/>
                <w:sz w:val="18"/>
                <w:szCs w:val="18"/>
                <w:color w:val="auto"/>
              </w:rPr>
              <w:t>Technology-based</w:t>
            </w: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22,870</w:t>
            </w:r>
          </w:p>
        </w:tc>
        <w:tc>
          <w:tcPr>
            <w:tcW w:w="24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(18,768)</w:t>
            </w:r>
          </w:p>
        </w:tc>
        <w:tc>
          <w:tcPr>
            <w:tcW w:w="20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4,102</w:t>
            </w:r>
          </w:p>
        </w:tc>
        <w:tc>
          <w:tcPr>
            <w:tcW w:w="38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22,779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(18,136)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03"/>
        </w:trPr>
        <w:tc>
          <w:tcPr>
            <w:tcW w:w="20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Customer-related</w:t>
            </w:r>
          </w:p>
        </w:tc>
        <w:tc>
          <w:tcPr>
            <w:tcW w:w="56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4,173</w:t>
            </w:r>
          </w:p>
        </w:tc>
        <w:tc>
          <w:tcPr>
            <w:tcW w:w="24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(2,646)</w:t>
            </w:r>
          </w:p>
        </w:tc>
        <w:tc>
          <w:tcPr>
            <w:tcW w:w="20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1,527</w:t>
            </w:r>
          </w:p>
        </w:tc>
        <w:tc>
          <w:tcPr>
            <w:tcW w:w="3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4,171</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(2,520)</w:t>
            </w:r>
          </w:p>
        </w:tc>
        <w:tc>
          <w:tcPr>
            <w:tcW w:w="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18"/>
                <w:szCs w:val="18"/>
                <w:color w:val="auto"/>
              </w:rPr>
              <w:t>Contract-based</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663</w:t>
            </w:r>
          </w:p>
        </w:tc>
        <w:tc>
          <w:tcPr>
            <w:tcW w:w="2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(158)</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505</w:t>
            </w:r>
          </w:p>
        </w:tc>
        <w:tc>
          <w:tcPr>
            <w:tcW w:w="3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6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Total</w:t>
            </w:r>
          </w:p>
        </w:tc>
        <w:tc>
          <w:tcPr>
            <w:tcW w:w="94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44,212</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(26,461)</w:t>
            </w:r>
          </w:p>
        </w:tc>
        <w:tc>
          <w:tcPr>
            <w:tcW w:w="2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17,751</w:t>
            </w:r>
          </w:p>
        </w:tc>
        <w:tc>
          <w:tcPr>
            <w:tcW w:w="38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44,079</w:t>
            </w:r>
          </w:p>
        </w:tc>
        <w:tc>
          <w:tcPr>
            <w:tcW w:w="3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(25,470)</w:t>
            </w:r>
          </w:p>
        </w:tc>
        <w:tc>
          <w:tcPr>
            <w:tcW w:w="48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18,609</w:t>
            </w:r>
          </w:p>
        </w:tc>
        <w:tc>
          <w:tcPr>
            <w:tcW w:w="0" w:type="dxa"/>
            <w:vAlign w:val="bottom"/>
          </w:tcPr>
          <w:p>
            <w:pPr>
              <w:spacing w:after="0"/>
              <w:rPr>
                <w:sz w:val="1"/>
                <w:szCs w:val="1"/>
                <w:color w:val="auto"/>
              </w:rPr>
            </w:pPr>
          </w:p>
        </w:tc>
      </w:tr>
      <w:tr>
        <w:trPr>
          <w:trHeight w:val="48"/>
        </w:trPr>
        <w:tc>
          <w:tcPr>
            <w:tcW w:w="20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Intangible assets amortization expense was $1.0 billion and $1.5 billion for the three months ended September 30, 2026 and 2025,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estimated future amortization expense related to intangible assets held as of September 30, 2026:</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548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4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260" w:type="dxa"/>
            <w:vAlign w:val="bottom"/>
            <w:shd w:val="clear" w:color="auto" w:fill="E5E5E5"/>
          </w:tcPr>
          <w:p>
            <w:pPr>
              <w:spacing w:after="0"/>
              <w:rPr>
                <w:sz w:val="20"/>
                <w:szCs w:val="20"/>
                <w:color w:val="auto"/>
              </w:rPr>
            </w:pPr>
            <w:r>
              <w:rPr>
                <w:rFonts w:ascii="Arial" w:cs="Arial" w:eastAsia="Arial" w:hAnsi="Arial"/>
                <w:sz w:val="18"/>
                <w:szCs w:val="18"/>
                <w:color w:val="auto"/>
              </w:rPr>
              <w:t>2027 (excluding the three months ended September 30, 2026)</w:t>
            </w:r>
          </w:p>
        </w:tc>
        <w:tc>
          <w:tcPr>
            <w:tcW w:w="5020" w:type="dxa"/>
            <w:vAlign w:val="bottom"/>
            <w:gridSpan w:val="2"/>
            <w:shd w:val="clear" w:color="auto" w:fill="E5E5E5"/>
          </w:tcPr>
          <w:p>
            <w:pPr>
              <w:jc w:val="right"/>
              <w:ind w:right="2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2,144</w:t>
            </w: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4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2,173</w:t>
            </w:r>
          </w:p>
        </w:tc>
        <w:tc>
          <w:tcPr>
            <w:tcW w:w="0" w:type="dxa"/>
            <w:vAlign w:val="bottom"/>
          </w:tcPr>
          <w:p>
            <w:pPr>
              <w:spacing w:after="0"/>
              <w:rPr>
                <w:sz w:val="1"/>
                <w:szCs w:val="1"/>
                <w:color w:val="auto"/>
              </w:rPr>
            </w:pPr>
          </w:p>
        </w:tc>
      </w:tr>
      <w:tr>
        <w:trPr>
          <w:trHeight w:val="203"/>
        </w:trPr>
        <w:tc>
          <w:tcPr>
            <w:tcW w:w="5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2029</w:t>
            </w:r>
          </w:p>
        </w:tc>
        <w:tc>
          <w:tcPr>
            <w:tcW w:w="46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1,962</w:t>
            </w: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2030</w:t>
            </w:r>
          </w:p>
        </w:tc>
        <w:tc>
          <w:tcPr>
            <w:tcW w:w="4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1,490</w:t>
            </w:r>
          </w:p>
        </w:tc>
        <w:tc>
          <w:tcPr>
            <w:tcW w:w="0" w:type="dxa"/>
            <w:vAlign w:val="bottom"/>
          </w:tcPr>
          <w:p>
            <w:pPr>
              <w:spacing w:after="0"/>
              <w:rPr>
                <w:sz w:val="1"/>
                <w:szCs w:val="1"/>
                <w:color w:val="auto"/>
              </w:rPr>
            </w:pPr>
          </w:p>
        </w:tc>
      </w:tr>
      <w:tr>
        <w:trPr>
          <w:trHeight w:val="203"/>
        </w:trPr>
        <w:tc>
          <w:tcPr>
            <w:tcW w:w="5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2031</w:t>
            </w:r>
          </w:p>
        </w:tc>
        <w:tc>
          <w:tcPr>
            <w:tcW w:w="46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1,141</w:t>
            </w:r>
          </w:p>
        </w:tc>
        <w:tc>
          <w:tcPr>
            <w:tcW w:w="0" w:type="dxa"/>
            <w:vAlign w:val="bottom"/>
          </w:tcPr>
          <w:p>
            <w:pPr>
              <w:spacing w:after="0"/>
              <w:rPr>
                <w:sz w:val="1"/>
                <w:szCs w:val="1"/>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Thereafter</w:t>
            </w:r>
          </w:p>
        </w:tc>
        <w:tc>
          <w:tcPr>
            <w:tcW w:w="4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8,841</w:t>
            </w:r>
          </w:p>
        </w:tc>
        <w:tc>
          <w:tcPr>
            <w:tcW w:w="0" w:type="dxa"/>
            <w:vAlign w:val="bottom"/>
          </w:tcPr>
          <w:p>
            <w:pPr>
              <w:spacing w:after="0"/>
              <w:rPr>
                <w:sz w:val="1"/>
                <w:szCs w:val="1"/>
                <w:color w:val="auto"/>
              </w:rPr>
            </w:pPr>
          </w:p>
        </w:tc>
      </w:tr>
      <w:tr>
        <w:trPr>
          <w:trHeight w:val="34"/>
        </w:trPr>
        <w:tc>
          <w:tcPr>
            <w:tcW w:w="5260" w:type="dxa"/>
            <w:vAlign w:val="bottom"/>
            <w:tcBorders>
              <w:top w:val="single" w:sz="8" w:color="auto"/>
            </w:tcBorders>
          </w:tcPr>
          <w:p>
            <w:pPr>
              <w:spacing w:after="0"/>
              <w:rPr>
                <w:sz w:val="2"/>
                <w:szCs w:val="2"/>
                <w:color w:val="auto"/>
              </w:rPr>
            </w:pPr>
          </w:p>
        </w:tc>
        <w:tc>
          <w:tcPr>
            <w:tcW w:w="46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Total</w:t>
            </w:r>
          </w:p>
        </w:tc>
        <w:tc>
          <w:tcPr>
            <w:tcW w:w="50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17,751</w:t>
            </w:r>
          </w:p>
        </w:tc>
        <w:tc>
          <w:tcPr>
            <w:tcW w:w="0" w:type="dxa"/>
            <w:vAlign w:val="bottom"/>
          </w:tcPr>
          <w:p>
            <w:pPr>
              <w:spacing w:after="0"/>
              <w:rPr>
                <w:sz w:val="1"/>
                <w:szCs w:val="1"/>
                <w:color w:val="auto"/>
              </w:rPr>
            </w:pPr>
          </w:p>
        </w:tc>
      </w:tr>
      <w:tr>
        <w:trPr>
          <w:trHeight w:val="48"/>
        </w:trPr>
        <w:tc>
          <w:tcPr>
            <w:tcW w:w="5260" w:type="dxa"/>
            <w:vAlign w:val="bottom"/>
          </w:tcPr>
          <w:p>
            <w:pPr>
              <w:spacing w:after="0"/>
              <w:rPr>
                <w:sz w:val="4"/>
                <w:szCs w:val="4"/>
                <w:color w:val="auto"/>
              </w:rPr>
            </w:pPr>
          </w:p>
        </w:tc>
        <w:tc>
          <w:tcPr>
            <w:tcW w:w="4620" w:type="dxa"/>
            <w:vAlign w:val="bottom"/>
            <w:vMerge w:val="restart"/>
          </w:tcPr>
          <w:p>
            <w:pPr>
              <w:jc w:val="right"/>
              <w:ind w:right="4096"/>
              <w:spacing w:after="0"/>
              <w:rPr>
                <w:sz w:val="20"/>
                <w:szCs w:val="20"/>
                <w:color w:val="auto"/>
              </w:rPr>
            </w:pPr>
            <w:r>
              <w:rPr>
                <w:rFonts w:ascii="Arial" w:cs="Arial" w:eastAsia="Arial" w:hAnsi="Arial"/>
                <w:sz w:val="14"/>
                <w:szCs w:val="14"/>
                <w:color w:val="auto"/>
              </w:rPr>
              <w:t>19</w:t>
            </w: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3"/>
        </w:trPr>
        <w:tc>
          <w:tcPr>
            <w:tcW w:w="526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526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9" w:name="page20"/>
    <w:bookmarkEnd w:id="19"/>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NOTE 9 —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long-term debt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vMerge w:val="restart"/>
          </w:tcPr>
          <w:p>
            <w:pPr>
              <w:spacing w:after="0"/>
              <w:rPr>
                <w:sz w:val="20"/>
                <w:szCs w:val="20"/>
                <w:color w:val="auto"/>
              </w:rPr>
            </w:pPr>
            <w:r>
              <w:rPr>
                <w:rFonts w:ascii="Arial" w:cs="Arial" w:eastAsia="Arial" w:hAnsi="Arial"/>
                <w:sz w:val="13"/>
                <w:szCs w:val="13"/>
                <w:b w:val="1"/>
                <w:bCs w:val="1"/>
                <w:color w:val="auto"/>
              </w:rPr>
              <w:t>(In millions, issuance by calendar year)</w:t>
            </w:r>
          </w:p>
        </w:tc>
        <w:tc>
          <w:tcPr>
            <w:tcW w:w="1740" w:type="dxa"/>
            <w:vAlign w:val="bottom"/>
          </w:tcPr>
          <w:p>
            <w:pPr>
              <w:jc w:val="right"/>
              <w:ind w:right="493"/>
              <w:spacing w:after="0"/>
              <w:rPr>
                <w:sz w:val="20"/>
                <w:szCs w:val="20"/>
                <w:color w:val="auto"/>
              </w:rPr>
            </w:pPr>
            <w:r>
              <w:rPr>
                <w:rFonts w:ascii="Arial" w:cs="Arial" w:eastAsia="Arial" w:hAnsi="Arial"/>
                <w:sz w:val="13"/>
                <w:szCs w:val="13"/>
                <w:b w:val="1"/>
                <w:bCs w:val="1"/>
                <w:color w:val="auto"/>
              </w:rPr>
              <w:t>Maturities</w:t>
            </w:r>
          </w:p>
        </w:tc>
        <w:tc>
          <w:tcPr>
            <w:tcW w:w="1820" w:type="dxa"/>
            <w:vAlign w:val="bottom"/>
          </w:tcPr>
          <w:p>
            <w:pPr>
              <w:jc w:val="right"/>
              <w:ind w:right="433"/>
              <w:spacing w:after="0"/>
              <w:rPr>
                <w:sz w:val="20"/>
                <w:szCs w:val="20"/>
                <w:color w:val="auto"/>
              </w:rPr>
            </w:pPr>
            <w:r>
              <w:rPr>
                <w:rFonts w:ascii="Arial" w:cs="Arial" w:eastAsia="Arial" w:hAnsi="Arial"/>
                <w:sz w:val="13"/>
                <w:szCs w:val="13"/>
                <w:b w:val="1"/>
                <w:bCs w:val="1"/>
                <w:color w:val="auto"/>
              </w:rPr>
              <w:t>Stated Interest</w:t>
            </w:r>
          </w:p>
        </w:tc>
        <w:tc>
          <w:tcPr>
            <w:tcW w:w="1900" w:type="dxa"/>
            <w:vAlign w:val="bottom"/>
          </w:tcPr>
          <w:p>
            <w:pPr>
              <w:jc w:val="right"/>
              <w:ind w:right="393"/>
              <w:spacing w:after="0"/>
              <w:rPr>
                <w:sz w:val="20"/>
                <w:szCs w:val="20"/>
                <w:color w:val="auto"/>
              </w:rPr>
            </w:pPr>
            <w:r>
              <w:rPr>
                <w:rFonts w:ascii="Arial" w:cs="Arial" w:eastAsia="Arial" w:hAnsi="Arial"/>
                <w:sz w:val="13"/>
                <w:szCs w:val="13"/>
                <w:b w:val="1"/>
                <w:bCs w:val="1"/>
                <w:color w:val="auto"/>
              </w:rPr>
              <w:t>Effective Interest</w:t>
            </w:r>
          </w:p>
        </w:tc>
        <w:tc>
          <w:tcPr>
            <w:tcW w:w="1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97"/>
        </w:trPr>
        <w:tc>
          <w:tcPr>
            <w:tcW w:w="3220" w:type="dxa"/>
            <w:vAlign w:val="bottom"/>
            <w:vMerge w:val="continue"/>
          </w:tcPr>
          <w:p>
            <w:pPr>
              <w:spacing w:after="0"/>
              <w:rPr>
                <w:sz w:val="17"/>
                <w:szCs w:val="17"/>
                <w:color w:val="auto"/>
              </w:rPr>
            </w:pPr>
          </w:p>
        </w:tc>
        <w:tc>
          <w:tcPr>
            <w:tcW w:w="1740" w:type="dxa"/>
            <w:vAlign w:val="bottom"/>
          </w:tcPr>
          <w:p>
            <w:pPr>
              <w:jc w:val="right"/>
              <w:ind w:right="333"/>
              <w:spacing w:after="0"/>
              <w:rPr>
                <w:sz w:val="20"/>
                <w:szCs w:val="20"/>
                <w:color w:val="auto"/>
              </w:rPr>
            </w:pPr>
            <w:r>
              <w:rPr>
                <w:rFonts w:ascii="Arial" w:cs="Arial" w:eastAsia="Arial" w:hAnsi="Arial"/>
                <w:sz w:val="13"/>
                <w:szCs w:val="13"/>
                <w:b w:val="1"/>
                <w:bCs w:val="1"/>
                <w:color w:val="auto"/>
              </w:rPr>
              <w:t>(calendar year)</w:t>
            </w:r>
          </w:p>
        </w:tc>
        <w:tc>
          <w:tcPr>
            <w:tcW w:w="1820" w:type="dxa"/>
            <w:vAlign w:val="bottom"/>
          </w:tcPr>
          <w:p>
            <w:pPr>
              <w:jc w:val="right"/>
              <w:ind w:right="753"/>
              <w:spacing w:after="0"/>
              <w:rPr>
                <w:sz w:val="20"/>
                <w:szCs w:val="20"/>
                <w:color w:val="auto"/>
              </w:rPr>
            </w:pPr>
            <w:r>
              <w:rPr>
                <w:rFonts w:ascii="Arial" w:cs="Arial" w:eastAsia="Arial" w:hAnsi="Arial"/>
                <w:sz w:val="13"/>
                <w:szCs w:val="13"/>
                <w:b w:val="1"/>
                <w:bCs w:val="1"/>
                <w:color w:val="auto"/>
              </w:rPr>
              <w:t>Rate</w:t>
            </w:r>
          </w:p>
        </w:tc>
        <w:tc>
          <w:tcPr>
            <w:tcW w:w="1900" w:type="dxa"/>
            <w:vAlign w:val="bottom"/>
          </w:tcPr>
          <w:p>
            <w:pPr>
              <w:jc w:val="right"/>
              <w:ind w:right="793"/>
              <w:spacing w:after="0"/>
              <w:rPr>
                <w:sz w:val="20"/>
                <w:szCs w:val="20"/>
                <w:color w:val="auto"/>
              </w:rPr>
            </w:pPr>
            <w:r>
              <w:rPr>
                <w:rFonts w:ascii="Arial" w:cs="Arial" w:eastAsia="Arial" w:hAnsi="Arial"/>
                <w:sz w:val="13"/>
                <w:szCs w:val="13"/>
                <w:b w:val="1"/>
                <w:bCs w:val="1"/>
                <w:color w:val="auto"/>
              </w:rPr>
              <w:t>Rate</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2026</w:t>
            </w:r>
          </w:p>
        </w:tc>
        <w:tc>
          <w:tcPr>
            <w:tcW w:w="0" w:type="dxa"/>
            <w:vAlign w:val="bottom"/>
          </w:tcPr>
          <w:p>
            <w:pPr>
              <w:spacing w:after="0"/>
              <w:rPr>
                <w:sz w:val="1"/>
                <w:szCs w:val="1"/>
                <w:color w:val="auto"/>
              </w:rPr>
            </w:pPr>
          </w:p>
        </w:tc>
      </w:tr>
      <w:tr>
        <w:trPr>
          <w:trHeight w:val="40"/>
        </w:trPr>
        <w:tc>
          <w:tcPr>
            <w:tcW w:w="3220" w:type="dxa"/>
            <w:vAlign w:val="bottom"/>
            <w:tcBorders>
              <w:top w:val="single" w:sz="8" w:color="auto"/>
            </w:tcBorders>
          </w:tcPr>
          <w:p>
            <w:pPr>
              <w:spacing w:after="0"/>
              <w:rPr>
                <w:sz w:val="3"/>
                <w:szCs w:val="3"/>
                <w:color w:val="auto"/>
              </w:rPr>
            </w:pPr>
          </w:p>
        </w:tc>
        <w:tc>
          <w:tcPr>
            <w:tcW w:w="1740" w:type="dxa"/>
            <w:vAlign w:val="bottom"/>
            <w:tcBorders>
              <w:top w:val="single" w:sz="8" w:color="auto"/>
            </w:tcBorders>
          </w:tcPr>
          <w:p>
            <w:pPr>
              <w:spacing w:after="0"/>
              <w:rPr>
                <w:sz w:val="3"/>
                <w:szCs w:val="3"/>
                <w:color w:val="auto"/>
              </w:rPr>
            </w:pPr>
          </w:p>
        </w:tc>
        <w:tc>
          <w:tcPr>
            <w:tcW w:w="1820" w:type="dxa"/>
            <w:vAlign w:val="bottom"/>
            <w:tcBorders>
              <w:top w:val="single" w:sz="8" w:color="auto"/>
            </w:tcBorders>
          </w:tcPr>
          <w:p>
            <w:pPr>
              <w:spacing w:after="0"/>
              <w:rPr>
                <w:sz w:val="3"/>
                <w:szCs w:val="3"/>
                <w:color w:val="auto"/>
              </w:rPr>
            </w:pPr>
          </w:p>
        </w:tc>
        <w:tc>
          <w:tcPr>
            <w:tcW w:w="19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2009 issuance of $3.8 billion</w:t>
            </w:r>
          </w:p>
        </w:tc>
        <w:tc>
          <w:tcPr>
            <w:tcW w:w="174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2039</w:t>
            </w:r>
          </w:p>
        </w:tc>
        <w:tc>
          <w:tcPr>
            <w:tcW w:w="1820" w:type="dxa"/>
            <w:vAlign w:val="bottom"/>
            <w:shd w:val="clear" w:color="auto" w:fill="E5E5E5"/>
          </w:tcPr>
          <w:p>
            <w:pPr>
              <w:jc w:val="right"/>
              <w:ind w:right="213"/>
              <w:spacing w:after="0" w:line="202" w:lineRule="exact"/>
              <w:rPr>
                <w:sz w:val="20"/>
                <w:szCs w:val="20"/>
                <w:color w:val="auto"/>
              </w:rPr>
            </w:pPr>
            <w:r>
              <w:rPr>
                <w:rFonts w:ascii="Arial" w:cs="Arial" w:eastAsia="Arial" w:hAnsi="Arial"/>
                <w:sz w:val="18"/>
                <w:szCs w:val="18"/>
                <w:b w:val="1"/>
                <w:bCs w:val="1"/>
                <w:color w:val="auto"/>
              </w:rPr>
              <w:t>5.20%</w:t>
            </w:r>
          </w:p>
        </w:tc>
        <w:tc>
          <w:tcPr>
            <w:tcW w:w="1900" w:type="dxa"/>
            <w:vAlign w:val="bottom"/>
            <w:shd w:val="clear" w:color="auto" w:fill="E5E5E5"/>
          </w:tcPr>
          <w:p>
            <w:pPr>
              <w:jc w:val="right"/>
              <w:ind w:right="393"/>
              <w:spacing w:after="0" w:line="202" w:lineRule="exact"/>
              <w:rPr>
                <w:sz w:val="20"/>
                <w:szCs w:val="20"/>
                <w:color w:val="auto"/>
              </w:rPr>
            </w:pPr>
            <w:r>
              <w:rPr>
                <w:rFonts w:ascii="Arial" w:cs="Arial" w:eastAsia="Arial" w:hAnsi="Arial"/>
                <w:sz w:val="18"/>
                <w:szCs w:val="18"/>
                <w:b w:val="1"/>
                <w:bCs w:val="1"/>
                <w:color w:val="auto"/>
              </w:rPr>
              <w:t>5.24%</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520</w:t>
            </w:r>
          </w:p>
        </w:tc>
        <w:tc>
          <w:tcPr>
            <w:tcW w:w="140" w:type="dxa"/>
            <w:vAlign w:val="bottom"/>
            <w:shd w:val="clear" w:color="auto" w:fill="E5E5E5"/>
          </w:tcPr>
          <w:p>
            <w:pPr>
              <w:spacing w:after="0"/>
              <w:rPr>
                <w:sz w:val="17"/>
                <w:szCs w:val="17"/>
                <w:color w:val="auto"/>
              </w:rPr>
            </w:pPr>
          </w:p>
        </w:tc>
        <w:tc>
          <w:tcPr>
            <w:tcW w:w="400" w:type="dxa"/>
            <w:vAlign w:val="bottom"/>
            <w:gridSpan w:val="2"/>
            <w:shd w:val="clear" w:color="auto" w:fill="E5E5E5"/>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2010 issuance of $4.8 billion</w:t>
            </w:r>
          </w:p>
        </w:tc>
        <w:tc>
          <w:tcPr>
            <w:tcW w:w="174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2040</w:t>
            </w:r>
          </w:p>
        </w:tc>
        <w:tc>
          <w:tcPr>
            <w:tcW w:w="1820" w:type="dxa"/>
            <w:vAlign w:val="bottom"/>
          </w:tcPr>
          <w:p>
            <w:pPr>
              <w:jc w:val="right"/>
              <w:ind w:right="213"/>
              <w:spacing w:after="0" w:line="202" w:lineRule="exact"/>
              <w:rPr>
                <w:sz w:val="20"/>
                <w:szCs w:val="20"/>
                <w:color w:val="auto"/>
              </w:rPr>
            </w:pPr>
            <w:r>
              <w:rPr>
                <w:rFonts w:ascii="Arial" w:cs="Arial" w:eastAsia="Arial" w:hAnsi="Arial"/>
                <w:sz w:val="18"/>
                <w:szCs w:val="18"/>
                <w:b w:val="1"/>
                <w:bCs w:val="1"/>
                <w:color w:val="auto"/>
              </w:rPr>
              <w:t>4.50%</w:t>
            </w:r>
          </w:p>
        </w:tc>
        <w:tc>
          <w:tcPr>
            <w:tcW w:w="1900" w:type="dxa"/>
            <w:vAlign w:val="bottom"/>
          </w:tcPr>
          <w:p>
            <w:pPr>
              <w:jc w:val="right"/>
              <w:ind w:right="393"/>
              <w:spacing w:after="0" w:line="202" w:lineRule="exact"/>
              <w:rPr>
                <w:sz w:val="20"/>
                <w:szCs w:val="20"/>
                <w:color w:val="auto"/>
              </w:rPr>
            </w:pPr>
            <w:r>
              <w:rPr>
                <w:rFonts w:ascii="Arial" w:cs="Arial" w:eastAsia="Arial" w:hAnsi="Arial"/>
                <w:sz w:val="18"/>
                <w:szCs w:val="18"/>
                <w:b w:val="1"/>
                <w:bCs w:val="1"/>
                <w:color w:val="auto"/>
              </w:rPr>
              <w:t>4.57%</w:t>
            </w: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486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3"/>
        </w:trPr>
        <w:tc>
          <w:tcPr>
            <w:tcW w:w="32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2011 issuance of $2.3 billion</w:t>
            </w:r>
          </w:p>
        </w:tc>
        <w:tc>
          <w:tcPr>
            <w:tcW w:w="174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2041</w:t>
            </w:r>
          </w:p>
        </w:tc>
        <w:tc>
          <w:tcPr>
            <w:tcW w:w="1820" w:type="dxa"/>
            <w:vAlign w:val="bottom"/>
            <w:shd w:val="clear" w:color="auto" w:fill="E5E5E5"/>
          </w:tcPr>
          <w:p>
            <w:pPr>
              <w:jc w:val="right"/>
              <w:ind w:right="213"/>
              <w:spacing w:after="0" w:line="202" w:lineRule="exact"/>
              <w:rPr>
                <w:sz w:val="20"/>
                <w:szCs w:val="20"/>
                <w:color w:val="auto"/>
              </w:rPr>
            </w:pPr>
            <w:r>
              <w:rPr>
                <w:rFonts w:ascii="Arial" w:cs="Arial" w:eastAsia="Arial" w:hAnsi="Arial"/>
                <w:sz w:val="18"/>
                <w:szCs w:val="18"/>
                <w:b w:val="1"/>
                <w:bCs w:val="1"/>
                <w:color w:val="auto"/>
              </w:rPr>
              <w:t>5.30%</w:t>
            </w:r>
          </w:p>
        </w:tc>
        <w:tc>
          <w:tcPr>
            <w:tcW w:w="1900" w:type="dxa"/>
            <w:vAlign w:val="bottom"/>
            <w:shd w:val="clear" w:color="auto" w:fill="E5E5E5"/>
          </w:tcPr>
          <w:p>
            <w:pPr>
              <w:jc w:val="right"/>
              <w:ind w:right="393"/>
              <w:spacing w:after="0" w:line="202" w:lineRule="exact"/>
              <w:rPr>
                <w:sz w:val="20"/>
                <w:szCs w:val="20"/>
                <w:color w:val="auto"/>
              </w:rPr>
            </w:pPr>
            <w:r>
              <w:rPr>
                <w:rFonts w:ascii="Arial" w:cs="Arial" w:eastAsia="Arial" w:hAnsi="Arial"/>
                <w:sz w:val="18"/>
                <w:szCs w:val="18"/>
                <w:b w:val="1"/>
                <w:bCs w:val="1"/>
                <w:color w:val="auto"/>
              </w:rPr>
              <w:t>5.36%</w:t>
            </w:r>
          </w:p>
        </w:tc>
        <w:tc>
          <w:tcPr>
            <w:tcW w:w="18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718</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2012 issuance of $2.3 billion</w:t>
            </w:r>
          </w:p>
        </w:tc>
        <w:tc>
          <w:tcPr>
            <w:tcW w:w="174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2042</w:t>
            </w:r>
          </w:p>
        </w:tc>
        <w:tc>
          <w:tcPr>
            <w:tcW w:w="1820" w:type="dxa"/>
            <w:vAlign w:val="bottom"/>
          </w:tcPr>
          <w:p>
            <w:pPr>
              <w:jc w:val="right"/>
              <w:ind w:right="213"/>
              <w:spacing w:after="0" w:line="202" w:lineRule="exact"/>
              <w:rPr>
                <w:sz w:val="20"/>
                <w:szCs w:val="20"/>
                <w:color w:val="auto"/>
              </w:rPr>
            </w:pPr>
            <w:r>
              <w:rPr>
                <w:rFonts w:ascii="Arial" w:cs="Arial" w:eastAsia="Arial" w:hAnsi="Arial"/>
                <w:sz w:val="18"/>
                <w:szCs w:val="18"/>
                <w:b w:val="1"/>
                <w:bCs w:val="1"/>
                <w:color w:val="auto"/>
              </w:rPr>
              <w:t>3.50%</w:t>
            </w:r>
          </w:p>
        </w:tc>
        <w:tc>
          <w:tcPr>
            <w:tcW w:w="1900" w:type="dxa"/>
            <w:vAlign w:val="bottom"/>
          </w:tcPr>
          <w:p>
            <w:pPr>
              <w:jc w:val="right"/>
              <w:ind w:right="393"/>
              <w:spacing w:after="0" w:line="202" w:lineRule="exact"/>
              <w:rPr>
                <w:sz w:val="20"/>
                <w:szCs w:val="20"/>
                <w:color w:val="auto"/>
              </w:rPr>
            </w:pPr>
            <w:r>
              <w:rPr>
                <w:rFonts w:ascii="Arial" w:cs="Arial" w:eastAsia="Arial" w:hAnsi="Arial"/>
                <w:sz w:val="18"/>
                <w:szCs w:val="18"/>
                <w:b w:val="1"/>
                <w:bCs w:val="1"/>
                <w:color w:val="auto"/>
              </w:rPr>
              <w:t>3.57%</w:t>
            </w: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454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03"/>
        </w:trPr>
        <w:tc>
          <w:tcPr>
            <w:tcW w:w="32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2013 issuance of $5.2 billion</w:t>
            </w:r>
          </w:p>
        </w:tc>
        <w:tc>
          <w:tcPr>
            <w:tcW w:w="174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2043</w:t>
            </w:r>
          </w:p>
        </w:tc>
        <w:tc>
          <w:tcPr>
            <w:tcW w:w="1820" w:type="dxa"/>
            <w:vAlign w:val="bottom"/>
            <w:shd w:val="clear" w:color="auto" w:fill="E5E5E5"/>
          </w:tcPr>
          <w:p>
            <w:pPr>
              <w:jc w:val="right"/>
              <w:ind w:right="213"/>
              <w:spacing w:after="0" w:line="202" w:lineRule="exact"/>
              <w:rPr>
                <w:sz w:val="20"/>
                <w:szCs w:val="20"/>
                <w:color w:val="auto"/>
              </w:rPr>
            </w:pPr>
            <w:r>
              <w:rPr>
                <w:rFonts w:ascii="Arial" w:cs="Arial" w:eastAsia="Arial" w:hAnsi="Arial"/>
                <w:sz w:val="18"/>
                <w:szCs w:val="18"/>
                <w:b w:val="1"/>
                <w:bCs w:val="1"/>
                <w:color w:val="auto"/>
              </w:rPr>
              <w:t>3.75% – 4.88%</w:t>
            </w:r>
          </w:p>
        </w:tc>
        <w:tc>
          <w:tcPr>
            <w:tcW w:w="1900" w:type="dxa"/>
            <w:vAlign w:val="bottom"/>
            <w:shd w:val="clear" w:color="auto" w:fill="E5E5E5"/>
          </w:tcPr>
          <w:p>
            <w:pPr>
              <w:jc w:val="right"/>
              <w:ind w:right="393"/>
              <w:spacing w:after="0" w:line="202" w:lineRule="exact"/>
              <w:rPr>
                <w:sz w:val="20"/>
                <w:szCs w:val="20"/>
                <w:color w:val="auto"/>
              </w:rPr>
            </w:pPr>
            <w:r>
              <w:rPr>
                <w:rFonts w:ascii="Arial" w:cs="Arial" w:eastAsia="Arial" w:hAnsi="Arial"/>
                <w:sz w:val="18"/>
                <w:szCs w:val="18"/>
                <w:b w:val="1"/>
                <w:bCs w:val="1"/>
                <w:color w:val="auto"/>
              </w:rPr>
              <w:t>3.83%–4.92%</w:t>
            </w:r>
          </w:p>
        </w:tc>
        <w:tc>
          <w:tcPr>
            <w:tcW w:w="18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314</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2013 issuance of €4.1 billion</w:t>
            </w:r>
          </w:p>
        </w:tc>
        <w:tc>
          <w:tcPr>
            <w:tcW w:w="174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2028 – 2033</w:t>
            </w:r>
          </w:p>
        </w:tc>
        <w:tc>
          <w:tcPr>
            <w:tcW w:w="1820" w:type="dxa"/>
            <w:vAlign w:val="bottom"/>
          </w:tcPr>
          <w:p>
            <w:pPr>
              <w:jc w:val="right"/>
              <w:ind w:right="213"/>
              <w:spacing w:after="0" w:line="202" w:lineRule="exact"/>
              <w:rPr>
                <w:sz w:val="20"/>
                <w:szCs w:val="20"/>
                <w:color w:val="auto"/>
              </w:rPr>
            </w:pPr>
            <w:r>
              <w:rPr>
                <w:rFonts w:ascii="Arial" w:cs="Arial" w:eastAsia="Arial" w:hAnsi="Arial"/>
                <w:sz w:val="18"/>
                <w:szCs w:val="18"/>
                <w:b w:val="1"/>
                <w:bCs w:val="1"/>
                <w:color w:val="auto"/>
              </w:rPr>
              <w:t>2.63% – 3.13%</w:t>
            </w:r>
          </w:p>
        </w:tc>
        <w:tc>
          <w:tcPr>
            <w:tcW w:w="1900" w:type="dxa"/>
            <w:vAlign w:val="bottom"/>
          </w:tcPr>
          <w:p>
            <w:pPr>
              <w:jc w:val="right"/>
              <w:ind w:right="393"/>
              <w:spacing w:after="0" w:line="202" w:lineRule="exact"/>
              <w:rPr>
                <w:sz w:val="20"/>
                <w:szCs w:val="20"/>
                <w:color w:val="auto"/>
              </w:rPr>
            </w:pPr>
            <w:r>
              <w:rPr>
                <w:rFonts w:ascii="Arial" w:cs="Arial" w:eastAsia="Arial" w:hAnsi="Arial"/>
                <w:sz w:val="18"/>
                <w:szCs w:val="18"/>
                <w:b w:val="1"/>
                <w:bCs w:val="1"/>
                <w:color w:val="auto"/>
              </w:rPr>
              <w:t>2.69%–3.22%</w:t>
            </w: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03"/>
        </w:trPr>
        <w:tc>
          <w:tcPr>
            <w:tcW w:w="32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2015 issuance of $23.8 billion</w:t>
            </w:r>
          </w:p>
        </w:tc>
        <w:tc>
          <w:tcPr>
            <w:tcW w:w="174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2035 – 2055</w:t>
            </w:r>
          </w:p>
        </w:tc>
        <w:tc>
          <w:tcPr>
            <w:tcW w:w="1820" w:type="dxa"/>
            <w:vAlign w:val="bottom"/>
            <w:shd w:val="clear" w:color="auto" w:fill="E5E5E5"/>
          </w:tcPr>
          <w:p>
            <w:pPr>
              <w:jc w:val="right"/>
              <w:ind w:right="213"/>
              <w:spacing w:after="0" w:line="202" w:lineRule="exact"/>
              <w:rPr>
                <w:sz w:val="20"/>
                <w:szCs w:val="20"/>
                <w:color w:val="auto"/>
              </w:rPr>
            </w:pPr>
            <w:r>
              <w:rPr>
                <w:rFonts w:ascii="Arial" w:cs="Arial" w:eastAsia="Arial" w:hAnsi="Arial"/>
                <w:sz w:val="18"/>
                <w:szCs w:val="18"/>
                <w:b w:val="1"/>
                <w:bCs w:val="1"/>
                <w:color w:val="auto"/>
              </w:rPr>
              <w:t>3.50% – 4.75%</w:t>
            </w:r>
          </w:p>
        </w:tc>
        <w:tc>
          <w:tcPr>
            <w:tcW w:w="1900" w:type="dxa"/>
            <w:vAlign w:val="bottom"/>
            <w:shd w:val="clear" w:color="auto" w:fill="E5E5E5"/>
          </w:tcPr>
          <w:p>
            <w:pPr>
              <w:jc w:val="right"/>
              <w:ind w:right="393"/>
              <w:spacing w:after="0" w:line="202" w:lineRule="exact"/>
              <w:rPr>
                <w:sz w:val="20"/>
                <w:szCs w:val="20"/>
                <w:color w:val="auto"/>
              </w:rPr>
            </w:pPr>
            <w:r>
              <w:rPr>
                <w:rFonts w:ascii="Arial" w:cs="Arial" w:eastAsia="Arial" w:hAnsi="Arial"/>
                <w:sz w:val="18"/>
                <w:szCs w:val="18"/>
                <w:b w:val="1"/>
                <w:bCs w:val="1"/>
                <w:color w:val="auto"/>
              </w:rPr>
              <w:t>3.60%–4.78%</w:t>
            </w:r>
          </w:p>
        </w:tc>
        <w:tc>
          <w:tcPr>
            <w:tcW w:w="18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4,555</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2016 issuance of $19.8 billion</w:t>
            </w:r>
          </w:p>
        </w:tc>
        <w:tc>
          <w:tcPr>
            <w:tcW w:w="174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2036 – 2056</w:t>
            </w:r>
          </w:p>
        </w:tc>
        <w:tc>
          <w:tcPr>
            <w:tcW w:w="1820" w:type="dxa"/>
            <w:vAlign w:val="bottom"/>
          </w:tcPr>
          <w:p>
            <w:pPr>
              <w:jc w:val="right"/>
              <w:ind w:right="213"/>
              <w:spacing w:after="0" w:line="202" w:lineRule="exact"/>
              <w:rPr>
                <w:sz w:val="20"/>
                <w:szCs w:val="20"/>
                <w:color w:val="auto"/>
              </w:rPr>
            </w:pPr>
            <w:r>
              <w:rPr>
                <w:rFonts w:ascii="Arial" w:cs="Arial" w:eastAsia="Arial" w:hAnsi="Arial"/>
                <w:sz w:val="18"/>
                <w:szCs w:val="18"/>
                <w:b w:val="1"/>
                <w:bCs w:val="1"/>
                <w:color w:val="auto"/>
              </w:rPr>
              <w:t>3.45% – 3.95%</w:t>
            </w:r>
          </w:p>
        </w:tc>
        <w:tc>
          <w:tcPr>
            <w:tcW w:w="1900" w:type="dxa"/>
            <w:vAlign w:val="bottom"/>
          </w:tcPr>
          <w:p>
            <w:pPr>
              <w:jc w:val="right"/>
              <w:ind w:right="393"/>
              <w:spacing w:after="0" w:line="202" w:lineRule="exact"/>
              <w:rPr>
                <w:sz w:val="20"/>
                <w:szCs w:val="20"/>
                <w:color w:val="auto"/>
              </w:rPr>
            </w:pPr>
            <w:r>
              <w:rPr>
                <w:rFonts w:ascii="Arial" w:cs="Arial" w:eastAsia="Arial" w:hAnsi="Arial"/>
                <w:sz w:val="18"/>
                <w:szCs w:val="18"/>
                <w:b w:val="1"/>
                <w:bCs w:val="1"/>
                <w:color w:val="auto"/>
              </w:rPr>
              <w:t>3.51%–4.03%</w:t>
            </w: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3,930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7,930</w:t>
            </w:r>
          </w:p>
        </w:tc>
        <w:tc>
          <w:tcPr>
            <w:tcW w:w="0" w:type="dxa"/>
            <w:vAlign w:val="bottom"/>
          </w:tcPr>
          <w:p>
            <w:pPr>
              <w:spacing w:after="0"/>
              <w:rPr>
                <w:sz w:val="1"/>
                <w:szCs w:val="1"/>
                <w:color w:val="auto"/>
              </w:rPr>
            </w:pPr>
          </w:p>
        </w:tc>
      </w:tr>
      <w:tr>
        <w:trPr>
          <w:trHeight w:val="203"/>
        </w:trPr>
        <w:tc>
          <w:tcPr>
            <w:tcW w:w="32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2017 issuance of $17.1 billion</w:t>
            </w:r>
          </w:p>
        </w:tc>
        <w:tc>
          <w:tcPr>
            <w:tcW w:w="174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2027 – 2057</w:t>
            </w:r>
          </w:p>
        </w:tc>
        <w:tc>
          <w:tcPr>
            <w:tcW w:w="1820" w:type="dxa"/>
            <w:vAlign w:val="bottom"/>
            <w:shd w:val="clear" w:color="auto" w:fill="E5E5E5"/>
          </w:tcPr>
          <w:p>
            <w:pPr>
              <w:jc w:val="right"/>
              <w:ind w:right="213"/>
              <w:spacing w:after="0" w:line="202" w:lineRule="exact"/>
              <w:rPr>
                <w:sz w:val="20"/>
                <w:szCs w:val="20"/>
                <w:color w:val="auto"/>
              </w:rPr>
            </w:pPr>
            <w:r>
              <w:rPr>
                <w:rFonts w:ascii="Arial" w:cs="Arial" w:eastAsia="Arial" w:hAnsi="Arial"/>
                <w:sz w:val="18"/>
                <w:szCs w:val="18"/>
                <w:b w:val="1"/>
                <w:bCs w:val="1"/>
                <w:color w:val="auto"/>
              </w:rPr>
              <w:t>3.30% – 4.50%</w:t>
            </w:r>
          </w:p>
        </w:tc>
        <w:tc>
          <w:tcPr>
            <w:tcW w:w="1900" w:type="dxa"/>
            <w:vAlign w:val="bottom"/>
            <w:shd w:val="clear" w:color="auto" w:fill="E5E5E5"/>
          </w:tcPr>
          <w:p>
            <w:pPr>
              <w:jc w:val="right"/>
              <w:ind w:right="393"/>
              <w:spacing w:after="0" w:line="202" w:lineRule="exact"/>
              <w:rPr>
                <w:sz w:val="20"/>
                <w:szCs w:val="20"/>
                <w:color w:val="auto"/>
              </w:rPr>
            </w:pPr>
            <w:r>
              <w:rPr>
                <w:rFonts w:ascii="Arial" w:cs="Arial" w:eastAsia="Arial" w:hAnsi="Arial"/>
                <w:sz w:val="18"/>
                <w:szCs w:val="18"/>
                <w:b w:val="1"/>
                <w:bCs w:val="1"/>
                <w:color w:val="auto"/>
              </w:rPr>
              <w:t>3.38%–5.49%</w:t>
            </w:r>
          </w:p>
        </w:tc>
        <w:tc>
          <w:tcPr>
            <w:tcW w:w="18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6,746</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6,833</w:t>
            </w:r>
          </w:p>
        </w:tc>
        <w:tc>
          <w:tcPr>
            <w:tcW w:w="0" w:type="dxa"/>
            <w:vAlign w:val="bottom"/>
          </w:tcPr>
          <w:p>
            <w:pPr>
              <w:spacing w:after="0"/>
              <w:rPr>
                <w:sz w:val="1"/>
                <w:szCs w:val="1"/>
                <w:color w:val="auto"/>
              </w:rPr>
            </w:pP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2020 issuance of $10.1 billion</w:t>
            </w:r>
          </w:p>
        </w:tc>
        <w:tc>
          <w:tcPr>
            <w:tcW w:w="174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2030 – 2060</w:t>
            </w:r>
          </w:p>
        </w:tc>
        <w:tc>
          <w:tcPr>
            <w:tcW w:w="1820" w:type="dxa"/>
            <w:vAlign w:val="bottom"/>
          </w:tcPr>
          <w:p>
            <w:pPr>
              <w:jc w:val="right"/>
              <w:ind w:right="213"/>
              <w:spacing w:after="0" w:line="202" w:lineRule="exact"/>
              <w:rPr>
                <w:sz w:val="20"/>
                <w:szCs w:val="20"/>
                <w:color w:val="auto"/>
              </w:rPr>
            </w:pPr>
            <w:r>
              <w:rPr>
                <w:rFonts w:ascii="Arial" w:cs="Arial" w:eastAsia="Arial" w:hAnsi="Arial"/>
                <w:sz w:val="18"/>
                <w:szCs w:val="18"/>
                <w:b w:val="1"/>
                <w:bCs w:val="1"/>
                <w:color w:val="auto"/>
              </w:rPr>
              <w:t>1.35% – 2.68%</w:t>
            </w:r>
          </w:p>
        </w:tc>
        <w:tc>
          <w:tcPr>
            <w:tcW w:w="1900" w:type="dxa"/>
            <w:vAlign w:val="bottom"/>
          </w:tcPr>
          <w:p>
            <w:pPr>
              <w:jc w:val="right"/>
              <w:ind w:right="393"/>
              <w:spacing w:after="0" w:line="202" w:lineRule="exact"/>
              <w:rPr>
                <w:sz w:val="20"/>
                <w:szCs w:val="20"/>
                <w:color w:val="auto"/>
              </w:rPr>
            </w:pPr>
            <w:r>
              <w:rPr>
                <w:rFonts w:ascii="Arial" w:cs="Arial" w:eastAsia="Arial" w:hAnsi="Arial"/>
                <w:sz w:val="18"/>
                <w:szCs w:val="18"/>
                <w:b w:val="1"/>
                <w:bCs w:val="1"/>
                <w:color w:val="auto"/>
              </w:rPr>
              <w:t>2.53%–5.43%</w:t>
            </w: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10,111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10,111</w:t>
            </w:r>
          </w:p>
        </w:tc>
        <w:tc>
          <w:tcPr>
            <w:tcW w:w="0" w:type="dxa"/>
            <w:vAlign w:val="bottom"/>
          </w:tcPr>
          <w:p>
            <w:pPr>
              <w:spacing w:after="0"/>
              <w:rPr>
                <w:sz w:val="1"/>
                <w:szCs w:val="1"/>
                <w:color w:val="auto"/>
              </w:rPr>
            </w:pPr>
          </w:p>
        </w:tc>
      </w:tr>
      <w:tr>
        <w:trPr>
          <w:trHeight w:val="203"/>
        </w:trPr>
        <w:tc>
          <w:tcPr>
            <w:tcW w:w="32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2021 issuance of $8.2 billion</w:t>
            </w:r>
          </w:p>
        </w:tc>
        <w:tc>
          <w:tcPr>
            <w:tcW w:w="174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2052 – 2062</w:t>
            </w:r>
          </w:p>
        </w:tc>
        <w:tc>
          <w:tcPr>
            <w:tcW w:w="1820" w:type="dxa"/>
            <w:vAlign w:val="bottom"/>
            <w:shd w:val="clear" w:color="auto" w:fill="E5E5E5"/>
          </w:tcPr>
          <w:p>
            <w:pPr>
              <w:jc w:val="right"/>
              <w:ind w:right="213"/>
              <w:spacing w:after="0" w:line="202" w:lineRule="exact"/>
              <w:rPr>
                <w:sz w:val="20"/>
                <w:szCs w:val="20"/>
                <w:color w:val="auto"/>
              </w:rPr>
            </w:pPr>
            <w:r>
              <w:rPr>
                <w:rFonts w:ascii="Arial" w:cs="Arial" w:eastAsia="Arial" w:hAnsi="Arial"/>
                <w:sz w:val="18"/>
                <w:szCs w:val="18"/>
                <w:b w:val="1"/>
                <w:bCs w:val="1"/>
                <w:color w:val="auto"/>
              </w:rPr>
              <w:t>2.92% – 3.04%</w:t>
            </w:r>
          </w:p>
        </w:tc>
        <w:tc>
          <w:tcPr>
            <w:tcW w:w="1900" w:type="dxa"/>
            <w:vAlign w:val="bottom"/>
            <w:shd w:val="clear" w:color="auto" w:fill="E5E5E5"/>
          </w:tcPr>
          <w:p>
            <w:pPr>
              <w:jc w:val="right"/>
              <w:ind w:right="393"/>
              <w:spacing w:after="0" w:line="202" w:lineRule="exact"/>
              <w:rPr>
                <w:sz w:val="20"/>
                <w:szCs w:val="20"/>
                <w:color w:val="auto"/>
              </w:rPr>
            </w:pPr>
            <w:r>
              <w:rPr>
                <w:rFonts w:ascii="Arial" w:cs="Arial" w:eastAsia="Arial" w:hAnsi="Arial"/>
                <w:sz w:val="18"/>
                <w:szCs w:val="18"/>
                <w:b w:val="1"/>
                <w:bCs w:val="1"/>
                <w:color w:val="auto"/>
              </w:rPr>
              <w:t>2.92%–3.04%</w:t>
            </w:r>
          </w:p>
        </w:tc>
        <w:tc>
          <w:tcPr>
            <w:tcW w:w="18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8,185</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8,185</w:t>
            </w:r>
          </w:p>
        </w:tc>
        <w:tc>
          <w:tcPr>
            <w:tcW w:w="0" w:type="dxa"/>
            <w:vAlign w:val="bottom"/>
          </w:tcPr>
          <w:p>
            <w:pPr>
              <w:spacing w:after="0"/>
              <w:rPr>
                <w:sz w:val="1"/>
                <w:szCs w:val="1"/>
                <w:color w:val="auto"/>
              </w:rPr>
            </w:pP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2023 issuance of $0.1 billion</w:t>
            </w:r>
          </w:p>
        </w:tc>
        <w:tc>
          <w:tcPr>
            <w:tcW w:w="174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2027 – 2050</w:t>
            </w:r>
          </w:p>
        </w:tc>
        <w:tc>
          <w:tcPr>
            <w:tcW w:w="1820" w:type="dxa"/>
            <w:vAlign w:val="bottom"/>
          </w:tcPr>
          <w:p>
            <w:pPr>
              <w:jc w:val="right"/>
              <w:ind w:right="213"/>
              <w:spacing w:after="0" w:line="202" w:lineRule="exact"/>
              <w:rPr>
                <w:sz w:val="20"/>
                <w:szCs w:val="20"/>
                <w:color w:val="auto"/>
              </w:rPr>
            </w:pPr>
            <w:r>
              <w:rPr>
                <w:rFonts w:ascii="Arial" w:cs="Arial" w:eastAsia="Arial" w:hAnsi="Arial"/>
                <w:sz w:val="18"/>
                <w:szCs w:val="18"/>
                <w:b w:val="1"/>
                <w:bCs w:val="1"/>
                <w:color w:val="auto"/>
              </w:rPr>
              <w:t>1.35% – 4.50%</w:t>
            </w:r>
          </w:p>
        </w:tc>
        <w:tc>
          <w:tcPr>
            <w:tcW w:w="1900" w:type="dxa"/>
            <w:vAlign w:val="bottom"/>
          </w:tcPr>
          <w:p>
            <w:pPr>
              <w:jc w:val="right"/>
              <w:ind w:right="393"/>
              <w:spacing w:after="0" w:line="202" w:lineRule="exact"/>
              <w:rPr>
                <w:sz w:val="20"/>
                <w:szCs w:val="20"/>
                <w:color w:val="auto"/>
              </w:rPr>
            </w:pPr>
            <w:r>
              <w:rPr>
                <w:rFonts w:ascii="Arial" w:cs="Arial" w:eastAsia="Arial" w:hAnsi="Arial"/>
                <w:sz w:val="18"/>
                <w:szCs w:val="18"/>
                <w:b w:val="1"/>
                <w:bCs w:val="1"/>
                <w:color w:val="auto"/>
              </w:rPr>
              <w:t>5.16%–5.49%</w:t>
            </w: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32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2024 issuance of $3.3 billion</w:t>
            </w:r>
          </w:p>
        </w:tc>
        <w:tc>
          <w:tcPr>
            <w:tcW w:w="174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2027 – 2050</w:t>
            </w:r>
          </w:p>
        </w:tc>
        <w:tc>
          <w:tcPr>
            <w:tcW w:w="1820" w:type="dxa"/>
            <w:vAlign w:val="bottom"/>
            <w:shd w:val="clear" w:color="auto" w:fill="E5E5E5"/>
          </w:tcPr>
          <w:p>
            <w:pPr>
              <w:jc w:val="right"/>
              <w:ind w:right="213"/>
              <w:spacing w:after="0" w:line="202" w:lineRule="exact"/>
              <w:rPr>
                <w:sz w:val="20"/>
                <w:szCs w:val="20"/>
                <w:color w:val="auto"/>
              </w:rPr>
            </w:pPr>
            <w:r>
              <w:rPr>
                <w:rFonts w:ascii="Arial" w:cs="Arial" w:eastAsia="Arial" w:hAnsi="Arial"/>
                <w:sz w:val="18"/>
                <w:szCs w:val="18"/>
                <w:b w:val="1"/>
                <w:bCs w:val="1"/>
                <w:color w:val="auto"/>
              </w:rPr>
              <w:t>1.35% – 4.50%</w:t>
            </w:r>
          </w:p>
        </w:tc>
        <w:tc>
          <w:tcPr>
            <w:tcW w:w="1900" w:type="dxa"/>
            <w:vAlign w:val="bottom"/>
            <w:shd w:val="clear" w:color="auto" w:fill="E5E5E5"/>
          </w:tcPr>
          <w:p>
            <w:pPr>
              <w:jc w:val="right"/>
              <w:ind w:right="393"/>
              <w:spacing w:after="0" w:line="202" w:lineRule="exact"/>
              <w:rPr>
                <w:sz w:val="20"/>
                <w:szCs w:val="20"/>
                <w:color w:val="auto"/>
              </w:rPr>
            </w:pPr>
            <w:r>
              <w:rPr>
                <w:rFonts w:ascii="Arial" w:cs="Arial" w:eastAsia="Arial" w:hAnsi="Arial"/>
                <w:sz w:val="18"/>
                <w:szCs w:val="18"/>
                <w:b w:val="1"/>
                <w:bCs w:val="1"/>
                <w:color w:val="auto"/>
              </w:rPr>
              <w:t>5.16%–5.49%</w:t>
            </w:r>
          </w:p>
        </w:tc>
        <w:tc>
          <w:tcPr>
            <w:tcW w:w="18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2,618</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41"/>
        </w:trPr>
        <w:tc>
          <w:tcPr>
            <w:tcW w:w="32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220" w:type="dxa"/>
            <w:vAlign w:val="bottom"/>
          </w:tcPr>
          <w:p>
            <w:pPr>
              <w:ind w:left="80"/>
              <w:spacing w:after="0"/>
              <w:rPr>
                <w:sz w:val="20"/>
                <w:szCs w:val="20"/>
                <w:color w:val="auto"/>
              </w:rPr>
            </w:pPr>
            <w:r>
              <w:rPr>
                <w:rFonts w:ascii="Arial" w:cs="Arial" w:eastAsia="Arial" w:hAnsi="Arial"/>
                <w:sz w:val="18"/>
                <w:szCs w:val="18"/>
                <w:color w:val="auto"/>
              </w:rPr>
              <w:t>Total face value</w:t>
            </w:r>
          </w:p>
        </w:tc>
        <w:tc>
          <w:tcPr>
            <w:tcW w:w="17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41,269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46,136</w:t>
            </w:r>
          </w:p>
        </w:tc>
        <w:tc>
          <w:tcPr>
            <w:tcW w:w="0" w:type="dxa"/>
            <w:vAlign w:val="bottom"/>
          </w:tcPr>
          <w:p>
            <w:pPr>
              <w:spacing w:after="0"/>
              <w:rPr>
                <w:sz w:val="1"/>
                <w:szCs w:val="1"/>
                <w:color w:val="auto"/>
              </w:rPr>
            </w:pPr>
          </w:p>
        </w:tc>
      </w:tr>
      <w:tr>
        <w:trPr>
          <w:trHeight w:val="184"/>
        </w:trPr>
        <w:tc>
          <w:tcPr>
            <w:tcW w:w="3220" w:type="dxa"/>
            <w:vAlign w:val="bottom"/>
            <w:shd w:val="clear" w:color="auto" w:fill="E5E5E5"/>
          </w:tcPr>
          <w:p>
            <w:pPr>
              <w:spacing w:after="0" w:line="183" w:lineRule="exact"/>
              <w:rPr>
                <w:sz w:val="20"/>
                <w:szCs w:val="20"/>
                <w:color w:val="auto"/>
              </w:rPr>
            </w:pPr>
            <w:r>
              <w:rPr>
                <w:rFonts w:ascii="Arial" w:cs="Arial" w:eastAsia="Arial" w:hAnsi="Arial"/>
                <w:sz w:val="18"/>
                <w:szCs w:val="18"/>
                <w:color w:val="auto"/>
              </w:rPr>
              <w:t>Unamortized discount and issuance</w:t>
            </w:r>
          </w:p>
        </w:tc>
        <w:tc>
          <w:tcPr>
            <w:tcW w:w="1740" w:type="dxa"/>
            <w:vAlign w:val="bottom"/>
            <w:shd w:val="clear" w:color="auto" w:fill="E5E5E5"/>
          </w:tcPr>
          <w:p>
            <w:pPr>
              <w:spacing w:after="0"/>
              <w:rPr>
                <w:sz w:val="15"/>
                <w:szCs w:val="15"/>
                <w:color w:val="auto"/>
              </w:rPr>
            </w:pPr>
          </w:p>
        </w:tc>
        <w:tc>
          <w:tcPr>
            <w:tcW w:w="18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20" w:type="dxa"/>
            <w:vAlign w:val="bottom"/>
            <w:shd w:val="clear" w:color="auto" w:fill="E5E5E5"/>
          </w:tcPr>
          <w:p>
            <w:pPr>
              <w:ind w:left="80"/>
              <w:spacing w:after="0"/>
              <w:rPr>
                <w:sz w:val="20"/>
                <w:szCs w:val="20"/>
                <w:color w:val="auto"/>
              </w:rPr>
            </w:pPr>
            <w:r>
              <w:rPr>
                <w:rFonts w:ascii="Arial" w:cs="Arial" w:eastAsia="Arial" w:hAnsi="Arial"/>
                <w:sz w:val="18"/>
                <w:szCs w:val="18"/>
                <w:color w:val="auto"/>
              </w:rPr>
              <w:t>costs</w:t>
            </w:r>
          </w:p>
        </w:tc>
        <w:tc>
          <w:tcPr>
            <w:tcW w:w="1740" w:type="dxa"/>
            <w:vAlign w:val="bottom"/>
            <w:shd w:val="clear" w:color="auto" w:fill="E5E5E5"/>
          </w:tcPr>
          <w:p>
            <w:pPr>
              <w:spacing w:after="0"/>
              <w:rPr>
                <w:sz w:val="19"/>
                <w:szCs w:val="19"/>
                <w:color w:val="auto"/>
              </w:rPr>
            </w:pPr>
          </w:p>
        </w:tc>
        <w:tc>
          <w:tcPr>
            <w:tcW w:w="1820" w:type="dxa"/>
            <w:vAlign w:val="bottom"/>
            <w:shd w:val="clear" w:color="auto" w:fill="E5E5E5"/>
          </w:tcPr>
          <w:p>
            <w:pPr>
              <w:spacing w:after="0"/>
              <w:rPr>
                <w:sz w:val="19"/>
                <w:szCs w:val="19"/>
                <w:color w:val="auto"/>
              </w:rPr>
            </w:pPr>
          </w:p>
        </w:tc>
        <w:tc>
          <w:tcPr>
            <w:tcW w:w="190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12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(1,064)</w:t>
            </w:r>
          </w:p>
        </w:tc>
        <w:tc>
          <w:tcPr>
            <w:tcW w:w="8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16"/>
        </w:trPr>
        <w:tc>
          <w:tcPr>
            <w:tcW w:w="3220" w:type="dxa"/>
            <w:vAlign w:val="bottom"/>
          </w:tcPr>
          <w:p>
            <w:pPr>
              <w:spacing w:after="0" w:line="216" w:lineRule="exact"/>
              <w:rPr>
                <w:sz w:val="20"/>
                <w:szCs w:val="20"/>
                <w:color w:val="auto"/>
              </w:rPr>
            </w:pPr>
            <w:r>
              <w:rPr>
                <w:rFonts w:ascii="Arial" w:cs="Arial" w:eastAsia="Arial" w:hAnsi="Arial"/>
                <w:sz w:val="18"/>
                <w:szCs w:val="18"/>
                <w:color w:val="auto"/>
              </w:rPr>
              <w:t xml:space="preserve">Hedge fair value adjustments </w:t>
            </w:r>
            <w:r>
              <w:rPr>
                <w:rFonts w:ascii="Arial" w:cs="Arial" w:eastAsia="Arial" w:hAnsi="Arial"/>
                <w:sz w:val="24"/>
                <w:szCs w:val="24"/>
                <w:color w:val="auto"/>
                <w:vertAlign w:val="superscript"/>
              </w:rPr>
              <w:t>(a)</w:t>
            </w:r>
          </w:p>
        </w:tc>
        <w:tc>
          <w:tcPr>
            <w:tcW w:w="1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32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Premium on debt exchange</w:t>
            </w:r>
          </w:p>
        </w:tc>
        <w:tc>
          <w:tcPr>
            <w:tcW w:w="1740" w:type="dxa"/>
            <w:vAlign w:val="bottom"/>
            <w:shd w:val="clear" w:color="auto" w:fill="E5E5E5"/>
          </w:tcPr>
          <w:p>
            <w:pPr>
              <w:spacing w:after="0"/>
              <w:rPr>
                <w:sz w:val="17"/>
                <w:szCs w:val="17"/>
                <w:color w:val="auto"/>
              </w:rPr>
            </w:pPr>
          </w:p>
        </w:tc>
        <w:tc>
          <w:tcPr>
            <w:tcW w:w="1820" w:type="dxa"/>
            <w:vAlign w:val="bottom"/>
            <w:shd w:val="clear" w:color="auto" w:fill="E5E5E5"/>
          </w:tcPr>
          <w:p>
            <w:pPr>
              <w:spacing w:after="0"/>
              <w:rPr>
                <w:sz w:val="17"/>
                <w:szCs w:val="17"/>
                <w:color w:val="auto"/>
              </w:rPr>
            </w:pPr>
          </w:p>
        </w:tc>
        <w:tc>
          <w:tcPr>
            <w:tcW w:w="19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(4,720)</w:t>
            </w:r>
          </w:p>
        </w:tc>
        <w:tc>
          <w:tcPr>
            <w:tcW w:w="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40"/>
        </w:trPr>
        <w:tc>
          <w:tcPr>
            <w:tcW w:w="32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220" w:type="dxa"/>
            <w:vAlign w:val="bottom"/>
          </w:tcPr>
          <w:p>
            <w:pPr>
              <w:ind w:left="80"/>
              <w:spacing w:after="0"/>
              <w:rPr>
                <w:sz w:val="20"/>
                <w:szCs w:val="20"/>
                <w:color w:val="auto"/>
              </w:rPr>
            </w:pPr>
            <w:r>
              <w:rPr>
                <w:rFonts w:ascii="Arial" w:cs="Arial" w:eastAsia="Arial" w:hAnsi="Arial"/>
                <w:sz w:val="18"/>
                <w:szCs w:val="18"/>
                <w:color w:val="auto"/>
              </w:rPr>
              <w:t>Total debt</w:t>
            </w:r>
          </w:p>
        </w:tc>
        <w:tc>
          <w:tcPr>
            <w:tcW w:w="17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35,481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40,294</w:t>
            </w:r>
          </w:p>
        </w:tc>
        <w:tc>
          <w:tcPr>
            <w:tcW w:w="0" w:type="dxa"/>
            <w:vAlign w:val="bottom"/>
          </w:tcPr>
          <w:p>
            <w:pPr>
              <w:spacing w:after="0"/>
              <w:rPr>
                <w:sz w:val="1"/>
                <w:szCs w:val="1"/>
                <w:color w:val="auto"/>
              </w:rPr>
            </w:pPr>
          </w:p>
        </w:tc>
      </w:tr>
      <w:tr>
        <w:trPr>
          <w:trHeight w:val="203"/>
        </w:trPr>
        <w:tc>
          <w:tcPr>
            <w:tcW w:w="32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1740" w:type="dxa"/>
            <w:vAlign w:val="bottom"/>
            <w:shd w:val="clear" w:color="auto" w:fill="E5E5E5"/>
          </w:tcPr>
          <w:p>
            <w:pPr>
              <w:spacing w:after="0"/>
              <w:rPr>
                <w:sz w:val="17"/>
                <w:szCs w:val="17"/>
                <w:color w:val="auto"/>
              </w:rPr>
            </w:pPr>
          </w:p>
        </w:tc>
        <w:tc>
          <w:tcPr>
            <w:tcW w:w="1820" w:type="dxa"/>
            <w:vAlign w:val="bottom"/>
            <w:shd w:val="clear" w:color="auto" w:fill="E5E5E5"/>
          </w:tcPr>
          <w:p>
            <w:pPr>
              <w:spacing w:after="0"/>
              <w:rPr>
                <w:sz w:val="17"/>
                <w:szCs w:val="17"/>
                <w:color w:val="auto"/>
              </w:rPr>
            </w:pPr>
          </w:p>
        </w:tc>
        <w:tc>
          <w:tcPr>
            <w:tcW w:w="19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(4,391)</w:t>
            </w:r>
          </w:p>
        </w:tc>
        <w:tc>
          <w:tcPr>
            <w:tcW w:w="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(9,227)</w:t>
            </w:r>
          </w:p>
        </w:tc>
        <w:tc>
          <w:tcPr>
            <w:tcW w:w="0" w:type="dxa"/>
            <w:vAlign w:val="bottom"/>
          </w:tcPr>
          <w:p>
            <w:pPr>
              <w:spacing w:after="0"/>
              <w:rPr>
                <w:sz w:val="1"/>
                <w:szCs w:val="1"/>
                <w:color w:val="auto"/>
              </w:rPr>
            </w:pPr>
          </w:p>
        </w:tc>
      </w:tr>
      <w:tr>
        <w:trPr>
          <w:trHeight w:val="40"/>
        </w:trPr>
        <w:tc>
          <w:tcPr>
            <w:tcW w:w="32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220" w:type="dxa"/>
            <w:vAlign w:val="bottom"/>
          </w:tcPr>
          <w:p>
            <w:pPr>
              <w:ind w:left="80"/>
              <w:spacing w:after="0"/>
              <w:rPr>
                <w:sz w:val="20"/>
                <w:szCs w:val="20"/>
                <w:color w:val="auto"/>
              </w:rPr>
            </w:pPr>
            <w:r>
              <w:rPr>
                <w:rFonts w:ascii="Arial" w:cs="Arial" w:eastAsia="Arial" w:hAnsi="Arial"/>
                <w:sz w:val="18"/>
                <w:szCs w:val="18"/>
                <w:color w:val="auto"/>
              </w:rPr>
              <w:t>Long-term debt</w:t>
            </w:r>
          </w:p>
        </w:tc>
        <w:tc>
          <w:tcPr>
            <w:tcW w:w="1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31,090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interest rate swaps related to fixed-rate debt.</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September 30, 2026 and June 30, 2026, the estimated fair value of long-term debt, including the current portion, was $29.3 billion and $36.5 billion, respectively. The estimated fair values are based on Level 2 inputs.</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Debt in the table above is comprised of senior unsecured obligations and ranks equally with our other outstanding obligations. Interest is paid semi-annually, except for the Euro-denominated debt, which is paid annually.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maturities of our long-term debt, including the current portion, as of September 30, 2026:</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2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10020" w:type="dxa"/>
            <w:vAlign w:val="bottom"/>
            <w:shd w:val="clear" w:color="auto" w:fill="E5E5E5"/>
          </w:tcPr>
          <w:p>
            <w:pPr>
              <w:spacing w:after="0"/>
              <w:rPr>
                <w:sz w:val="20"/>
                <w:szCs w:val="20"/>
                <w:color w:val="auto"/>
              </w:rPr>
            </w:pPr>
            <w:r>
              <w:rPr>
                <w:rFonts w:ascii="Arial" w:cs="Arial" w:eastAsia="Arial" w:hAnsi="Arial"/>
                <w:sz w:val="18"/>
                <w:szCs w:val="18"/>
                <w:color w:val="auto"/>
              </w:rPr>
              <w:t>2027 (excluding the three months ended September 30, 2026)</w:t>
            </w:r>
          </w:p>
        </w:tc>
        <w:tc>
          <w:tcPr>
            <w:tcW w:w="340" w:type="dxa"/>
            <w:vAlign w:val="bottom"/>
            <w:shd w:val="clear" w:color="auto" w:fill="E5E5E5"/>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4,400</w:t>
            </w:r>
          </w:p>
        </w:tc>
      </w:tr>
      <w:tr>
        <w:trPr>
          <w:trHeight w:val="203"/>
        </w:trPr>
        <w:tc>
          <w:tcPr>
            <w:tcW w:w="1002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3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0</w:t>
            </w:r>
          </w:p>
        </w:tc>
      </w:tr>
      <w:tr>
        <w:trPr>
          <w:trHeight w:val="202"/>
        </w:trPr>
        <w:tc>
          <w:tcPr>
            <w:tcW w:w="100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2029</w:t>
            </w:r>
          </w:p>
        </w:tc>
        <w:tc>
          <w:tcPr>
            <w:tcW w:w="3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1,988</w:t>
            </w:r>
          </w:p>
        </w:tc>
      </w:tr>
      <w:tr>
        <w:trPr>
          <w:trHeight w:val="203"/>
        </w:trPr>
        <w:tc>
          <w:tcPr>
            <w:tcW w:w="10020" w:type="dxa"/>
            <w:vAlign w:val="bottom"/>
          </w:tcPr>
          <w:p>
            <w:pPr>
              <w:spacing w:after="0" w:line="202" w:lineRule="exact"/>
              <w:rPr>
                <w:sz w:val="20"/>
                <w:szCs w:val="20"/>
                <w:color w:val="auto"/>
              </w:rPr>
            </w:pPr>
            <w:r>
              <w:rPr>
                <w:rFonts w:ascii="Arial" w:cs="Arial" w:eastAsia="Arial" w:hAnsi="Arial"/>
                <w:sz w:val="18"/>
                <w:szCs w:val="18"/>
                <w:color w:val="auto"/>
              </w:rPr>
              <w:t>2030</w:t>
            </w:r>
          </w:p>
        </w:tc>
        <w:tc>
          <w:tcPr>
            <w:tcW w:w="3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0</w:t>
            </w:r>
          </w:p>
        </w:tc>
      </w:tr>
      <w:tr>
        <w:trPr>
          <w:trHeight w:val="203"/>
        </w:trPr>
        <w:tc>
          <w:tcPr>
            <w:tcW w:w="100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2031</w:t>
            </w:r>
          </w:p>
        </w:tc>
        <w:tc>
          <w:tcPr>
            <w:tcW w:w="3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500</w:t>
            </w:r>
          </w:p>
        </w:tc>
      </w:tr>
      <w:tr>
        <w:trPr>
          <w:trHeight w:val="243"/>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34,381</w:t>
            </w:r>
          </w:p>
        </w:tc>
      </w:tr>
      <w:tr>
        <w:trPr>
          <w:trHeight w:val="34"/>
        </w:trPr>
        <w:tc>
          <w:tcPr>
            <w:tcW w:w="100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1002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Total</w:t>
            </w:r>
          </w:p>
        </w:tc>
        <w:tc>
          <w:tcPr>
            <w:tcW w:w="340" w:type="dxa"/>
            <w:vAlign w:val="bottom"/>
            <w:shd w:val="clear" w:color="auto" w:fill="E5E5E5"/>
          </w:tcPr>
          <w:p>
            <w:pPr>
              <w:jc w:val="right"/>
              <w:ind w:right="150"/>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41,269</w:t>
            </w:r>
          </w:p>
        </w:tc>
      </w:tr>
      <w:tr>
        <w:trPr>
          <w:trHeight w:val="48"/>
        </w:trPr>
        <w:tc>
          <w:tcPr>
            <w:tcW w:w="100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10 —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effective tax rate was 20% and 19% for the three months ended September 30, 2026 and 2025, respectively. The increase in our effective tax rate for the current quarter compared to the prior year was primarily due to decreased tax benefits from stock-based compensation and changes in the mix of our earnings and tax expenses between the U.S. and foreign countries.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0" w:name="page21"/>
    <w:bookmarkEnd w:id="20"/>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effective tax rate was lower than the U.S. federal statutory rate for the three months ended September 30, 2026, primarily due to earnings taxed at lower rates in foreign jurisdictions resulting from producing and distributing our products and services through our foreign regional operations center in Ireland.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September 30, 2026 and June 30, 2026, unrecognized tax benefits and other income tax liabilities were $30.6 billion and $30.1 billion, respectively, and are included in long-term income taxes in our consolidated balance sheets.</w:t>
      </w:r>
    </w:p>
    <w:p>
      <w:pPr>
        <w:spacing w:after="0" w:line="1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remain under audit by the IRS for tax years 2014 to 2017. With respect to the audit for tax years 2004 to 2013, on September 26, 2023, we received Notices of Proposed Adjustment (“NOPAs”) from the IRS. The primary issues in the NOPAs relate to intercompany transfer pricing. In the NOPAs, the IRS is seeking an additional tax payment of $28.9 billion plus penalties and interest. As of September 30, 2026, we believe our allowances for income tax contingencies are adequate. We disagree with the proposed adjustments and will vigorously contest the NOPAs through the IRS’s administrative appeals office and, if necessary, judicial proceedings.</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income tax in many jurisdictions outside the U.S., some of which are currently under audit by local tax authorities. The resolution of these audits is not expected to be material to our consolidated financial statements. Our operations in Ireland remain subject to examination for tax years 2021 and thereafter.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6040" w:type="dxa"/>
            <w:vAlign w:val="bottom"/>
            <w:gridSpan w:val="3"/>
          </w:tcPr>
          <w:p>
            <w:pPr>
              <w:jc w:val="right"/>
              <w:ind w:right="2990"/>
              <w:spacing w:after="0"/>
              <w:rPr>
                <w:sz w:val="20"/>
                <w:szCs w:val="20"/>
                <w:color w:val="auto"/>
              </w:rPr>
            </w:pPr>
            <w:r>
              <w:rPr>
                <w:rFonts w:ascii="Arial" w:cs="Arial" w:eastAsia="Arial" w:hAnsi="Arial"/>
                <w:sz w:val="18"/>
                <w:szCs w:val="18"/>
                <w:color w:val="auto"/>
                <w:w w:val="99"/>
              </w:rPr>
              <w:t>NOTE 11 — UNEARNED REVENUE</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89"/>
        </w:trPr>
        <w:tc>
          <w:tcPr>
            <w:tcW w:w="4120" w:type="dxa"/>
            <w:vAlign w:val="bottom"/>
          </w:tcPr>
          <w:p>
            <w:pPr>
              <w:spacing w:after="0"/>
              <w:rPr>
                <w:sz w:val="20"/>
                <w:szCs w:val="20"/>
                <w:color w:val="auto"/>
              </w:rPr>
            </w:pPr>
            <w:r>
              <w:rPr>
                <w:rFonts w:ascii="Arial" w:cs="Arial" w:eastAsia="Arial" w:hAnsi="Arial"/>
                <w:sz w:val="18"/>
                <w:szCs w:val="18"/>
                <w:color w:val="auto"/>
              </w:rPr>
              <w:t>Changes in unearned revenue were as follows:</w:t>
            </w:r>
          </w:p>
        </w:tc>
        <w:tc>
          <w:tcPr>
            <w:tcW w:w="2960" w:type="dxa"/>
            <w:vAlign w:val="bottom"/>
            <w:tcBorders>
              <w:top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4"/>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millions)</w:t>
            </w:r>
          </w:p>
        </w:tc>
        <w:tc>
          <w:tcPr>
            <w:tcW w:w="29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4120" w:type="dxa"/>
            <w:vAlign w:val="bottom"/>
          </w:tcPr>
          <w:p>
            <w:pPr>
              <w:spacing w:after="0"/>
              <w:rPr>
                <w:sz w:val="20"/>
                <w:szCs w:val="20"/>
                <w:color w:val="auto"/>
              </w:rPr>
            </w:pPr>
            <w:r>
              <w:rPr>
                <w:rFonts w:ascii="Arial" w:cs="Arial" w:eastAsia="Arial" w:hAnsi="Arial"/>
                <w:sz w:val="13"/>
                <w:szCs w:val="13"/>
                <w:b w:val="1"/>
                <w:bCs w:val="1"/>
                <w:color w:val="auto"/>
              </w:rPr>
              <w:t>Three Months Ended September 30, 2026</w:t>
            </w:r>
          </w:p>
        </w:tc>
        <w:tc>
          <w:tcPr>
            <w:tcW w:w="29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Balance, beginning of period</w:t>
            </w:r>
          </w:p>
        </w:tc>
        <w:tc>
          <w:tcPr>
            <w:tcW w:w="6040" w:type="dxa"/>
            <w:vAlign w:val="bottom"/>
            <w:gridSpan w:val="3"/>
            <w:shd w:val="clear" w:color="auto" w:fill="E5E5E5"/>
          </w:tcPr>
          <w:p>
            <w:pPr>
              <w:jc w:val="right"/>
              <w:ind w:right="2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75,712</w:t>
            </w:r>
          </w:p>
        </w:tc>
        <w:tc>
          <w:tcPr>
            <w:tcW w:w="100" w:type="dxa"/>
            <w:vAlign w:val="bottom"/>
            <w:shd w:val="clear" w:color="auto" w:fill="E5E5E5"/>
          </w:tcPr>
          <w:p>
            <w:pPr>
              <w:spacing w:after="0"/>
              <w:rPr>
                <w:sz w:val="18"/>
                <w:szCs w:val="18"/>
                <w:color w:val="auto"/>
              </w:rPr>
            </w:pPr>
          </w:p>
        </w:tc>
      </w:tr>
      <w:tr>
        <w:trPr>
          <w:trHeight w:val="203"/>
        </w:trPr>
        <w:tc>
          <w:tcPr>
            <w:tcW w:w="4120" w:type="dxa"/>
            <w:vAlign w:val="bottom"/>
          </w:tcPr>
          <w:p>
            <w:pPr>
              <w:ind w:left="220"/>
              <w:spacing w:after="0" w:line="202" w:lineRule="exact"/>
              <w:rPr>
                <w:sz w:val="20"/>
                <w:szCs w:val="20"/>
                <w:color w:val="auto"/>
              </w:rPr>
            </w:pPr>
            <w:r>
              <w:rPr>
                <w:rFonts w:ascii="Arial" w:cs="Arial" w:eastAsia="Arial" w:hAnsi="Arial"/>
                <w:sz w:val="18"/>
                <w:szCs w:val="18"/>
                <w:color w:val="auto"/>
              </w:rPr>
              <w:t>Deferral of revenue</w:t>
            </w:r>
          </w:p>
        </w:tc>
        <w:tc>
          <w:tcPr>
            <w:tcW w:w="29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44,007</w:t>
            </w:r>
          </w:p>
        </w:tc>
        <w:tc>
          <w:tcPr>
            <w:tcW w:w="100" w:type="dxa"/>
            <w:vAlign w:val="bottom"/>
          </w:tcPr>
          <w:p>
            <w:pPr>
              <w:spacing w:after="0"/>
              <w:rPr>
                <w:sz w:val="17"/>
                <w:szCs w:val="17"/>
                <w:color w:val="auto"/>
              </w:rPr>
            </w:pPr>
          </w:p>
        </w:tc>
      </w:tr>
      <w:tr>
        <w:trPr>
          <w:trHeight w:val="203"/>
        </w:trPr>
        <w:tc>
          <w:tcPr>
            <w:tcW w:w="412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Recognition of unearned revenue</w:t>
            </w:r>
          </w:p>
        </w:tc>
        <w:tc>
          <w:tcPr>
            <w:tcW w:w="2960" w:type="dxa"/>
            <w:vAlign w:val="bottom"/>
            <w:shd w:val="clear" w:color="auto" w:fill="E5E5E5"/>
          </w:tcPr>
          <w:p>
            <w:pPr>
              <w:spacing w:after="0"/>
              <w:rPr>
                <w:sz w:val="17"/>
                <w:szCs w:val="17"/>
                <w:color w:val="auto"/>
              </w:rPr>
            </w:pPr>
          </w:p>
        </w:tc>
        <w:tc>
          <w:tcPr>
            <w:tcW w:w="260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(50,156)</w:t>
            </w:r>
          </w:p>
        </w:tc>
      </w:tr>
      <w:tr>
        <w:trPr>
          <w:trHeight w:val="40"/>
        </w:trPr>
        <w:tc>
          <w:tcPr>
            <w:tcW w:w="412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4120" w:type="dxa"/>
            <w:vAlign w:val="bottom"/>
          </w:tcPr>
          <w:p>
            <w:pPr>
              <w:spacing w:after="0"/>
              <w:rPr>
                <w:sz w:val="20"/>
                <w:szCs w:val="20"/>
                <w:color w:val="auto"/>
              </w:rPr>
            </w:pPr>
            <w:r>
              <w:rPr>
                <w:rFonts w:ascii="Arial" w:cs="Arial" w:eastAsia="Arial" w:hAnsi="Arial"/>
                <w:sz w:val="18"/>
                <w:szCs w:val="18"/>
                <w:color w:val="auto"/>
              </w:rPr>
              <w:t>Balance, end of period</w:t>
            </w:r>
          </w:p>
        </w:tc>
        <w:tc>
          <w:tcPr>
            <w:tcW w:w="5560" w:type="dxa"/>
            <w:vAlign w:val="bottom"/>
            <w:gridSpan w:val="2"/>
          </w:tcPr>
          <w:p>
            <w:pPr>
              <w:spacing w:after="0"/>
              <w:rPr>
                <w:sz w:val="24"/>
                <w:szCs w:val="24"/>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69,563</w:t>
            </w:r>
          </w:p>
        </w:tc>
        <w:tc>
          <w:tcPr>
            <w:tcW w:w="100" w:type="dxa"/>
            <w:vAlign w:val="bottom"/>
          </w:tcPr>
          <w:p>
            <w:pPr>
              <w:spacing w:after="0"/>
              <w:rPr>
                <w:sz w:val="24"/>
                <w:szCs w:val="24"/>
                <w:color w:val="auto"/>
              </w:rPr>
            </w:pPr>
          </w:p>
        </w:tc>
      </w:tr>
    </w:tbl>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Revenue allocated to remaining performance obligations, which includes unearned revenue and amounts expected to be invoiced and recognized as revenue in future periods, was $683 billion as of September 30, 2026. Revenue allocated to remaining performance obligations related to the commercial portion of revenue was $677 billion as of September 30, 2026, with a weighted average duration of approximately 2.3 years. We expect to recognize approximately 30% of both our total company remaining performance obligation revenue and commercial remaining performance obligation revenue over the next 12 months and the remainder thereafter.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12 — LEASES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operating and finance leases for datacenters and related infrastructure, servers and network equipment, corporate offices, and research and development facilities. Our leases have remaining lease terms of less than 1 year to 20 years, some of which include options to extend the leases for up to 5 years, and some of which include options to terminate the leases within 1 year.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548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3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211"/>
        </w:trPr>
        <w:tc>
          <w:tcPr>
            <w:tcW w:w="4240" w:type="dxa"/>
            <w:vAlign w:val="bottom"/>
            <w:shd w:val="clear" w:color="auto" w:fill="E5E5E5"/>
          </w:tcPr>
          <w:p>
            <w:pPr>
              <w:spacing w:after="0"/>
              <w:rPr>
                <w:sz w:val="20"/>
                <w:szCs w:val="20"/>
                <w:color w:val="auto"/>
              </w:rPr>
            </w:pPr>
            <w:r>
              <w:rPr>
                <w:rFonts w:ascii="Arial" w:cs="Arial" w:eastAsia="Arial" w:hAnsi="Arial"/>
                <w:sz w:val="18"/>
                <w:szCs w:val="18"/>
                <w:color w:val="auto"/>
              </w:rPr>
              <w:t>Operating lease cost</w:t>
            </w:r>
          </w:p>
        </w:tc>
        <w:tc>
          <w:tcPr>
            <w:tcW w:w="4300" w:type="dxa"/>
            <w:vAlign w:val="bottom"/>
            <w:gridSpan w:val="2"/>
            <w:shd w:val="clear" w:color="auto" w:fill="E5E5E5"/>
          </w:tcPr>
          <w:p>
            <w:pPr>
              <w:jc w:val="right"/>
              <w:ind w:right="4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1,894</w:t>
            </w:r>
          </w:p>
        </w:tc>
        <w:tc>
          <w:tcPr>
            <w:tcW w:w="660" w:type="dxa"/>
            <w:vAlign w:val="bottom"/>
            <w:gridSpan w:val="2"/>
            <w:shd w:val="clear" w:color="auto" w:fill="E5E5E5"/>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48"/>
        </w:trPr>
        <w:tc>
          <w:tcPr>
            <w:tcW w:w="4240" w:type="dxa"/>
            <w:vAlign w:val="bottom"/>
            <w:vMerge w:val="restart"/>
          </w:tcPr>
          <w:p>
            <w:pPr>
              <w:spacing w:after="0"/>
              <w:rPr>
                <w:sz w:val="20"/>
                <w:szCs w:val="20"/>
                <w:color w:val="auto"/>
              </w:rPr>
            </w:pPr>
            <w:r>
              <w:rPr>
                <w:rFonts w:ascii="Arial" w:cs="Arial" w:eastAsia="Arial" w:hAnsi="Arial"/>
                <w:sz w:val="18"/>
                <w:szCs w:val="18"/>
                <w:color w:val="auto"/>
              </w:rPr>
              <w:t>Finance lease cost:</w:t>
            </w:r>
          </w:p>
        </w:tc>
        <w:tc>
          <w:tcPr>
            <w:tcW w:w="376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240" w:type="dxa"/>
            <w:vAlign w:val="bottom"/>
            <w:vMerge w:val="continue"/>
          </w:tcPr>
          <w:p>
            <w:pPr>
              <w:spacing w:after="0"/>
              <w:rPr>
                <w:sz w:val="21"/>
                <w:szCs w:val="21"/>
                <w:color w:val="auto"/>
              </w:rPr>
            </w:pPr>
          </w:p>
        </w:tc>
        <w:tc>
          <w:tcPr>
            <w:tcW w:w="3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2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Amortization of right-of-use assets</w:t>
            </w:r>
          </w:p>
        </w:tc>
        <w:tc>
          <w:tcPr>
            <w:tcW w:w="430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1,702</w:t>
            </w:r>
          </w:p>
        </w:tc>
        <w:tc>
          <w:tcPr>
            <w:tcW w:w="660" w:type="dxa"/>
            <w:vAlign w:val="bottom"/>
            <w:gridSpan w:val="2"/>
            <w:shd w:val="clear" w:color="auto" w:fill="E5E5E5"/>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Interest on lease liabilities</w:t>
            </w:r>
          </w:p>
        </w:tc>
        <w:tc>
          <w:tcPr>
            <w:tcW w:w="3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769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34"/>
        </w:trPr>
        <w:tc>
          <w:tcPr>
            <w:tcW w:w="4240" w:type="dxa"/>
            <w:vAlign w:val="bottom"/>
            <w:tcBorders>
              <w:top w:val="single" w:sz="8" w:color="auto"/>
            </w:tcBorders>
          </w:tcPr>
          <w:p>
            <w:pPr>
              <w:spacing w:after="0"/>
              <w:rPr>
                <w:sz w:val="2"/>
                <w:szCs w:val="2"/>
                <w:color w:val="auto"/>
              </w:rPr>
            </w:pPr>
          </w:p>
        </w:tc>
        <w:tc>
          <w:tcPr>
            <w:tcW w:w="37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Total finance lease cost</w:t>
            </w:r>
          </w:p>
        </w:tc>
        <w:tc>
          <w:tcPr>
            <w:tcW w:w="430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2,471</w:t>
            </w:r>
          </w:p>
        </w:tc>
        <w:tc>
          <w:tcPr>
            <w:tcW w:w="660" w:type="dxa"/>
            <w:vAlign w:val="bottom"/>
            <w:gridSpan w:val="2"/>
            <w:shd w:val="clear" w:color="auto" w:fill="E5E5E5"/>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48"/>
        </w:trPr>
        <w:tc>
          <w:tcPr>
            <w:tcW w:w="4240" w:type="dxa"/>
            <w:vAlign w:val="bottom"/>
          </w:tcPr>
          <w:p>
            <w:pPr>
              <w:spacing w:after="0"/>
              <w:rPr>
                <w:sz w:val="4"/>
                <w:szCs w:val="4"/>
                <w:color w:val="auto"/>
              </w:rPr>
            </w:pPr>
          </w:p>
        </w:tc>
        <w:tc>
          <w:tcPr>
            <w:tcW w:w="3760" w:type="dxa"/>
            <w:vAlign w:val="bottom"/>
            <w:vMerge w:val="restart"/>
          </w:tcPr>
          <w:p>
            <w:pPr>
              <w:jc w:val="right"/>
              <w:ind w:right="2215"/>
              <w:spacing w:after="0"/>
              <w:rPr>
                <w:sz w:val="20"/>
                <w:szCs w:val="20"/>
                <w:color w:val="auto"/>
              </w:rPr>
            </w:pPr>
            <w:r>
              <w:rPr>
                <w:rFonts w:ascii="Arial" w:cs="Arial" w:eastAsia="Arial" w:hAnsi="Arial"/>
                <w:sz w:val="14"/>
                <w:szCs w:val="14"/>
                <w:color w:val="auto"/>
              </w:rPr>
              <w:t>21</w:t>
            </w:r>
          </w:p>
        </w:tc>
        <w:tc>
          <w:tcPr>
            <w:tcW w:w="5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3"/>
        </w:trPr>
        <w:tc>
          <w:tcPr>
            <w:tcW w:w="424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424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1" w:name="page22"/>
    <w:bookmarkEnd w:id="21"/>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2026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2025</w:t>
            </w:r>
          </w:p>
        </w:tc>
      </w:tr>
      <w:tr>
        <w:trPr>
          <w:trHeight w:val="211"/>
        </w:trPr>
        <w:tc>
          <w:tcPr>
            <w:tcW w:w="7440" w:type="dxa"/>
            <w:vAlign w:val="bottom"/>
            <w:shd w:val="clear" w:color="auto" w:fill="E5E5E5"/>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5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r>
      <w:tr>
        <w:trPr>
          <w:trHeight w:val="203"/>
        </w:trPr>
        <w:tc>
          <w:tcPr>
            <w:tcW w:w="7440" w:type="dxa"/>
            <w:vAlign w:val="bottom"/>
          </w:tcPr>
          <w:p>
            <w:pPr>
              <w:ind w:left="18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760" w:type="dxa"/>
            <w:vAlign w:val="bottom"/>
            <w:gridSpan w:val="3"/>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138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rPr>
              <w:t>1,547</w:t>
            </w:r>
          </w:p>
        </w:tc>
        <w:tc>
          <w:tcPr>
            <w:tcW w:w="3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1,656</w:t>
            </w:r>
          </w:p>
        </w:tc>
      </w:tr>
      <w:tr>
        <w:trPr>
          <w:trHeight w:val="202"/>
        </w:trPr>
        <w:tc>
          <w:tcPr>
            <w:tcW w:w="744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Operating cash flows from finance leases</w:t>
            </w:r>
          </w:p>
        </w:tc>
        <w:tc>
          <w:tcPr>
            <w:tcW w:w="54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380" w:type="dxa"/>
            <w:vAlign w:val="bottom"/>
            <w:gridSpan w:val="3"/>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769</w:t>
            </w:r>
          </w:p>
        </w:tc>
        <w:tc>
          <w:tcPr>
            <w:tcW w:w="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8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546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639</w:t>
            </w:r>
          </w:p>
        </w:tc>
      </w:tr>
      <w:tr>
        <w:trPr>
          <w:trHeight w:val="203"/>
        </w:trPr>
        <w:tc>
          <w:tcPr>
            <w:tcW w:w="74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Right-of-use assets obtained in exchange for lease obligations:</w:t>
            </w:r>
          </w:p>
        </w:tc>
        <w:tc>
          <w:tcPr>
            <w:tcW w:w="54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4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203"/>
        </w:trPr>
        <w:tc>
          <w:tcPr>
            <w:tcW w:w="7440" w:type="dxa"/>
            <w:vAlign w:val="bottom"/>
          </w:tcPr>
          <w:p>
            <w:pPr>
              <w:ind w:left="180"/>
              <w:spacing w:after="0" w:line="202" w:lineRule="exact"/>
              <w:rPr>
                <w:sz w:val="20"/>
                <w:szCs w:val="20"/>
                <w:color w:val="auto"/>
              </w:rPr>
            </w:pPr>
            <w:r>
              <w:rPr>
                <w:rFonts w:ascii="Arial" w:cs="Arial" w:eastAsia="Arial" w:hAnsi="Arial"/>
                <w:sz w:val="18"/>
                <w:szCs w:val="18"/>
                <w:color w:val="auto"/>
              </w:rPr>
              <w:t>Operating leases</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rPr>
              <w:t>6,523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1,417</w:t>
            </w:r>
          </w:p>
        </w:tc>
      </w:tr>
      <w:tr>
        <w:trPr>
          <w:trHeight w:val="203"/>
        </w:trPr>
        <w:tc>
          <w:tcPr>
            <w:tcW w:w="744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Finance leases</w:t>
            </w:r>
          </w:p>
        </w:tc>
        <w:tc>
          <w:tcPr>
            <w:tcW w:w="54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380" w:type="dxa"/>
            <w:vAlign w:val="bottom"/>
            <w:gridSpan w:val="3"/>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5,192</w:t>
            </w:r>
          </w:p>
        </w:tc>
        <w:tc>
          <w:tcPr>
            <w:tcW w:w="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8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9,147</w:t>
            </w:r>
          </w:p>
        </w:tc>
      </w:tr>
      <w:tr>
        <w:trPr>
          <w:trHeight w:val="41"/>
        </w:trPr>
        <w:tc>
          <w:tcPr>
            <w:tcW w:w="74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403"/>
        </w:trPr>
        <w:tc>
          <w:tcPr>
            <w:tcW w:w="744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4"/>
        </w:trPr>
        <w:tc>
          <w:tcPr>
            <w:tcW w:w="7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millions, except lease term and discount rate)</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4"/>
        </w:trPr>
        <w:tc>
          <w:tcPr>
            <w:tcW w:w="7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June 30,</w:t>
            </w:r>
          </w:p>
        </w:tc>
      </w:tr>
      <w:tr>
        <w:trPr>
          <w:trHeight w:val="186"/>
        </w:trPr>
        <w:tc>
          <w:tcPr>
            <w:tcW w:w="7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2026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2026</w:t>
            </w:r>
          </w:p>
        </w:tc>
      </w:tr>
      <w:tr>
        <w:trPr>
          <w:trHeight w:val="198"/>
        </w:trPr>
        <w:tc>
          <w:tcPr>
            <w:tcW w:w="7440" w:type="dxa"/>
            <w:vAlign w:val="bottom"/>
          </w:tcPr>
          <w:p>
            <w:pPr>
              <w:spacing w:after="0"/>
              <w:rPr>
                <w:sz w:val="20"/>
                <w:szCs w:val="20"/>
                <w:color w:val="auto"/>
              </w:rPr>
            </w:pPr>
            <w:r>
              <w:rPr>
                <w:rFonts w:ascii="Arial" w:cs="Arial" w:eastAsia="Arial" w:hAnsi="Arial"/>
                <w:sz w:val="13"/>
                <w:szCs w:val="13"/>
                <w:b w:val="1"/>
                <w:bCs w:val="1"/>
                <w:color w:val="auto"/>
              </w:rPr>
              <w:t>Operating Leases</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7440" w:type="dxa"/>
            <w:vAlign w:val="bottom"/>
            <w:shd w:val="clear" w:color="auto" w:fill="E5E5E5"/>
          </w:tcPr>
          <w:p>
            <w:pPr>
              <w:spacing w:after="0"/>
              <w:rPr>
                <w:sz w:val="20"/>
                <w:szCs w:val="20"/>
                <w:color w:val="auto"/>
              </w:rPr>
            </w:pPr>
            <w:r>
              <w:rPr>
                <w:rFonts w:ascii="Arial" w:cs="Arial" w:eastAsia="Arial" w:hAnsi="Arial"/>
                <w:sz w:val="18"/>
                <w:szCs w:val="18"/>
                <w:color w:val="auto"/>
              </w:rPr>
              <w:t>Operating lease right-of-use assets</w:t>
            </w:r>
          </w:p>
        </w:tc>
        <w:tc>
          <w:tcPr>
            <w:tcW w:w="760" w:type="dxa"/>
            <w:vAlign w:val="bottom"/>
            <w:gridSpan w:val="3"/>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3"/>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30,178</w:t>
            </w:r>
          </w:p>
        </w:tc>
        <w:tc>
          <w:tcPr>
            <w:tcW w:w="380" w:type="dxa"/>
            <w:vAlign w:val="bottom"/>
            <w:gridSpan w:val="3"/>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E5E5E5"/>
          </w:tcPr>
          <w:p>
            <w:pPr>
              <w:jc w:val="right"/>
              <w:ind w:right="100"/>
              <w:spacing w:after="0"/>
              <w:rPr>
                <w:sz w:val="20"/>
                <w:szCs w:val="20"/>
                <w:color w:val="auto"/>
              </w:rPr>
            </w:pPr>
            <w:r>
              <w:rPr>
                <w:rFonts w:ascii="Arial" w:cs="Arial" w:eastAsia="Arial" w:hAnsi="Arial"/>
                <w:sz w:val="18"/>
                <w:szCs w:val="18"/>
                <w:color w:val="auto"/>
              </w:rPr>
              <w:t>24,177</w:t>
            </w:r>
          </w:p>
        </w:tc>
      </w:tr>
      <w:tr>
        <w:trPr>
          <w:trHeight w:val="48"/>
        </w:trPr>
        <w:tc>
          <w:tcPr>
            <w:tcW w:w="7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5,758</w:t>
            </w: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5,393</w:t>
            </w:r>
          </w:p>
        </w:tc>
      </w:tr>
      <w:tr>
        <w:trPr>
          <w:trHeight w:val="203"/>
        </w:trPr>
        <w:tc>
          <w:tcPr>
            <w:tcW w:w="74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lease liabilities</w:t>
            </w:r>
          </w:p>
        </w:tc>
        <w:tc>
          <w:tcPr>
            <w:tcW w:w="54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380" w:type="dxa"/>
            <w:vAlign w:val="bottom"/>
            <w:gridSpan w:val="3"/>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21,719</w:t>
            </w:r>
          </w:p>
        </w:tc>
        <w:tc>
          <w:tcPr>
            <w:tcW w:w="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8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16,532</w:t>
            </w:r>
          </w:p>
        </w:tc>
      </w:tr>
      <w:tr>
        <w:trPr>
          <w:trHeight w:val="41"/>
        </w:trPr>
        <w:tc>
          <w:tcPr>
            <w:tcW w:w="74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7440" w:type="dxa"/>
            <w:vAlign w:val="bottom"/>
          </w:tcPr>
          <w:p>
            <w:pPr>
              <w:ind w:left="200"/>
              <w:spacing w:after="0"/>
              <w:rPr>
                <w:sz w:val="20"/>
                <w:szCs w:val="20"/>
                <w:color w:val="auto"/>
              </w:rPr>
            </w:pPr>
            <w:r>
              <w:rPr>
                <w:rFonts w:ascii="Arial" w:cs="Arial" w:eastAsia="Arial" w:hAnsi="Arial"/>
                <w:sz w:val="18"/>
                <w:szCs w:val="18"/>
                <w:color w:val="auto"/>
              </w:rPr>
              <w:t>Total operating lease liabilities</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27,477</w:t>
            </w: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21,925</w:t>
            </w:r>
          </w:p>
        </w:tc>
      </w:tr>
      <w:tr>
        <w:trPr>
          <w:trHeight w:val="221"/>
        </w:trPr>
        <w:tc>
          <w:tcPr>
            <w:tcW w:w="7440" w:type="dxa"/>
            <w:vAlign w:val="bottom"/>
          </w:tcPr>
          <w:p>
            <w:pPr>
              <w:spacing w:after="0"/>
              <w:rPr>
                <w:sz w:val="20"/>
                <w:szCs w:val="20"/>
                <w:color w:val="auto"/>
              </w:rPr>
            </w:pPr>
            <w:r>
              <w:rPr>
                <w:rFonts w:ascii="Arial" w:cs="Arial" w:eastAsia="Arial" w:hAnsi="Arial"/>
                <w:sz w:val="13"/>
                <w:szCs w:val="13"/>
                <w:b w:val="1"/>
                <w:bCs w:val="1"/>
                <w:color w:val="auto"/>
              </w:rPr>
              <w:t>Finance Leases</w:t>
            </w:r>
          </w:p>
        </w:tc>
        <w:tc>
          <w:tcPr>
            <w:tcW w:w="5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44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at cost</w:t>
            </w:r>
          </w:p>
        </w:tc>
        <w:tc>
          <w:tcPr>
            <w:tcW w:w="760" w:type="dxa"/>
            <w:vAlign w:val="bottom"/>
            <w:gridSpan w:val="3"/>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3"/>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89,779</w:t>
            </w:r>
          </w:p>
        </w:tc>
        <w:tc>
          <w:tcPr>
            <w:tcW w:w="380" w:type="dxa"/>
            <w:vAlign w:val="bottom"/>
            <w:gridSpan w:val="3"/>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E5E5E5"/>
          </w:tcPr>
          <w:p>
            <w:pPr>
              <w:jc w:val="right"/>
              <w:ind w:right="100"/>
              <w:spacing w:after="0"/>
              <w:rPr>
                <w:sz w:val="20"/>
                <w:szCs w:val="20"/>
                <w:color w:val="auto"/>
              </w:rPr>
            </w:pPr>
            <w:r>
              <w:rPr>
                <w:rFonts w:ascii="Arial" w:cs="Arial" w:eastAsia="Arial" w:hAnsi="Arial"/>
                <w:sz w:val="18"/>
                <w:szCs w:val="18"/>
                <w:color w:val="auto"/>
              </w:rPr>
              <w:t>82,712</w:t>
            </w: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(17,154)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(15,431)</w:t>
            </w:r>
          </w:p>
        </w:tc>
      </w:tr>
      <w:tr>
        <w:trPr>
          <w:trHeight w:val="34"/>
        </w:trPr>
        <w:tc>
          <w:tcPr>
            <w:tcW w:w="74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4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Property and equipment, net</w:t>
            </w:r>
          </w:p>
        </w:tc>
        <w:tc>
          <w:tcPr>
            <w:tcW w:w="760" w:type="dxa"/>
            <w:vAlign w:val="bottom"/>
            <w:gridSpan w:val="3"/>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1380" w:type="dxa"/>
            <w:vAlign w:val="bottom"/>
            <w:gridSpan w:val="3"/>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72,625</w:t>
            </w:r>
          </w:p>
        </w:tc>
        <w:tc>
          <w:tcPr>
            <w:tcW w:w="380" w:type="dxa"/>
            <w:vAlign w:val="bottom"/>
            <w:gridSpan w:val="3"/>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67,281</w:t>
            </w:r>
          </w:p>
        </w:tc>
      </w:tr>
      <w:tr>
        <w:trPr>
          <w:trHeight w:val="48"/>
        </w:trPr>
        <w:tc>
          <w:tcPr>
            <w:tcW w:w="7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5,005</w:t>
            </w: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4,290</w:t>
            </w:r>
          </w:p>
        </w:tc>
      </w:tr>
      <w:tr>
        <w:trPr>
          <w:trHeight w:val="203"/>
        </w:trPr>
        <w:tc>
          <w:tcPr>
            <w:tcW w:w="74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long-term liabilities</w:t>
            </w:r>
          </w:p>
        </w:tc>
        <w:tc>
          <w:tcPr>
            <w:tcW w:w="54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380" w:type="dxa"/>
            <w:vAlign w:val="bottom"/>
            <w:gridSpan w:val="3"/>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65,968</w:t>
            </w:r>
          </w:p>
        </w:tc>
        <w:tc>
          <w:tcPr>
            <w:tcW w:w="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8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62,304</w:t>
            </w:r>
          </w:p>
        </w:tc>
      </w:tr>
      <w:tr>
        <w:trPr>
          <w:trHeight w:val="40"/>
        </w:trPr>
        <w:tc>
          <w:tcPr>
            <w:tcW w:w="74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7440" w:type="dxa"/>
            <w:vAlign w:val="bottom"/>
          </w:tcPr>
          <w:p>
            <w:pPr>
              <w:ind w:left="200"/>
              <w:spacing w:after="0"/>
              <w:rPr>
                <w:sz w:val="20"/>
                <w:szCs w:val="20"/>
                <w:color w:val="auto"/>
              </w:rPr>
            </w:pPr>
            <w:r>
              <w:rPr>
                <w:rFonts w:ascii="Arial" w:cs="Arial" w:eastAsia="Arial" w:hAnsi="Arial"/>
                <w:sz w:val="18"/>
                <w:szCs w:val="18"/>
                <w:color w:val="auto"/>
              </w:rPr>
              <w:t>Total finance lease liabilities</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70,973</w:t>
            </w: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66,594</w:t>
            </w:r>
          </w:p>
        </w:tc>
      </w:tr>
      <w:tr>
        <w:trPr>
          <w:trHeight w:val="221"/>
        </w:trPr>
        <w:tc>
          <w:tcPr>
            <w:tcW w:w="7440" w:type="dxa"/>
            <w:vAlign w:val="bottom"/>
          </w:tcPr>
          <w:p>
            <w:pPr>
              <w:spacing w:after="0"/>
              <w:rPr>
                <w:sz w:val="20"/>
                <w:szCs w:val="20"/>
                <w:color w:val="auto"/>
              </w:rPr>
            </w:pPr>
            <w:r>
              <w:rPr>
                <w:rFonts w:ascii="Arial" w:cs="Arial" w:eastAsia="Arial" w:hAnsi="Arial"/>
                <w:sz w:val="13"/>
                <w:szCs w:val="13"/>
                <w:b w:val="1"/>
                <w:bCs w:val="1"/>
                <w:color w:val="auto"/>
              </w:rPr>
              <w:t>Weighted Average Remaining Lease Term</w:t>
            </w:r>
          </w:p>
        </w:tc>
        <w:tc>
          <w:tcPr>
            <w:tcW w:w="5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440" w:type="dxa"/>
            <w:vAlign w:val="bottom"/>
            <w:shd w:val="clear" w:color="auto" w:fill="E5E5E5"/>
          </w:tcPr>
          <w:p>
            <w:pPr>
              <w:spacing w:after="0"/>
              <w:rPr>
                <w:sz w:val="20"/>
                <w:szCs w:val="20"/>
                <w:color w:val="auto"/>
              </w:rPr>
            </w:pPr>
            <w:r>
              <w:rPr>
                <w:rFonts w:ascii="Arial" w:cs="Arial" w:eastAsia="Arial" w:hAnsi="Arial"/>
                <w:sz w:val="18"/>
                <w:szCs w:val="18"/>
                <w:color w:val="auto"/>
              </w:rPr>
              <w:t>Operating leases</w:t>
            </w:r>
          </w:p>
        </w:tc>
        <w:tc>
          <w:tcPr>
            <w:tcW w:w="5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380" w:type="dxa"/>
            <w:vAlign w:val="bottom"/>
            <w:gridSpan w:val="3"/>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8 years</w:t>
            </w:r>
          </w:p>
        </w:tc>
        <w:tc>
          <w:tcPr>
            <w:tcW w:w="8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280" w:type="dxa"/>
            <w:vAlign w:val="bottom"/>
            <w:gridSpan w:val="3"/>
            <w:shd w:val="clear" w:color="auto" w:fill="E5E5E5"/>
          </w:tcPr>
          <w:p>
            <w:pPr>
              <w:jc w:val="right"/>
              <w:ind w:right="100"/>
              <w:spacing w:after="0"/>
              <w:rPr>
                <w:sz w:val="20"/>
                <w:szCs w:val="20"/>
                <w:color w:val="auto"/>
              </w:rPr>
            </w:pPr>
            <w:r>
              <w:rPr>
                <w:rFonts w:ascii="Arial" w:cs="Arial" w:eastAsia="Arial" w:hAnsi="Arial"/>
                <w:sz w:val="18"/>
                <w:szCs w:val="18"/>
                <w:color w:val="auto"/>
              </w:rPr>
              <w:t>6 years</w:t>
            </w:r>
          </w:p>
        </w:tc>
      </w:tr>
      <w:tr>
        <w:trPr>
          <w:trHeight w:val="228"/>
        </w:trPr>
        <w:tc>
          <w:tcPr>
            <w:tcW w:w="7440" w:type="dxa"/>
            <w:vAlign w:val="bottom"/>
          </w:tcPr>
          <w:p>
            <w:pPr>
              <w:spacing w:after="0"/>
              <w:rPr>
                <w:sz w:val="20"/>
                <w:szCs w:val="20"/>
                <w:color w:val="auto"/>
              </w:rPr>
            </w:pPr>
            <w:r>
              <w:rPr>
                <w:rFonts w:ascii="Arial" w:cs="Arial" w:eastAsia="Arial" w:hAnsi="Arial"/>
                <w:sz w:val="18"/>
                <w:szCs w:val="18"/>
                <w:color w:val="auto"/>
              </w:rPr>
              <w:t>Finance leases</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13 years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13 years</w:t>
            </w:r>
          </w:p>
        </w:tc>
      </w:tr>
      <w:tr>
        <w:trPr>
          <w:trHeight w:val="195"/>
        </w:trPr>
        <w:tc>
          <w:tcPr>
            <w:tcW w:w="7440" w:type="dxa"/>
            <w:vAlign w:val="bottom"/>
          </w:tcPr>
          <w:p>
            <w:pPr>
              <w:spacing w:after="0"/>
              <w:rPr>
                <w:sz w:val="20"/>
                <w:szCs w:val="20"/>
                <w:color w:val="auto"/>
              </w:rPr>
            </w:pPr>
            <w:r>
              <w:rPr>
                <w:rFonts w:ascii="Arial" w:cs="Arial" w:eastAsia="Arial" w:hAnsi="Arial"/>
                <w:sz w:val="13"/>
                <w:szCs w:val="13"/>
                <w:b w:val="1"/>
                <w:bCs w:val="1"/>
                <w:color w:val="auto"/>
              </w:rPr>
              <w:t>Weighted Average Discount Rate</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7440" w:type="dxa"/>
            <w:vAlign w:val="bottom"/>
            <w:shd w:val="clear" w:color="auto" w:fill="E5E5E5"/>
          </w:tcPr>
          <w:p>
            <w:pPr>
              <w:spacing w:after="0"/>
              <w:rPr>
                <w:sz w:val="20"/>
                <w:szCs w:val="20"/>
                <w:color w:val="auto"/>
              </w:rPr>
            </w:pPr>
            <w:r>
              <w:rPr>
                <w:rFonts w:ascii="Arial" w:cs="Arial" w:eastAsia="Arial" w:hAnsi="Arial"/>
                <w:sz w:val="18"/>
                <w:szCs w:val="18"/>
                <w:color w:val="auto"/>
              </w:rPr>
              <w:t>Operating leases</w:t>
            </w:r>
          </w:p>
        </w:tc>
        <w:tc>
          <w:tcPr>
            <w:tcW w:w="5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380" w:type="dxa"/>
            <w:vAlign w:val="bottom"/>
            <w:gridSpan w:val="3"/>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4.1%</w:t>
            </w:r>
          </w:p>
        </w:tc>
        <w:tc>
          <w:tcPr>
            <w:tcW w:w="8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280" w:type="dxa"/>
            <w:vAlign w:val="bottom"/>
            <w:gridSpan w:val="3"/>
            <w:shd w:val="clear" w:color="auto" w:fill="E5E5E5"/>
          </w:tcPr>
          <w:p>
            <w:pPr>
              <w:jc w:val="right"/>
              <w:ind w:right="100"/>
              <w:spacing w:after="0"/>
              <w:rPr>
                <w:sz w:val="20"/>
                <w:szCs w:val="20"/>
                <w:color w:val="auto"/>
              </w:rPr>
            </w:pPr>
            <w:r>
              <w:rPr>
                <w:rFonts w:ascii="Arial" w:cs="Arial" w:eastAsia="Arial" w:hAnsi="Arial"/>
                <w:sz w:val="18"/>
                <w:szCs w:val="18"/>
                <w:color w:val="auto"/>
              </w:rPr>
              <w:t>3.7%</w:t>
            </w: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Finance leases</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4.5%</w:t>
            </w:r>
          </w:p>
        </w:tc>
      </w:tr>
      <w:tr>
        <w:trPr>
          <w:trHeight w:val="403"/>
        </w:trPr>
        <w:tc>
          <w:tcPr>
            <w:tcW w:w="7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following table outlines maturities of our lease liabilities as of September 30, 2026:</w:t>
            </w: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54"/>
        </w:trPr>
        <w:tc>
          <w:tcPr>
            <w:tcW w:w="7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millions)</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744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Operating Leases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Finance Leases</w:t>
            </w:r>
          </w:p>
        </w:tc>
      </w:tr>
      <w:tr>
        <w:trPr>
          <w:trHeight w:val="211"/>
        </w:trPr>
        <w:tc>
          <w:tcPr>
            <w:tcW w:w="7440" w:type="dxa"/>
            <w:vAlign w:val="bottom"/>
            <w:shd w:val="clear" w:color="auto" w:fill="E5E5E5"/>
          </w:tcPr>
          <w:p>
            <w:pPr>
              <w:spacing w:after="0"/>
              <w:rPr>
                <w:sz w:val="20"/>
                <w:szCs w:val="20"/>
                <w:color w:val="auto"/>
              </w:rPr>
            </w:pPr>
            <w:r>
              <w:rPr>
                <w:rFonts w:ascii="Arial" w:cs="Arial" w:eastAsia="Arial" w:hAnsi="Arial"/>
                <w:sz w:val="18"/>
                <w:szCs w:val="18"/>
                <w:color w:val="auto"/>
              </w:rPr>
              <w:t>2027 (excluding the three months ended September 30, 2026)</w:t>
            </w:r>
          </w:p>
        </w:tc>
        <w:tc>
          <w:tcPr>
            <w:tcW w:w="760" w:type="dxa"/>
            <w:vAlign w:val="bottom"/>
            <w:gridSpan w:val="3"/>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5,088</w:t>
            </w:r>
          </w:p>
        </w:tc>
        <w:tc>
          <w:tcPr>
            <w:tcW w:w="120" w:type="dxa"/>
            <w:vAlign w:val="bottom"/>
            <w:shd w:val="clear" w:color="auto" w:fill="E5E5E5"/>
          </w:tcPr>
          <w:p>
            <w:pPr>
              <w:spacing w:after="0"/>
              <w:rPr>
                <w:sz w:val="18"/>
                <w:szCs w:val="18"/>
                <w:color w:val="auto"/>
              </w:rPr>
            </w:pPr>
          </w:p>
        </w:tc>
        <w:tc>
          <w:tcPr>
            <w:tcW w:w="380" w:type="dxa"/>
            <w:vAlign w:val="bottom"/>
            <w:gridSpan w:val="3"/>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6,006</w:t>
            </w:r>
          </w:p>
        </w:tc>
        <w:tc>
          <w:tcPr>
            <w:tcW w:w="100" w:type="dxa"/>
            <w:vAlign w:val="bottom"/>
            <w:shd w:val="clear" w:color="auto" w:fill="E5E5E5"/>
          </w:tcPr>
          <w:p>
            <w:pPr>
              <w:spacing w:after="0"/>
              <w:rPr>
                <w:sz w:val="18"/>
                <w:szCs w:val="18"/>
                <w:color w:val="auto"/>
              </w:rPr>
            </w:pP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5,191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8,163</w:t>
            </w:r>
          </w:p>
        </w:tc>
        <w:tc>
          <w:tcPr>
            <w:tcW w:w="100" w:type="dxa"/>
            <w:vAlign w:val="bottom"/>
          </w:tcPr>
          <w:p>
            <w:pPr>
              <w:spacing w:after="0"/>
              <w:rPr>
                <w:sz w:val="17"/>
                <w:szCs w:val="17"/>
                <w:color w:val="auto"/>
              </w:rPr>
            </w:pPr>
          </w:p>
        </w:tc>
      </w:tr>
      <w:tr>
        <w:trPr>
          <w:trHeight w:val="203"/>
        </w:trPr>
        <w:tc>
          <w:tcPr>
            <w:tcW w:w="74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2029</w:t>
            </w:r>
          </w:p>
        </w:tc>
        <w:tc>
          <w:tcPr>
            <w:tcW w:w="54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4,010</w:t>
            </w:r>
          </w:p>
        </w:tc>
        <w:tc>
          <w:tcPr>
            <w:tcW w:w="1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7,433</w:t>
            </w:r>
          </w:p>
        </w:tc>
        <w:tc>
          <w:tcPr>
            <w:tcW w:w="100" w:type="dxa"/>
            <w:vAlign w:val="bottom"/>
            <w:shd w:val="clear" w:color="auto" w:fill="E5E5E5"/>
          </w:tcPr>
          <w:p>
            <w:pPr>
              <w:spacing w:after="0"/>
              <w:rPr>
                <w:sz w:val="17"/>
                <w:szCs w:val="17"/>
                <w:color w:val="auto"/>
              </w:rPr>
            </w:pP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2030</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3,472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7,323</w:t>
            </w:r>
          </w:p>
        </w:tc>
        <w:tc>
          <w:tcPr>
            <w:tcW w:w="100" w:type="dxa"/>
            <w:vAlign w:val="bottom"/>
          </w:tcPr>
          <w:p>
            <w:pPr>
              <w:spacing w:after="0"/>
              <w:rPr>
                <w:sz w:val="17"/>
                <w:szCs w:val="17"/>
                <w:color w:val="auto"/>
              </w:rPr>
            </w:pPr>
          </w:p>
        </w:tc>
      </w:tr>
      <w:tr>
        <w:trPr>
          <w:trHeight w:val="203"/>
        </w:trPr>
        <w:tc>
          <w:tcPr>
            <w:tcW w:w="74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2031</w:t>
            </w:r>
          </w:p>
        </w:tc>
        <w:tc>
          <w:tcPr>
            <w:tcW w:w="54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3,081</w:t>
            </w:r>
          </w:p>
        </w:tc>
        <w:tc>
          <w:tcPr>
            <w:tcW w:w="1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7,300</w:t>
            </w:r>
          </w:p>
        </w:tc>
        <w:tc>
          <w:tcPr>
            <w:tcW w:w="100" w:type="dxa"/>
            <w:vAlign w:val="bottom"/>
            <w:shd w:val="clear" w:color="auto" w:fill="E5E5E5"/>
          </w:tcPr>
          <w:p>
            <w:pPr>
              <w:spacing w:after="0"/>
              <w:rPr>
                <w:sz w:val="17"/>
                <w:szCs w:val="17"/>
                <w:color w:val="auto"/>
              </w:rPr>
            </w:pP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12,170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59,021</w:t>
            </w:r>
          </w:p>
        </w:tc>
        <w:tc>
          <w:tcPr>
            <w:tcW w:w="100" w:type="dxa"/>
            <w:vAlign w:val="bottom"/>
          </w:tcPr>
          <w:p>
            <w:pPr>
              <w:spacing w:after="0"/>
              <w:rPr>
                <w:sz w:val="21"/>
                <w:szCs w:val="21"/>
                <w:color w:val="auto"/>
              </w:rPr>
            </w:pPr>
          </w:p>
        </w:tc>
      </w:tr>
      <w:tr>
        <w:trPr>
          <w:trHeight w:val="34"/>
        </w:trPr>
        <w:tc>
          <w:tcPr>
            <w:tcW w:w="74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4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 lease payments</w:t>
            </w:r>
          </w:p>
        </w:tc>
        <w:tc>
          <w:tcPr>
            <w:tcW w:w="54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33,012</w:t>
            </w:r>
          </w:p>
        </w:tc>
        <w:tc>
          <w:tcPr>
            <w:tcW w:w="1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95,246</w:t>
            </w:r>
          </w:p>
        </w:tc>
        <w:tc>
          <w:tcPr>
            <w:tcW w:w="100" w:type="dxa"/>
            <w:vAlign w:val="bottom"/>
            <w:shd w:val="clear" w:color="auto" w:fill="E5E5E5"/>
          </w:tcPr>
          <w:p>
            <w:pPr>
              <w:spacing w:after="0"/>
              <w:rPr>
                <w:sz w:val="17"/>
                <w:szCs w:val="17"/>
                <w:color w:val="auto"/>
              </w:rPr>
            </w:pP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Less imputed interest</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(5,535)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(24,273)</w:t>
            </w:r>
          </w:p>
        </w:tc>
      </w:tr>
      <w:tr>
        <w:trPr>
          <w:trHeight w:val="34"/>
        </w:trPr>
        <w:tc>
          <w:tcPr>
            <w:tcW w:w="74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4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76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27,477</w:t>
            </w:r>
          </w:p>
        </w:tc>
        <w:tc>
          <w:tcPr>
            <w:tcW w:w="120" w:type="dxa"/>
            <w:vAlign w:val="bottom"/>
            <w:shd w:val="clear" w:color="auto" w:fill="E5E5E5"/>
          </w:tcPr>
          <w:p>
            <w:pPr>
              <w:spacing w:after="0"/>
              <w:rPr>
                <w:sz w:val="17"/>
                <w:szCs w:val="17"/>
                <w:color w:val="auto"/>
              </w:rPr>
            </w:pPr>
          </w:p>
        </w:tc>
        <w:tc>
          <w:tcPr>
            <w:tcW w:w="380" w:type="dxa"/>
            <w:vAlign w:val="bottom"/>
            <w:gridSpan w:val="3"/>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70,973</w:t>
            </w:r>
          </w:p>
        </w:tc>
        <w:tc>
          <w:tcPr>
            <w:tcW w:w="100" w:type="dxa"/>
            <w:vAlign w:val="bottom"/>
            <w:shd w:val="clear" w:color="auto" w:fill="E5E5E5"/>
          </w:tcPr>
          <w:p>
            <w:pPr>
              <w:spacing w:after="0"/>
              <w:rPr>
                <w:sz w:val="17"/>
                <w:szCs w:val="17"/>
                <w:color w:val="auto"/>
              </w:rPr>
            </w:pPr>
          </w:p>
        </w:tc>
      </w:tr>
      <w:tr>
        <w:trPr>
          <w:trHeight w:val="48"/>
        </w:trPr>
        <w:tc>
          <w:tcPr>
            <w:tcW w:w="7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September 30, 2026, we had additional leases, primarily for datacenters, that had not yet commenced of $364.6 billion, with some arrangements subject to certain contractual conditions being met. These leases will commence between fiscal year 2027 and fiscal year 2034 with lease terms of 1 year to 20 years.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2" w:name="page23"/>
    <w:bookmarkEnd w:id="22"/>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13 —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Data Protection Commission Matter</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2018, the Irish Data Protection Commission (“IDPC”) began investigating a complaint against LinkedIn as to whether LinkedIn’s targeted advertising practices violated the recently implemented European Union General Data Protection Regulation (“GDPR”). Microsoft cooperated throughout the period of inquiry. In October 2024, the IDPC provided LinkedIn with a final decision alleging GDPR violations and assessing a fine. In November 2024, LinkedIn appealed the final decision. A preliminary hearing was held in December 2025. The court issued a ruling on the standard of review, which the IDPC has appealed.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also are subject to a variety of other claims and suits that arise from time to time in the ordinary course of our business. Although management currently believes that resolving claims against us, individually or in aggregate, will not have a material adverse impact in our consolidated financial statements, these matters are subject to inherent uncertainties and management’s view of these matters may change in the future.</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September 30, 2026, we accrued aggregate legal liabilities of $582 million. While we intend to defend these matters vigorously, adverse outcomes that we estimate could reach approximately $400 million in aggregate beyond recorded amounts are reasonably possible. Were unfavorable final outcomes to occur, there exists the possibility of a material adverse impact in our consolidated financial statements for the period in which the effects become reasonably estimable.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14 — STOCKHOLDERS’ EQUITY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5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On September 16, 2024, our Board of Directors approved a share repurchase program authorizing up to $60.0 billion in share repurchases. This share repurchase program commenced in April 2025, has no expiration date, and may be terminated at any time. As of September 30, 2026, $37.7 billion remained of this $60.0 billion share repurchase program.</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the following shares of common stock under the share repurchase program:</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3220" w:type="dxa"/>
            <w:vAlign w:val="bottom"/>
          </w:tcPr>
          <w:p>
            <w:pPr>
              <w:jc w:val="right"/>
              <w:ind w:right="41"/>
              <w:spacing w:after="0"/>
              <w:rPr>
                <w:sz w:val="20"/>
                <w:szCs w:val="20"/>
                <w:color w:val="auto"/>
              </w:rPr>
            </w:pPr>
            <w:r>
              <w:rPr>
                <w:rFonts w:ascii="Arial" w:cs="Arial" w:eastAsia="Arial" w:hAnsi="Arial"/>
                <w:sz w:val="13"/>
                <w:szCs w:val="13"/>
                <w:b w:val="1"/>
                <w:bCs w:val="1"/>
                <w:color w:val="auto"/>
              </w:rPr>
              <w:t>Shares</w:t>
            </w:r>
          </w:p>
        </w:tc>
        <w:tc>
          <w:tcPr>
            <w:tcW w:w="520" w:type="dxa"/>
            <w:vAlign w:val="bottom"/>
          </w:tcPr>
          <w:p>
            <w:pPr>
              <w:spacing w:after="0"/>
              <w:rPr>
                <w:sz w:val="17"/>
                <w:szCs w:val="17"/>
                <w:color w:val="auto"/>
              </w:rPr>
            </w:pPr>
          </w:p>
        </w:tc>
        <w:tc>
          <w:tcPr>
            <w:tcW w:w="1320" w:type="dxa"/>
            <w:vAlign w:val="bottom"/>
          </w:tcPr>
          <w:p>
            <w:pPr>
              <w:jc w:val="right"/>
              <w:ind w:right="425"/>
              <w:spacing w:after="0"/>
              <w:rPr>
                <w:sz w:val="20"/>
                <w:szCs w:val="20"/>
                <w:color w:val="auto"/>
              </w:rPr>
            </w:pPr>
            <w:r>
              <w:rPr>
                <w:rFonts w:ascii="Arial" w:cs="Arial" w:eastAsia="Arial" w:hAnsi="Arial"/>
                <w:sz w:val="13"/>
                <w:szCs w:val="13"/>
                <w:b w:val="1"/>
                <w:bCs w:val="1"/>
                <w:color w:val="auto"/>
              </w:rPr>
              <w:t>Amount</w:t>
            </w:r>
          </w:p>
        </w:tc>
        <w:tc>
          <w:tcPr>
            <w:tcW w:w="1060" w:type="dxa"/>
            <w:vAlign w:val="bottom"/>
          </w:tcPr>
          <w:p>
            <w:pPr>
              <w:jc w:val="right"/>
              <w:ind w:right="41"/>
              <w:spacing w:after="0"/>
              <w:rPr>
                <w:sz w:val="20"/>
                <w:szCs w:val="20"/>
                <w:color w:val="auto"/>
              </w:rPr>
            </w:pPr>
            <w:r>
              <w:rPr>
                <w:rFonts w:ascii="Arial" w:cs="Arial" w:eastAsia="Arial" w:hAnsi="Arial"/>
                <w:sz w:val="13"/>
                <w:szCs w:val="13"/>
                <w:b w:val="1"/>
                <w:bCs w:val="1"/>
                <w:color w:val="auto"/>
              </w:rPr>
              <w:t>Shares</w:t>
            </w:r>
          </w:p>
        </w:tc>
        <w:tc>
          <w:tcPr>
            <w:tcW w:w="520" w:type="dxa"/>
            <w:vAlign w:val="bottom"/>
          </w:tcPr>
          <w:p>
            <w:pPr>
              <w:spacing w:after="0"/>
              <w:rPr>
                <w:sz w:val="17"/>
                <w:szCs w:val="17"/>
                <w:color w:val="auto"/>
              </w:rPr>
            </w:pPr>
          </w:p>
        </w:tc>
        <w:tc>
          <w:tcPr>
            <w:tcW w:w="920" w:type="dxa"/>
            <w:vAlign w:val="bottom"/>
            <w:gridSpan w:val="2"/>
          </w:tcPr>
          <w:p>
            <w:pPr>
              <w:ind w:left="300"/>
              <w:spacing w:after="0"/>
              <w:rPr>
                <w:sz w:val="20"/>
                <w:szCs w:val="20"/>
                <w:color w:val="auto"/>
              </w:rPr>
            </w:pPr>
            <w:r>
              <w:rPr>
                <w:rFonts w:ascii="Arial" w:cs="Arial" w:eastAsia="Arial" w:hAnsi="Arial"/>
                <w:sz w:val="13"/>
                <w:szCs w:val="13"/>
                <w:b w:val="1"/>
                <w:bCs w:val="1"/>
                <w:color w:val="auto"/>
              </w:rPr>
              <w:t>Amount</w:t>
            </w:r>
          </w:p>
        </w:tc>
      </w:tr>
      <w:tr>
        <w:trPr>
          <w:trHeight w:val="221"/>
        </w:trPr>
        <w:tc>
          <w:tcPr>
            <w:tcW w:w="3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Fiscal Year</w:t>
            </w:r>
          </w:p>
        </w:tc>
        <w:tc>
          <w:tcPr>
            <w:tcW w:w="3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425"/>
              <w:spacing w:after="0"/>
              <w:rPr>
                <w:sz w:val="20"/>
                <w:szCs w:val="20"/>
                <w:color w:val="auto"/>
              </w:rPr>
            </w:pPr>
            <w:r>
              <w:rPr>
                <w:rFonts w:ascii="Arial" w:cs="Arial" w:eastAsia="Arial" w:hAnsi="Arial"/>
                <w:sz w:val="13"/>
                <w:szCs w:val="13"/>
                <w:b w:val="1"/>
                <w:bCs w:val="1"/>
                <w:color w:val="auto"/>
              </w:rPr>
              <w:t>2027</w:t>
            </w:r>
          </w:p>
        </w:tc>
        <w:tc>
          <w:tcPr>
            <w:tcW w:w="10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100" w:type="dxa"/>
            <w:vAlign w:val="bottom"/>
          </w:tcPr>
          <w:p>
            <w:pPr>
              <w:spacing w:after="0"/>
              <w:rPr>
                <w:sz w:val="19"/>
                <w:szCs w:val="19"/>
                <w:color w:val="auto"/>
              </w:rPr>
            </w:pPr>
          </w:p>
        </w:tc>
      </w:tr>
      <w:tr>
        <w:trPr>
          <w:trHeight w:val="211"/>
        </w:trPr>
        <w:tc>
          <w:tcPr>
            <w:tcW w:w="3680" w:type="dxa"/>
            <w:vAlign w:val="bottom"/>
            <w:shd w:val="clear" w:color="auto" w:fill="E5E5E5"/>
          </w:tcPr>
          <w:p>
            <w:pPr>
              <w:spacing w:after="0"/>
              <w:rPr>
                <w:sz w:val="20"/>
                <w:szCs w:val="20"/>
                <w:color w:val="auto"/>
              </w:rPr>
            </w:pPr>
            <w:r>
              <w:rPr>
                <w:rFonts w:ascii="Arial" w:cs="Arial" w:eastAsia="Arial" w:hAnsi="Arial"/>
                <w:sz w:val="18"/>
                <w:szCs w:val="18"/>
                <w:color w:val="auto"/>
              </w:rPr>
              <w:t>First Quarter</w:t>
            </w:r>
          </w:p>
        </w:tc>
        <w:tc>
          <w:tcPr>
            <w:tcW w:w="3220" w:type="dxa"/>
            <w:vAlign w:val="bottom"/>
            <w:shd w:val="clear" w:color="auto" w:fill="E5E5E5"/>
          </w:tcPr>
          <w:p>
            <w:pPr>
              <w:jc w:val="right"/>
              <w:ind w:right="41"/>
              <w:spacing w:after="0"/>
              <w:rPr>
                <w:sz w:val="20"/>
                <w:szCs w:val="20"/>
                <w:color w:val="auto"/>
              </w:rPr>
            </w:pPr>
            <w:r>
              <w:rPr>
                <w:rFonts w:ascii="Arial" w:cs="Arial" w:eastAsia="Arial" w:hAnsi="Arial"/>
                <w:sz w:val="18"/>
                <w:szCs w:val="18"/>
                <w:b w:val="1"/>
                <w:bCs w:val="1"/>
                <w:color w:val="auto"/>
              </w:rPr>
              <w:t>6</w:t>
            </w:r>
          </w:p>
        </w:tc>
        <w:tc>
          <w:tcPr>
            <w:tcW w:w="520" w:type="dxa"/>
            <w:vAlign w:val="bottom"/>
            <w:shd w:val="clear" w:color="auto" w:fill="E5E5E5"/>
          </w:tcPr>
          <w:p>
            <w:pPr>
              <w:jc w:val="right"/>
              <w:ind w:right="21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E5E5E5"/>
          </w:tcPr>
          <w:p>
            <w:pPr>
              <w:jc w:val="right"/>
              <w:ind w:right="425"/>
              <w:spacing w:after="0"/>
              <w:rPr>
                <w:sz w:val="20"/>
                <w:szCs w:val="20"/>
                <w:color w:val="auto"/>
              </w:rPr>
            </w:pPr>
            <w:r>
              <w:rPr>
                <w:rFonts w:ascii="Arial" w:cs="Arial" w:eastAsia="Arial" w:hAnsi="Arial"/>
                <w:sz w:val="18"/>
                <w:szCs w:val="18"/>
                <w:b w:val="1"/>
                <w:bCs w:val="1"/>
                <w:color w:val="auto"/>
              </w:rPr>
              <w:t>2,925</w:t>
            </w:r>
          </w:p>
        </w:tc>
        <w:tc>
          <w:tcPr>
            <w:tcW w:w="1060" w:type="dxa"/>
            <w:vAlign w:val="bottom"/>
            <w:shd w:val="clear" w:color="auto" w:fill="E5E5E5"/>
          </w:tcPr>
          <w:p>
            <w:pPr>
              <w:jc w:val="right"/>
              <w:ind w:right="41"/>
              <w:spacing w:after="0"/>
              <w:rPr>
                <w:sz w:val="20"/>
                <w:szCs w:val="20"/>
                <w:color w:val="auto"/>
              </w:rPr>
            </w:pPr>
            <w:r>
              <w:rPr>
                <w:rFonts w:ascii="Arial" w:cs="Arial" w:eastAsia="Arial" w:hAnsi="Arial"/>
                <w:sz w:val="18"/>
                <w:szCs w:val="18"/>
                <w:color w:val="auto"/>
              </w:rPr>
              <w:t>8</w:t>
            </w:r>
          </w:p>
        </w:tc>
        <w:tc>
          <w:tcPr>
            <w:tcW w:w="520" w:type="dxa"/>
            <w:vAlign w:val="bottom"/>
            <w:shd w:val="clear" w:color="auto" w:fill="E5E5E5"/>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3,955</w:t>
            </w:r>
          </w:p>
        </w:tc>
      </w:tr>
      <w:tr>
        <w:trPr>
          <w:trHeight w:val="40"/>
        </w:trPr>
        <w:tc>
          <w:tcPr>
            <w:tcW w:w="368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bl>
    <w:p>
      <w:pPr>
        <w:spacing w:after="0" w:line="17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All share repurchases were made using cash resources. All shares repurchased were under the share repurchase program approved on September 16, 2024. The above table excludes shares repurchased to settle employee tax withholding related to the vesting of stock awards of $1.5 billion and $1.7 billion for the three months ended September 30, 2026 and 2025,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vMerge w:val="restart"/>
          </w:tcPr>
          <w:p>
            <w:pPr>
              <w:spacing w:after="0"/>
              <w:rPr>
                <w:sz w:val="20"/>
                <w:szCs w:val="20"/>
                <w:color w:val="auto"/>
              </w:rPr>
            </w:pPr>
            <w:r>
              <w:rPr>
                <w:rFonts w:ascii="Arial" w:cs="Arial" w:eastAsia="Arial" w:hAnsi="Arial"/>
                <w:sz w:val="13"/>
                <w:szCs w:val="13"/>
                <w:b w:val="1"/>
                <w:bCs w:val="1"/>
                <w:color w:val="auto"/>
              </w:rPr>
              <w:t>Declaration Date</w:t>
            </w:r>
          </w:p>
        </w:tc>
        <w:tc>
          <w:tcPr>
            <w:tcW w:w="2940" w:type="dxa"/>
            <w:vAlign w:val="bottom"/>
            <w:vMerge w:val="restart"/>
          </w:tcPr>
          <w:p>
            <w:pPr>
              <w:ind w:left="880"/>
              <w:spacing w:after="0"/>
              <w:rPr>
                <w:sz w:val="20"/>
                <w:szCs w:val="20"/>
                <w:color w:val="auto"/>
              </w:rPr>
            </w:pPr>
            <w:r>
              <w:rPr>
                <w:rFonts w:ascii="Arial" w:cs="Arial" w:eastAsia="Arial" w:hAnsi="Arial"/>
                <w:sz w:val="13"/>
                <w:szCs w:val="13"/>
                <w:b w:val="1"/>
                <w:bCs w:val="1"/>
                <w:color w:val="auto"/>
              </w:rPr>
              <w:t>Record Date</w:t>
            </w:r>
          </w:p>
        </w:tc>
        <w:tc>
          <w:tcPr>
            <w:tcW w:w="2460" w:type="dxa"/>
            <w:vAlign w:val="bottom"/>
            <w:vMerge w:val="restart"/>
          </w:tcPr>
          <w:p>
            <w:pPr>
              <w:ind w:left="440"/>
              <w:spacing w:after="0"/>
              <w:rPr>
                <w:sz w:val="20"/>
                <w:szCs w:val="20"/>
                <w:color w:val="auto"/>
              </w:rPr>
            </w:pPr>
            <w:r>
              <w:rPr>
                <w:rFonts w:ascii="Arial" w:cs="Arial" w:eastAsia="Arial" w:hAnsi="Arial"/>
                <w:sz w:val="13"/>
                <w:szCs w:val="13"/>
                <w:b w:val="1"/>
                <w:bCs w:val="1"/>
                <w:color w:val="auto"/>
              </w:rPr>
              <w:t>Payment Date</w:t>
            </w:r>
          </w:p>
        </w:tc>
        <w:tc>
          <w:tcPr>
            <w:tcW w:w="780" w:type="dxa"/>
            <w:vAlign w:val="bottom"/>
          </w:tcPr>
          <w:p>
            <w:pPr>
              <w:spacing w:after="0"/>
              <w:rPr>
                <w:sz w:val="12"/>
                <w:szCs w:val="12"/>
                <w:color w:val="auto"/>
              </w:rPr>
            </w:pPr>
          </w:p>
        </w:tc>
        <w:tc>
          <w:tcPr>
            <w:tcW w:w="1020" w:type="dxa"/>
            <w:vAlign w:val="bottom"/>
          </w:tcPr>
          <w:p>
            <w:pPr>
              <w:jc w:val="right"/>
              <w:ind w:right="41"/>
              <w:spacing w:after="0"/>
              <w:rPr>
                <w:sz w:val="20"/>
                <w:szCs w:val="20"/>
                <w:color w:val="auto"/>
              </w:rPr>
            </w:pPr>
            <w:r>
              <w:rPr>
                <w:rFonts w:ascii="Arial" w:cs="Arial" w:eastAsia="Arial" w:hAnsi="Arial"/>
                <w:sz w:val="13"/>
                <w:szCs w:val="13"/>
                <w:b w:val="1"/>
                <w:bCs w:val="1"/>
                <w:color w:val="auto"/>
              </w:rPr>
              <w:t>Dividend</w:t>
            </w:r>
          </w:p>
        </w:tc>
        <w:tc>
          <w:tcPr>
            <w:tcW w:w="4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560" w:type="dxa"/>
            <w:vAlign w:val="bottom"/>
            <w:tcBorders>
              <w:bottom w:val="single" w:sz="8" w:color="auto"/>
            </w:tcBorders>
            <w:vMerge w:val="continue"/>
          </w:tcPr>
          <w:p>
            <w:pPr>
              <w:spacing w:after="0"/>
              <w:rPr>
                <w:sz w:val="17"/>
                <w:szCs w:val="17"/>
                <w:color w:val="auto"/>
              </w:rPr>
            </w:pPr>
          </w:p>
        </w:tc>
        <w:tc>
          <w:tcPr>
            <w:tcW w:w="2940" w:type="dxa"/>
            <w:vAlign w:val="bottom"/>
            <w:tcBorders>
              <w:bottom w:val="single" w:sz="8" w:color="auto"/>
            </w:tcBorders>
            <w:vMerge w:val="continue"/>
          </w:tcPr>
          <w:p>
            <w:pPr>
              <w:spacing w:after="0"/>
              <w:rPr>
                <w:sz w:val="17"/>
                <w:szCs w:val="17"/>
                <w:color w:val="auto"/>
              </w:rPr>
            </w:pPr>
          </w:p>
        </w:tc>
        <w:tc>
          <w:tcPr>
            <w:tcW w:w="246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rPr>
              <w:t>Per Share</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560" w:type="dxa"/>
            <w:vAlign w:val="bottom"/>
          </w:tcPr>
          <w:p>
            <w:pPr>
              <w:spacing w:after="0"/>
              <w:rPr>
                <w:sz w:val="20"/>
                <w:szCs w:val="20"/>
                <w:color w:val="auto"/>
              </w:rPr>
            </w:pPr>
            <w:r>
              <w:rPr>
                <w:rFonts w:ascii="Arial" w:cs="Arial" w:eastAsia="Arial" w:hAnsi="Arial"/>
                <w:sz w:val="13"/>
                <w:szCs w:val="13"/>
                <w:b w:val="1"/>
                <w:bCs w:val="1"/>
                <w:color w:val="auto"/>
              </w:rPr>
              <w:t>Fiscal Year 2027</w:t>
            </w:r>
          </w:p>
        </w:tc>
        <w:tc>
          <w:tcPr>
            <w:tcW w:w="29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211"/>
        </w:trPr>
        <w:tc>
          <w:tcPr>
            <w:tcW w:w="25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September 15, 2026</w:t>
            </w:r>
          </w:p>
        </w:tc>
        <w:tc>
          <w:tcPr>
            <w:tcW w:w="2940" w:type="dxa"/>
            <w:vAlign w:val="bottom"/>
            <w:shd w:val="clear" w:color="auto" w:fill="E5E5E5"/>
          </w:tcPr>
          <w:p>
            <w:pPr>
              <w:ind w:left="880"/>
              <w:spacing w:after="0"/>
              <w:rPr>
                <w:sz w:val="20"/>
                <w:szCs w:val="20"/>
                <w:color w:val="auto"/>
              </w:rPr>
            </w:pPr>
            <w:r>
              <w:rPr>
                <w:rFonts w:ascii="Arial" w:cs="Arial" w:eastAsia="Arial" w:hAnsi="Arial"/>
                <w:sz w:val="18"/>
                <w:szCs w:val="18"/>
                <w:b w:val="1"/>
                <w:bCs w:val="1"/>
                <w:color w:val="auto"/>
              </w:rPr>
              <w:t>November 19, 2026</w:t>
            </w:r>
          </w:p>
        </w:tc>
        <w:tc>
          <w:tcPr>
            <w:tcW w:w="2460" w:type="dxa"/>
            <w:vAlign w:val="bottom"/>
            <w:shd w:val="clear" w:color="auto" w:fill="E5E5E5"/>
          </w:tcPr>
          <w:p>
            <w:pPr>
              <w:ind w:left="440"/>
              <w:spacing w:after="0"/>
              <w:rPr>
                <w:sz w:val="20"/>
                <w:szCs w:val="20"/>
                <w:color w:val="auto"/>
              </w:rPr>
            </w:pPr>
            <w:r>
              <w:rPr>
                <w:rFonts w:ascii="Arial" w:cs="Arial" w:eastAsia="Arial" w:hAnsi="Arial"/>
                <w:sz w:val="18"/>
                <w:szCs w:val="18"/>
                <w:b w:val="1"/>
                <w:bCs w:val="1"/>
                <w:color w:val="auto"/>
              </w:rPr>
              <w:t>December 10, 2026</w:t>
            </w:r>
          </w:p>
        </w:tc>
        <w:tc>
          <w:tcPr>
            <w:tcW w:w="780" w:type="dxa"/>
            <w:vAlign w:val="bottom"/>
            <w:shd w:val="clear" w:color="auto" w:fill="E5E5E5"/>
          </w:tcPr>
          <w:p>
            <w:pPr>
              <w:jc w:val="right"/>
              <w:ind w:right="17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5E5E5"/>
          </w:tcPr>
          <w:p>
            <w:pPr>
              <w:jc w:val="right"/>
              <w:ind w:right="41"/>
              <w:spacing w:after="0"/>
              <w:rPr>
                <w:sz w:val="20"/>
                <w:szCs w:val="20"/>
                <w:color w:val="auto"/>
              </w:rPr>
            </w:pPr>
            <w:r>
              <w:rPr>
                <w:rFonts w:ascii="Arial" w:cs="Arial" w:eastAsia="Arial" w:hAnsi="Arial"/>
                <w:sz w:val="18"/>
                <w:szCs w:val="18"/>
                <w:b w:val="1"/>
                <w:bCs w:val="1"/>
                <w:color w:val="auto"/>
              </w:rPr>
              <w:t>0.98</w:t>
            </w:r>
          </w:p>
        </w:tc>
        <w:tc>
          <w:tcPr>
            <w:tcW w:w="40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7,279</w:t>
            </w:r>
          </w:p>
        </w:tc>
        <w:tc>
          <w:tcPr>
            <w:tcW w:w="0" w:type="dxa"/>
            <w:vAlign w:val="bottom"/>
          </w:tcPr>
          <w:p>
            <w:pPr>
              <w:spacing w:after="0"/>
              <w:rPr>
                <w:sz w:val="1"/>
                <w:szCs w:val="1"/>
                <w:color w:val="auto"/>
              </w:rPr>
            </w:pPr>
          </w:p>
        </w:tc>
      </w:tr>
      <w:tr>
        <w:trPr>
          <w:trHeight w:val="221"/>
        </w:trPr>
        <w:tc>
          <w:tcPr>
            <w:tcW w:w="2560" w:type="dxa"/>
            <w:vAlign w:val="bottom"/>
          </w:tcPr>
          <w:p>
            <w:pPr>
              <w:spacing w:after="0"/>
              <w:rPr>
                <w:sz w:val="20"/>
                <w:szCs w:val="20"/>
                <w:color w:val="auto"/>
              </w:rPr>
            </w:pPr>
            <w:r>
              <w:rPr>
                <w:rFonts w:ascii="Arial" w:cs="Arial" w:eastAsia="Arial" w:hAnsi="Arial"/>
                <w:sz w:val="13"/>
                <w:szCs w:val="13"/>
                <w:b w:val="1"/>
                <w:bCs w:val="1"/>
                <w:color w:val="auto"/>
              </w:rPr>
              <w:t>Fiscal Year 2026</w:t>
            </w:r>
          </w:p>
        </w:tc>
        <w:tc>
          <w:tcPr>
            <w:tcW w:w="29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560" w:type="dxa"/>
            <w:vAlign w:val="bottom"/>
            <w:shd w:val="clear" w:color="auto" w:fill="E5E5E5"/>
          </w:tcPr>
          <w:p>
            <w:pPr>
              <w:spacing w:after="0"/>
              <w:rPr>
                <w:sz w:val="20"/>
                <w:szCs w:val="20"/>
                <w:color w:val="auto"/>
              </w:rPr>
            </w:pPr>
            <w:r>
              <w:rPr>
                <w:rFonts w:ascii="Arial" w:cs="Arial" w:eastAsia="Arial" w:hAnsi="Arial"/>
                <w:sz w:val="18"/>
                <w:szCs w:val="18"/>
                <w:color w:val="auto"/>
              </w:rPr>
              <w:t>September 15, 2025</w:t>
            </w:r>
          </w:p>
        </w:tc>
        <w:tc>
          <w:tcPr>
            <w:tcW w:w="2940" w:type="dxa"/>
            <w:vAlign w:val="bottom"/>
            <w:shd w:val="clear" w:color="auto" w:fill="E5E5E5"/>
          </w:tcPr>
          <w:p>
            <w:pPr>
              <w:ind w:left="880"/>
              <w:spacing w:after="0"/>
              <w:rPr>
                <w:sz w:val="20"/>
                <w:szCs w:val="20"/>
                <w:color w:val="auto"/>
              </w:rPr>
            </w:pPr>
            <w:r>
              <w:rPr>
                <w:rFonts w:ascii="Arial" w:cs="Arial" w:eastAsia="Arial" w:hAnsi="Arial"/>
                <w:sz w:val="18"/>
                <w:szCs w:val="18"/>
                <w:color w:val="auto"/>
              </w:rPr>
              <w:t>November 20, 2025</w:t>
            </w:r>
          </w:p>
        </w:tc>
        <w:tc>
          <w:tcPr>
            <w:tcW w:w="24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December 11, 2025</w:t>
            </w:r>
          </w:p>
        </w:tc>
        <w:tc>
          <w:tcPr>
            <w:tcW w:w="780" w:type="dxa"/>
            <w:vAlign w:val="bottom"/>
            <w:shd w:val="clear" w:color="auto" w:fill="E5E5E5"/>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41"/>
              <w:spacing w:after="0"/>
              <w:rPr>
                <w:sz w:val="20"/>
                <w:szCs w:val="20"/>
                <w:color w:val="auto"/>
              </w:rPr>
            </w:pPr>
            <w:r>
              <w:rPr>
                <w:rFonts w:ascii="Arial" w:cs="Arial" w:eastAsia="Arial" w:hAnsi="Arial"/>
                <w:sz w:val="18"/>
                <w:szCs w:val="18"/>
                <w:color w:val="auto"/>
              </w:rPr>
              <w:t>0.91</w:t>
            </w:r>
          </w:p>
        </w:tc>
        <w:tc>
          <w:tcPr>
            <w:tcW w:w="40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6,762</w:t>
            </w:r>
          </w:p>
        </w:tc>
        <w:tc>
          <w:tcPr>
            <w:tcW w:w="0" w:type="dxa"/>
            <w:vAlign w:val="bottom"/>
          </w:tcPr>
          <w:p>
            <w:pPr>
              <w:spacing w:after="0"/>
              <w:rPr>
                <w:sz w:val="1"/>
                <w:szCs w:val="1"/>
                <w:color w:val="auto"/>
              </w:rPr>
            </w:pPr>
          </w:p>
        </w:tc>
      </w:tr>
      <w:tr>
        <w:trPr>
          <w:trHeight w:val="41"/>
        </w:trPr>
        <w:tc>
          <w:tcPr>
            <w:tcW w:w="256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dividend declared on September 15, 2026 was included in other current liabilities as of September 30, 2026.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3" w:name="page24"/>
    <w:bookmarkEnd w:id="23"/>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ind w:left="2560"/>
        <w:spacing w:after="0"/>
        <w:rPr>
          <w:sz w:val="20"/>
          <w:szCs w:val="20"/>
          <w:color w:val="auto"/>
        </w:rPr>
      </w:pPr>
      <w:r>
        <w:rPr>
          <w:rFonts w:ascii="Arial" w:cs="Arial" w:eastAsia="Arial" w:hAnsi="Arial"/>
          <w:sz w:val="18"/>
          <w:szCs w:val="18"/>
          <w:u w:val="single" w:color="auto"/>
          <w:color w:val="auto"/>
        </w:rPr>
        <w:t>NOTE 15 —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income (loss) by component:</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377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5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2026</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2025</w:t>
            </w:r>
          </w:p>
        </w:tc>
      </w:tr>
      <w:tr>
        <w:trPr>
          <w:trHeight w:val="198"/>
        </w:trPr>
        <w:tc>
          <w:tcPr>
            <w:tcW w:w="7780" w:type="dxa"/>
            <w:vAlign w:val="bottom"/>
          </w:tcPr>
          <w:p>
            <w:pPr>
              <w:spacing w:after="0"/>
              <w:rPr>
                <w:sz w:val="20"/>
                <w:szCs w:val="20"/>
                <w:color w:val="auto"/>
              </w:rPr>
            </w:pPr>
            <w:r>
              <w:rPr>
                <w:rFonts w:ascii="Arial" w:cs="Arial" w:eastAsia="Arial" w:hAnsi="Arial"/>
                <w:sz w:val="13"/>
                <w:szCs w:val="13"/>
                <w:b w:val="1"/>
                <w:bCs w:val="1"/>
                <w:color w:val="auto"/>
              </w:rPr>
              <w:t>Derivatives</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1"/>
        </w:trPr>
        <w:tc>
          <w:tcPr>
            <w:tcW w:w="7780" w:type="dxa"/>
            <w:vAlign w:val="bottom"/>
            <w:shd w:val="clear" w:color="auto" w:fill="E5E5E5"/>
          </w:tcPr>
          <w:p>
            <w:pPr>
              <w:spacing w:after="0"/>
              <w:rPr>
                <w:sz w:val="20"/>
                <w:szCs w:val="20"/>
                <w:color w:val="auto"/>
              </w:rPr>
            </w:pPr>
            <w:r>
              <w:rPr>
                <w:rFonts w:ascii="Arial" w:cs="Arial" w:eastAsia="Arial" w:hAnsi="Arial"/>
                <w:sz w:val="18"/>
                <w:szCs w:val="18"/>
                <w:color w:val="auto"/>
              </w:rPr>
              <w:t>Balance, beginning of period</w:t>
            </w:r>
          </w:p>
        </w:tc>
        <w:tc>
          <w:tcPr>
            <w:tcW w:w="580" w:type="dxa"/>
            <w:vAlign w:val="bottom"/>
            <w:shd w:val="clear" w:color="auto" w:fill="E5E5E5"/>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0</w:t>
            </w:r>
          </w:p>
        </w:tc>
        <w:tc>
          <w:tcPr>
            <w:tcW w:w="640" w:type="dxa"/>
            <w:vAlign w:val="bottom"/>
            <w:gridSpan w:val="2"/>
            <w:shd w:val="clear" w:color="auto" w:fill="E5E5E5"/>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(8)</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 xml:space="preserve">Unrealized losses, net of tax of </w:t>
            </w:r>
            <w:r>
              <w:rPr>
                <w:rFonts w:ascii="Arial" w:cs="Arial" w:eastAsia="Arial" w:hAnsi="Arial"/>
                <w:sz w:val="18"/>
                <w:szCs w:val="18"/>
                <w:b w:val="1"/>
                <w:bCs w:val="1"/>
                <w:color w:val="auto"/>
              </w:rPr>
              <w:t>$(3)</w:t>
            </w:r>
            <w:r>
              <w:rPr>
                <w:rFonts w:ascii="Arial" w:cs="Arial" w:eastAsia="Arial" w:hAnsi="Arial"/>
                <w:sz w:val="18"/>
                <w:szCs w:val="18"/>
                <w:color w:val="auto"/>
              </w:rPr>
              <w:t xml:space="preserve"> and $(2)</w:t>
            </w:r>
          </w:p>
        </w:tc>
        <w:tc>
          <w:tcPr>
            <w:tcW w:w="58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w:t>
            </w: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Reclassification adjustments for losses included in other income (expense), net</w:t>
            </w:r>
          </w:p>
        </w:tc>
        <w:tc>
          <w:tcPr>
            <w:tcW w:w="58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16</w:t>
            </w:r>
          </w:p>
        </w:tc>
        <w:tc>
          <w:tcPr>
            <w:tcW w:w="8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5</w:t>
            </w:r>
          </w:p>
        </w:tc>
      </w:tr>
      <w:tr>
        <w:trPr>
          <w:trHeight w:val="243"/>
        </w:trPr>
        <w:tc>
          <w:tcPr>
            <w:tcW w:w="7780" w:type="dxa"/>
            <w:vAlign w:val="bottom"/>
          </w:tcPr>
          <w:p>
            <w:pPr>
              <w:spacing w:after="0"/>
              <w:rPr>
                <w:sz w:val="20"/>
                <w:szCs w:val="20"/>
                <w:color w:val="auto"/>
              </w:rPr>
            </w:pPr>
            <w:r>
              <w:rPr>
                <w:rFonts w:ascii="Arial" w:cs="Arial" w:eastAsia="Arial" w:hAnsi="Arial"/>
                <w:sz w:val="18"/>
                <w:szCs w:val="18"/>
                <w:color w:val="auto"/>
              </w:rPr>
              <w:t>Tax benefit included in provision for income taxes</w:t>
            </w:r>
          </w:p>
        </w:tc>
        <w:tc>
          <w:tcPr>
            <w:tcW w:w="5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34"/>
        </w:trPr>
        <w:tc>
          <w:tcPr>
            <w:tcW w:w="778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778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Amounts reclassified from accumulated other comprehensive loss</w:t>
            </w:r>
          </w:p>
        </w:tc>
        <w:tc>
          <w:tcPr>
            <w:tcW w:w="58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13</w:t>
            </w:r>
          </w:p>
        </w:tc>
        <w:tc>
          <w:tcPr>
            <w:tcW w:w="8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4</w:t>
            </w:r>
          </w:p>
        </w:tc>
      </w:tr>
      <w:tr>
        <w:trPr>
          <w:trHeight w:val="40"/>
        </w:trPr>
        <w:tc>
          <w:tcPr>
            <w:tcW w:w="77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71"/>
        </w:trPr>
        <w:tc>
          <w:tcPr>
            <w:tcW w:w="7780" w:type="dxa"/>
            <w:vAlign w:val="bottom"/>
          </w:tcPr>
          <w:p>
            <w:pPr>
              <w:spacing w:after="0"/>
              <w:rPr>
                <w:sz w:val="20"/>
                <w:szCs w:val="20"/>
                <w:color w:val="auto"/>
              </w:rPr>
            </w:pPr>
            <w:r>
              <w:rPr>
                <w:rFonts w:ascii="Arial" w:cs="Arial" w:eastAsia="Arial" w:hAnsi="Arial"/>
                <w:sz w:val="18"/>
                <w:szCs w:val="18"/>
                <w:color w:val="auto"/>
              </w:rPr>
              <w:t xml:space="preserve">Net change related to derivatives, net of tax of </w:t>
            </w:r>
            <w:r>
              <w:rPr>
                <w:rFonts w:ascii="Arial" w:cs="Arial" w:eastAsia="Arial" w:hAnsi="Arial"/>
                <w:sz w:val="18"/>
                <w:szCs w:val="18"/>
                <w:b w:val="1"/>
                <w:bCs w:val="1"/>
                <w:color w:val="auto"/>
              </w:rPr>
              <w:t>$0</w:t>
            </w:r>
            <w:r>
              <w:rPr>
                <w:rFonts w:ascii="Arial" w:cs="Arial" w:eastAsia="Arial" w:hAnsi="Arial"/>
                <w:sz w:val="18"/>
                <w:szCs w:val="18"/>
                <w:color w:val="auto"/>
              </w:rPr>
              <w:t xml:space="preserve"> and $(1)</w:t>
            </w:r>
          </w:p>
        </w:tc>
        <w:tc>
          <w:tcPr>
            <w:tcW w:w="580" w:type="dxa"/>
            <w:vAlign w:val="bottom"/>
          </w:tcPr>
          <w:p>
            <w:pPr>
              <w:spacing w:after="0"/>
              <w:rPr>
                <w:sz w:val="23"/>
                <w:szCs w:val="2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40"/>
        </w:trPr>
        <w:tc>
          <w:tcPr>
            <w:tcW w:w="778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end of period</w:t>
            </w:r>
          </w:p>
        </w:tc>
        <w:tc>
          <w:tcPr>
            <w:tcW w:w="580" w:type="dxa"/>
            <w:vAlign w:val="bottom"/>
            <w:shd w:val="clear" w:color="auto" w:fill="E5E5E5"/>
          </w:tcPr>
          <w:p>
            <w:pPr>
              <w:jc w:val="right"/>
              <w:ind w:right="390"/>
              <w:spacing w:after="0" w:line="202"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3</w:t>
            </w:r>
          </w:p>
        </w:tc>
        <w:tc>
          <w:tcPr>
            <w:tcW w:w="640" w:type="dxa"/>
            <w:vAlign w:val="bottom"/>
            <w:gridSpan w:val="2"/>
            <w:shd w:val="clear" w:color="auto" w:fill="E5E5E5"/>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(11)</w:t>
            </w:r>
          </w:p>
        </w:tc>
      </w:tr>
      <w:tr>
        <w:trPr>
          <w:trHeight w:val="41"/>
        </w:trPr>
        <w:tc>
          <w:tcPr>
            <w:tcW w:w="77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14"/>
        </w:trPr>
        <w:tc>
          <w:tcPr>
            <w:tcW w:w="7780" w:type="dxa"/>
            <w:vAlign w:val="bottom"/>
          </w:tcPr>
          <w:p>
            <w:pPr>
              <w:spacing w:after="0"/>
              <w:rPr>
                <w:sz w:val="20"/>
                <w:szCs w:val="20"/>
                <w:color w:val="auto"/>
              </w:rPr>
            </w:pPr>
            <w:r>
              <w:rPr>
                <w:rFonts w:ascii="Arial" w:cs="Arial" w:eastAsia="Arial" w:hAnsi="Arial"/>
                <w:sz w:val="13"/>
                <w:szCs w:val="13"/>
                <w:b w:val="1"/>
                <w:bCs w:val="1"/>
                <w:color w:val="auto"/>
              </w:rPr>
              <w:t>Investments</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1"/>
        </w:trPr>
        <w:tc>
          <w:tcPr>
            <w:tcW w:w="7780" w:type="dxa"/>
            <w:vAlign w:val="bottom"/>
            <w:shd w:val="clear" w:color="auto" w:fill="E5E5E5"/>
          </w:tcPr>
          <w:p>
            <w:pPr>
              <w:spacing w:after="0"/>
              <w:rPr>
                <w:sz w:val="20"/>
                <w:szCs w:val="20"/>
                <w:color w:val="auto"/>
              </w:rPr>
            </w:pPr>
            <w:r>
              <w:rPr>
                <w:rFonts w:ascii="Arial" w:cs="Arial" w:eastAsia="Arial" w:hAnsi="Arial"/>
                <w:sz w:val="18"/>
                <w:szCs w:val="18"/>
                <w:color w:val="auto"/>
              </w:rPr>
              <w:t>Balance, beginning of period</w:t>
            </w:r>
          </w:p>
        </w:tc>
        <w:tc>
          <w:tcPr>
            <w:tcW w:w="580" w:type="dxa"/>
            <w:vAlign w:val="bottom"/>
            <w:shd w:val="clear" w:color="auto" w:fill="E5E5E5"/>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(836)</w:t>
            </w:r>
          </w:p>
        </w:tc>
        <w:tc>
          <w:tcPr>
            <w:tcW w:w="640" w:type="dxa"/>
            <w:vAlign w:val="bottom"/>
            <w:gridSpan w:val="2"/>
            <w:shd w:val="clear" w:color="auto" w:fill="E5E5E5"/>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(1,051)</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$(157)</w:t>
            </w:r>
            <w:r>
              <w:rPr>
                <w:rFonts w:ascii="Arial" w:cs="Arial" w:eastAsia="Arial" w:hAnsi="Arial"/>
                <w:sz w:val="18"/>
                <w:szCs w:val="18"/>
                <w:color w:val="auto"/>
              </w:rPr>
              <w:t xml:space="preserve"> and $185</w:t>
            </w:r>
          </w:p>
        </w:tc>
        <w:tc>
          <w:tcPr>
            <w:tcW w:w="58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(591)</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695</w:t>
            </w: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Reclassification adjustments for (gains) losses included in other income (expense), net</w:t>
            </w:r>
          </w:p>
        </w:tc>
        <w:tc>
          <w:tcPr>
            <w:tcW w:w="58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41</w:t>
            </w:r>
          </w:p>
        </w:tc>
        <w:tc>
          <w:tcPr>
            <w:tcW w:w="8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(10)</w:t>
            </w:r>
          </w:p>
        </w:tc>
      </w:tr>
      <w:tr>
        <w:trPr>
          <w:trHeight w:val="243"/>
        </w:trPr>
        <w:tc>
          <w:tcPr>
            <w:tcW w:w="7780" w:type="dxa"/>
            <w:vAlign w:val="bottom"/>
          </w:tcPr>
          <w:p>
            <w:pPr>
              <w:spacing w:after="0"/>
              <w:rPr>
                <w:sz w:val="20"/>
                <w:szCs w:val="20"/>
                <w:color w:val="auto"/>
              </w:rPr>
            </w:pPr>
            <w:r>
              <w:rPr>
                <w:rFonts w:ascii="Arial" w:cs="Arial" w:eastAsia="Arial" w:hAnsi="Arial"/>
                <w:sz w:val="18"/>
                <w:szCs w:val="18"/>
                <w:color w:val="auto"/>
              </w:rPr>
              <w:t>Tax expense (benefit) included in provision for income taxes</w:t>
            </w:r>
          </w:p>
        </w:tc>
        <w:tc>
          <w:tcPr>
            <w:tcW w:w="5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r>
      <w:tr>
        <w:trPr>
          <w:trHeight w:val="34"/>
        </w:trPr>
        <w:tc>
          <w:tcPr>
            <w:tcW w:w="778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778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Amounts reclassified from accumulated other comprehensive loss</w:t>
            </w:r>
          </w:p>
        </w:tc>
        <w:tc>
          <w:tcPr>
            <w:tcW w:w="58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32</w:t>
            </w:r>
          </w:p>
        </w:tc>
        <w:tc>
          <w:tcPr>
            <w:tcW w:w="8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(8)</w:t>
            </w:r>
          </w:p>
        </w:tc>
      </w:tr>
      <w:tr>
        <w:trPr>
          <w:trHeight w:val="40"/>
        </w:trPr>
        <w:tc>
          <w:tcPr>
            <w:tcW w:w="77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71"/>
        </w:trPr>
        <w:tc>
          <w:tcPr>
            <w:tcW w:w="7780" w:type="dxa"/>
            <w:vAlign w:val="bottom"/>
          </w:tcPr>
          <w:p>
            <w:pPr>
              <w:spacing w:after="0"/>
              <w:rPr>
                <w:sz w:val="20"/>
                <w:szCs w:val="20"/>
                <w:color w:val="auto"/>
              </w:rPr>
            </w:pPr>
            <w:r>
              <w:rPr>
                <w:rFonts w:ascii="Arial" w:cs="Arial" w:eastAsia="Arial" w:hAnsi="Arial"/>
                <w:sz w:val="18"/>
                <w:szCs w:val="18"/>
                <w:color w:val="auto"/>
              </w:rPr>
              <w:t xml:space="preserve">Net change related to investments, net of tax of </w:t>
            </w:r>
            <w:r>
              <w:rPr>
                <w:rFonts w:ascii="Arial" w:cs="Arial" w:eastAsia="Arial" w:hAnsi="Arial"/>
                <w:sz w:val="18"/>
                <w:szCs w:val="18"/>
                <w:b w:val="1"/>
                <w:bCs w:val="1"/>
                <w:color w:val="auto"/>
              </w:rPr>
              <w:t>$(148)</w:t>
            </w:r>
            <w:r>
              <w:rPr>
                <w:rFonts w:ascii="Arial" w:cs="Arial" w:eastAsia="Arial" w:hAnsi="Arial"/>
                <w:sz w:val="18"/>
                <w:szCs w:val="18"/>
                <w:color w:val="auto"/>
              </w:rPr>
              <w:t xml:space="preserve"> and $183</w:t>
            </w:r>
          </w:p>
        </w:tc>
        <w:tc>
          <w:tcPr>
            <w:tcW w:w="58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(559)</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687</w:t>
            </w:r>
          </w:p>
        </w:tc>
      </w:tr>
      <w:tr>
        <w:trPr>
          <w:trHeight w:val="41"/>
        </w:trPr>
        <w:tc>
          <w:tcPr>
            <w:tcW w:w="778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end of period</w:t>
            </w:r>
          </w:p>
        </w:tc>
        <w:tc>
          <w:tcPr>
            <w:tcW w:w="580" w:type="dxa"/>
            <w:vAlign w:val="bottom"/>
            <w:shd w:val="clear" w:color="auto" w:fill="E5E5E5"/>
          </w:tcPr>
          <w:p>
            <w:pPr>
              <w:jc w:val="right"/>
              <w:ind w:right="390"/>
              <w:spacing w:after="0" w:line="202"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(1,395)</w:t>
            </w:r>
          </w:p>
        </w:tc>
        <w:tc>
          <w:tcPr>
            <w:tcW w:w="640" w:type="dxa"/>
            <w:vAlign w:val="bottom"/>
            <w:gridSpan w:val="2"/>
            <w:shd w:val="clear" w:color="auto" w:fill="E5E5E5"/>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(364)</w:t>
            </w:r>
          </w:p>
        </w:tc>
      </w:tr>
      <w:tr>
        <w:trPr>
          <w:trHeight w:val="40"/>
        </w:trPr>
        <w:tc>
          <w:tcPr>
            <w:tcW w:w="77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14"/>
        </w:trPr>
        <w:tc>
          <w:tcPr>
            <w:tcW w:w="7780" w:type="dxa"/>
            <w:vAlign w:val="bottom"/>
          </w:tcPr>
          <w:p>
            <w:pPr>
              <w:spacing w:after="0"/>
              <w:rPr>
                <w:sz w:val="20"/>
                <w:szCs w:val="20"/>
                <w:color w:val="auto"/>
              </w:rPr>
            </w:pPr>
            <w:r>
              <w:rPr>
                <w:rFonts w:ascii="Arial" w:cs="Arial" w:eastAsia="Arial" w:hAnsi="Arial"/>
                <w:sz w:val="13"/>
                <w:szCs w:val="13"/>
                <w:b w:val="1"/>
                <w:bCs w:val="1"/>
                <w:color w:val="auto"/>
              </w:rPr>
              <w:t>Translation Adjustments and Other</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1"/>
        </w:trPr>
        <w:tc>
          <w:tcPr>
            <w:tcW w:w="7780" w:type="dxa"/>
            <w:vAlign w:val="bottom"/>
            <w:shd w:val="clear" w:color="auto" w:fill="E5E5E5"/>
          </w:tcPr>
          <w:p>
            <w:pPr>
              <w:spacing w:after="0"/>
              <w:rPr>
                <w:sz w:val="20"/>
                <w:szCs w:val="20"/>
                <w:color w:val="auto"/>
              </w:rPr>
            </w:pPr>
            <w:r>
              <w:rPr>
                <w:rFonts w:ascii="Arial" w:cs="Arial" w:eastAsia="Arial" w:hAnsi="Arial"/>
                <w:sz w:val="18"/>
                <w:szCs w:val="18"/>
                <w:color w:val="auto"/>
              </w:rPr>
              <w:t>Balance, beginning of period</w:t>
            </w:r>
          </w:p>
        </w:tc>
        <w:tc>
          <w:tcPr>
            <w:tcW w:w="580" w:type="dxa"/>
            <w:vAlign w:val="bottom"/>
            <w:shd w:val="clear" w:color="auto" w:fill="E5E5E5"/>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(2,448)</w:t>
            </w:r>
          </w:p>
        </w:tc>
        <w:tc>
          <w:tcPr>
            <w:tcW w:w="640" w:type="dxa"/>
            <w:vAlign w:val="bottom"/>
            <w:gridSpan w:val="2"/>
            <w:shd w:val="clear" w:color="auto" w:fill="E5E5E5"/>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(2,288)</w:t>
            </w:r>
          </w:p>
        </w:tc>
      </w:tr>
      <w:tr>
        <w:trPr>
          <w:trHeight w:val="243"/>
        </w:trPr>
        <w:tc>
          <w:tcPr>
            <w:tcW w:w="7780" w:type="dxa"/>
            <w:vAlign w:val="bottom"/>
          </w:tcPr>
          <w:p>
            <w:pPr>
              <w:spacing w:after="0"/>
              <w:rPr>
                <w:sz w:val="20"/>
                <w:szCs w:val="20"/>
                <w:color w:val="auto"/>
              </w:rPr>
            </w:pPr>
            <w:r>
              <w:rPr>
                <w:rFonts w:ascii="Arial" w:cs="Arial" w:eastAsia="Arial" w:hAnsi="Arial"/>
                <w:sz w:val="18"/>
                <w:szCs w:val="18"/>
                <w:color w:val="auto"/>
              </w:rPr>
              <w:t xml:space="preserve">Translation adjustments and other, net of tax of </w:t>
            </w:r>
            <w:r>
              <w:rPr>
                <w:rFonts w:ascii="Arial" w:cs="Arial" w:eastAsia="Arial" w:hAnsi="Arial"/>
                <w:sz w:val="18"/>
                <w:szCs w:val="18"/>
                <w:b w:val="1"/>
                <w:bCs w:val="1"/>
                <w:color w:val="auto"/>
              </w:rPr>
              <w:t>$0</w:t>
            </w:r>
            <w:r>
              <w:rPr>
                <w:rFonts w:ascii="Arial" w:cs="Arial" w:eastAsia="Arial" w:hAnsi="Arial"/>
                <w:sz w:val="18"/>
                <w:szCs w:val="18"/>
                <w:color w:val="auto"/>
              </w:rPr>
              <w:t xml:space="preserve"> and $0</w:t>
            </w:r>
          </w:p>
        </w:tc>
        <w:tc>
          <w:tcPr>
            <w:tcW w:w="5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r>
      <w:tr>
        <w:trPr>
          <w:trHeight w:val="34"/>
        </w:trPr>
        <w:tc>
          <w:tcPr>
            <w:tcW w:w="778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end of period</w:t>
            </w:r>
          </w:p>
        </w:tc>
        <w:tc>
          <w:tcPr>
            <w:tcW w:w="580" w:type="dxa"/>
            <w:vAlign w:val="bottom"/>
            <w:shd w:val="clear" w:color="auto" w:fill="E5E5E5"/>
          </w:tcPr>
          <w:p>
            <w:pPr>
              <w:jc w:val="right"/>
              <w:ind w:right="390"/>
              <w:spacing w:after="0" w:line="202"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(2,465)</w:t>
            </w:r>
          </w:p>
        </w:tc>
        <w:tc>
          <w:tcPr>
            <w:tcW w:w="640" w:type="dxa"/>
            <w:vAlign w:val="bottom"/>
            <w:gridSpan w:val="2"/>
            <w:shd w:val="clear" w:color="auto" w:fill="E5E5E5"/>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(2,386)</w:t>
            </w:r>
          </w:p>
        </w:tc>
      </w:tr>
      <w:tr>
        <w:trPr>
          <w:trHeight w:val="40"/>
        </w:trPr>
        <w:tc>
          <w:tcPr>
            <w:tcW w:w="77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Accumulated other comprehensive loss, end of period</w:t>
            </w:r>
          </w:p>
        </w:tc>
        <w:tc>
          <w:tcPr>
            <w:tcW w:w="580" w:type="dxa"/>
            <w:vAlign w:val="bottom"/>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(3,857)</w:t>
            </w:r>
          </w:p>
        </w:tc>
        <w:tc>
          <w:tcPr>
            <w:tcW w:w="6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(2,761)</w:t>
            </w:r>
          </w:p>
        </w:tc>
      </w:tr>
      <w:tr>
        <w:trPr>
          <w:trHeight w:val="35"/>
        </w:trPr>
        <w:tc>
          <w:tcPr>
            <w:tcW w:w="7780" w:type="dxa"/>
            <w:vAlign w:val="bottom"/>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16 — SEGMENT INFORMATION AND GEOGRAPHIC DATA</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September 2026, we announced changes in our segment reporting structure. We have recast certain prior period amounts to conform to the way we internally manage and monitor our business. Refer to Note 1 – Accounting Policies for further information.</w:t>
      </w:r>
    </w:p>
    <w:p>
      <w:pPr>
        <w:spacing w:after="0" w:line="10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its operation of the business, management, including our CODM, who is also our Chief Executive Officer, reviews certain financial information, including segmented internal profit and loss statements. The primary profitability measure used by the CODM to review segment operating results is operating income. The CODM uses operating income to allocate resources during our annual planning process and throughout the year, as well as to assess the performance of our segments, primarily by monitoring actual results compared to prior periods and expected results. During the periods presented, we reported our financial performance based on the following two segments: Agents and Infra, and Devices and Consumer.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4" w:name="page25"/>
    <w:bookmarkEnd w:id="24"/>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Agents and Infra</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Agents and Infra segment brings together our applications and agents, our multi-model system, and Azure infrastructure. This segment primarily comprises:</w:t>
      </w:r>
    </w:p>
    <w:p>
      <w:pPr>
        <w:spacing w:after="0" w:line="19" w:lineRule="exact"/>
        <w:rPr>
          <w:sz w:val="20"/>
          <w:szCs w:val="20"/>
          <w:color w:val="auto"/>
        </w:rPr>
      </w:pPr>
    </w:p>
    <w:p>
      <w:pPr>
        <w:ind w:left="1020" w:hanging="368"/>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Azure, comprising consumption-based services across non-GPU workloads, including compute, data and analytics, storage, networking, and security; and GPU workloads, including GPU infrastructure-as-a-service and Foundry.</w:t>
      </w:r>
    </w:p>
    <w:p>
      <w:pPr>
        <w:spacing w:after="0" w:line="19"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cloud, including Microsoft 365 commercial cloud, comprising Microsoft 365 commercial subscriptions and services, GitHub cloud and other cloud-based developer services, Microsoft 365 Copilot, GitHub Copilot, and security offerings including Agent 365 and Security Copilot; and Microsoft 365 consumer cloud.</w:t>
      </w:r>
    </w:p>
    <w:p>
      <w:pPr>
        <w:spacing w:after="0" w:line="35" w:lineRule="exact"/>
        <w:rPr>
          <w:rFonts w:ascii="Times New Roman" w:cs="Times New Roman" w:eastAsia="Times New Roman" w:hAnsi="Times New Roman"/>
          <w:sz w:val="18"/>
          <w:szCs w:val="18"/>
          <w:color w:val="auto"/>
        </w:rPr>
      </w:pPr>
    </w:p>
    <w:p>
      <w:pPr>
        <w:jc w:val="both"/>
        <w:ind w:left="1020" w:hanging="368"/>
        <w:spacing w:after="0" w:line="246"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Productivity and server licensing, including Server products, comprising SQL Server, Windows Server, Visual Studio, System Center, related Client Access Licenses, and other on-premises offerings; Microsoft 365 commercial products, comprising Windows commercial on-premises and Office licensed on-premises; and Microsoft 365 consumer products, comprising Office licensed on-premises.</w:t>
      </w:r>
    </w:p>
    <w:p>
      <w:pPr>
        <w:spacing w:after="0" w:line="41"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Industry solutions, including Industry solutions cloud, comprising LinkedIn Talent Solutions and Sales Solutions, Dynamics 365 (including a set of intelligent, cloud-based applications across ERP, CRM, Service, Power Apps, and Power Automate), and Healthcare and Life Sciences cloud; and Industry solutions products, comprising the on-premises portion of these businesses.</w:t>
      </w:r>
    </w:p>
    <w:p>
      <w:pPr>
        <w:spacing w:after="0" w:line="35"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Frontier and support services, including Customer Success Support (formerly Enterprise Support Services), Frontier Company, Microsoft Partner Network, and Learning Experience.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Devices and Consumer</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Devices and Consumer segment consists of products and services that put customers at the center of the experience with our technology. This segment primarily comprises:</w:t>
      </w:r>
    </w:p>
    <w:p>
      <w:pPr>
        <w:spacing w:after="0" w:line="19" w:lineRule="exact"/>
        <w:rPr>
          <w:sz w:val="20"/>
          <w:szCs w:val="20"/>
          <w:color w:val="auto"/>
        </w:rPr>
      </w:pPr>
    </w:p>
    <w:p>
      <w:pPr>
        <w:ind w:left="1020" w:right="20" w:hanging="368"/>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Search and advertising, including Bing, Microsoft Edge, LinkedIn Marketing Solutions and Premium Subscriptions, third-party affiliates, and MSN.</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XBOX, including XBOX content and services, comprising first- and third-party content (including games and in-game content), XBOX Game Pass and other subscriptions, XBOX Cloud Gaming, advertising, and other cloud services; and XBOX hardware.</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Windows OEM and devices, comprising Windows Pro and non-Pro licenses sold through the OEM channel, first-party devices (including Surface and PC accessories), and related Windows offerings beyond OEM licensing.</w:t>
      </w:r>
    </w:p>
    <w:p>
      <w:pPr>
        <w:spacing w:after="0" w:line="100"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our investments in AI infrastructure and training, as well as marketing of products and services, from which multiple segments benefit and are generally allocated based on relative gross margin.</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certain costs are incurred at a corporate level and allocated to our segments. These allocated costs generally include legal, including settlements and fines, information technology, human resources, finance, excise taxes, field selling, shared facilities services, customer service and support, and severance incurred as part of a corporate program. Each allocation is measured differently based on the specific facts and circumstances of the costs being allocated and is generally based on relative gross margin or relative headcount.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5" w:name="page26"/>
    <w:bookmarkEnd w:id="25"/>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cost of revenue, operating expenses, and operating income were as follows during the periods presented:</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5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2026</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2025</w:t>
            </w:r>
          </w:p>
        </w:tc>
      </w:tr>
      <w:tr>
        <w:trPr>
          <w:trHeight w:val="198"/>
        </w:trPr>
        <w:tc>
          <w:tcPr>
            <w:tcW w:w="7780" w:type="dxa"/>
            <w:vAlign w:val="bottom"/>
          </w:tcPr>
          <w:p>
            <w:pPr>
              <w:spacing w:after="0"/>
              <w:rPr>
                <w:sz w:val="20"/>
                <w:szCs w:val="20"/>
                <w:color w:val="auto"/>
              </w:rPr>
            </w:pPr>
            <w:r>
              <w:rPr>
                <w:rFonts w:ascii="Arial" w:cs="Arial" w:eastAsia="Arial" w:hAnsi="Arial"/>
                <w:sz w:val="13"/>
                <w:szCs w:val="13"/>
                <w:b w:val="1"/>
                <w:bCs w:val="1"/>
                <w:color w:val="auto"/>
              </w:rPr>
              <w:t>Agents and Infra</w:t>
            </w: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778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560" w:type="dxa"/>
            <w:vAlign w:val="bottom"/>
            <w:shd w:val="clear" w:color="auto" w:fill="E5E5E5"/>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76,795</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61,672</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56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23,887</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17,701</w:t>
            </w: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expenses</w:t>
            </w:r>
          </w:p>
        </w:tc>
        <w:tc>
          <w:tcPr>
            <w:tcW w:w="56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12,350</w:t>
            </w:r>
          </w:p>
        </w:tc>
        <w:tc>
          <w:tcPr>
            <w:tcW w:w="20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11,253</w:t>
            </w:r>
          </w:p>
        </w:tc>
      </w:tr>
      <w:tr>
        <w:trPr>
          <w:trHeight w:val="40"/>
        </w:trPr>
        <w:tc>
          <w:tcPr>
            <w:tcW w:w="77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77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40,558</w:t>
            </w:r>
          </w:p>
        </w:tc>
        <w:tc>
          <w:tcPr>
            <w:tcW w:w="200" w:type="dxa"/>
            <w:vAlign w:val="bottom"/>
          </w:tcPr>
          <w:p>
            <w:pPr>
              <w:spacing w:after="0"/>
              <w:rPr>
                <w:sz w:val="24"/>
                <w:szCs w:val="24"/>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32,718</w:t>
            </w:r>
          </w:p>
        </w:tc>
      </w:tr>
      <w:tr>
        <w:trPr>
          <w:trHeight w:val="221"/>
        </w:trPr>
        <w:tc>
          <w:tcPr>
            <w:tcW w:w="7780" w:type="dxa"/>
            <w:vAlign w:val="bottom"/>
          </w:tcPr>
          <w:p>
            <w:pPr>
              <w:spacing w:after="0"/>
              <w:rPr>
                <w:sz w:val="20"/>
                <w:szCs w:val="20"/>
                <w:color w:val="auto"/>
              </w:rPr>
            </w:pPr>
            <w:r>
              <w:rPr>
                <w:rFonts w:ascii="Arial" w:cs="Arial" w:eastAsia="Arial" w:hAnsi="Arial"/>
                <w:sz w:val="13"/>
                <w:szCs w:val="13"/>
                <w:b w:val="1"/>
                <w:bCs w:val="1"/>
                <w:color w:val="auto"/>
              </w:rPr>
              <w:t>Devices and Consumer</w:t>
            </w: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78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560" w:type="dxa"/>
            <w:vAlign w:val="bottom"/>
            <w:shd w:val="clear" w:color="auto" w:fill="E5E5E5"/>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15,484</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16,001</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56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5,833</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6,342</w:t>
            </w:r>
          </w:p>
        </w:tc>
      </w:tr>
      <w:tr>
        <w:trPr>
          <w:trHeight w:val="202"/>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expenses</w:t>
            </w:r>
          </w:p>
        </w:tc>
        <w:tc>
          <w:tcPr>
            <w:tcW w:w="56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4,294</w:t>
            </w:r>
          </w:p>
        </w:tc>
        <w:tc>
          <w:tcPr>
            <w:tcW w:w="20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4,416</w:t>
            </w:r>
          </w:p>
        </w:tc>
      </w:tr>
      <w:tr>
        <w:trPr>
          <w:trHeight w:val="41"/>
        </w:trPr>
        <w:tc>
          <w:tcPr>
            <w:tcW w:w="77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77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5,357</w:t>
            </w:r>
          </w:p>
        </w:tc>
        <w:tc>
          <w:tcPr>
            <w:tcW w:w="200" w:type="dxa"/>
            <w:vAlign w:val="bottom"/>
          </w:tcPr>
          <w:p>
            <w:pPr>
              <w:spacing w:after="0"/>
              <w:rPr>
                <w:sz w:val="24"/>
                <w:szCs w:val="24"/>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5,243</w:t>
            </w:r>
          </w:p>
        </w:tc>
      </w:tr>
      <w:tr>
        <w:trPr>
          <w:trHeight w:val="221"/>
        </w:trPr>
        <w:tc>
          <w:tcPr>
            <w:tcW w:w="778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78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560" w:type="dxa"/>
            <w:vAlign w:val="bottom"/>
            <w:shd w:val="clear" w:color="auto" w:fill="E5E5E5"/>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92,279</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77,673</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56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29,720</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24,043</w:t>
            </w: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expenses</w:t>
            </w:r>
          </w:p>
        </w:tc>
        <w:tc>
          <w:tcPr>
            <w:tcW w:w="56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16,644</w:t>
            </w:r>
          </w:p>
        </w:tc>
        <w:tc>
          <w:tcPr>
            <w:tcW w:w="20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15,669</w:t>
            </w:r>
          </w:p>
        </w:tc>
      </w:tr>
      <w:tr>
        <w:trPr>
          <w:trHeight w:val="41"/>
        </w:trPr>
        <w:tc>
          <w:tcPr>
            <w:tcW w:w="77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77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45,915</w:t>
            </w:r>
          </w:p>
        </w:tc>
        <w:tc>
          <w:tcPr>
            <w:tcW w:w="200" w:type="dxa"/>
            <w:vAlign w:val="bottom"/>
          </w:tcPr>
          <w:p>
            <w:pPr>
              <w:spacing w:after="0"/>
              <w:rPr>
                <w:sz w:val="24"/>
                <w:szCs w:val="24"/>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37,961</w:t>
            </w:r>
          </w:p>
        </w:tc>
        <w:tc>
          <w:tcPr>
            <w:tcW w:w="100" w:type="dxa"/>
            <w:vAlign w:val="bottom"/>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sales to an individual country other than the United States accounted for more than 10% of revenue for the three months ended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2026 or 2025. Revenue, classified by the major geographic areas in which our customers were located, was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2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2025</w:t>
            </w:r>
          </w:p>
        </w:tc>
      </w:tr>
      <w:tr>
        <w:trPr>
          <w:trHeight w:val="225"/>
        </w:trPr>
        <w:tc>
          <w:tcPr>
            <w:tcW w:w="5040" w:type="dxa"/>
            <w:vAlign w:val="bottom"/>
            <w:shd w:val="clear" w:color="auto" w:fill="E5E5E5"/>
          </w:tcPr>
          <w:p>
            <w:pPr>
              <w:spacing w:after="0" w:line="225"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24"/>
                <w:szCs w:val="24"/>
                <w:color w:val="auto"/>
                <w:vertAlign w:val="superscript"/>
              </w:rPr>
              <w:t>(a)</w:t>
            </w:r>
          </w:p>
        </w:tc>
        <w:tc>
          <w:tcPr>
            <w:tcW w:w="3300" w:type="dxa"/>
            <w:vAlign w:val="bottom"/>
            <w:gridSpan w:val="2"/>
            <w:shd w:val="clear" w:color="auto" w:fill="E5E5E5"/>
          </w:tcPr>
          <w:p>
            <w:pPr>
              <w:jc w:val="right"/>
              <w:ind w:right="4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49,459</w:t>
            </w:r>
          </w:p>
        </w:tc>
        <w:tc>
          <w:tcPr>
            <w:tcW w:w="660" w:type="dxa"/>
            <w:vAlign w:val="bottom"/>
            <w:gridSpan w:val="2"/>
            <w:shd w:val="clear" w:color="auto" w:fill="E5E5E5"/>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40,077</w:t>
            </w: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Other countries</w:t>
            </w:r>
          </w:p>
        </w:tc>
        <w:tc>
          <w:tcPr>
            <w:tcW w:w="2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42,820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37,596</w:t>
            </w:r>
          </w:p>
        </w:tc>
      </w:tr>
      <w:tr>
        <w:trPr>
          <w:trHeight w:val="34"/>
        </w:trPr>
        <w:tc>
          <w:tcPr>
            <w:tcW w:w="5040" w:type="dxa"/>
            <w:vAlign w:val="bottom"/>
            <w:tcBorders>
              <w:top w:val="single" w:sz="8" w:color="auto"/>
            </w:tcBorders>
          </w:tcPr>
          <w:p>
            <w:pPr>
              <w:spacing w:after="0"/>
              <w:rPr>
                <w:sz w:val="2"/>
                <w:szCs w:val="2"/>
                <w:color w:val="auto"/>
              </w:rPr>
            </w:pPr>
          </w:p>
        </w:tc>
        <w:tc>
          <w:tcPr>
            <w:tcW w:w="27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04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Total</w:t>
            </w:r>
          </w:p>
        </w:tc>
        <w:tc>
          <w:tcPr>
            <w:tcW w:w="3300" w:type="dxa"/>
            <w:vAlign w:val="bottom"/>
            <w:gridSpan w:val="2"/>
            <w:shd w:val="clear" w:color="auto" w:fill="E5E5E5"/>
          </w:tcPr>
          <w:p>
            <w:pPr>
              <w:jc w:val="right"/>
              <w:ind w:right="46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92,279</w:t>
            </w:r>
          </w:p>
        </w:tc>
        <w:tc>
          <w:tcPr>
            <w:tcW w:w="660" w:type="dxa"/>
            <w:vAlign w:val="bottom"/>
            <w:gridSpan w:val="2"/>
            <w:shd w:val="clear" w:color="auto" w:fill="E5E5E5"/>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77,673</w:t>
            </w:r>
          </w:p>
        </w:tc>
      </w:tr>
      <w:tr>
        <w:trPr>
          <w:trHeight w:val="48"/>
        </w:trPr>
        <w:tc>
          <w:tcPr>
            <w:tcW w:w="5040" w:type="dxa"/>
            <w:vAlign w:val="bottom"/>
          </w:tcPr>
          <w:p>
            <w:pPr>
              <w:spacing w:after="0"/>
              <w:rPr>
                <w:sz w:val="4"/>
                <w:szCs w:val="4"/>
                <w:color w:val="auto"/>
              </w:rPr>
            </w:pPr>
          </w:p>
        </w:tc>
        <w:tc>
          <w:tcPr>
            <w:tcW w:w="274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64" w:lineRule="exact"/>
        <w:rPr>
          <w:sz w:val="20"/>
          <w:szCs w:val="20"/>
          <w:color w:val="auto"/>
        </w:rPr>
      </w:pPr>
    </w:p>
    <w:p>
      <w:pPr>
        <w:ind w:left="520" w:hanging="512"/>
        <w:spacing w:after="0" w:line="269"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Includes billings to OEMs and certain multinational organizations because of the nature of these businesses and the impracticability of determining the geographic source of the revenue.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Revenue, classified by significant product and service offerings, was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2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2026</w:t>
            </w:r>
          </w:p>
        </w:tc>
        <w:tc>
          <w:tcPr>
            <w:tcW w:w="5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2025</w:t>
            </w:r>
          </w:p>
        </w:tc>
      </w:tr>
      <w:tr>
        <w:trPr>
          <w:trHeight w:val="211"/>
        </w:trPr>
        <w:tc>
          <w:tcPr>
            <w:tcW w:w="5180" w:type="dxa"/>
            <w:vAlign w:val="bottom"/>
            <w:shd w:val="clear" w:color="auto" w:fill="E5E5E5"/>
          </w:tcPr>
          <w:p>
            <w:pPr>
              <w:spacing w:after="0"/>
              <w:rPr>
                <w:sz w:val="20"/>
                <w:szCs w:val="20"/>
                <w:color w:val="auto"/>
              </w:rPr>
            </w:pPr>
            <w:r>
              <w:rPr>
                <w:rFonts w:ascii="Arial" w:cs="Arial" w:eastAsia="Arial" w:hAnsi="Arial"/>
                <w:sz w:val="18"/>
                <w:szCs w:val="18"/>
                <w:color w:val="auto"/>
              </w:rPr>
              <w:t>Azure</w:t>
            </w:r>
          </w:p>
        </w:tc>
        <w:tc>
          <w:tcPr>
            <w:tcW w:w="3160" w:type="dxa"/>
            <w:vAlign w:val="bottom"/>
            <w:gridSpan w:val="2"/>
            <w:shd w:val="clear" w:color="auto" w:fill="E5E5E5"/>
          </w:tcPr>
          <w:p>
            <w:pPr>
              <w:jc w:val="right"/>
              <w:ind w:right="4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33,165</w:t>
            </w:r>
          </w:p>
        </w:tc>
        <w:tc>
          <w:tcPr>
            <w:tcW w:w="560" w:type="dxa"/>
            <w:vAlign w:val="bottom"/>
            <w:shd w:val="clear" w:color="auto" w:fill="E5E5E5"/>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22,384</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Microsoft 365 cloud</w:t>
            </w:r>
          </w:p>
        </w:tc>
        <w:tc>
          <w:tcPr>
            <w:tcW w:w="2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27,778</w:t>
            </w:r>
          </w:p>
        </w:tc>
        <w:tc>
          <w:tcPr>
            <w:tcW w:w="56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23,694</w:t>
            </w:r>
          </w:p>
        </w:tc>
      </w:tr>
      <w:tr>
        <w:trPr>
          <w:trHeight w:val="203"/>
        </w:trPr>
        <w:tc>
          <w:tcPr>
            <w:tcW w:w="51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Productivity and server licensing</w:t>
            </w:r>
          </w:p>
        </w:tc>
        <w:tc>
          <w:tcPr>
            <w:tcW w:w="260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8,407</w:t>
            </w:r>
          </w:p>
        </w:tc>
        <w:tc>
          <w:tcPr>
            <w:tcW w:w="5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8,678</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Search and advertising</w:t>
            </w:r>
          </w:p>
        </w:tc>
        <w:tc>
          <w:tcPr>
            <w:tcW w:w="2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6,554</w:t>
            </w:r>
          </w:p>
        </w:tc>
        <w:tc>
          <w:tcPr>
            <w:tcW w:w="56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5,942</w:t>
            </w:r>
          </w:p>
        </w:tc>
      </w:tr>
      <w:tr>
        <w:trPr>
          <w:trHeight w:val="203"/>
        </w:trPr>
        <w:tc>
          <w:tcPr>
            <w:tcW w:w="51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XBOX</w:t>
            </w:r>
          </w:p>
        </w:tc>
        <w:tc>
          <w:tcPr>
            <w:tcW w:w="260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5,379</w:t>
            </w:r>
          </w:p>
        </w:tc>
        <w:tc>
          <w:tcPr>
            <w:tcW w:w="5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5,508</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Industry solutions</w:t>
            </w:r>
          </w:p>
        </w:tc>
        <w:tc>
          <w:tcPr>
            <w:tcW w:w="2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5,337</w:t>
            </w:r>
          </w:p>
        </w:tc>
        <w:tc>
          <w:tcPr>
            <w:tcW w:w="56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4,894</w:t>
            </w:r>
          </w:p>
        </w:tc>
      </w:tr>
      <w:tr>
        <w:trPr>
          <w:trHeight w:val="203"/>
        </w:trPr>
        <w:tc>
          <w:tcPr>
            <w:tcW w:w="51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Windows OEM and devices</w:t>
            </w:r>
          </w:p>
        </w:tc>
        <w:tc>
          <w:tcPr>
            <w:tcW w:w="260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3,551</w:t>
            </w:r>
          </w:p>
        </w:tc>
        <w:tc>
          <w:tcPr>
            <w:tcW w:w="5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4,551</w:t>
            </w:r>
          </w:p>
        </w:tc>
      </w:tr>
      <w:tr>
        <w:trPr>
          <w:trHeight w:val="243"/>
        </w:trPr>
        <w:tc>
          <w:tcPr>
            <w:tcW w:w="5180" w:type="dxa"/>
            <w:vAlign w:val="bottom"/>
          </w:tcPr>
          <w:p>
            <w:pPr>
              <w:spacing w:after="0"/>
              <w:rPr>
                <w:sz w:val="20"/>
                <w:szCs w:val="20"/>
                <w:color w:val="auto"/>
              </w:rPr>
            </w:pPr>
            <w:r>
              <w:rPr>
                <w:rFonts w:ascii="Arial" w:cs="Arial" w:eastAsia="Arial" w:hAnsi="Arial"/>
                <w:sz w:val="18"/>
                <w:szCs w:val="18"/>
                <w:color w:val="auto"/>
              </w:rPr>
              <w:t>Frontier and support services</w:t>
            </w:r>
          </w:p>
        </w:tc>
        <w:tc>
          <w:tcPr>
            <w:tcW w:w="2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2,108</w:t>
            </w:r>
          </w:p>
        </w:tc>
        <w:tc>
          <w:tcPr>
            <w:tcW w:w="5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2,022</w:t>
            </w:r>
          </w:p>
        </w:tc>
      </w:tr>
      <w:tr>
        <w:trPr>
          <w:trHeight w:val="34"/>
        </w:trPr>
        <w:tc>
          <w:tcPr>
            <w:tcW w:w="5180" w:type="dxa"/>
            <w:vAlign w:val="bottom"/>
            <w:tcBorders>
              <w:top w:val="single" w:sz="8" w:color="auto"/>
            </w:tcBorders>
          </w:tcPr>
          <w:p>
            <w:pPr>
              <w:spacing w:after="0"/>
              <w:rPr>
                <w:sz w:val="2"/>
                <w:szCs w:val="2"/>
                <w:color w:val="auto"/>
              </w:rPr>
            </w:pPr>
          </w:p>
        </w:tc>
        <w:tc>
          <w:tcPr>
            <w:tcW w:w="260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18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Total</w:t>
            </w:r>
          </w:p>
        </w:tc>
        <w:tc>
          <w:tcPr>
            <w:tcW w:w="3160" w:type="dxa"/>
            <w:vAlign w:val="bottom"/>
            <w:gridSpan w:val="2"/>
            <w:shd w:val="clear" w:color="auto" w:fill="E5E5E5"/>
          </w:tcPr>
          <w:p>
            <w:pPr>
              <w:jc w:val="right"/>
              <w:ind w:right="460"/>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92,279</w:t>
            </w:r>
          </w:p>
        </w:tc>
        <w:tc>
          <w:tcPr>
            <w:tcW w:w="560" w:type="dxa"/>
            <w:vAlign w:val="bottom"/>
            <w:shd w:val="clear" w:color="auto" w:fill="E5E5E5"/>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77,673</w:t>
            </w:r>
          </w:p>
        </w:tc>
      </w:tr>
      <w:tr>
        <w:trPr>
          <w:trHeight w:val="48"/>
        </w:trPr>
        <w:tc>
          <w:tcPr>
            <w:tcW w:w="51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Microsoft Cloud revenue, which includes Azure, Microsoft 365 commercial cloud, and Industry solutions cloud, was $63.9 billion and $49.1 billion for the three months ended September 30, 2026 and 2025, respectively.</w:t>
      </w:r>
    </w:p>
    <w:p>
      <w:pPr>
        <w:spacing w:after="0" w:line="10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6" w:name="page27"/>
    <w:bookmarkEnd w:id="26"/>
    <w:p>
      <w:pPr>
        <w:ind w:left="52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2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ind w:right="4600"/>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Microsoft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Information</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reviewed the accompanying consolidated balance sheet of Microsoft Corporation and subsidiaries (the "Company") as of September 30, 2026, the related consolidated statements of income, comprehensive income, cash flows, and stockholders’ equity for the three-month periods ended September 30, 2026 and 2025,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14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June 30, 2026, and the related consolidated statements of income, comprehensive income, cash flows, and stockholders’ equity for the year then ended (not presented herein); and in our report dated July 29, 2026, we expressed an unqualified opinion on those consolidated financial statements. In our opinion, the information set forth in the accompanying consolidated balance sheet as of June 30, 2026, is fairly stated, in all material respects, in relation to the consolidated balance sheet from which it has been derived.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15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October 28, 2026</w:t>
      </w: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387985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520" w:top="775" w:right="679" w:bottom="1440" w:gutter="0" w:footer="0" w:header="0"/>
        </w:sectPr>
      </w:pPr>
    </w:p>
    <w:bookmarkStart w:id="27" w:name="page28"/>
    <w:bookmarkEnd w:id="27"/>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160" w:lineRule="exact"/>
        <w:rPr>
          <w:sz w:val="20"/>
          <w:szCs w:val="20"/>
          <w:color w:val="auto"/>
        </w:rPr>
      </w:pPr>
    </w:p>
    <w:p>
      <w:pPr>
        <w:jc w:val="center"/>
        <w:ind w:right="40"/>
        <w:spacing w:after="0" w:line="272"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“Management’s Discussion and Analysis of Financial Condition and Results of Operations” and “Risk Factors” (Part II, Item 1A of this Form 10-Q). These forward-looking statements generally are identified by the words “believe,” “project,” “expect,” “anticipate,” “estimate,” “intend,” “strategy,” “future,” “opportunity,” “plan,” “may,” “should,” “will,” “would,” “could,”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“Management’s Discussion and Analysis of Financial Condition and Results of Operations,” “Quantitative and Qualitative Disclosures About Market Risk” (Part I, Item 3 of this Form 10-Q), and “Risk Factors”. We undertake no obligation to update or revise publicly any forward-looking statements, whether because of new information, future events, or otherwise.</w:t>
      </w:r>
    </w:p>
    <w:p>
      <w:pPr>
        <w:spacing w:after="0" w:line="1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Annual Report on Form 10-K for the year ended June 30, 2026, and our consolidated financial statements and the accompanying Notes to Financial Statements (Part I, Item 1 of this Form 10-Q).</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OVERVIEW</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Microsoft is a technology company committed to making digital technology and artificial intelligence (“AI”) available broadly and doing so responsibly, with a mission to empower every person and every organization on the planet to achieve more. We create platforms and applications, powered by AI, that deliver innovative solutions that meet the evolving needs of our customers.</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generate revenue by offering a wide range of cloud-based solutions, content, and other services to people and businesses; licensing and supporting an array of software products; delivering relevant online advertising to a global audience; and designing and selling devices. Our most significant expenses are related to compensating employees; supporting and investing in our cloud-based services, including datacenter operations; designing, manufacturing, marketing, and selling our other products and services; and income taxes.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first quarter of fiscal year 2027 compared with the first quarter of fiscal year 2026 included:</w:t>
      </w:r>
    </w:p>
    <w:p>
      <w:pPr>
        <w:spacing w:after="0" w:line="293" w:lineRule="exact"/>
        <w:rPr>
          <w:sz w:val="20"/>
          <w:szCs w:val="20"/>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remaining performance obligation increased 73% to $677 billion.</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Cloud revenue increased 30% to $63.9 billion.</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Azure revenue increased 48%.</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commercial cloud revenue increased 17%.</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consumer cloud revenue increased 17%.</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Industry solutions cloud revenue increased 10%.</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Search and advertising revenue excluding traffic acquisition costs increased 12%.</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XBOX content and services revenue decreased 2%.</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Windows OEM and devices revenue decreased 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8" w:name="page29"/>
    <w:bookmarkEnd w:id="28"/>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 and Opportunities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 long-term strategic partnership with OpenAI which was originally established in 2019. We continue to build on our shared vision to advance AI responsibly and make its benefits broadly accessible. Microsoft is a major investor in OpenAI and will continue to receive revenue-sharing payments. We hold rights to OpenAI’s intellectual property, including models and infrastructure, for integration into our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Challenges, and Risks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influencing how users access services in the cloud and, in some cases, the user’s choice of which suite of cloud-based services to use. Aggregate demand for our software, services, and devices is also correlated to global macroeconomic and geopolitical factors, which remain dynamic. We must continue to evolve and adapt over an extended time in pace with this changing environment.</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investments we are making in cloud and datacenter infrastructure and devices will continue to increase our operating costs and may decrease our operating margins. We continue to identify and evaluate opportunities to expand our datacenter locations and increase our server capacity to meet the evolving needs of our customers, particularly given the growing demand for AI services. Our datacenters depend on the availability of permitted and buildable land, predictable energy, networking supplies, and servers, including graphics processing units and other components. Our devices are primarily manufactured by third-party contract manufacturers. For the majority of our products, we have the ability to use other manufacturers if a current vendor becomes unavailable or unable to meet our requirements. However, some of our products contain certain components for which there are very few qualified suppliers. Extended or unforeseen disruptions, or limited availability of components from these suppliers could impact our ability to operate our datacenters and manufacture devices on time to meet consumer demand.</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Fluctuations in the U.S. dollar relative to certain foreign currencies did not have a material impact on reported revenue and expenses from our international operations in the first quarter of fiscal year 2027.</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global, regional, and local economic developments and changes in global trade policies such as restrictions on international trade, including tariffs and other controls on imports or exports, could result in increased supply chain challenges, cost volatility, and consumer and economic uncertainty which may adversely affect our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Refer to Risk Factors (Part II, Item 1A of this Form 10-Q) for a discussion of these factors and other risks.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revenue fluctuates quarterly and is generally higher in the fourth quarter of our fiscal year. Fourth quarter revenue is driven by a higher volume of multi-year contracts executed during the period.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9" w:name="page30"/>
    <w:bookmarkEnd w:id="29"/>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report our financial performance based on the following two segments: Agents and Infra, and Devices and Consumer. The segment amounts included in MD&amp;A are presented on a basis consistent with our internal management reporting.</w:t>
      </w:r>
    </w:p>
    <w:p>
      <w:pPr>
        <w:spacing w:after="0" w:line="10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September 2026, we announced changes in our segment reporting structure. These changes align our segments with how we currently manage our business, creating the Agents and Infra segment that brings together our applications and agents, our multi-model system, and Azure infrastructure, and the Devices and Consumer segment that comprises our key consumer offerings. Beginning in fiscal year 2027, the information that our chief operating decision maker is regularly provided and reviews for purposes of allocating resources and assessing performance reflects these segment changes. Prior period segment information has been recast to conform to the way we internally manage and monitor our business during fiscal year 2027.</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Additional information on our reportable segments is contained in Note 16 – Segment Information and Geographic Data of the Notes to Financial Statements (Part I, Item 1 of this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Metrics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use metrics in assessing the performance of our business and to make informed decisions regarding the allocation of resources. We disclose metrics to enable investors to evaluate progress against our ambitions, provide transparency into performance trends, and reflect the continued evolution of our products and services. Financial metrics are calculated based on financial results prepared in accordance with accounting principles generally accepted in the United States of America (“GAAP”), and growth comparisons relate to the corresponding period of last fiscal year.</w:t>
      </w:r>
    </w:p>
    <w:p>
      <w:pPr>
        <w:spacing w:after="0" w:line="12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the first quarter of fiscal year 2027, we made updates to our metrics in connection with the segment changes described above. These changes align our metrics with how we manage and monitor certain businesses. The changes include updating the Azure, Microsoft 365 commercial cloud, and the Search and advertising revenue growth metrics for the movement of certain components, as well as the creation of the Industry solutions cloud revenue growth metric, which combines revenue from Dynamics 365 together with revenue from LinkedIn Talent Solutions, LinkedIn Sales Solutions, and Healthcare and Life Sciences cloud. Other changes include updating the Microsoft 365 commercial seat growth metric to include paid GitHub seats.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0" w:name="page31"/>
    <w:bookmarkEnd w:id="30"/>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Agents and Infra</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Metrics related to our Agents and Infra segment assess the performance of our core businesses within this segment. The metrics primarily reflect growth across our commercial and cloud services.</w:t>
      </w:r>
    </w:p>
    <w:p>
      <w:pPr>
        <w:sectPr>
          <w:pgSz w:w="11900" w:h="16838" w:orient="portrait"/>
          <w:cols w:equalWidth="0" w:num="1">
            <w:col w:w="11240"/>
          </w:cols>
          <w:pgMar w:left="320" w:top="775" w:right="339" w:bottom="1440" w:gutter="0" w:footer="0" w:header="0"/>
        </w:sectPr>
      </w:pPr>
    </w:p>
    <w:p>
      <w:pPr>
        <w:spacing w:after="0" w:line="127" w:lineRule="exact"/>
        <w:rPr>
          <w:sz w:val="20"/>
          <w:szCs w:val="20"/>
          <w:color w:val="auto"/>
        </w:rPr>
      </w:pPr>
    </w:p>
    <w:p>
      <w:pPr>
        <w:ind w:left="80"/>
        <w:spacing w:after="0"/>
        <w:rPr>
          <w:sz w:val="20"/>
          <w:szCs w:val="20"/>
          <w:color w:val="auto"/>
        </w:rPr>
      </w:pPr>
      <w:r>
        <w:rPr>
          <w:rFonts w:ascii="Arial" w:cs="Arial" w:eastAsia="Arial" w:hAnsi="Arial"/>
          <w:sz w:val="17"/>
          <w:szCs w:val="17"/>
          <w:color w:val="auto"/>
        </w:rPr>
        <w:t>Commercial remaining performance obligation</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Commercial portion of revenue (comprising Azure, Microsoft 365 commercial cloud, Server products, Microsoft 365 commercial products, Industry solutions, and Frontier and support services) allocated to remaining performance obligations, which includes unearned revenue and amounts that will be invoiced and recognized as revenue in future periods</w:t>
      </w:r>
    </w:p>
    <w:p>
      <w:pPr>
        <w:spacing w:after="0" w:line="1" w:lineRule="exact"/>
        <w:rPr>
          <w:sz w:val="20"/>
          <w:szCs w:val="20"/>
          <w:color w:val="auto"/>
        </w:rPr>
      </w:pPr>
    </w:p>
    <w:p>
      <w:pPr>
        <w:sectPr>
          <w:pgSz w:w="11900" w:h="16838" w:orient="portrait"/>
          <w:cols w:equalWidth="0" w:num="2">
            <w:col w:w="3760" w:space="640"/>
            <w:col w:w="6840"/>
          </w:cols>
          <w:pgMar w:left="320" w:top="775" w:right="339" w:bottom="1440" w:gutter="0" w:footer="0" w:header="0"/>
          <w:type w:val="continuous"/>
        </w:sectPr>
      </w:pPr>
    </w:p>
    <w:p>
      <w:pPr>
        <w:ind w:left="80"/>
        <w:spacing w:after="0"/>
        <w:rPr>
          <w:sz w:val="20"/>
          <w:szCs w:val="20"/>
          <w:color w:val="auto"/>
        </w:rPr>
      </w:pPr>
      <w:r>
        <w:rPr>
          <w:rFonts w:ascii="Arial" w:cs="Arial" w:eastAsia="Arial" w:hAnsi="Arial"/>
          <w:sz w:val="18"/>
          <w:szCs w:val="18"/>
          <w:color w:val="auto"/>
        </w:rPr>
        <w:t>Microsoft Cloud revenue and revenue growth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Revenue from Azure, Microsoft 365 commercial cloud, and Industry solutions cloud</w:t>
      </w:r>
    </w:p>
    <w:p>
      <w:pPr>
        <w:spacing w:after="0" w:line="47" w:lineRule="exact"/>
        <w:rPr>
          <w:sz w:val="20"/>
          <w:szCs w:val="20"/>
          <w:color w:val="auto"/>
        </w:rPr>
      </w:pPr>
    </w:p>
    <w:p>
      <w:pPr>
        <w:sectPr>
          <w:pgSz w:w="11900" w:h="16838" w:orient="portrait"/>
          <w:cols w:equalWidth="0" w:num="2">
            <w:col w:w="3680" w:space="720"/>
            <w:col w:w="6840"/>
          </w:cols>
          <w:pgMar w:left="320" w:top="775" w:right="339" w:bottom="1440" w:gutter="0" w:footer="0" w:header="0"/>
          <w:type w:val="continuous"/>
        </w:sectPr>
      </w:pPr>
    </w:p>
    <w:p>
      <w:pPr>
        <w:ind w:left="80"/>
        <w:spacing w:after="0"/>
        <w:rPr>
          <w:sz w:val="20"/>
          <w:szCs w:val="20"/>
          <w:color w:val="auto"/>
        </w:rPr>
      </w:pPr>
      <w:r>
        <w:rPr>
          <w:rFonts w:ascii="Arial" w:cs="Arial" w:eastAsia="Arial" w:hAnsi="Arial"/>
          <w:sz w:val="18"/>
          <w:szCs w:val="18"/>
          <w:color w:val="auto"/>
        </w:rPr>
        <w:t>Microsoft Cloud gross margin percentage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Gross margin percentage for our Microsoft Cloud business</w:t>
      </w:r>
    </w:p>
    <w:p>
      <w:pPr>
        <w:spacing w:after="0" w:line="47" w:lineRule="exact"/>
        <w:rPr>
          <w:sz w:val="20"/>
          <w:szCs w:val="20"/>
          <w:color w:val="auto"/>
        </w:rPr>
      </w:pPr>
    </w:p>
    <w:p>
      <w:pPr>
        <w:sectPr>
          <w:pgSz w:w="11900" w:h="16838" w:orient="portrait"/>
          <w:cols w:equalWidth="0" w:num="2">
            <w:col w:w="3680" w:space="720"/>
            <w:col w:w="6840"/>
          </w:cols>
          <w:pgMar w:left="320" w:top="775" w:right="339" w:bottom="1440" w:gutter="0" w:footer="0" w:header="0"/>
          <w:type w:val="continuous"/>
        </w:sectPr>
      </w:pPr>
    </w:p>
    <w:p>
      <w:pPr>
        <w:ind w:left="80"/>
        <w:spacing w:after="0"/>
        <w:rPr>
          <w:sz w:val="20"/>
          <w:szCs w:val="20"/>
          <w:color w:val="auto"/>
        </w:rPr>
      </w:pPr>
      <w:r>
        <w:rPr>
          <w:rFonts w:ascii="Arial" w:cs="Arial" w:eastAsia="Arial" w:hAnsi="Arial"/>
          <w:sz w:val="17"/>
          <w:szCs w:val="17"/>
          <w:color w:val="auto"/>
        </w:rPr>
        <w:t>Azure revenue growth</w:t>
      </w:r>
    </w:p>
    <w:p>
      <w:pPr>
        <w:spacing w:after="0" w:line="20" w:lineRule="exact"/>
        <w:rPr>
          <w:sz w:val="20"/>
          <w:szCs w:val="20"/>
          <w:color w:val="auto"/>
        </w:rPr>
      </w:pPr>
      <w:r>
        <w:rPr>
          <w:sz w:val="20"/>
          <w:szCs w:val="20"/>
          <w:color w:val="auto"/>
        </w:rPr>
        <w:br w:type="column"/>
      </w:r>
    </w:p>
    <w:p>
      <w:pPr>
        <w:ind w:right="140"/>
        <w:spacing w:after="0" w:line="265" w:lineRule="auto"/>
        <w:rPr>
          <w:sz w:val="20"/>
          <w:szCs w:val="20"/>
          <w:color w:val="auto"/>
        </w:rPr>
      </w:pPr>
      <w:r>
        <w:rPr>
          <w:rFonts w:ascii="Arial" w:cs="Arial" w:eastAsia="Arial" w:hAnsi="Arial"/>
          <w:sz w:val="17"/>
          <w:szCs w:val="17"/>
          <w:color w:val="auto"/>
        </w:rPr>
        <w:t>Revenue from Azure, comprising consumption-based services across non-GPU workloads, including compute, data and analytics, storage, networking, and security; and GPU workloads, including GPU infrastructure-as-a-service and Foundry</w:t>
      </w:r>
    </w:p>
    <w:p>
      <w:pPr>
        <w:spacing w:after="0" w:line="1" w:lineRule="exact"/>
        <w:rPr>
          <w:sz w:val="20"/>
          <w:szCs w:val="20"/>
          <w:color w:val="auto"/>
        </w:rPr>
      </w:pPr>
    </w:p>
    <w:p>
      <w:pPr>
        <w:sectPr>
          <w:pgSz w:w="11900" w:h="16838" w:orient="portrait"/>
          <w:cols w:equalWidth="0" w:num="2">
            <w:col w:w="3680" w:space="720"/>
            <w:col w:w="6840"/>
          </w:cols>
          <w:pgMar w:left="320" w:top="775" w:right="339" w:bottom="1440" w:gutter="0" w:footer="0" w:header="0"/>
          <w:type w:val="continuous"/>
        </w:sectPr>
      </w:pPr>
    </w:p>
    <w:p>
      <w:pPr>
        <w:ind w:left="80"/>
        <w:spacing w:after="0"/>
        <w:rPr>
          <w:sz w:val="20"/>
          <w:szCs w:val="20"/>
          <w:color w:val="auto"/>
        </w:rPr>
      </w:pPr>
      <w:r>
        <w:rPr>
          <w:rFonts w:ascii="Arial" w:cs="Arial" w:eastAsia="Arial" w:hAnsi="Arial"/>
          <w:sz w:val="17"/>
          <w:szCs w:val="17"/>
          <w:color w:val="auto"/>
        </w:rPr>
        <w:t>Microsoft 365 commercial cloud revenue growth</w:t>
      </w:r>
    </w:p>
    <w:p>
      <w:pPr>
        <w:spacing w:after="0" w:line="20" w:lineRule="exact"/>
        <w:rPr>
          <w:sz w:val="20"/>
          <w:szCs w:val="20"/>
          <w:color w:val="auto"/>
        </w:rPr>
      </w:pPr>
      <w:r>
        <w:rPr>
          <w:sz w:val="20"/>
          <w:szCs w:val="20"/>
          <w:color w:val="auto"/>
        </w:rPr>
        <w:br w:type="column"/>
      </w:r>
    </w:p>
    <w:p>
      <w:pPr>
        <w:ind w:right="40"/>
        <w:spacing w:after="0" w:line="250" w:lineRule="auto"/>
        <w:rPr>
          <w:sz w:val="20"/>
          <w:szCs w:val="20"/>
          <w:color w:val="auto"/>
        </w:rPr>
      </w:pPr>
      <w:r>
        <w:rPr>
          <w:rFonts w:ascii="Arial" w:cs="Arial" w:eastAsia="Arial" w:hAnsi="Arial"/>
          <w:sz w:val="18"/>
          <w:szCs w:val="18"/>
          <w:color w:val="auto"/>
        </w:rPr>
        <w:t>Revenue from Microsoft 365 commercial subscriptions and services, GitHub cloud and other cloud-based developer services, Microsoft 365 Copilot, GitHub Copilot, and security offerings including Agent 365 and Security Copilot</w:t>
      </w:r>
    </w:p>
    <w:p>
      <w:pPr>
        <w:spacing w:after="0" w:line="1" w:lineRule="exact"/>
        <w:rPr>
          <w:sz w:val="20"/>
          <w:szCs w:val="20"/>
          <w:color w:val="auto"/>
        </w:rPr>
      </w:pPr>
    </w:p>
    <w:p>
      <w:pPr>
        <w:sectPr>
          <w:pgSz w:w="11900" w:h="16838" w:orient="portrait"/>
          <w:cols w:equalWidth="0" w:num="2">
            <w:col w:w="3900" w:space="500"/>
            <w:col w:w="6840"/>
          </w:cols>
          <w:pgMar w:left="320" w:top="775" w:right="339" w:bottom="1440" w:gutter="0" w:footer="0" w:header="0"/>
          <w:type w:val="continuous"/>
        </w:sectPr>
      </w:pPr>
    </w:p>
    <w:p>
      <w:pPr>
        <w:ind w:left="80"/>
        <w:spacing w:after="0"/>
        <w:rPr>
          <w:sz w:val="20"/>
          <w:szCs w:val="20"/>
          <w:color w:val="auto"/>
        </w:rPr>
      </w:pPr>
      <w:r>
        <w:rPr>
          <w:rFonts w:ascii="Arial" w:cs="Arial" w:eastAsia="Arial" w:hAnsi="Arial"/>
          <w:sz w:val="18"/>
          <w:szCs w:val="18"/>
          <w:color w:val="auto"/>
        </w:rPr>
        <w:t>Microsoft 365 commercial seat growth</w:t>
      </w:r>
    </w:p>
    <w:p>
      <w:pPr>
        <w:spacing w:after="0" w:line="20" w:lineRule="exact"/>
        <w:rPr>
          <w:sz w:val="20"/>
          <w:szCs w:val="20"/>
          <w:color w:val="auto"/>
        </w:rPr>
      </w:pPr>
      <w:r>
        <w:rPr>
          <w:sz w:val="20"/>
          <w:szCs w:val="20"/>
          <w:color w:val="auto"/>
        </w:rPr>
        <w:br w:type="column"/>
      </w:r>
    </w:p>
    <w:p>
      <w:pPr>
        <w:ind w:right="420"/>
        <w:spacing w:after="0" w:line="250" w:lineRule="auto"/>
        <w:rPr>
          <w:sz w:val="20"/>
          <w:szCs w:val="20"/>
          <w:color w:val="auto"/>
        </w:rPr>
      </w:pPr>
      <w:r>
        <w:rPr>
          <w:rFonts w:ascii="Arial" w:cs="Arial" w:eastAsia="Arial" w:hAnsi="Arial"/>
          <w:sz w:val="18"/>
          <w:szCs w:val="18"/>
          <w:color w:val="auto"/>
        </w:rPr>
        <w:t>The number of Microsoft 365 commercial seats and GitHub cloud seats at end of period where seats are paid users covered by a Microsoft 365 commercial subscription or GitHub subscription</w:t>
      </w:r>
    </w:p>
    <w:p>
      <w:pPr>
        <w:spacing w:after="0" w:line="1" w:lineRule="exact"/>
        <w:rPr>
          <w:sz w:val="20"/>
          <w:szCs w:val="20"/>
          <w:color w:val="auto"/>
        </w:rPr>
      </w:pPr>
    </w:p>
    <w:p>
      <w:pPr>
        <w:sectPr>
          <w:pgSz w:w="11900" w:h="16838" w:orient="portrait"/>
          <w:cols w:equalWidth="0" w:num="2">
            <w:col w:w="3680" w:space="720"/>
            <w:col w:w="6840"/>
          </w:cols>
          <w:pgMar w:left="320" w:top="775" w:right="339" w:bottom="1440" w:gutter="0" w:footer="0" w:header="0"/>
          <w:type w:val="continuous"/>
        </w:sectPr>
      </w:pPr>
    </w:p>
    <w:p>
      <w:pPr>
        <w:ind w:left="80"/>
        <w:spacing w:after="0"/>
        <w:rPr>
          <w:sz w:val="20"/>
          <w:szCs w:val="20"/>
          <w:color w:val="auto"/>
        </w:rPr>
      </w:pPr>
      <w:r>
        <w:rPr>
          <w:rFonts w:ascii="Arial" w:cs="Arial" w:eastAsia="Arial" w:hAnsi="Arial"/>
          <w:sz w:val="18"/>
          <w:szCs w:val="18"/>
          <w:color w:val="auto"/>
        </w:rPr>
        <w:t>Microsoft 365 consumer cloud revenue growth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Revenue from Microsoft 365 consumer subscriptions and other consumer services</w:t>
      </w:r>
    </w:p>
    <w:p>
      <w:pPr>
        <w:spacing w:after="0" w:line="47" w:lineRule="exact"/>
        <w:rPr>
          <w:sz w:val="20"/>
          <w:szCs w:val="20"/>
          <w:color w:val="auto"/>
        </w:rPr>
      </w:pPr>
    </w:p>
    <w:p>
      <w:pPr>
        <w:sectPr>
          <w:pgSz w:w="11900" w:h="16838" w:orient="portrait"/>
          <w:cols w:equalWidth="0" w:num="2">
            <w:col w:w="3780" w:space="620"/>
            <w:col w:w="6840"/>
          </w:cols>
          <w:pgMar w:left="320" w:top="775" w:right="339" w:bottom="1440" w:gutter="0" w:footer="0" w:header="0"/>
          <w:type w:val="continuous"/>
        </w:sectPr>
      </w:pPr>
    </w:p>
    <w:p>
      <w:pPr>
        <w:ind w:left="80"/>
        <w:spacing w:after="0"/>
        <w:rPr>
          <w:sz w:val="20"/>
          <w:szCs w:val="20"/>
          <w:color w:val="auto"/>
        </w:rPr>
      </w:pPr>
      <w:r>
        <w:rPr>
          <w:rFonts w:ascii="Arial" w:cs="Arial" w:eastAsia="Arial" w:hAnsi="Arial"/>
          <w:sz w:val="18"/>
          <w:szCs w:val="18"/>
          <w:color w:val="auto"/>
        </w:rPr>
        <w:t>Industry solutions cloud revenue growth</w:t>
      </w:r>
    </w:p>
    <w:p>
      <w:pPr>
        <w:spacing w:after="0" w:line="20" w:lineRule="exact"/>
        <w:rPr>
          <w:sz w:val="20"/>
          <w:szCs w:val="20"/>
          <w:color w:val="auto"/>
        </w:rPr>
      </w:pPr>
      <w:r>
        <w:rPr>
          <w:sz w:val="20"/>
          <w:szCs w:val="20"/>
          <w:color w:val="auto"/>
        </w:rPr>
        <w:br w:type="column"/>
      </w:r>
    </w:p>
    <w:p>
      <w:pPr>
        <w:ind w:right="280"/>
        <w:spacing w:after="0" w:line="275" w:lineRule="auto"/>
        <w:rPr>
          <w:sz w:val="20"/>
          <w:szCs w:val="20"/>
          <w:color w:val="auto"/>
        </w:rPr>
      </w:pPr>
      <w:r>
        <w:rPr>
          <w:rFonts w:ascii="Arial" w:cs="Arial" w:eastAsia="Arial" w:hAnsi="Arial"/>
          <w:sz w:val="17"/>
          <w:szCs w:val="17"/>
          <w:color w:val="auto"/>
        </w:rPr>
        <w:t>Revenue from LinkedIn Talent Solutions and Sales Solutions, Dynamics 365 (including a set of intelligent, cloud-based applications across ERP, CRM, Service, Power Apps, and Power Automate), and Healthcare and Life Sciences cloud</w:t>
      </w:r>
    </w:p>
    <w:p>
      <w:pPr>
        <w:spacing w:after="0" w:line="200" w:lineRule="exact"/>
        <w:rPr>
          <w:sz w:val="20"/>
          <w:szCs w:val="20"/>
          <w:color w:val="auto"/>
        </w:rPr>
      </w:pPr>
    </w:p>
    <w:p>
      <w:pPr>
        <w:sectPr>
          <w:pgSz w:w="11900" w:h="16838" w:orient="portrait"/>
          <w:cols w:equalWidth="0" w:num="2">
            <w:col w:w="3680" w:space="720"/>
            <w:col w:w="6840"/>
          </w:cols>
          <w:pgMar w:left="320" w:top="775"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Devices and Consumer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Metrics related to our Devices and Consumer segment assess the performance of our key consumer businesses.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ind w:left="80"/>
              <w:spacing w:after="0"/>
              <w:rPr>
                <w:sz w:val="20"/>
                <w:szCs w:val="20"/>
                <w:color w:val="auto"/>
              </w:rPr>
            </w:pPr>
            <w:r>
              <w:rPr>
                <w:rFonts w:ascii="Arial" w:cs="Arial" w:eastAsia="Arial" w:hAnsi="Arial"/>
                <w:sz w:val="18"/>
                <w:szCs w:val="18"/>
                <w:color w:val="auto"/>
              </w:rPr>
              <w:t>Search and advertising revenue (ex TAC) growth</w:t>
            </w:r>
          </w:p>
        </w:tc>
        <w:tc>
          <w:tcPr>
            <w:tcW w:w="7060" w:type="dxa"/>
            <w:vAlign w:val="bottom"/>
          </w:tcPr>
          <w:p>
            <w:pPr>
              <w:ind w:left="220"/>
              <w:spacing w:after="0"/>
              <w:rPr>
                <w:sz w:val="20"/>
                <w:szCs w:val="20"/>
                <w:color w:val="auto"/>
              </w:rPr>
            </w:pPr>
            <w:r>
              <w:rPr>
                <w:rFonts w:ascii="Arial" w:cs="Arial" w:eastAsia="Arial" w:hAnsi="Arial"/>
                <w:sz w:val="18"/>
                <w:szCs w:val="18"/>
                <w:color w:val="auto"/>
              </w:rPr>
              <w:t>Revenue from search advertising excluding traffic acquisition costs (“TAC”) paid to</w:t>
            </w:r>
          </w:p>
        </w:tc>
      </w:tr>
      <w:tr>
        <w:trPr>
          <w:trHeight w:val="203"/>
        </w:trPr>
        <w:tc>
          <w:tcPr>
            <w:tcW w:w="4180" w:type="dxa"/>
            <w:vAlign w:val="bottom"/>
          </w:tcPr>
          <w:p>
            <w:pPr>
              <w:spacing w:after="0"/>
              <w:rPr>
                <w:sz w:val="17"/>
                <w:szCs w:val="17"/>
                <w:color w:val="auto"/>
              </w:rPr>
            </w:pPr>
          </w:p>
        </w:tc>
        <w:tc>
          <w:tcPr>
            <w:tcW w:w="7060" w:type="dxa"/>
            <w:vAlign w:val="bottom"/>
          </w:tcPr>
          <w:p>
            <w:pPr>
              <w:ind w:left="220"/>
              <w:spacing w:after="0" w:line="202" w:lineRule="exact"/>
              <w:rPr>
                <w:sz w:val="20"/>
                <w:szCs w:val="20"/>
                <w:color w:val="auto"/>
              </w:rPr>
            </w:pPr>
            <w:r>
              <w:rPr>
                <w:rFonts w:ascii="Arial" w:cs="Arial" w:eastAsia="Arial" w:hAnsi="Arial"/>
                <w:sz w:val="18"/>
                <w:szCs w:val="18"/>
                <w:color w:val="auto"/>
              </w:rPr>
              <w:t>Bing Ads network publishers and content partners, as well as revenue from LinkedIn</w:t>
            </w:r>
          </w:p>
        </w:tc>
      </w:tr>
      <w:tr>
        <w:trPr>
          <w:trHeight w:val="239"/>
        </w:trPr>
        <w:tc>
          <w:tcPr>
            <w:tcW w:w="4180" w:type="dxa"/>
            <w:vAlign w:val="bottom"/>
          </w:tcPr>
          <w:p>
            <w:pPr>
              <w:spacing w:after="0"/>
              <w:rPr>
                <w:sz w:val="20"/>
                <w:szCs w:val="20"/>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Marketing Solutions (ex TAC) and Premium Subscriptions</w:t>
            </w:r>
          </w:p>
        </w:tc>
      </w:tr>
      <w:tr>
        <w:trPr>
          <w:trHeight w:val="207"/>
        </w:trPr>
        <w:tc>
          <w:tcPr>
            <w:tcW w:w="4180" w:type="dxa"/>
            <w:vAlign w:val="bottom"/>
          </w:tcPr>
          <w:p>
            <w:pPr>
              <w:ind w:left="80"/>
              <w:spacing w:after="0"/>
              <w:rPr>
                <w:sz w:val="20"/>
                <w:szCs w:val="20"/>
                <w:color w:val="auto"/>
              </w:rPr>
            </w:pPr>
            <w:r>
              <w:rPr>
                <w:rFonts w:ascii="Arial" w:cs="Arial" w:eastAsia="Arial" w:hAnsi="Arial"/>
                <w:sz w:val="18"/>
                <w:szCs w:val="18"/>
                <w:color w:val="auto"/>
              </w:rPr>
              <w:t>XBOX content and services revenue growth</w:t>
            </w:r>
          </w:p>
        </w:tc>
        <w:tc>
          <w:tcPr>
            <w:tcW w:w="7060" w:type="dxa"/>
            <w:vAlign w:val="bottom"/>
          </w:tcPr>
          <w:p>
            <w:pPr>
              <w:ind w:left="220"/>
              <w:spacing w:after="0"/>
              <w:rPr>
                <w:sz w:val="20"/>
                <w:szCs w:val="20"/>
                <w:color w:val="auto"/>
              </w:rPr>
            </w:pPr>
            <w:r>
              <w:rPr>
                <w:rFonts w:ascii="Arial" w:cs="Arial" w:eastAsia="Arial" w:hAnsi="Arial"/>
                <w:sz w:val="18"/>
                <w:szCs w:val="18"/>
                <w:color w:val="auto"/>
              </w:rPr>
              <w:t>Revenue from XBOX content and services, comprising first- and third-party content</w:t>
            </w:r>
          </w:p>
        </w:tc>
      </w:tr>
      <w:tr>
        <w:trPr>
          <w:trHeight w:val="203"/>
        </w:trPr>
        <w:tc>
          <w:tcPr>
            <w:tcW w:w="4180" w:type="dxa"/>
            <w:vAlign w:val="bottom"/>
          </w:tcPr>
          <w:p>
            <w:pPr>
              <w:spacing w:after="0"/>
              <w:rPr>
                <w:sz w:val="17"/>
                <w:szCs w:val="17"/>
                <w:color w:val="auto"/>
              </w:rPr>
            </w:pPr>
          </w:p>
        </w:tc>
        <w:tc>
          <w:tcPr>
            <w:tcW w:w="7060" w:type="dxa"/>
            <w:vAlign w:val="bottom"/>
          </w:tcPr>
          <w:p>
            <w:pPr>
              <w:ind w:left="220"/>
              <w:spacing w:after="0" w:line="202" w:lineRule="exact"/>
              <w:rPr>
                <w:sz w:val="20"/>
                <w:szCs w:val="20"/>
                <w:color w:val="auto"/>
              </w:rPr>
            </w:pPr>
            <w:r>
              <w:rPr>
                <w:rFonts w:ascii="Arial" w:cs="Arial" w:eastAsia="Arial" w:hAnsi="Arial"/>
                <w:sz w:val="18"/>
                <w:szCs w:val="18"/>
                <w:color w:val="auto"/>
              </w:rPr>
              <w:t>(including games and in-game content), XBOX Game Pass and other subscriptions,</w:t>
            </w:r>
          </w:p>
        </w:tc>
      </w:tr>
      <w:tr>
        <w:trPr>
          <w:trHeight w:val="239"/>
        </w:trPr>
        <w:tc>
          <w:tcPr>
            <w:tcW w:w="4180" w:type="dxa"/>
            <w:vAlign w:val="bottom"/>
          </w:tcPr>
          <w:p>
            <w:pPr>
              <w:spacing w:after="0"/>
              <w:rPr>
                <w:sz w:val="20"/>
                <w:szCs w:val="20"/>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XBOX Cloud Gaming, advertising, and other cloud services</w:t>
            </w:r>
          </w:p>
        </w:tc>
      </w:tr>
      <w:tr>
        <w:trPr>
          <w:trHeight w:val="207"/>
        </w:trPr>
        <w:tc>
          <w:tcPr>
            <w:tcW w:w="4180" w:type="dxa"/>
            <w:vAlign w:val="bottom"/>
          </w:tcPr>
          <w:p>
            <w:pPr>
              <w:ind w:left="80"/>
              <w:spacing w:after="0"/>
              <w:rPr>
                <w:sz w:val="20"/>
                <w:szCs w:val="20"/>
                <w:color w:val="auto"/>
              </w:rPr>
            </w:pPr>
            <w:r>
              <w:rPr>
                <w:rFonts w:ascii="Arial" w:cs="Arial" w:eastAsia="Arial" w:hAnsi="Arial"/>
                <w:sz w:val="18"/>
                <w:szCs w:val="18"/>
                <w:color w:val="auto"/>
              </w:rPr>
              <w:t>Windows OEM and devices revenue growth</w:t>
            </w:r>
          </w:p>
        </w:tc>
        <w:tc>
          <w:tcPr>
            <w:tcW w:w="7060" w:type="dxa"/>
            <w:vAlign w:val="bottom"/>
          </w:tcPr>
          <w:p>
            <w:pPr>
              <w:ind w:left="220"/>
              <w:spacing w:after="0"/>
              <w:rPr>
                <w:sz w:val="20"/>
                <w:szCs w:val="20"/>
                <w:color w:val="auto"/>
              </w:rPr>
            </w:pPr>
            <w:r>
              <w:rPr>
                <w:rFonts w:ascii="Arial" w:cs="Arial" w:eastAsia="Arial" w:hAnsi="Arial"/>
                <w:sz w:val="18"/>
                <w:szCs w:val="18"/>
                <w:color w:val="auto"/>
              </w:rPr>
              <w:t>Revenue from sales of Windows Pro and non-Pro licenses sold through the OEM</w:t>
            </w:r>
          </w:p>
        </w:tc>
      </w:tr>
      <w:tr>
        <w:trPr>
          <w:trHeight w:val="203"/>
        </w:trPr>
        <w:tc>
          <w:tcPr>
            <w:tcW w:w="4180" w:type="dxa"/>
            <w:vAlign w:val="bottom"/>
          </w:tcPr>
          <w:p>
            <w:pPr>
              <w:spacing w:after="0"/>
              <w:rPr>
                <w:sz w:val="17"/>
                <w:szCs w:val="17"/>
                <w:color w:val="auto"/>
              </w:rPr>
            </w:pPr>
          </w:p>
        </w:tc>
        <w:tc>
          <w:tcPr>
            <w:tcW w:w="7060" w:type="dxa"/>
            <w:vAlign w:val="bottom"/>
          </w:tcPr>
          <w:p>
            <w:pPr>
              <w:ind w:left="220"/>
              <w:spacing w:after="0" w:line="202" w:lineRule="exact"/>
              <w:rPr>
                <w:sz w:val="20"/>
                <w:szCs w:val="20"/>
                <w:color w:val="auto"/>
              </w:rPr>
            </w:pPr>
            <w:r>
              <w:rPr>
                <w:rFonts w:ascii="Arial" w:cs="Arial" w:eastAsia="Arial" w:hAnsi="Arial"/>
                <w:sz w:val="18"/>
                <w:szCs w:val="18"/>
                <w:color w:val="auto"/>
              </w:rPr>
              <w:t>channel, first-party devices (including Surface and PC accessories), and related</w:t>
            </w:r>
          </w:p>
        </w:tc>
      </w:tr>
      <w:tr>
        <w:trPr>
          <w:trHeight w:val="239"/>
        </w:trPr>
        <w:tc>
          <w:tcPr>
            <w:tcW w:w="4180" w:type="dxa"/>
            <w:vAlign w:val="bottom"/>
          </w:tcPr>
          <w:p>
            <w:pPr>
              <w:spacing w:after="0"/>
              <w:rPr>
                <w:sz w:val="20"/>
                <w:szCs w:val="20"/>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Windows offerings beyond OEM licensing</w:t>
            </w:r>
          </w:p>
        </w:tc>
      </w:tr>
      <w:tr>
        <w:trPr>
          <w:trHeight w:val="595"/>
        </w:trPr>
        <w:tc>
          <w:tcPr>
            <w:tcW w:w="4180" w:type="dxa"/>
            <w:vAlign w:val="bottom"/>
          </w:tcPr>
          <w:p>
            <w:pPr>
              <w:spacing w:after="0"/>
              <w:rPr>
                <w:sz w:val="24"/>
                <w:szCs w:val="24"/>
                <w:color w:val="auto"/>
              </w:rPr>
            </w:pPr>
          </w:p>
        </w:tc>
        <w:tc>
          <w:tcPr>
            <w:tcW w:w="7060" w:type="dxa"/>
            <w:vAlign w:val="bottom"/>
          </w:tcPr>
          <w:p>
            <w:pPr>
              <w:ind w:left="1360"/>
              <w:spacing w:after="0"/>
              <w:rPr>
                <w:sz w:val="20"/>
                <w:szCs w:val="20"/>
                <w:color w:val="auto"/>
              </w:rPr>
            </w:pPr>
            <w:r>
              <w:rPr>
                <w:rFonts w:ascii="Arial" w:cs="Arial" w:eastAsia="Arial" w:hAnsi="Arial"/>
                <w:sz w:val="14"/>
                <w:szCs w:val="14"/>
                <w:color w:val="auto"/>
              </w:rPr>
              <w:t>31</w:t>
            </w:r>
          </w:p>
        </w:tc>
      </w:tr>
      <w:tr>
        <w:trPr>
          <w:trHeight w:val="609"/>
        </w:trPr>
        <w:tc>
          <w:tcPr>
            <w:tcW w:w="418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type w:val="continuous"/>
        </w:sectPr>
      </w:pPr>
    </w:p>
    <w:bookmarkStart w:id="31" w:name="page32"/>
    <w:bookmarkEnd w:id="31"/>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SUMMARY RESULTS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6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Pr>
          <w:p>
            <w:pPr>
              <w:jc w:val="right"/>
              <w:ind w:right="397"/>
              <w:spacing w:after="0"/>
              <w:rPr>
                <w:sz w:val="20"/>
                <w:szCs w:val="20"/>
                <w:color w:val="auto"/>
              </w:rPr>
            </w:pPr>
            <w:r>
              <w:rPr>
                <w:rFonts w:ascii="Arial" w:cs="Arial" w:eastAsia="Arial" w:hAnsi="Arial"/>
                <w:sz w:val="13"/>
                <w:szCs w:val="13"/>
                <w:b w:val="1"/>
                <w:bCs w:val="1"/>
                <w:color w:val="auto"/>
              </w:rPr>
              <w:t>Three Months Ended</w:t>
            </w:r>
          </w:p>
        </w:tc>
        <w:tc>
          <w:tcPr>
            <w:tcW w:w="13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7"/>
        </w:trPr>
        <w:tc>
          <w:tcPr>
            <w:tcW w:w="616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jc w:val="right"/>
              <w:ind w:right="397"/>
              <w:spacing w:after="0"/>
              <w:rPr>
                <w:sz w:val="20"/>
                <w:szCs w:val="20"/>
                <w:color w:val="auto"/>
              </w:rPr>
            </w:pPr>
            <w:r>
              <w:rPr>
                <w:rFonts w:ascii="Arial" w:cs="Arial" w:eastAsia="Arial" w:hAnsi="Arial"/>
                <w:sz w:val="13"/>
                <w:szCs w:val="13"/>
                <w:b w:val="1"/>
                <w:bCs w:val="1"/>
                <w:color w:val="auto"/>
              </w:rPr>
              <w:t>September 30,</w:t>
            </w:r>
          </w:p>
        </w:tc>
        <w:tc>
          <w:tcPr>
            <w:tcW w:w="13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21"/>
        </w:trPr>
        <w:tc>
          <w:tcPr>
            <w:tcW w:w="6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2026</w:t>
            </w:r>
          </w:p>
        </w:tc>
        <w:tc>
          <w:tcPr>
            <w:tcW w:w="2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2025</w:t>
            </w:r>
          </w:p>
        </w:tc>
        <w:tc>
          <w:tcPr>
            <w:tcW w:w="12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16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620" w:type="dxa"/>
            <w:vAlign w:val="bottom"/>
            <w:shd w:val="clear" w:color="auto" w:fill="E5E5E5"/>
          </w:tcPr>
          <w:p>
            <w:pPr>
              <w:jc w:val="right"/>
              <w:ind w:right="3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92,279</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E5E5E5"/>
          </w:tcPr>
          <w:p>
            <w:pPr>
              <w:jc w:val="right"/>
              <w:ind w:right="397"/>
              <w:spacing w:after="0"/>
              <w:rPr>
                <w:sz w:val="20"/>
                <w:szCs w:val="20"/>
                <w:color w:val="auto"/>
              </w:rPr>
            </w:pPr>
            <w:r>
              <w:rPr>
                <w:rFonts w:ascii="Arial" w:cs="Arial" w:eastAsia="Arial" w:hAnsi="Arial"/>
                <w:sz w:val="18"/>
                <w:szCs w:val="18"/>
                <w:color w:val="auto"/>
              </w:rPr>
              <w:t>77,673</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Gross margin</w:t>
            </w:r>
          </w:p>
        </w:tc>
        <w:tc>
          <w:tcPr>
            <w:tcW w:w="620" w:type="dxa"/>
            <w:vAlign w:val="bottom"/>
          </w:tcPr>
          <w:p>
            <w:pPr>
              <w:spacing w:after="0"/>
              <w:rPr>
                <w:sz w:val="17"/>
                <w:szCs w:val="17"/>
                <w:color w:val="auto"/>
              </w:rPr>
            </w:pPr>
          </w:p>
        </w:tc>
        <w:tc>
          <w:tcPr>
            <w:tcW w:w="106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62,559</w:t>
            </w:r>
          </w:p>
        </w:tc>
        <w:tc>
          <w:tcPr>
            <w:tcW w:w="220" w:type="dxa"/>
            <w:vAlign w:val="bottom"/>
          </w:tcPr>
          <w:p>
            <w:pPr>
              <w:spacing w:after="0"/>
              <w:rPr>
                <w:sz w:val="17"/>
                <w:szCs w:val="17"/>
                <w:color w:val="auto"/>
              </w:rPr>
            </w:pPr>
          </w:p>
        </w:tc>
        <w:tc>
          <w:tcPr>
            <w:tcW w:w="1820" w:type="dxa"/>
            <w:vAlign w:val="bottom"/>
          </w:tcPr>
          <w:p>
            <w:pPr>
              <w:jc w:val="right"/>
              <w:ind w:right="397"/>
              <w:spacing w:after="0" w:line="202" w:lineRule="exact"/>
              <w:rPr>
                <w:sz w:val="20"/>
                <w:szCs w:val="20"/>
                <w:color w:val="auto"/>
              </w:rPr>
            </w:pPr>
            <w:r>
              <w:rPr>
                <w:rFonts w:ascii="Arial" w:cs="Arial" w:eastAsia="Arial" w:hAnsi="Arial"/>
                <w:sz w:val="18"/>
                <w:szCs w:val="18"/>
                <w:color w:val="auto"/>
              </w:rPr>
              <w:t>53,630</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income</w:t>
            </w:r>
          </w:p>
        </w:tc>
        <w:tc>
          <w:tcPr>
            <w:tcW w:w="620" w:type="dxa"/>
            <w:vAlign w:val="bottom"/>
            <w:shd w:val="clear" w:color="auto" w:fill="E5E5E5"/>
          </w:tcPr>
          <w:p>
            <w:pPr>
              <w:spacing w:after="0"/>
              <w:rPr>
                <w:sz w:val="17"/>
                <w:szCs w:val="17"/>
                <w:color w:val="auto"/>
              </w:rPr>
            </w:pPr>
          </w:p>
        </w:tc>
        <w:tc>
          <w:tcPr>
            <w:tcW w:w="1060" w:type="dxa"/>
            <w:vAlign w:val="bottom"/>
            <w:shd w:val="clear" w:color="auto" w:fill="E5E5E5"/>
          </w:tcPr>
          <w:p>
            <w:pPr>
              <w:jc w:val="right"/>
              <w:ind w:right="13"/>
              <w:spacing w:after="0" w:line="202" w:lineRule="exact"/>
              <w:rPr>
                <w:sz w:val="20"/>
                <w:szCs w:val="20"/>
                <w:color w:val="auto"/>
              </w:rPr>
            </w:pPr>
            <w:r>
              <w:rPr>
                <w:rFonts w:ascii="Arial" w:cs="Arial" w:eastAsia="Arial" w:hAnsi="Arial"/>
                <w:sz w:val="18"/>
                <w:szCs w:val="18"/>
                <w:b w:val="1"/>
                <w:bCs w:val="1"/>
                <w:color w:val="auto"/>
              </w:rPr>
              <w:t>45,915</w:t>
            </w:r>
          </w:p>
        </w:tc>
        <w:tc>
          <w:tcPr>
            <w:tcW w:w="220" w:type="dxa"/>
            <w:vAlign w:val="bottom"/>
            <w:shd w:val="clear" w:color="auto" w:fill="E5E5E5"/>
          </w:tcPr>
          <w:p>
            <w:pPr>
              <w:spacing w:after="0"/>
              <w:rPr>
                <w:sz w:val="17"/>
                <w:szCs w:val="17"/>
                <w:color w:val="auto"/>
              </w:rPr>
            </w:pPr>
          </w:p>
        </w:tc>
        <w:tc>
          <w:tcPr>
            <w:tcW w:w="1820" w:type="dxa"/>
            <w:vAlign w:val="bottom"/>
            <w:shd w:val="clear" w:color="auto" w:fill="E5E5E5"/>
          </w:tcPr>
          <w:p>
            <w:pPr>
              <w:jc w:val="right"/>
              <w:ind w:right="397"/>
              <w:spacing w:after="0" w:line="202" w:lineRule="exact"/>
              <w:rPr>
                <w:sz w:val="20"/>
                <w:szCs w:val="20"/>
                <w:color w:val="auto"/>
              </w:rPr>
            </w:pPr>
            <w:r>
              <w:rPr>
                <w:rFonts w:ascii="Arial" w:cs="Arial" w:eastAsia="Arial" w:hAnsi="Arial"/>
                <w:sz w:val="18"/>
                <w:szCs w:val="18"/>
                <w:color w:val="auto"/>
              </w:rPr>
              <w:t>37,961</w:t>
            </w:r>
          </w:p>
        </w:tc>
        <w:tc>
          <w:tcPr>
            <w:tcW w:w="1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21%</w:t>
            </w:r>
          </w:p>
        </w:tc>
        <w:tc>
          <w:tcPr>
            <w:tcW w:w="1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36,629</w:t>
            </w:r>
          </w:p>
        </w:tc>
        <w:tc>
          <w:tcPr>
            <w:tcW w:w="220" w:type="dxa"/>
            <w:vAlign w:val="bottom"/>
          </w:tcPr>
          <w:p>
            <w:pPr>
              <w:spacing w:after="0"/>
              <w:rPr>
                <w:sz w:val="18"/>
                <w:szCs w:val="18"/>
                <w:color w:val="auto"/>
              </w:rPr>
            </w:pPr>
          </w:p>
        </w:tc>
        <w:tc>
          <w:tcPr>
            <w:tcW w:w="1820" w:type="dxa"/>
            <w:vAlign w:val="bottom"/>
          </w:tcPr>
          <w:p>
            <w:pPr>
              <w:jc w:val="right"/>
              <w:ind w:right="397"/>
              <w:spacing w:after="0"/>
              <w:rPr>
                <w:sz w:val="20"/>
                <w:szCs w:val="20"/>
                <w:color w:val="auto"/>
              </w:rPr>
            </w:pPr>
            <w:r>
              <w:rPr>
                <w:rFonts w:ascii="Arial" w:cs="Arial" w:eastAsia="Arial" w:hAnsi="Arial"/>
                <w:sz w:val="18"/>
                <w:szCs w:val="18"/>
                <w:color w:val="auto"/>
              </w:rPr>
              <w:t>27,747</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E5E5E5"/>
          </w:tcPr>
          <w:p>
            <w:pPr>
              <w:spacing w:after="0"/>
              <w:rPr>
                <w:sz w:val="20"/>
                <w:szCs w:val="20"/>
                <w:color w:val="auto"/>
              </w:rPr>
            </w:pPr>
            <w:r>
              <w:rPr>
                <w:rFonts w:ascii="Arial" w:cs="Arial" w:eastAsia="Arial" w:hAnsi="Arial"/>
                <w:sz w:val="18"/>
                <w:szCs w:val="18"/>
                <w:color w:val="auto"/>
              </w:rPr>
              <w:t>Diluted earnings per share</w:t>
            </w:r>
          </w:p>
        </w:tc>
        <w:tc>
          <w:tcPr>
            <w:tcW w:w="6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4.92</w:t>
            </w:r>
          </w:p>
        </w:tc>
        <w:tc>
          <w:tcPr>
            <w:tcW w:w="220" w:type="dxa"/>
            <w:vAlign w:val="bottom"/>
            <w:shd w:val="clear" w:color="auto" w:fill="E5E5E5"/>
          </w:tcPr>
          <w:p>
            <w:pPr>
              <w:spacing w:after="0"/>
              <w:rPr>
                <w:sz w:val="18"/>
                <w:szCs w:val="18"/>
                <w:color w:val="auto"/>
              </w:rPr>
            </w:pPr>
          </w:p>
        </w:tc>
        <w:tc>
          <w:tcPr>
            <w:tcW w:w="1820" w:type="dxa"/>
            <w:vAlign w:val="bottom"/>
            <w:shd w:val="clear" w:color="auto" w:fill="E5E5E5"/>
          </w:tcPr>
          <w:p>
            <w:pPr>
              <w:jc w:val="right"/>
              <w:ind w:right="397"/>
              <w:spacing w:after="0"/>
              <w:rPr>
                <w:sz w:val="20"/>
                <w:szCs w:val="20"/>
                <w:color w:val="auto"/>
              </w:rPr>
            </w:pPr>
            <w:r>
              <w:rPr>
                <w:rFonts w:ascii="Arial" w:cs="Arial" w:eastAsia="Arial" w:hAnsi="Arial"/>
                <w:sz w:val="18"/>
                <w:szCs w:val="18"/>
                <w:color w:val="auto"/>
              </w:rPr>
              <w:t>3.72</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6160" w:type="dxa"/>
            <w:vAlign w:val="bottom"/>
            <w:shd w:val="clear" w:color="auto" w:fill="E5E5E5"/>
          </w:tcPr>
          <w:p>
            <w:pPr>
              <w:spacing w:after="0"/>
              <w:rPr>
                <w:sz w:val="7"/>
                <w:szCs w:val="7"/>
                <w:color w:val="auto"/>
              </w:rPr>
            </w:pPr>
          </w:p>
        </w:tc>
        <w:tc>
          <w:tcPr>
            <w:tcW w:w="620" w:type="dxa"/>
            <w:vAlign w:val="bottom"/>
            <w:shd w:val="clear" w:color="auto" w:fill="E5E5E5"/>
          </w:tcPr>
          <w:p>
            <w:pPr>
              <w:spacing w:after="0"/>
              <w:rPr>
                <w:sz w:val="7"/>
                <w:szCs w:val="7"/>
                <w:color w:val="auto"/>
              </w:rPr>
            </w:pPr>
          </w:p>
        </w:tc>
        <w:tc>
          <w:tcPr>
            <w:tcW w:w="1060" w:type="dxa"/>
            <w:vAlign w:val="bottom"/>
            <w:shd w:val="clear" w:color="auto" w:fill="E5E5E5"/>
          </w:tcPr>
          <w:p>
            <w:pPr>
              <w:spacing w:after="0"/>
              <w:rPr>
                <w:sz w:val="7"/>
                <w:szCs w:val="7"/>
                <w:color w:val="auto"/>
              </w:rPr>
            </w:pPr>
          </w:p>
        </w:tc>
        <w:tc>
          <w:tcPr>
            <w:tcW w:w="220" w:type="dxa"/>
            <w:vAlign w:val="bottom"/>
            <w:shd w:val="clear" w:color="auto" w:fill="E5E5E5"/>
          </w:tcPr>
          <w:p>
            <w:pPr>
              <w:spacing w:after="0"/>
              <w:rPr>
                <w:sz w:val="7"/>
                <w:szCs w:val="7"/>
                <w:color w:val="auto"/>
              </w:rPr>
            </w:pPr>
          </w:p>
        </w:tc>
        <w:tc>
          <w:tcPr>
            <w:tcW w:w="1820" w:type="dxa"/>
            <w:vAlign w:val="bottom"/>
            <w:shd w:val="clear" w:color="auto" w:fill="E5E5E5"/>
          </w:tcPr>
          <w:p>
            <w:pPr>
              <w:spacing w:after="0"/>
              <w:rPr>
                <w:sz w:val="7"/>
                <w:szCs w:val="7"/>
                <w:color w:val="auto"/>
              </w:rPr>
            </w:pPr>
          </w:p>
        </w:tc>
        <w:tc>
          <w:tcPr>
            <w:tcW w:w="1200" w:type="dxa"/>
            <w:vAlign w:val="bottom"/>
            <w:shd w:val="clear" w:color="auto" w:fill="E5E5E5"/>
          </w:tcPr>
          <w:p>
            <w:pPr>
              <w:spacing w:after="0"/>
              <w:rPr>
                <w:sz w:val="7"/>
                <w:szCs w:val="7"/>
                <w:color w:val="auto"/>
              </w:rPr>
            </w:pPr>
          </w:p>
        </w:tc>
        <w:tc>
          <w:tcPr>
            <w:tcW w:w="16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Adjusted net income (non-GAAP)</w:t>
            </w:r>
          </w:p>
        </w:tc>
        <w:tc>
          <w:tcPr>
            <w:tcW w:w="62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36,422</w:t>
            </w:r>
          </w:p>
        </w:tc>
        <w:tc>
          <w:tcPr>
            <w:tcW w:w="220" w:type="dxa"/>
            <w:vAlign w:val="bottom"/>
          </w:tcPr>
          <w:p>
            <w:pPr>
              <w:spacing w:after="0"/>
              <w:rPr>
                <w:sz w:val="18"/>
                <w:szCs w:val="18"/>
                <w:color w:val="auto"/>
              </w:rPr>
            </w:pPr>
          </w:p>
        </w:tc>
        <w:tc>
          <w:tcPr>
            <w:tcW w:w="1820" w:type="dxa"/>
            <w:vAlign w:val="bottom"/>
          </w:tcPr>
          <w:p>
            <w:pPr>
              <w:jc w:val="right"/>
              <w:ind w:right="397"/>
              <w:spacing w:after="0"/>
              <w:rPr>
                <w:sz w:val="20"/>
                <w:szCs w:val="20"/>
                <w:color w:val="auto"/>
              </w:rPr>
            </w:pPr>
            <w:r>
              <w:rPr>
                <w:rFonts w:ascii="Arial" w:cs="Arial" w:eastAsia="Arial" w:hAnsi="Arial"/>
                <w:sz w:val="18"/>
                <w:szCs w:val="18"/>
                <w:color w:val="auto"/>
              </w:rPr>
              <w:t>30,833</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E5E5E5"/>
          </w:tcPr>
          <w:p>
            <w:pPr>
              <w:spacing w:after="0"/>
              <w:rPr>
                <w:sz w:val="20"/>
                <w:szCs w:val="20"/>
                <w:color w:val="auto"/>
              </w:rPr>
            </w:pPr>
            <w:r>
              <w:rPr>
                <w:rFonts w:ascii="Arial" w:cs="Arial" w:eastAsia="Arial" w:hAnsi="Arial"/>
                <w:sz w:val="18"/>
                <w:szCs w:val="18"/>
                <w:color w:val="auto"/>
              </w:rPr>
              <w:t>Adjusted diluted earnings per share (non-GAAP)</w:t>
            </w:r>
          </w:p>
        </w:tc>
        <w:tc>
          <w:tcPr>
            <w:tcW w:w="6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4.89</w:t>
            </w:r>
          </w:p>
        </w:tc>
        <w:tc>
          <w:tcPr>
            <w:tcW w:w="220" w:type="dxa"/>
            <w:vAlign w:val="bottom"/>
            <w:shd w:val="clear" w:color="auto" w:fill="E5E5E5"/>
          </w:tcPr>
          <w:p>
            <w:pPr>
              <w:spacing w:after="0"/>
              <w:rPr>
                <w:sz w:val="18"/>
                <w:szCs w:val="18"/>
                <w:color w:val="auto"/>
              </w:rPr>
            </w:pPr>
          </w:p>
        </w:tc>
        <w:tc>
          <w:tcPr>
            <w:tcW w:w="1820" w:type="dxa"/>
            <w:vAlign w:val="bottom"/>
            <w:shd w:val="clear" w:color="auto" w:fill="E5E5E5"/>
          </w:tcPr>
          <w:p>
            <w:pPr>
              <w:jc w:val="right"/>
              <w:ind w:right="397"/>
              <w:spacing w:after="0"/>
              <w:rPr>
                <w:sz w:val="20"/>
                <w:szCs w:val="20"/>
                <w:color w:val="auto"/>
              </w:rPr>
            </w:pPr>
            <w:r>
              <w:rPr>
                <w:rFonts w:ascii="Arial" w:cs="Arial" w:eastAsia="Arial" w:hAnsi="Arial"/>
                <w:sz w:val="18"/>
                <w:szCs w:val="18"/>
                <w:color w:val="auto"/>
              </w:rPr>
              <w:t>4.13</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6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Adjusted net income and adjusted diluted earnings per share (“EPS”) are non-GAAP financial measures. These non-GAAP financial measures exclude net gains and losses from investments in OpenAI. Refer to the Non-GAAP Financial Measures section below for a reconciliation of our financial results reported in accordance with GAAP to non-GAAP financial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2026 Compared with Three Months Ended September 30, 2025</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Revenue increased $14.6 billion or 19% driven by growth in Agents and Infra. Agents and Infra revenue increased driven by Azure. Devices and Consumer revenue decreased driven by Windows OEM and devices, offset in part by growth in Search and advertising.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increased $5.7 billion or 24% driven by growth in Agents and Infra.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Gross margin increased $8.9 billion or 17%.</w:t>
      </w:r>
    </w:p>
    <w:p>
      <w:pPr>
        <w:spacing w:after="0" w:line="77" w:lineRule="exact"/>
        <w:rPr>
          <w:sz w:val="20"/>
          <w:szCs w:val="20"/>
          <w:color w:val="auto"/>
        </w:rPr>
      </w:pPr>
    </w:p>
    <w:p>
      <w:pPr>
        <w:ind w:left="1020" w:hanging="368"/>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Cloud gross margin percentage decreased to 66% driven by sales mix shift to Azure, offset in part by product-level margin improvements, primarily in Azure.</w:t>
      </w:r>
    </w:p>
    <w:p>
      <w:pPr>
        <w:spacing w:after="0" w:line="10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Operating expenses increased $975 million or 6% driven by continued investments in research and development compute capacity and talent. Total company headcount decreased 2%.</w:t>
      </w:r>
    </w:p>
    <w:p>
      <w:pPr>
        <w:spacing w:after="0" w:line="10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Operating income increased $8.0 billion or 21% driven by growth in Agents and Infra. Operating income percentage increased slightly driven by strong revenue growth, platform efficiency gains, and focused investments across our portfolio, offset in part by sales mix shift to Azure.</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Current year net income and diluted EPS were positively impacted by net gains from investments in OpenAI, which resulted in an increase in net income and diluted EPS of $207 million and $0.03, respectively. Prior year net income and diluted EPS were negatively impacted by net losses from investments in OpenAI, which resulted in a decrease in net income and diluted EPS of $3.1 billion and $0.41,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2" w:name="page33"/>
    <w:bookmarkEnd w:id="32"/>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SEGMENT RESULTS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2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Three Months Ended</w:t>
            </w:r>
          </w:p>
        </w:tc>
        <w:tc>
          <w:tcPr>
            <w:tcW w:w="13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7"/>
        </w:trPr>
        <w:tc>
          <w:tcPr>
            <w:tcW w:w="63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September 30,</w:t>
            </w:r>
          </w:p>
        </w:tc>
        <w:tc>
          <w:tcPr>
            <w:tcW w:w="13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12"/>
        </w:trPr>
        <w:tc>
          <w:tcPr>
            <w:tcW w:w="63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3"/>
                <w:szCs w:val="13"/>
                <w:b w:val="1"/>
                <w:bCs w:val="1"/>
                <w:color w:val="auto"/>
              </w:rPr>
              <w:t>2025</w:t>
            </w: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20" w:type="dxa"/>
            <w:vAlign w:val="bottom"/>
          </w:tcPr>
          <w:p>
            <w:pPr>
              <w:spacing w:after="0"/>
              <w:rPr>
                <w:sz w:val="20"/>
                <w:szCs w:val="20"/>
                <w:color w:val="auto"/>
              </w:rPr>
            </w:pPr>
            <w:r>
              <w:rPr>
                <w:rFonts w:ascii="Arial" w:cs="Arial" w:eastAsia="Arial" w:hAnsi="Arial"/>
                <w:sz w:val="13"/>
                <w:szCs w:val="13"/>
                <w:b w:val="1"/>
                <w:bCs w:val="1"/>
                <w:color w:val="auto"/>
              </w:rPr>
              <w:t>Agents and Infra</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32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500" w:type="dxa"/>
            <w:vAlign w:val="bottom"/>
            <w:shd w:val="clear" w:color="auto" w:fill="E5E5E5"/>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76,795</w:t>
            </w:r>
          </w:p>
        </w:tc>
        <w:tc>
          <w:tcPr>
            <w:tcW w:w="240" w:type="dxa"/>
            <w:vAlign w:val="bottom"/>
            <w:shd w:val="clear" w:color="auto" w:fill="E5E5E5"/>
          </w:tcPr>
          <w:p>
            <w:pPr>
              <w:spacing w:after="0"/>
              <w:rPr>
                <w:sz w:val="18"/>
                <w:szCs w:val="18"/>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E5E5E5"/>
          </w:tcPr>
          <w:p>
            <w:pPr>
              <w:jc w:val="right"/>
              <w:ind w:right="460"/>
              <w:spacing w:after="0"/>
              <w:rPr>
                <w:sz w:val="20"/>
                <w:szCs w:val="20"/>
                <w:color w:val="auto"/>
              </w:rPr>
            </w:pPr>
            <w:r>
              <w:rPr>
                <w:rFonts w:ascii="Arial" w:cs="Arial" w:eastAsia="Arial" w:hAnsi="Arial"/>
                <w:sz w:val="18"/>
                <w:szCs w:val="18"/>
                <w:color w:val="auto"/>
              </w:rPr>
              <w:t>61,672</w:t>
            </w:r>
          </w:p>
        </w:tc>
        <w:tc>
          <w:tcPr>
            <w:tcW w:w="130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5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23,887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17,701</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6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expenses</w:t>
            </w:r>
          </w:p>
        </w:tc>
        <w:tc>
          <w:tcPr>
            <w:tcW w:w="50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12,350</w:t>
            </w:r>
          </w:p>
        </w:tc>
        <w:tc>
          <w:tcPr>
            <w:tcW w:w="2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800" w:type="dxa"/>
            <w:vAlign w:val="bottom"/>
            <w:gridSpan w:val="2"/>
            <w:shd w:val="clear" w:color="auto" w:fill="E5E5E5"/>
          </w:tcPr>
          <w:p>
            <w:pPr>
              <w:jc w:val="right"/>
              <w:ind w:right="460"/>
              <w:spacing w:after="0" w:line="202" w:lineRule="exact"/>
              <w:rPr>
                <w:sz w:val="20"/>
                <w:szCs w:val="20"/>
                <w:color w:val="auto"/>
              </w:rPr>
            </w:pPr>
            <w:r>
              <w:rPr>
                <w:rFonts w:ascii="Arial" w:cs="Arial" w:eastAsia="Arial" w:hAnsi="Arial"/>
                <w:sz w:val="18"/>
                <w:szCs w:val="18"/>
                <w:color w:val="auto"/>
              </w:rPr>
              <w:t>11,253</w:t>
            </w:r>
          </w:p>
        </w:tc>
        <w:tc>
          <w:tcPr>
            <w:tcW w:w="13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
        </w:trPr>
        <w:tc>
          <w:tcPr>
            <w:tcW w:w="63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632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40,558</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460"/>
              <w:spacing w:after="0"/>
              <w:rPr>
                <w:sz w:val="20"/>
                <w:szCs w:val="20"/>
                <w:color w:val="auto"/>
              </w:rPr>
            </w:pPr>
            <w:r>
              <w:rPr>
                <w:rFonts w:ascii="Arial" w:cs="Arial" w:eastAsia="Arial" w:hAnsi="Arial"/>
                <w:sz w:val="18"/>
                <w:szCs w:val="18"/>
                <w:color w:val="auto"/>
              </w:rPr>
              <w:t>32,718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1"/>
        </w:trPr>
        <w:tc>
          <w:tcPr>
            <w:tcW w:w="6320" w:type="dxa"/>
            <w:vAlign w:val="bottom"/>
          </w:tcPr>
          <w:p>
            <w:pPr>
              <w:spacing w:after="0"/>
              <w:rPr>
                <w:sz w:val="20"/>
                <w:szCs w:val="20"/>
                <w:color w:val="auto"/>
              </w:rPr>
            </w:pPr>
            <w:r>
              <w:rPr>
                <w:rFonts w:ascii="Arial" w:cs="Arial" w:eastAsia="Arial" w:hAnsi="Arial"/>
                <w:sz w:val="13"/>
                <w:szCs w:val="13"/>
                <w:b w:val="1"/>
                <w:bCs w:val="1"/>
                <w:color w:val="auto"/>
              </w:rPr>
              <w:t>Devices and Consumer</w:t>
            </w:r>
          </w:p>
        </w:tc>
        <w:tc>
          <w:tcPr>
            <w:tcW w:w="5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32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500" w:type="dxa"/>
            <w:vAlign w:val="bottom"/>
            <w:shd w:val="clear" w:color="auto" w:fill="E5E5E5"/>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15,484</w:t>
            </w:r>
          </w:p>
        </w:tc>
        <w:tc>
          <w:tcPr>
            <w:tcW w:w="240" w:type="dxa"/>
            <w:vAlign w:val="bottom"/>
            <w:shd w:val="clear" w:color="auto" w:fill="E5E5E5"/>
          </w:tcPr>
          <w:p>
            <w:pPr>
              <w:spacing w:after="0"/>
              <w:rPr>
                <w:sz w:val="18"/>
                <w:szCs w:val="18"/>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E5E5E5"/>
          </w:tcPr>
          <w:p>
            <w:pPr>
              <w:jc w:val="right"/>
              <w:ind w:right="460"/>
              <w:spacing w:after="0"/>
              <w:rPr>
                <w:sz w:val="20"/>
                <w:szCs w:val="20"/>
                <w:color w:val="auto"/>
              </w:rPr>
            </w:pPr>
            <w:r>
              <w:rPr>
                <w:rFonts w:ascii="Arial" w:cs="Arial" w:eastAsia="Arial" w:hAnsi="Arial"/>
                <w:sz w:val="18"/>
                <w:szCs w:val="18"/>
                <w:color w:val="auto"/>
              </w:rPr>
              <w:t>16,001</w:t>
            </w:r>
          </w:p>
        </w:tc>
        <w:tc>
          <w:tcPr>
            <w:tcW w:w="130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5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5,833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6,342</w:t>
            </w: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6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expenses</w:t>
            </w:r>
          </w:p>
        </w:tc>
        <w:tc>
          <w:tcPr>
            <w:tcW w:w="50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4,294</w:t>
            </w:r>
          </w:p>
        </w:tc>
        <w:tc>
          <w:tcPr>
            <w:tcW w:w="2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800" w:type="dxa"/>
            <w:vAlign w:val="bottom"/>
            <w:gridSpan w:val="2"/>
            <w:shd w:val="clear" w:color="auto" w:fill="E5E5E5"/>
          </w:tcPr>
          <w:p>
            <w:pPr>
              <w:jc w:val="right"/>
              <w:ind w:right="460"/>
              <w:spacing w:after="0" w:line="202" w:lineRule="exact"/>
              <w:rPr>
                <w:sz w:val="20"/>
                <w:szCs w:val="20"/>
                <w:color w:val="auto"/>
              </w:rPr>
            </w:pPr>
            <w:r>
              <w:rPr>
                <w:rFonts w:ascii="Arial" w:cs="Arial" w:eastAsia="Arial" w:hAnsi="Arial"/>
                <w:sz w:val="18"/>
                <w:szCs w:val="18"/>
                <w:color w:val="auto"/>
              </w:rPr>
              <w:t>4,416</w:t>
            </w:r>
          </w:p>
        </w:tc>
        <w:tc>
          <w:tcPr>
            <w:tcW w:w="13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
        </w:trPr>
        <w:tc>
          <w:tcPr>
            <w:tcW w:w="63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632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5,357</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460"/>
              <w:spacing w:after="0"/>
              <w:rPr>
                <w:sz w:val="20"/>
                <w:szCs w:val="20"/>
                <w:color w:val="auto"/>
              </w:rPr>
            </w:pPr>
            <w:r>
              <w:rPr>
                <w:rFonts w:ascii="Arial" w:cs="Arial" w:eastAsia="Arial" w:hAnsi="Arial"/>
                <w:sz w:val="18"/>
                <w:szCs w:val="18"/>
                <w:color w:val="auto"/>
              </w:rPr>
              <w:t>5,243</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1"/>
        </w:trPr>
        <w:tc>
          <w:tcPr>
            <w:tcW w:w="632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5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32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500" w:type="dxa"/>
            <w:vAlign w:val="bottom"/>
            <w:shd w:val="clear" w:color="auto" w:fill="E5E5E5"/>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92,279</w:t>
            </w:r>
          </w:p>
        </w:tc>
        <w:tc>
          <w:tcPr>
            <w:tcW w:w="240" w:type="dxa"/>
            <w:vAlign w:val="bottom"/>
            <w:shd w:val="clear" w:color="auto" w:fill="E5E5E5"/>
          </w:tcPr>
          <w:p>
            <w:pPr>
              <w:spacing w:after="0"/>
              <w:rPr>
                <w:sz w:val="18"/>
                <w:szCs w:val="18"/>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E5E5E5"/>
          </w:tcPr>
          <w:p>
            <w:pPr>
              <w:jc w:val="right"/>
              <w:ind w:right="460"/>
              <w:spacing w:after="0"/>
              <w:rPr>
                <w:sz w:val="20"/>
                <w:szCs w:val="20"/>
                <w:color w:val="auto"/>
              </w:rPr>
            </w:pPr>
            <w:r>
              <w:rPr>
                <w:rFonts w:ascii="Arial" w:cs="Arial" w:eastAsia="Arial" w:hAnsi="Arial"/>
                <w:sz w:val="18"/>
                <w:szCs w:val="18"/>
                <w:color w:val="auto"/>
              </w:rPr>
              <w:t>77,673</w:t>
            </w:r>
          </w:p>
        </w:tc>
        <w:tc>
          <w:tcPr>
            <w:tcW w:w="130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5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29,720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24,043</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6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expenses</w:t>
            </w:r>
          </w:p>
        </w:tc>
        <w:tc>
          <w:tcPr>
            <w:tcW w:w="50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16,644</w:t>
            </w:r>
          </w:p>
        </w:tc>
        <w:tc>
          <w:tcPr>
            <w:tcW w:w="2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800" w:type="dxa"/>
            <w:vAlign w:val="bottom"/>
            <w:gridSpan w:val="2"/>
            <w:shd w:val="clear" w:color="auto" w:fill="E5E5E5"/>
          </w:tcPr>
          <w:p>
            <w:pPr>
              <w:jc w:val="right"/>
              <w:ind w:right="460"/>
              <w:spacing w:after="0" w:line="202" w:lineRule="exact"/>
              <w:rPr>
                <w:sz w:val="20"/>
                <w:szCs w:val="20"/>
                <w:color w:val="auto"/>
              </w:rPr>
            </w:pPr>
            <w:r>
              <w:rPr>
                <w:rFonts w:ascii="Arial" w:cs="Arial" w:eastAsia="Arial" w:hAnsi="Arial"/>
                <w:sz w:val="18"/>
                <w:szCs w:val="18"/>
                <w:color w:val="auto"/>
              </w:rPr>
              <w:t>15,669</w:t>
            </w:r>
          </w:p>
        </w:tc>
        <w:tc>
          <w:tcPr>
            <w:tcW w:w="13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0"/>
        </w:trPr>
        <w:tc>
          <w:tcPr>
            <w:tcW w:w="63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632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45,915</w:t>
            </w:r>
          </w:p>
        </w:tc>
        <w:tc>
          <w:tcPr>
            <w:tcW w:w="24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37,961</w:t>
            </w:r>
          </w:p>
        </w:tc>
        <w:tc>
          <w:tcPr>
            <w:tcW w:w="46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2026 Compared with Three Months Ended September 30, 2025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Agents and Infra</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$15.1 billion or 25%.</w:t>
      </w:r>
    </w:p>
    <w:p>
      <w:pPr>
        <w:spacing w:after="0" w:line="77" w:lineRule="exact"/>
        <w:rPr>
          <w:sz w:val="20"/>
          <w:szCs w:val="20"/>
          <w:color w:val="auto"/>
        </w:rPr>
      </w:pPr>
    </w:p>
    <w:p>
      <w:pPr>
        <w:ind w:left="1020" w:hanging="368"/>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Azure revenue increased $10.8 billion or 48% driven by demand for services across the platform with continued growth across all workloads.</w:t>
      </w:r>
    </w:p>
    <w:p>
      <w:pPr>
        <w:spacing w:after="0" w:line="19" w:lineRule="exact"/>
        <w:rPr>
          <w:rFonts w:ascii="Times New Roman" w:cs="Times New Roman" w:eastAsia="Times New Roman" w:hAnsi="Times New Roman"/>
          <w:sz w:val="18"/>
          <w:szCs w:val="18"/>
          <w:color w:val="auto"/>
        </w:rPr>
      </w:pPr>
    </w:p>
    <w:p>
      <w:pPr>
        <w:jc w:val="both"/>
        <w:ind w:left="1020" w:hanging="368"/>
        <w:spacing w:after="0" w:line="242"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cloud revenue increased $4.1 billion or 17% driven by Microsoft 365 commercial cloud. Microsoft 365 commercial cloud revenue increased 17% driven by higher revenue per user, reflecting continued upsell to premium seat offerings, including Microsoft 365 Copilot, E5, and E7, as well as increased consumption of usage-based services, primarily in GitHub Copilot. Microsoft 365 commercial seats grew 5% driven by installed base expansion across all customer segments, primarily small and medium business and frontline worker offerings. Microsoft 365 consumer cloud revenue increased 17% driven by growth in revenue per user and Microsoft 365 consumer subscriber growth of 7%.</w:t>
      </w:r>
    </w:p>
    <w:p>
      <w:pPr>
        <w:spacing w:after="0" w:line="42"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Productivity and server licensing revenue decreased $271 million or 3% driven by a decrease in transactional purchasing as we lap the benefit from product launches in the prior year, offset in part by a greater mix of contracts that carry higher in-period revenue recognition.</w:t>
      </w:r>
    </w:p>
    <w:p>
      <w:pPr>
        <w:spacing w:after="0" w:line="35"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Industry solutions revenue increased $443 million or 9% driven by growth in Industry solutions cloud. Industry solutions cloud revenue increased 10% with growth in Dynamics 365 and LinkedIn Talent Solutions.</w:t>
      </w:r>
    </w:p>
    <w:p>
      <w:pPr>
        <w:spacing w:after="0" w:line="19"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Frontier and support services revenue increased $86 million or 4% driven by growth in Customer Success Support (formerly Enterprise Support Services).</w:t>
      </w:r>
    </w:p>
    <w:p>
      <w:pPr>
        <w:spacing w:after="0" w:line="10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Operating income increased $7.8 billion or 24%. Operating income percentage decreased slightly as strong revenue growth, platform efficiency gains, and focused investments across our portfolio were more than offset by sales mix shift to Azure.</w:t>
      </w:r>
    </w:p>
    <w:p>
      <w:pPr>
        <w:spacing w:after="0" w:line="19" w:lineRule="exact"/>
        <w:rPr>
          <w:sz w:val="20"/>
          <w:szCs w:val="20"/>
          <w:color w:val="auto"/>
        </w:rPr>
      </w:pPr>
    </w:p>
    <w:p>
      <w:pPr>
        <w:ind w:left="1020" w:right="20" w:hanging="368"/>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Cost of revenue increased $6.2 billion or 35% driven by investments in datacenter infrastructure to support growing customer demand across Azure and Microsoft 365 cloud.</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$8.9 billion or 20%.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3" w:name="page34"/>
    <w:bookmarkEnd w:id="33"/>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51" w:lineRule="exact"/>
        <w:rPr>
          <w:sz w:val="20"/>
          <w:szCs w:val="20"/>
          <w:color w:val="auto"/>
        </w:rPr>
      </w:pPr>
    </w:p>
    <w:p>
      <w:pPr>
        <w:ind w:left="1020" w:right="20" w:hanging="368"/>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$1.1 billion or 10% driven by continued investments in research and development compute capacity and talent.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Devices and Consumer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decreased $517 million or 3%.</w:t>
      </w:r>
    </w:p>
    <w:p>
      <w:pPr>
        <w:spacing w:after="0" w:line="77" w:lineRule="exact"/>
        <w:rPr>
          <w:sz w:val="20"/>
          <w:szCs w:val="20"/>
          <w:color w:val="auto"/>
        </w:rPr>
      </w:pPr>
    </w:p>
    <w:p>
      <w:pPr>
        <w:ind w:left="1020" w:hanging="368"/>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Search and advertising revenue increased $612 million or 10%. Search and advertising revenue excluding traffic acquisition costs increased 12% driven by higher rate and volume across LinkedIn, Edge, and Bing.</w:t>
      </w:r>
    </w:p>
    <w:p>
      <w:pPr>
        <w:spacing w:after="0" w:line="19"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XBOX revenue decreased $129 million or 2% driven by declines in XBOX content and services and XBOX hardware. XBOX content and services revenue decreased 2% driven by declines in third-party content and XBOX Game Pass, offset in part by growth in first-party content. XBOX hardware revenue declined 14% driven by lower volume of consoles sold.</w:t>
      </w:r>
    </w:p>
    <w:p>
      <w:pPr>
        <w:spacing w:after="0" w:line="35"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Windows OEM and devices revenue decreased $1.0 billion or 22% driven by the benefit from Windows 10 end of support demand in the prior-year, inventory drawdowns by OEM and channel partners, as well as weaker PC market demand.</w:t>
      </w:r>
    </w:p>
    <w:p>
      <w:pPr>
        <w:spacing w:after="0" w:line="10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Operating income increased $114 million or 2%. Operating income percentage increased driven by lower amortization of intangible assets from the Activision Blizzard acquisition, offset in part by the impact from a lower mix of Windows OEM revenue.</w:t>
      </w:r>
    </w:p>
    <w:p>
      <w:pPr>
        <w:spacing w:after="0" w:line="19" w:lineRule="exact"/>
        <w:rPr>
          <w:sz w:val="20"/>
          <w:szCs w:val="20"/>
          <w:color w:val="auto"/>
        </w:rPr>
      </w:pPr>
    </w:p>
    <w:p>
      <w:pPr>
        <w:ind w:left="1020" w:hanging="368"/>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Cost of revenue decreased $509 million or 8% driven by lower amortization of intangible assets from the Activision Blizzard acquisition.</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was relatively unchanged.</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decreased $122 million or 3% driven by XBOX, offset in part by continued investments in research and development compute capacity and talent.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2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tcPr>
          <w:p>
            <w:pPr>
              <w:jc w:val="right"/>
              <w:ind w:right="364"/>
              <w:spacing w:after="0"/>
              <w:rPr>
                <w:sz w:val="20"/>
                <w:szCs w:val="20"/>
                <w:color w:val="auto"/>
              </w:rPr>
            </w:pPr>
            <w:r>
              <w:rPr>
                <w:rFonts w:ascii="Arial" w:cs="Arial" w:eastAsia="Arial" w:hAnsi="Arial"/>
                <w:sz w:val="13"/>
                <w:szCs w:val="13"/>
                <w:b w:val="1"/>
                <w:bCs w:val="1"/>
                <w:color w:val="auto"/>
              </w:rPr>
              <w:t>Three Months Ended</w:t>
            </w:r>
          </w:p>
        </w:tc>
        <w:tc>
          <w:tcPr>
            <w:tcW w:w="13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7"/>
        </w:trPr>
        <w:tc>
          <w:tcPr>
            <w:tcW w:w="4260" w:type="dxa"/>
            <w:vAlign w:val="bottom"/>
            <w:vMerge w:val="continue"/>
          </w:tcPr>
          <w:p>
            <w:pPr>
              <w:spacing w:after="0"/>
              <w:rPr>
                <w:sz w:val="17"/>
                <w:szCs w:val="17"/>
                <w:color w:val="auto"/>
              </w:rPr>
            </w:pPr>
          </w:p>
        </w:tc>
        <w:tc>
          <w:tcPr>
            <w:tcW w:w="2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64"/>
              <w:spacing w:after="0"/>
              <w:rPr>
                <w:sz w:val="20"/>
                <w:szCs w:val="20"/>
                <w:color w:val="auto"/>
              </w:rPr>
            </w:pPr>
            <w:r>
              <w:rPr>
                <w:rFonts w:ascii="Arial" w:cs="Arial" w:eastAsia="Arial" w:hAnsi="Arial"/>
                <w:sz w:val="13"/>
                <w:szCs w:val="13"/>
                <w:b w:val="1"/>
                <w:bCs w:val="1"/>
                <w:color w:val="auto"/>
              </w:rPr>
              <w:t>September 30,</w:t>
            </w:r>
          </w:p>
        </w:tc>
        <w:tc>
          <w:tcPr>
            <w:tcW w:w="13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21"/>
        </w:trPr>
        <w:tc>
          <w:tcPr>
            <w:tcW w:w="4260" w:type="dxa"/>
            <w:vAlign w:val="bottom"/>
            <w:tcBorders>
              <w:top w:val="single" w:sz="8" w:color="auto"/>
            </w:tcBorders>
          </w:tcPr>
          <w:p>
            <w:pPr>
              <w:spacing w:after="0"/>
              <w:rPr>
                <w:sz w:val="19"/>
                <w:szCs w:val="19"/>
                <w:color w:val="auto"/>
              </w:rPr>
            </w:pPr>
          </w:p>
        </w:tc>
        <w:tc>
          <w:tcPr>
            <w:tcW w:w="26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2026</w:t>
            </w:r>
          </w:p>
        </w:tc>
        <w:tc>
          <w:tcPr>
            <w:tcW w:w="2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364"/>
              <w:spacing w:after="0"/>
              <w:rPr>
                <w:sz w:val="20"/>
                <w:szCs w:val="20"/>
                <w:color w:val="auto"/>
              </w:rPr>
            </w:pPr>
            <w:r>
              <w:rPr>
                <w:rFonts w:ascii="Arial" w:cs="Arial" w:eastAsia="Arial" w:hAnsi="Arial"/>
                <w:sz w:val="13"/>
                <w:szCs w:val="13"/>
                <w:b w:val="1"/>
                <w:bCs w:val="1"/>
                <w:color w:val="auto"/>
              </w:rPr>
              <w:t>2025</w:t>
            </w:r>
          </w:p>
        </w:tc>
        <w:tc>
          <w:tcPr>
            <w:tcW w:w="11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260" w:type="dxa"/>
            <w:vAlign w:val="bottom"/>
            <w:shd w:val="clear" w:color="auto" w:fill="E5E5E5"/>
          </w:tcPr>
          <w:p>
            <w:pPr>
              <w:spacing w:after="0"/>
              <w:rPr>
                <w:sz w:val="20"/>
                <w:szCs w:val="20"/>
                <w:color w:val="auto"/>
              </w:rPr>
            </w:pPr>
            <w:r>
              <w:rPr>
                <w:rFonts w:ascii="Arial" w:cs="Arial" w:eastAsia="Arial" w:hAnsi="Arial"/>
                <w:sz w:val="18"/>
                <w:szCs w:val="18"/>
                <w:color w:val="auto"/>
              </w:rPr>
              <w:t>Research and development</w:t>
            </w:r>
          </w:p>
        </w:tc>
        <w:tc>
          <w:tcPr>
            <w:tcW w:w="2620" w:type="dxa"/>
            <w:vAlign w:val="bottom"/>
            <w:shd w:val="clear" w:color="auto" w:fill="E5E5E5"/>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5E5E5"/>
          </w:tcPr>
          <w:p>
            <w:pPr>
              <w:jc w:val="right"/>
              <w:ind w:right="38"/>
              <w:spacing w:after="0"/>
              <w:rPr>
                <w:sz w:val="20"/>
                <w:szCs w:val="20"/>
                <w:color w:val="auto"/>
              </w:rPr>
            </w:pPr>
            <w:r>
              <w:rPr>
                <w:rFonts w:ascii="Arial" w:cs="Arial" w:eastAsia="Arial" w:hAnsi="Arial"/>
                <w:sz w:val="18"/>
                <w:szCs w:val="18"/>
                <w:b w:val="1"/>
                <w:bCs w:val="1"/>
                <w:color w:val="auto"/>
              </w:rPr>
              <w:t>9,047</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E5E5E5"/>
          </w:tcPr>
          <w:p>
            <w:pPr>
              <w:jc w:val="right"/>
              <w:ind w:right="364"/>
              <w:spacing w:after="0"/>
              <w:rPr>
                <w:sz w:val="20"/>
                <w:szCs w:val="20"/>
                <w:color w:val="auto"/>
              </w:rPr>
            </w:pPr>
            <w:r>
              <w:rPr>
                <w:rFonts w:ascii="Arial" w:cs="Arial" w:eastAsia="Arial" w:hAnsi="Arial"/>
                <w:sz w:val="18"/>
                <w:szCs w:val="18"/>
                <w:color w:val="auto"/>
              </w:rPr>
              <w:t>8,146</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26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10%</w:t>
            </w: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364"/>
              <w:spacing w:after="0"/>
              <w:rPr>
                <w:sz w:val="20"/>
                <w:szCs w:val="20"/>
                <w:color w:val="auto"/>
              </w:rPr>
            </w:pPr>
            <w:r>
              <w:rPr>
                <w:rFonts w:ascii="Arial" w:cs="Arial" w:eastAsia="Arial" w:hAnsi="Arial"/>
                <w:sz w:val="18"/>
                <w:szCs w:val="18"/>
                <w:color w:val="auto"/>
              </w:rPr>
              <w:t>10%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0ppt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Research and development expenses include payroll, stock-based compensation expense, employee benefits, and other headcount-related expenses associated with product development. Research and development expenses also include technology development costs, including AI training and other infrastructure costs, third-party development and programming costs, and the depreciation and amortization of assets used to conduct research and development.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2026 Compared with Three Months Ended September 30, 2025</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$901 million or 11% driven by continued investments in compute capacity and talent.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2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tcPr>
          <w:p>
            <w:pPr>
              <w:jc w:val="right"/>
              <w:ind w:right="364"/>
              <w:spacing w:after="0"/>
              <w:rPr>
                <w:sz w:val="20"/>
                <w:szCs w:val="20"/>
                <w:color w:val="auto"/>
              </w:rPr>
            </w:pPr>
            <w:r>
              <w:rPr>
                <w:rFonts w:ascii="Arial" w:cs="Arial" w:eastAsia="Arial" w:hAnsi="Arial"/>
                <w:sz w:val="13"/>
                <w:szCs w:val="13"/>
                <w:b w:val="1"/>
                <w:bCs w:val="1"/>
                <w:color w:val="auto"/>
              </w:rPr>
              <w:t>Three Months Ended</w:t>
            </w:r>
          </w:p>
        </w:tc>
        <w:tc>
          <w:tcPr>
            <w:tcW w:w="13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7"/>
        </w:trPr>
        <w:tc>
          <w:tcPr>
            <w:tcW w:w="4200" w:type="dxa"/>
            <w:vAlign w:val="bottom"/>
            <w:vMerge w:val="continue"/>
          </w:tcPr>
          <w:p>
            <w:pPr>
              <w:spacing w:after="0"/>
              <w:rPr>
                <w:sz w:val="17"/>
                <w:szCs w:val="17"/>
                <w:color w:val="auto"/>
              </w:rPr>
            </w:pPr>
          </w:p>
        </w:tc>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64"/>
              <w:spacing w:after="0"/>
              <w:rPr>
                <w:sz w:val="20"/>
                <w:szCs w:val="20"/>
                <w:color w:val="auto"/>
              </w:rPr>
            </w:pPr>
            <w:r>
              <w:rPr>
                <w:rFonts w:ascii="Arial" w:cs="Arial" w:eastAsia="Arial" w:hAnsi="Arial"/>
                <w:sz w:val="13"/>
                <w:szCs w:val="13"/>
                <w:b w:val="1"/>
                <w:bCs w:val="1"/>
                <w:color w:val="auto"/>
              </w:rPr>
              <w:t>September 30,</w:t>
            </w:r>
          </w:p>
        </w:tc>
        <w:tc>
          <w:tcPr>
            <w:tcW w:w="13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21"/>
        </w:trPr>
        <w:tc>
          <w:tcPr>
            <w:tcW w:w="420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2026</w:t>
            </w:r>
          </w:p>
        </w:tc>
        <w:tc>
          <w:tcPr>
            <w:tcW w:w="2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364"/>
              <w:spacing w:after="0"/>
              <w:rPr>
                <w:sz w:val="20"/>
                <w:szCs w:val="20"/>
                <w:color w:val="auto"/>
              </w:rPr>
            </w:pPr>
            <w:r>
              <w:rPr>
                <w:rFonts w:ascii="Arial" w:cs="Arial" w:eastAsia="Arial" w:hAnsi="Arial"/>
                <w:sz w:val="13"/>
                <w:szCs w:val="13"/>
                <w:b w:val="1"/>
                <w:bCs w:val="1"/>
                <w:color w:val="auto"/>
              </w:rPr>
              <w:t>2025</w:t>
            </w:r>
          </w:p>
        </w:tc>
        <w:tc>
          <w:tcPr>
            <w:tcW w:w="11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200" w:type="dxa"/>
            <w:vAlign w:val="bottom"/>
            <w:shd w:val="clear" w:color="auto" w:fill="E5E5E5"/>
          </w:tcPr>
          <w:p>
            <w:pPr>
              <w:spacing w:after="0"/>
              <w:rPr>
                <w:sz w:val="20"/>
                <w:szCs w:val="20"/>
                <w:color w:val="auto"/>
              </w:rPr>
            </w:pPr>
            <w:r>
              <w:rPr>
                <w:rFonts w:ascii="Arial" w:cs="Arial" w:eastAsia="Arial" w:hAnsi="Arial"/>
                <w:sz w:val="18"/>
                <w:szCs w:val="18"/>
                <w:color w:val="auto"/>
              </w:rPr>
              <w:t>Sales and marketing</w:t>
            </w:r>
          </w:p>
        </w:tc>
        <w:tc>
          <w:tcPr>
            <w:tcW w:w="2680" w:type="dxa"/>
            <w:vAlign w:val="bottom"/>
            <w:shd w:val="clear" w:color="auto" w:fill="E5E5E5"/>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5E5E5"/>
          </w:tcPr>
          <w:p>
            <w:pPr>
              <w:jc w:val="right"/>
              <w:ind w:right="38"/>
              <w:spacing w:after="0"/>
              <w:rPr>
                <w:sz w:val="20"/>
                <w:szCs w:val="20"/>
                <w:color w:val="auto"/>
              </w:rPr>
            </w:pPr>
            <w:r>
              <w:rPr>
                <w:rFonts w:ascii="Arial" w:cs="Arial" w:eastAsia="Arial" w:hAnsi="Arial"/>
                <w:sz w:val="18"/>
                <w:szCs w:val="18"/>
                <w:b w:val="1"/>
                <w:bCs w:val="1"/>
                <w:color w:val="auto"/>
              </w:rPr>
              <w:t>5,716</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E5E5E5"/>
          </w:tcPr>
          <w:p>
            <w:pPr>
              <w:jc w:val="right"/>
              <w:ind w:right="364"/>
              <w:spacing w:after="0"/>
              <w:rPr>
                <w:sz w:val="20"/>
                <w:szCs w:val="20"/>
                <w:color w:val="auto"/>
              </w:rPr>
            </w:pPr>
            <w:r>
              <w:rPr>
                <w:rFonts w:ascii="Arial" w:cs="Arial" w:eastAsia="Arial" w:hAnsi="Arial"/>
                <w:sz w:val="18"/>
                <w:szCs w:val="18"/>
                <w:color w:val="auto"/>
              </w:rPr>
              <w:t>5,717</w:t>
            </w:r>
          </w:p>
        </w:tc>
        <w:tc>
          <w:tcPr>
            <w:tcW w:w="13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26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6%</w:t>
            </w: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364"/>
              <w:spacing w:after="0"/>
              <w:rPr>
                <w:sz w:val="20"/>
                <w:szCs w:val="20"/>
                <w:color w:val="auto"/>
              </w:rPr>
            </w:pPr>
            <w:r>
              <w:rPr>
                <w:rFonts w:ascii="Arial" w:cs="Arial" w:eastAsia="Arial" w:hAnsi="Arial"/>
                <w:sz w:val="18"/>
                <w:szCs w:val="18"/>
                <w:color w:val="auto"/>
              </w:rPr>
              <w:t>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(1)ppt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Sales and marketing expenses include payroll, stock-based compensation expense, employee benefits, and other headcount-related expenses associated with sales and marketing personnel, and the costs of advertising, promotions, trade shows, seminars, and other programs.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4" w:name="page35"/>
    <w:bookmarkEnd w:id="34"/>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5" w:lineRule="exact"/>
        <w:rPr>
          <w:sz w:val="20"/>
          <w:szCs w:val="20"/>
          <w:color w:val="auto"/>
        </w:rPr>
      </w:pPr>
    </w:p>
    <w:p>
      <w:pPr>
        <w:ind w:right="2820"/>
        <w:spacing w:after="0" w:line="457" w:lineRule="auto"/>
        <w:rPr>
          <w:sz w:val="20"/>
          <w:szCs w:val="20"/>
          <w:color w:val="auto"/>
        </w:rPr>
      </w:pPr>
      <w:r>
        <w:rPr>
          <w:rFonts w:ascii="Arial" w:cs="Arial" w:eastAsia="Arial" w:hAnsi="Arial"/>
          <w:sz w:val="18"/>
          <w:szCs w:val="18"/>
          <w:b w:val="1"/>
          <w:bCs w:val="1"/>
          <w:i w:val="1"/>
          <w:iCs w:val="1"/>
          <w:color w:val="auto"/>
        </w:rPr>
        <w:t xml:space="preserve">Three Months Ended September 30, 2026 Compared with Three Months Ended September 30, 2025 </w:t>
      </w:r>
      <w:r>
        <w:rPr>
          <w:rFonts w:ascii="Arial" w:cs="Arial" w:eastAsia="Arial" w:hAnsi="Arial"/>
          <w:sz w:val="18"/>
          <w:szCs w:val="18"/>
          <w:color w:val="auto"/>
        </w:rPr>
        <w:t>Sales and marketing expenses were relatively unchanged.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2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tcPr>
          <w:p>
            <w:pPr>
              <w:jc w:val="right"/>
              <w:ind w:right="364"/>
              <w:spacing w:after="0"/>
              <w:rPr>
                <w:sz w:val="20"/>
                <w:szCs w:val="20"/>
                <w:color w:val="auto"/>
              </w:rPr>
            </w:pPr>
            <w:r>
              <w:rPr>
                <w:rFonts w:ascii="Arial" w:cs="Arial" w:eastAsia="Arial" w:hAnsi="Arial"/>
                <w:sz w:val="13"/>
                <w:szCs w:val="13"/>
                <w:b w:val="1"/>
                <w:bCs w:val="1"/>
                <w:color w:val="auto"/>
              </w:rPr>
              <w:t>Three Months Ended</w:t>
            </w:r>
          </w:p>
        </w:tc>
        <w:tc>
          <w:tcPr>
            <w:tcW w:w="13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2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64"/>
              <w:spacing w:after="0"/>
              <w:rPr>
                <w:sz w:val="20"/>
                <w:szCs w:val="20"/>
                <w:color w:val="auto"/>
              </w:rPr>
            </w:pPr>
            <w:r>
              <w:rPr>
                <w:rFonts w:ascii="Arial" w:cs="Arial" w:eastAsia="Arial" w:hAnsi="Arial"/>
                <w:sz w:val="13"/>
                <w:szCs w:val="13"/>
                <w:b w:val="1"/>
                <w:bCs w:val="1"/>
                <w:color w:val="auto"/>
              </w:rPr>
              <w:t>September 30,</w:t>
            </w:r>
          </w:p>
        </w:tc>
        <w:tc>
          <w:tcPr>
            <w:tcW w:w="13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21"/>
        </w:trPr>
        <w:tc>
          <w:tcPr>
            <w:tcW w:w="424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2026</w:t>
            </w:r>
          </w:p>
        </w:tc>
        <w:tc>
          <w:tcPr>
            <w:tcW w:w="2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364"/>
              <w:spacing w:after="0"/>
              <w:rPr>
                <w:sz w:val="20"/>
                <w:szCs w:val="20"/>
                <w:color w:val="auto"/>
              </w:rPr>
            </w:pPr>
            <w:r>
              <w:rPr>
                <w:rFonts w:ascii="Arial" w:cs="Arial" w:eastAsia="Arial" w:hAnsi="Arial"/>
                <w:sz w:val="13"/>
                <w:szCs w:val="13"/>
                <w:b w:val="1"/>
                <w:bCs w:val="1"/>
                <w:color w:val="auto"/>
              </w:rPr>
              <w:t>2025</w:t>
            </w:r>
          </w:p>
        </w:tc>
        <w:tc>
          <w:tcPr>
            <w:tcW w:w="11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240" w:type="dxa"/>
            <w:vAlign w:val="bottom"/>
            <w:shd w:val="clear" w:color="auto" w:fill="E5E5E5"/>
          </w:tcPr>
          <w:p>
            <w:pPr>
              <w:spacing w:after="0"/>
              <w:rPr>
                <w:sz w:val="20"/>
                <w:szCs w:val="20"/>
                <w:color w:val="auto"/>
              </w:rPr>
            </w:pPr>
            <w:r>
              <w:rPr>
                <w:rFonts w:ascii="Arial" w:cs="Arial" w:eastAsia="Arial" w:hAnsi="Arial"/>
                <w:sz w:val="18"/>
                <w:szCs w:val="18"/>
                <w:color w:val="auto"/>
              </w:rPr>
              <w:t>General and administrative</w:t>
            </w:r>
          </w:p>
        </w:tc>
        <w:tc>
          <w:tcPr>
            <w:tcW w:w="2640" w:type="dxa"/>
            <w:vAlign w:val="bottom"/>
            <w:shd w:val="clear" w:color="auto" w:fill="E5E5E5"/>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5E5E5"/>
          </w:tcPr>
          <w:p>
            <w:pPr>
              <w:jc w:val="right"/>
              <w:ind w:right="38"/>
              <w:spacing w:after="0"/>
              <w:rPr>
                <w:sz w:val="20"/>
                <w:szCs w:val="20"/>
                <w:color w:val="auto"/>
              </w:rPr>
            </w:pPr>
            <w:r>
              <w:rPr>
                <w:rFonts w:ascii="Arial" w:cs="Arial" w:eastAsia="Arial" w:hAnsi="Arial"/>
                <w:sz w:val="18"/>
                <w:szCs w:val="18"/>
                <w:b w:val="1"/>
                <w:bCs w:val="1"/>
                <w:color w:val="auto"/>
              </w:rPr>
              <w:t>1,881</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E5E5E5"/>
          </w:tcPr>
          <w:p>
            <w:pPr>
              <w:jc w:val="right"/>
              <w:ind w:right="364"/>
              <w:spacing w:after="0"/>
              <w:rPr>
                <w:sz w:val="20"/>
                <w:szCs w:val="20"/>
                <w:color w:val="auto"/>
              </w:rPr>
            </w:pPr>
            <w:r>
              <w:rPr>
                <w:rFonts w:ascii="Arial" w:cs="Arial" w:eastAsia="Arial" w:hAnsi="Arial"/>
                <w:sz w:val="18"/>
                <w:szCs w:val="18"/>
                <w:color w:val="auto"/>
              </w:rPr>
              <w:t>1,806</w:t>
            </w:r>
          </w:p>
        </w:tc>
        <w:tc>
          <w:tcPr>
            <w:tcW w:w="13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26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w:t>
            </w: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364"/>
              <w:spacing w:after="0"/>
              <w:rPr>
                <w:sz w:val="20"/>
                <w:szCs w:val="20"/>
                <w:color w:val="auto"/>
              </w:rPr>
            </w:pPr>
            <w:r>
              <w:rPr>
                <w:rFonts w:ascii="Arial" w:cs="Arial" w:eastAsia="Arial" w:hAnsi="Arial"/>
                <w:sz w:val="18"/>
                <w:szCs w:val="18"/>
                <w:color w:val="auto"/>
              </w:rPr>
              <w:t>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0ppt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 and administrative expenses include payroll, employee benefits, stock-based compensation expense, and other headcount-related expenses associated with finance, legal, facilities, certain human resources and other administrative personnel, certain taxes, and legal and other administrative fees.</w:t>
      </w:r>
    </w:p>
    <w:p>
      <w:pPr>
        <w:spacing w:after="0" w:line="198" w:lineRule="exact"/>
        <w:rPr>
          <w:sz w:val="20"/>
          <w:szCs w:val="20"/>
          <w:color w:val="auto"/>
        </w:rPr>
      </w:pPr>
    </w:p>
    <w:p>
      <w:pPr>
        <w:ind w:right="2820"/>
        <w:spacing w:after="0" w:line="457" w:lineRule="auto"/>
        <w:rPr>
          <w:sz w:val="20"/>
          <w:szCs w:val="20"/>
          <w:color w:val="auto"/>
        </w:rPr>
      </w:pPr>
      <w:r>
        <w:rPr>
          <w:rFonts w:ascii="Arial" w:cs="Arial" w:eastAsia="Arial" w:hAnsi="Arial"/>
          <w:sz w:val="18"/>
          <w:szCs w:val="18"/>
          <w:b w:val="1"/>
          <w:bCs w:val="1"/>
          <w:i w:val="1"/>
          <w:iCs w:val="1"/>
          <w:color w:val="auto"/>
        </w:rPr>
        <w:t xml:space="preserve">Three Months Ended September 30, 2026 Compared with Three Months Ended September 30, 2025 </w:t>
      </w:r>
      <w:r>
        <w:rPr>
          <w:rFonts w:ascii="Arial" w:cs="Arial" w:eastAsia="Arial" w:hAnsi="Arial"/>
          <w:sz w:val="18"/>
          <w:szCs w:val="18"/>
          <w:color w:val="auto"/>
        </w:rPr>
        <w:t>General and administrative expenses increased $75 million or 4%.</w:t>
      </w:r>
    </w:p>
    <w:p>
      <w:pPr>
        <w:spacing w:after="0" w:line="20"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OTHER INCOME (EXPENSE),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(expense), net were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377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6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2026</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2025</w:t>
            </w:r>
          </w:p>
        </w:tc>
      </w:tr>
      <w:tr>
        <w:trPr>
          <w:trHeight w:val="211"/>
        </w:trPr>
        <w:tc>
          <w:tcPr>
            <w:tcW w:w="7820" w:type="dxa"/>
            <w:vAlign w:val="bottom"/>
            <w:shd w:val="clear" w:color="auto" w:fill="E5E5E5"/>
          </w:tcPr>
          <w:p>
            <w:pPr>
              <w:spacing w:after="0"/>
              <w:rPr>
                <w:sz w:val="20"/>
                <w:szCs w:val="20"/>
                <w:color w:val="auto"/>
              </w:rPr>
            </w:pPr>
            <w:r>
              <w:rPr>
                <w:rFonts w:ascii="Arial" w:cs="Arial" w:eastAsia="Arial" w:hAnsi="Arial"/>
                <w:sz w:val="18"/>
                <w:szCs w:val="18"/>
                <w:color w:val="auto"/>
              </w:rPr>
              <w:t>Interest and dividends income</w:t>
            </w:r>
          </w:p>
        </w:tc>
        <w:tc>
          <w:tcPr>
            <w:tcW w:w="600" w:type="dxa"/>
            <w:vAlign w:val="bottom"/>
            <w:shd w:val="clear" w:color="auto" w:fill="E5E5E5"/>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744</w:t>
            </w:r>
          </w:p>
        </w:tc>
        <w:tc>
          <w:tcPr>
            <w:tcW w:w="660" w:type="dxa"/>
            <w:vAlign w:val="bottom"/>
            <w:gridSpan w:val="2"/>
            <w:shd w:val="clear" w:color="auto" w:fill="E5E5E5"/>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976</w:t>
            </w:r>
          </w:p>
        </w:tc>
      </w:tr>
      <w:tr>
        <w:trPr>
          <w:trHeight w:val="203"/>
        </w:trPr>
        <w:tc>
          <w:tcPr>
            <w:tcW w:w="78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(870)</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(698)</w:t>
            </w:r>
          </w:p>
        </w:tc>
      </w:tr>
      <w:tr>
        <w:trPr>
          <w:trHeight w:val="203"/>
        </w:trPr>
        <w:tc>
          <w:tcPr>
            <w:tcW w:w="78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recognized losses on investments</w:t>
            </w:r>
          </w:p>
        </w:tc>
        <w:tc>
          <w:tcPr>
            <w:tcW w:w="60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(46)</w:t>
            </w:r>
          </w:p>
        </w:tc>
        <w:tc>
          <w:tcPr>
            <w:tcW w:w="8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(572)</w:t>
            </w:r>
          </w:p>
        </w:tc>
      </w:tr>
      <w:tr>
        <w:trPr>
          <w:trHeight w:val="203"/>
        </w:trPr>
        <w:tc>
          <w:tcPr>
            <w:tcW w:w="7820" w:type="dxa"/>
            <w:vAlign w:val="bottom"/>
          </w:tcPr>
          <w:p>
            <w:pPr>
              <w:spacing w:after="0" w:line="202" w:lineRule="exact"/>
              <w:rPr>
                <w:sz w:val="20"/>
                <w:szCs w:val="20"/>
                <w:color w:val="auto"/>
              </w:rPr>
            </w:pPr>
            <w:r>
              <w:rPr>
                <w:rFonts w:ascii="Arial" w:cs="Arial" w:eastAsia="Arial" w:hAnsi="Arial"/>
                <w:sz w:val="18"/>
                <w:szCs w:val="18"/>
                <w:color w:val="auto"/>
              </w:rPr>
              <w:t>Net gains (losses) on derivatives</w:t>
            </w:r>
          </w:p>
        </w:tc>
        <w:tc>
          <w:tcPr>
            <w:tcW w:w="60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(42)</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1,579</w:t>
            </w:r>
          </w:p>
        </w:tc>
      </w:tr>
      <w:tr>
        <w:trPr>
          <w:trHeight w:val="203"/>
        </w:trPr>
        <w:tc>
          <w:tcPr>
            <w:tcW w:w="78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losses on foreign currency remeasurements</w:t>
            </w:r>
          </w:p>
        </w:tc>
        <w:tc>
          <w:tcPr>
            <w:tcW w:w="60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(30)</w:t>
            </w:r>
          </w:p>
        </w:tc>
        <w:tc>
          <w:tcPr>
            <w:tcW w:w="8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(22)</w:t>
            </w:r>
          </w:p>
        </w:tc>
      </w:tr>
      <w:tr>
        <w:trPr>
          <w:trHeight w:val="243"/>
        </w:trPr>
        <w:tc>
          <w:tcPr>
            <w:tcW w:w="7820" w:type="dxa"/>
            <w:vAlign w:val="bottom"/>
          </w:tcPr>
          <w:p>
            <w:pPr>
              <w:spacing w:after="0"/>
              <w:rPr>
                <w:sz w:val="20"/>
                <w:szCs w:val="20"/>
                <w:color w:val="auto"/>
              </w:rPr>
            </w:pPr>
            <w:r>
              <w:rPr>
                <w:rFonts w:ascii="Arial" w:cs="Arial" w:eastAsia="Arial" w:hAnsi="Arial"/>
                <w:sz w:val="18"/>
                <w:szCs w:val="18"/>
                <w:color w:val="auto"/>
              </w:rPr>
              <w:t>Other, net</w:t>
            </w:r>
          </w:p>
        </w:tc>
        <w:tc>
          <w:tcPr>
            <w:tcW w:w="60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282</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(4,923)</w:t>
            </w:r>
          </w:p>
        </w:tc>
      </w:tr>
      <w:tr>
        <w:trPr>
          <w:trHeight w:val="34"/>
        </w:trPr>
        <w:tc>
          <w:tcPr>
            <w:tcW w:w="78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782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Total</w:t>
            </w:r>
          </w:p>
        </w:tc>
        <w:tc>
          <w:tcPr>
            <w:tcW w:w="600" w:type="dxa"/>
            <w:vAlign w:val="bottom"/>
            <w:shd w:val="clear" w:color="auto" w:fill="E5E5E5"/>
          </w:tcPr>
          <w:p>
            <w:pPr>
              <w:jc w:val="right"/>
              <w:ind w:right="410"/>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38</w:t>
            </w:r>
          </w:p>
        </w:tc>
        <w:tc>
          <w:tcPr>
            <w:tcW w:w="660" w:type="dxa"/>
            <w:vAlign w:val="bottom"/>
            <w:gridSpan w:val="2"/>
            <w:shd w:val="clear" w:color="auto" w:fill="E5E5E5"/>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(3,660)</w:t>
            </w:r>
          </w:p>
        </w:tc>
      </w:tr>
      <w:tr>
        <w:trPr>
          <w:trHeight w:val="48"/>
        </w:trPr>
        <w:tc>
          <w:tcPr>
            <w:tcW w:w="78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derivative instruments to manage risks related to foreign currencies, interest rates, equity prices, and credit; to enhance investment returns; and to facilitate portfolio diversification. Gains and losses from changes in fair values of derivatives that are not designated as hedging instruments are primarily recognized in other income (expense), net.</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Other income (expense), net included $272 million of net gains and $4.1 billion of net losses for the three months ended September 30, 2026 and 2025, respectively, from investments in OpenAI.</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2026 Compared with Three Months Ended September 30, 2025</w:t>
      </w:r>
    </w:p>
    <w:p>
      <w:pPr>
        <w:spacing w:after="0" w:line="156"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Interest and dividends income decreased primarily due to lower portfolio balances. Interest expense increased primarily due to higher finance lease interest expense, offset in part by maturities of long-term debt. Net recognized losses on investments decreased primarily due to gains on equity securities in the current period as compared to losses in the prior period. Net losses on derivatives increased primarily due to lower gains on equity derivatives in the current period as compared to the prior period. Other, net primarily reflects net recognized gains (losses) on equity method investments, including OpenAI.</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5" w:name="page36"/>
    <w:bookmarkEnd w:id="35"/>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effective tax rate was 20% and 19% for the three months ended September 30, 2026 and 2025, respectively. The increase in our effective tax rate for the current quarter compared to the prior year was primarily due to decreased tax benefits from stock-based compensation and changes in the mix of our earnings and tax expenses between the U.S. and foreign countries.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effective tax rate was lower than the U.S. federal statutory rate for the three months ended September 30, 2026, primarily due to earnings taxed at lower rates in foreign jurisdictions resulting from producing and distributing our products and services through our foreign regional operations center in Ireland.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remain under audit by the IRS for tax years 2014 to 2017. With respect to the audit for tax years 2004 to 2013, on September 26, 2023, we received Notices of Proposed Adjustment (“NOPAs”) from the IRS. The primary issues in the NOPAs relate to intercompany transfer pricing. In the NOPAs, the IRS is seeking an additional tax payment of $ 28.9 billion plus penalties and interest. As of September 30, 2026, we believe our allowances for income tax contingencies are adequate. We disagree with the proposed adjustments and will vigorously contest the NOPAs through the IRS’s administrative appeals office and, if necessary, judicial proceedings.</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income tax in many jurisdictions outside the U.S., some of which are currently under audit by local tax authorities. The resolution of these audits is not expected to be material to our consolidated financial statements. Our operations in Ireland remain subject to examination for tax years 2021 and thereafter.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NON-GAAP FINANCIAL MEASURES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Adjusted other income (expense), net, adjusted net income, and adjusted diluted EPS are non-GAAP financial measures which exclude net (gains) losses from investments in OpenAI. We believe these non-GAAP measures aid investors by providing additional insight into our financial performance and help clarify trends affecting our business. For comparability of reporting, management considers non-GAAP measures in conjunction with GAAP financial results in evaluating business performance. These non-GAAP financial measures presented should not be considered a substitute for, or superior to, the measures of financial performance prepared in accordance with GAAP.</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financial results reported in accordance with GAAP to non-GAAP financial results: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8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Three Months Ended</w:t>
            </w:r>
          </w:p>
        </w:tc>
        <w:tc>
          <w:tcPr>
            <w:tcW w:w="1280" w:type="dxa"/>
            <w:vAlign w:val="bottom"/>
            <w:gridSpan w:val="2"/>
          </w:tcPr>
          <w:p>
            <w:pPr>
              <w:ind w:left="44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7"/>
        </w:trPr>
        <w:tc>
          <w:tcPr>
            <w:tcW w:w="6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September 30,</w:t>
            </w:r>
          </w:p>
        </w:tc>
        <w:tc>
          <w:tcPr>
            <w:tcW w:w="1280" w:type="dxa"/>
            <w:vAlign w:val="bottom"/>
            <w:gridSpan w:val="2"/>
          </w:tcPr>
          <w:p>
            <w:pPr>
              <w:ind w:left="6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21"/>
        </w:trPr>
        <w:tc>
          <w:tcPr>
            <w:tcW w:w="6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2026</w:t>
            </w:r>
          </w:p>
        </w:tc>
        <w:tc>
          <w:tcPr>
            <w:tcW w:w="1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3"/>
                <w:szCs w:val="13"/>
                <w:b w:val="1"/>
                <w:bCs w:val="1"/>
                <w:color w:val="auto"/>
              </w:rPr>
              <w:t>2025</w:t>
            </w: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18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 net</w:t>
            </w:r>
          </w:p>
        </w:tc>
        <w:tc>
          <w:tcPr>
            <w:tcW w:w="640" w:type="dxa"/>
            <w:vAlign w:val="bottom"/>
            <w:gridSpan w:val="2"/>
            <w:shd w:val="clear" w:color="auto" w:fill="E5E5E5"/>
          </w:tcPr>
          <w:p>
            <w:pPr>
              <w:jc w:val="right"/>
              <w:ind w:right="4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E5E5E5"/>
          </w:tcPr>
          <w:p>
            <w:pPr>
              <w:jc w:val="right"/>
              <w:ind w:right="420"/>
              <w:spacing w:after="0"/>
              <w:rPr>
                <w:sz w:val="20"/>
                <w:szCs w:val="20"/>
                <w:color w:val="auto"/>
              </w:rPr>
            </w:pPr>
            <w:r>
              <w:rPr>
                <w:rFonts w:ascii="Arial" w:cs="Arial" w:eastAsia="Arial" w:hAnsi="Arial"/>
                <w:sz w:val="18"/>
                <w:szCs w:val="18"/>
                <w:color w:val="auto"/>
              </w:rPr>
              <w:t>(3,660)</w:t>
            </w:r>
          </w:p>
        </w:tc>
        <w:tc>
          <w:tcPr>
            <w:tcW w:w="12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6180" w:type="dxa"/>
            <w:vAlign w:val="bottom"/>
          </w:tcPr>
          <w:p>
            <w:pPr>
              <w:spacing w:after="0"/>
              <w:rPr>
                <w:sz w:val="20"/>
                <w:szCs w:val="20"/>
                <w:color w:val="auto"/>
              </w:rPr>
            </w:pPr>
            <w:r>
              <w:rPr>
                <w:rFonts w:ascii="Arial" w:cs="Arial" w:eastAsia="Arial" w:hAnsi="Arial"/>
                <w:sz w:val="18"/>
                <w:szCs w:val="18"/>
                <w:color w:val="auto"/>
              </w:rPr>
              <w:t>Net (gains) losses from investments in OpenAI</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(272)</w:t>
            </w:r>
          </w:p>
        </w:tc>
        <w:tc>
          <w:tcPr>
            <w:tcW w:w="120" w:type="dxa"/>
            <w:vAlign w:val="bottom"/>
          </w:tcPr>
          <w:p>
            <w:pPr>
              <w:spacing w:after="0"/>
              <w:rPr>
                <w:sz w:val="21"/>
                <w:szCs w:val="21"/>
                <w:color w:val="auto"/>
              </w:rPr>
            </w:pPr>
          </w:p>
        </w:tc>
        <w:tc>
          <w:tcPr>
            <w:tcW w:w="1820" w:type="dxa"/>
            <w:vAlign w:val="bottom"/>
            <w:gridSpan w:val="2"/>
          </w:tcPr>
          <w:p>
            <w:pPr>
              <w:jc w:val="right"/>
              <w:ind w:right="480"/>
              <w:spacing w:after="0"/>
              <w:rPr>
                <w:sz w:val="20"/>
                <w:szCs w:val="20"/>
                <w:color w:val="auto"/>
              </w:rPr>
            </w:pPr>
            <w:r>
              <w:rPr>
                <w:rFonts w:ascii="Arial" w:cs="Arial" w:eastAsia="Arial" w:hAnsi="Arial"/>
                <w:sz w:val="18"/>
                <w:szCs w:val="18"/>
                <w:color w:val="auto"/>
              </w:rPr>
              <w:t>4,061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34"/>
        </w:trPr>
        <w:tc>
          <w:tcPr>
            <w:tcW w:w="61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Adjusted other income (expense), net (non-GAAP)</w:t>
            </w:r>
          </w:p>
        </w:tc>
        <w:tc>
          <w:tcPr>
            <w:tcW w:w="640" w:type="dxa"/>
            <w:vAlign w:val="bottom"/>
            <w:gridSpan w:val="2"/>
            <w:shd w:val="clear" w:color="auto" w:fill="E5E5E5"/>
          </w:tcPr>
          <w:p>
            <w:pPr>
              <w:jc w:val="right"/>
              <w:ind w:right="400"/>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(234)</w:t>
            </w: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E5E5E5"/>
          </w:tcPr>
          <w:p>
            <w:pPr>
              <w:jc w:val="right"/>
              <w:ind w:right="480"/>
              <w:spacing w:after="0" w:line="202" w:lineRule="exact"/>
              <w:rPr>
                <w:sz w:val="20"/>
                <w:szCs w:val="20"/>
                <w:color w:val="auto"/>
              </w:rPr>
            </w:pPr>
            <w:r>
              <w:rPr>
                <w:rFonts w:ascii="Arial" w:cs="Arial" w:eastAsia="Arial" w:hAnsi="Arial"/>
                <w:sz w:val="18"/>
                <w:szCs w:val="18"/>
                <w:color w:val="auto"/>
              </w:rPr>
              <w:t>401</w:t>
            </w: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48"/>
        </w:trPr>
        <w:tc>
          <w:tcPr>
            <w:tcW w:w="6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18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36,629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480"/>
              <w:spacing w:after="0"/>
              <w:rPr>
                <w:sz w:val="20"/>
                <w:szCs w:val="20"/>
                <w:color w:val="auto"/>
              </w:rPr>
            </w:pPr>
            <w:r>
              <w:rPr>
                <w:rFonts w:ascii="Arial" w:cs="Arial" w:eastAsia="Arial" w:hAnsi="Arial"/>
                <w:sz w:val="18"/>
                <w:szCs w:val="18"/>
                <w:color w:val="auto"/>
              </w:rPr>
              <w:t>27,747</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61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(gains) losses from investments in OpenAI, net of tax of $65 and $(975)</w:t>
            </w:r>
          </w:p>
        </w:tc>
        <w:tc>
          <w:tcPr>
            <w:tcW w:w="14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(207)</w:t>
            </w:r>
          </w:p>
        </w:tc>
        <w:tc>
          <w:tcPr>
            <w:tcW w:w="120" w:type="dxa"/>
            <w:vAlign w:val="bottom"/>
            <w:shd w:val="clear" w:color="auto" w:fill="E5E5E5"/>
          </w:tcPr>
          <w:p>
            <w:pPr>
              <w:spacing w:after="0"/>
              <w:rPr>
                <w:sz w:val="17"/>
                <w:szCs w:val="17"/>
                <w:color w:val="auto"/>
              </w:rPr>
            </w:pPr>
          </w:p>
        </w:tc>
        <w:tc>
          <w:tcPr>
            <w:tcW w:w="1820" w:type="dxa"/>
            <w:vAlign w:val="bottom"/>
            <w:gridSpan w:val="2"/>
            <w:shd w:val="clear" w:color="auto" w:fill="E5E5E5"/>
          </w:tcPr>
          <w:p>
            <w:pPr>
              <w:jc w:val="right"/>
              <w:ind w:right="480"/>
              <w:spacing w:after="0" w:line="202" w:lineRule="exact"/>
              <w:rPr>
                <w:sz w:val="20"/>
                <w:szCs w:val="20"/>
                <w:color w:val="auto"/>
              </w:rPr>
            </w:pPr>
            <w:r>
              <w:rPr>
                <w:rFonts w:ascii="Arial" w:cs="Arial" w:eastAsia="Arial" w:hAnsi="Arial"/>
                <w:sz w:val="18"/>
                <w:szCs w:val="18"/>
                <w:color w:val="auto"/>
              </w:rPr>
              <w:t>3,086</w:t>
            </w: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40"/>
        </w:trPr>
        <w:tc>
          <w:tcPr>
            <w:tcW w:w="6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6180" w:type="dxa"/>
            <w:vAlign w:val="bottom"/>
          </w:tcPr>
          <w:p>
            <w:pPr>
              <w:ind w:left="160"/>
              <w:spacing w:after="0"/>
              <w:rPr>
                <w:sz w:val="20"/>
                <w:szCs w:val="20"/>
                <w:color w:val="auto"/>
              </w:rPr>
            </w:pPr>
            <w:r>
              <w:rPr>
                <w:rFonts w:ascii="Arial" w:cs="Arial" w:eastAsia="Arial" w:hAnsi="Arial"/>
                <w:sz w:val="18"/>
                <w:szCs w:val="18"/>
                <w:color w:val="auto"/>
              </w:rPr>
              <w:t>Adjusted net income (non-GAAP)</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36,422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480"/>
              <w:spacing w:after="0"/>
              <w:rPr>
                <w:sz w:val="20"/>
                <w:szCs w:val="20"/>
                <w:color w:val="auto"/>
              </w:rPr>
            </w:pPr>
            <w:r>
              <w:rPr>
                <w:rFonts w:ascii="Arial" w:cs="Arial" w:eastAsia="Arial" w:hAnsi="Arial"/>
                <w:sz w:val="18"/>
                <w:szCs w:val="18"/>
                <w:color w:val="auto"/>
              </w:rPr>
              <w:t>30,833</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0"/>
        </w:trPr>
        <w:tc>
          <w:tcPr>
            <w:tcW w:w="6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Diluted earnings per share</w:t>
            </w:r>
          </w:p>
        </w:tc>
        <w:tc>
          <w:tcPr>
            <w:tcW w:w="640" w:type="dxa"/>
            <w:vAlign w:val="bottom"/>
            <w:gridSpan w:val="2"/>
            <w:shd w:val="clear" w:color="auto" w:fill="E5E5E5"/>
          </w:tcPr>
          <w:p>
            <w:pPr>
              <w:jc w:val="right"/>
              <w:ind w:right="400"/>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4.92</w:t>
            </w: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E5E5E5"/>
          </w:tcPr>
          <w:p>
            <w:pPr>
              <w:jc w:val="right"/>
              <w:ind w:right="480"/>
              <w:spacing w:after="0" w:line="202" w:lineRule="exact"/>
              <w:rPr>
                <w:sz w:val="20"/>
                <w:szCs w:val="20"/>
                <w:color w:val="auto"/>
              </w:rPr>
            </w:pPr>
            <w:r>
              <w:rPr>
                <w:rFonts w:ascii="Arial" w:cs="Arial" w:eastAsia="Arial" w:hAnsi="Arial"/>
                <w:sz w:val="18"/>
                <w:szCs w:val="18"/>
                <w:color w:val="auto"/>
              </w:rPr>
              <w:t>3.72</w:t>
            </w: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6180" w:type="dxa"/>
            <w:vAlign w:val="bottom"/>
          </w:tcPr>
          <w:p>
            <w:pPr>
              <w:spacing w:after="0"/>
              <w:rPr>
                <w:sz w:val="20"/>
                <w:szCs w:val="20"/>
                <w:color w:val="auto"/>
              </w:rPr>
            </w:pPr>
            <w:r>
              <w:rPr>
                <w:rFonts w:ascii="Arial" w:cs="Arial" w:eastAsia="Arial" w:hAnsi="Arial"/>
                <w:sz w:val="18"/>
                <w:szCs w:val="18"/>
                <w:color w:val="auto"/>
              </w:rPr>
              <w:t>Net (gains) losses from investments in OpenAI</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(0.03)</w:t>
            </w:r>
          </w:p>
        </w:tc>
        <w:tc>
          <w:tcPr>
            <w:tcW w:w="120" w:type="dxa"/>
            <w:vAlign w:val="bottom"/>
          </w:tcPr>
          <w:p>
            <w:pPr>
              <w:spacing w:after="0"/>
              <w:rPr>
                <w:sz w:val="21"/>
                <w:szCs w:val="21"/>
                <w:color w:val="auto"/>
              </w:rPr>
            </w:pPr>
          </w:p>
        </w:tc>
        <w:tc>
          <w:tcPr>
            <w:tcW w:w="1820" w:type="dxa"/>
            <w:vAlign w:val="bottom"/>
            <w:gridSpan w:val="2"/>
          </w:tcPr>
          <w:p>
            <w:pPr>
              <w:jc w:val="right"/>
              <w:ind w:right="480"/>
              <w:spacing w:after="0"/>
              <w:rPr>
                <w:sz w:val="20"/>
                <w:szCs w:val="20"/>
                <w:color w:val="auto"/>
              </w:rPr>
            </w:pPr>
            <w:r>
              <w:rPr>
                <w:rFonts w:ascii="Arial" w:cs="Arial" w:eastAsia="Arial" w:hAnsi="Arial"/>
                <w:sz w:val="18"/>
                <w:szCs w:val="18"/>
                <w:color w:val="auto"/>
              </w:rPr>
              <w:t>0.41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34"/>
        </w:trPr>
        <w:tc>
          <w:tcPr>
            <w:tcW w:w="61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Adjusted diluted earnings per share (non-GAAP)</w:t>
            </w:r>
          </w:p>
        </w:tc>
        <w:tc>
          <w:tcPr>
            <w:tcW w:w="640" w:type="dxa"/>
            <w:vAlign w:val="bottom"/>
            <w:gridSpan w:val="2"/>
            <w:shd w:val="clear" w:color="auto" w:fill="E5E5E5"/>
          </w:tcPr>
          <w:p>
            <w:pPr>
              <w:jc w:val="right"/>
              <w:ind w:right="400"/>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4.89</w:t>
            </w: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E5E5E5"/>
          </w:tcPr>
          <w:p>
            <w:pPr>
              <w:jc w:val="right"/>
              <w:ind w:right="480"/>
              <w:spacing w:after="0" w:line="202" w:lineRule="exact"/>
              <w:rPr>
                <w:sz w:val="20"/>
                <w:szCs w:val="20"/>
                <w:color w:val="auto"/>
              </w:rPr>
            </w:pPr>
            <w:r>
              <w:rPr>
                <w:rFonts w:ascii="Arial" w:cs="Arial" w:eastAsia="Arial" w:hAnsi="Arial"/>
                <w:sz w:val="18"/>
                <w:szCs w:val="18"/>
                <w:color w:val="auto"/>
              </w:rPr>
              <w:t>4.13</w:t>
            </w: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8"/>
        </w:trPr>
        <w:tc>
          <w:tcPr>
            <w:tcW w:w="6180" w:type="dxa"/>
            <w:vAlign w:val="bottom"/>
            <w:vMerge w:val="restart"/>
          </w:tcPr>
          <w:p>
            <w:pPr>
              <w:ind w:left="5540"/>
              <w:spacing w:after="0"/>
              <w:rPr>
                <w:sz w:val="20"/>
                <w:szCs w:val="20"/>
                <w:color w:val="auto"/>
              </w:rPr>
            </w:pPr>
            <w:r>
              <w:rPr>
                <w:rFonts w:ascii="Arial" w:cs="Arial" w:eastAsia="Arial" w:hAnsi="Arial"/>
                <w:sz w:val="14"/>
                <w:szCs w:val="14"/>
                <w:color w:val="auto"/>
              </w:rPr>
              <w:t>36</w:t>
            </w:r>
          </w:p>
        </w:tc>
        <w:tc>
          <w:tcPr>
            <w:tcW w:w="1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3"/>
        </w:trPr>
        <w:tc>
          <w:tcPr>
            <w:tcW w:w="6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6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6" w:name="page37"/>
    <w:bookmarkEnd w:id="36"/>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and material capital expenditures, for at least the next 12 months and thereafter for the foreseeable future.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Investments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cash equivalents, and short-term investments totaled $64.5 billion and $76.8 billion as of September 30, 2026 and June 30, 2026, respectively. Equity and other investments were $ 37.8 billion and $36.3 billion as of September 30, 2026 and June 30, 2026,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commercial paper, certificates of deposit, U.S. agency securities, foreign government bonds, mortgage- and asset-backed securities, corporate notes and bonds, and municipal securities. Level 3 investments are valued using internally-developed models with unobservable inputs. Assets and liabilities measured at fair value on a recurring basis using unobservable inputs are an immaterial portion of our portfolio.</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from operations increased $12.9 billion to $ 58.0 billion for the three months ended September 30, 2026, primarily due to an increase in cash received from customers and a decrease in cash used to pay income taxes, offset in part by an increase in cash paid to suppliers. Cash used in financing increased $4.8 billion to $16.6 billion for the three months ended September 30, 2026, primarily due to a $4.9 billion increase in cash used for repayments of debt. Cash used in investing increased $7.4 billion to $42.0 billion for the three months ended September 30, 2026, primarily due to a $20.0 billion increase in additions to property and equipment and a $6.7 billion increase in cash used in other investing primarily to facilitate the purchase of components, offset in part by a $19.1 billion increase in cash from net investment purchases, sales, and maturities.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7" w:name="page38"/>
    <w:bookmarkEnd w:id="37"/>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Proceeds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issue debt to take advantage of favorable pricing and liquidity in the debt markets, reflecting our credit rating. The proceeds of these issuances were or will be used for general corporate purposes, which may include, among other things, funding for working capital, capital expenditures, repurchases of capital stock, acquisitions, and repayment of existing debt. Refer to Note 9 – Debt of the Notes to Financial Statements (Part I, Item 1 of this Form 10-Q).</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Revenue</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Unearned revenue comprises mainly unearned revenue related to volume licensing programs, which may include cloud services and Software Assurance (“SA”). Unearned revenue is generally invoiced annually at the beginning of each contract period for multi-year agreements and recognized ratably over the coverage period. Unearned revenue also includes payments for other offerings for which we have been paid in advance and earn the revenue when we transfer control of the product or service.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expected future recognition of unearned revenue as of September 30, 2026:</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80" w:type="dxa"/>
            <w:vAlign w:val="bottom"/>
          </w:tcPr>
          <w:p>
            <w:pPr>
              <w:spacing w:after="0"/>
              <w:rPr>
                <w:sz w:val="20"/>
                <w:szCs w:val="20"/>
                <w:color w:val="auto"/>
              </w:rPr>
            </w:pPr>
            <w:r>
              <w:rPr>
                <w:rFonts w:ascii="Arial" w:cs="Arial" w:eastAsia="Arial" w:hAnsi="Arial"/>
                <w:sz w:val="13"/>
                <w:szCs w:val="13"/>
                <w:b w:val="1"/>
                <w:bCs w:val="1"/>
                <w:color w:val="auto"/>
              </w:rPr>
              <w:t>Three Months Ending</w:t>
            </w: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9680" w:type="dxa"/>
            <w:vAlign w:val="bottom"/>
            <w:shd w:val="clear" w:color="auto" w:fill="E5E5E5"/>
          </w:tcPr>
          <w:p>
            <w:pPr>
              <w:spacing w:after="0"/>
              <w:rPr>
                <w:sz w:val="20"/>
                <w:szCs w:val="20"/>
                <w:color w:val="auto"/>
              </w:rPr>
            </w:pPr>
            <w:r>
              <w:rPr>
                <w:rFonts w:ascii="Arial" w:cs="Arial" w:eastAsia="Arial" w:hAnsi="Arial"/>
                <w:sz w:val="18"/>
                <w:szCs w:val="18"/>
                <w:color w:val="auto"/>
              </w:rPr>
              <w:t>December 31, 2026</w:t>
            </w:r>
          </w:p>
        </w:tc>
        <w:tc>
          <w:tcPr>
            <w:tcW w:w="500" w:type="dxa"/>
            <w:vAlign w:val="bottom"/>
            <w:shd w:val="clear" w:color="auto" w:fill="E5E5E5"/>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30,299</w:t>
            </w:r>
          </w:p>
        </w:tc>
        <w:tc>
          <w:tcPr>
            <w:tcW w:w="100" w:type="dxa"/>
            <w:vAlign w:val="bottom"/>
            <w:shd w:val="clear" w:color="auto" w:fill="E5E5E5"/>
          </w:tcPr>
          <w:p>
            <w:pPr>
              <w:spacing w:after="0"/>
              <w:rPr>
                <w:sz w:val="18"/>
                <w:szCs w:val="18"/>
                <w:color w:val="auto"/>
              </w:rPr>
            </w:pPr>
          </w:p>
        </w:tc>
      </w:tr>
      <w:tr>
        <w:trPr>
          <w:trHeight w:val="203"/>
        </w:trPr>
        <w:tc>
          <w:tcPr>
            <w:tcW w:w="9680" w:type="dxa"/>
            <w:vAlign w:val="bottom"/>
          </w:tcPr>
          <w:p>
            <w:pPr>
              <w:spacing w:after="0" w:line="202" w:lineRule="exact"/>
              <w:rPr>
                <w:sz w:val="20"/>
                <w:szCs w:val="20"/>
                <w:color w:val="auto"/>
              </w:rPr>
            </w:pPr>
            <w:r>
              <w:rPr>
                <w:rFonts w:ascii="Arial" w:cs="Arial" w:eastAsia="Arial" w:hAnsi="Arial"/>
                <w:sz w:val="18"/>
                <w:szCs w:val="18"/>
                <w:color w:val="auto"/>
              </w:rPr>
              <w:t>March 31, 2027</w:t>
            </w:r>
          </w:p>
        </w:tc>
        <w:tc>
          <w:tcPr>
            <w:tcW w:w="5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22,202</w:t>
            </w:r>
          </w:p>
        </w:tc>
        <w:tc>
          <w:tcPr>
            <w:tcW w:w="100" w:type="dxa"/>
            <w:vAlign w:val="bottom"/>
          </w:tcPr>
          <w:p>
            <w:pPr>
              <w:spacing w:after="0"/>
              <w:rPr>
                <w:sz w:val="17"/>
                <w:szCs w:val="17"/>
                <w:color w:val="auto"/>
              </w:rPr>
            </w:pPr>
          </w:p>
        </w:tc>
      </w:tr>
      <w:tr>
        <w:trPr>
          <w:trHeight w:val="203"/>
        </w:trPr>
        <w:tc>
          <w:tcPr>
            <w:tcW w:w="96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June 30, 2027</w:t>
            </w:r>
          </w:p>
        </w:tc>
        <w:tc>
          <w:tcPr>
            <w:tcW w:w="50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12,098</w:t>
            </w:r>
          </w:p>
        </w:tc>
        <w:tc>
          <w:tcPr>
            <w:tcW w:w="100" w:type="dxa"/>
            <w:vAlign w:val="bottom"/>
            <w:shd w:val="clear" w:color="auto" w:fill="E5E5E5"/>
          </w:tcPr>
          <w:p>
            <w:pPr>
              <w:spacing w:after="0"/>
              <w:rPr>
                <w:sz w:val="17"/>
                <w:szCs w:val="17"/>
                <w:color w:val="auto"/>
              </w:rPr>
            </w:pPr>
          </w:p>
        </w:tc>
      </w:tr>
      <w:tr>
        <w:trPr>
          <w:trHeight w:val="203"/>
        </w:trPr>
        <w:tc>
          <w:tcPr>
            <w:tcW w:w="9680" w:type="dxa"/>
            <w:vAlign w:val="bottom"/>
          </w:tcPr>
          <w:p>
            <w:pPr>
              <w:spacing w:after="0" w:line="202" w:lineRule="exact"/>
              <w:rPr>
                <w:sz w:val="20"/>
                <w:szCs w:val="20"/>
                <w:color w:val="auto"/>
              </w:rPr>
            </w:pPr>
            <w:r>
              <w:rPr>
                <w:rFonts w:ascii="Arial" w:cs="Arial" w:eastAsia="Arial" w:hAnsi="Arial"/>
                <w:sz w:val="18"/>
                <w:szCs w:val="18"/>
                <w:color w:val="auto"/>
              </w:rPr>
              <w:t>September 30, 2027</w:t>
            </w:r>
          </w:p>
        </w:tc>
        <w:tc>
          <w:tcPr>
            <w:tcW w:w="5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2,267</w:t>
            </w:r>
          </w:p>
        </w:tc>
        <w:tc>
          <w:tcPr>
            <w:tcW w:w="100" w:type="dxa"/>
            <w:vAlign w:val="bottom"/>
          </w:tcPr>
          <w:p>
            <w:pPr>
              <w:spacing w:after="0"/>
              <w:rPr>
                <w:sz w:val="17"/>
                <w:szCs w:val="17"/>
                <w:color w:val="auto"/>
              </w:rPr>
            </w:pPr>
          </w:p>
        </w:tc>
      </w:tr>
      <w:tr>
        <w:trPr>
          <w:trHeight w:val="203"/>
        </w:trPr>
        <w:tc>
          <w:tcPr>
            <w:tcW w:w="96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Thereafter</w:t>
            </w:r>
          </w:p>
        </w:tc>
        <w:tc>
          <w:tcPr>
            <w:tcW w:w="50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2,697</w:t>
            </w:r>
          </w:p>
        </w:tc>
        <w:tc>
          <w:tcPr>
            <w:tcW w:w="100" w:type="dxa"/>
            <w:vAlign w:val="bottom"/>
            <w:shd w:val="clear" w:color="auto" w:fill="E5E5E5"/>
          </w:tcPr>
          <w:p>
            <w:pPr>
              <w:spacing w:after="0"/>
              <w:rPr>
                <w:sz w:val="17"/>
                <w:szCs w:val="17"/>
                <w:color w:val="auto"/>
              </w:rPr>
            </w:pPr>
          </w:p>
        </w:tc>
      </w:tr>
      <w:tr>
        <w:trPr>
          <w:trHeight w:val="41"/>
        </w:trPr>
        <w:tc>
          <w:tcPr>
            <w:tcW w:w="96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9680" w:type="dxa"/>
            <w:vAlign w:val="bottom"/>
          </w:tcPr>
          <w:p>
            <w:pPr>
              <w:ind w:left="2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69,563</w:t>
            </w:r>
          </w:p>
        </w:tc>
        <w:tc>
          <w:tcPr>
            <w:tcW w:w="100" w:type="dxa"/>
            <w:vAlign w:val="bottom"/>
          </w:tcPr>
          <w:p>
            <w:pPr>
              <w:spacing w:after="0"/>
              <w:rPr>
                <w:sz w:val="24"/>
                <w:szCs w:val="24"/>
                <w:color w:val="auto"/>
              </w:rPr>
            </w:pPr>
          </w:p>
        </w:tc>
      </w:tr>
    </w:tbl>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 Refer to Note 11 – Unearned Revenue of the Notes to Financial Statements (Part I, Item 1 of this Form 10-Q).</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and Other Obligations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three months ended September 30, 2026 and 2025, we repurchased 6 million shares and 8 million shares of our common stock for $2.9 billion and $4.0 billion, respectively, through our share repurchase program. All repurchases were made using cash resources. As of September 30, 2026, $37.7 billion remained of our $60 billion share repurchase program. Refer to Note 14 – Stockholders’ Equity of the Notes to Financial Statements (Part I, Item 1 of this Form 10-Q).</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5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For the three months ended September 30, 2026 and 2025, our Board of Directors declared dividends totaling $7.3 billion and $6.8 billion, respectively. We intend to continue returning capital to shareholders in the form of dividends, subject to declaration by our Board of Directors. Refer to Note 14 – Stockholders’ Equity of the Notes to Financial Statements (Part I, Item 1 of this Form 10-Q).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Planned Uses of Capital</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will continue to invest in sales, marketing, product support infrastructure, and existing and advanced areas of technology, as well as acquisitions that align with our business strategy. Additions to property and equipment will continue, including new facilities, datacenters, and computer systems for research and development, sales and marketing, support, and administrative staff. We will continue to invest in capital expenditures to support growth in our cloud offerings and our investments in AI training and other infrastructure. We have operating and finance leases for datacenters and related infrastructure, servers and network equipment, corporate offices, and research and development facilities. We have not engaged in any related party transactions or arrangements with unconsolidated entities or other persons that are reasonably likely to materially affect liquidity or the availability of capital resources.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8" w:name="page39"/>
    <w:bookmarkEnd w:id="38"/>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RECENT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 Accounting Policies of the Notes to Financial Statements (Part I, Item 1 of this Form 10-Q).</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CRITICAL ACCOUNTING ESTIMATES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Critical accounting estimates are those estimates that involve a significant level of estimation uncertainty and could have a material impact on our financial condition or results of operations. We have critical accounting estimates in the areas of revenue recognition, measurement and impairment of investment securities, goodwill, research and development costs, legal and other contingencies, and income taxes.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Remaining performance obligations represent the revenue we expect to recognize for our products and services for which control has not yet been transferred to customers. We estimate total consideration to be received at the outset of the agreement and throughout the term of the agreement. Estimating the total consideration and revenue that will be allocated to remaining performance obligation can involve significant judgments, including identifying and assessing variable consideration and potential renegotiation of commitments. We consider factors such as the nature of the terms and duration of the contract across our portfolio of contracts.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9" w:name="page40"/>
    <w:bookmarkEnd w:id="39"/>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Measurement and Impairment of Investment Securities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Investments purchased by Microsoft are typically accounted for as available-for-sale debt securities, equity investments with readily determinable fair values, or equity investments without readily determinable fair values measured using either the equity method when required or at cost less impairments, if any, with adjustments for observable changes in price (referred to as the measurement alternative). Equity method investments may be recorded on a lag of up to three months when sufficient financial information is not available in a timely manner. For equity method investments recorded on a lag, we recognize the impact of intervening events that have a material impact on our consolidated financial statements in the period in which they occurred.</w:t>
      </w:r>
    </w:p>
    <w:p>
      <w:pPr>
        <w:spacing w:after="0" w:line="12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review debt investments quarterly for credit losses and impairment. If the cost of an investment exceeds its fair value, we evaluate, among other factors, general market conditions, credit quality of debt instrument issuers, and the extent to which the fair value is less than cost. This determination requires significant judgment. In making this judgment, we employ a systematic methodology that considers available quantitative and qualitative evidence in evaluating potential impairment of our investments.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equity investments accounted for under the measurement alternative, we evaluate whether observable changes in price have occurred in orderly transactions for identical or similar investments of the same issuer. This determination requires judgment in evaluating whether transactions are orderly and whether the securities are comparable, including consideration of the rights and preferences of the securities, investor composition, and other relevant facts and circumstances. Equity investments without readily determinable fair values are written down to fair value if a qualitative assessment indicates that the investment is impaired and the fair value of the investment is less than carrying value. We perform a qualitative assessment on a periodic basis. We are required to estimate the fair value of the investment to determine the amount of the impairment loss. Once an investment is determined to be impaired, an impairment charge is recorded in other income (expense), net.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2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the period over which cash flows are expected to be generated, and determination of our weighted average cost of capital.</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0" w:name="page41"/>
    <w:bookmarkEnd w:id="40"/>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Costs incurred internally in researching and developing a software product to be marketed or sold to external users are charged to expense until technological feasibility has been established for the product. Once technological feasibility is established,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Contingencies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1" w:name="page42"/>
    <w:bookmarkEnd w:id="41"/>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Item 3, 4</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are exposed to economic risk from foreign exchange rates, interest rates, credit risk, and equity prices. We use derivatives instruments to manage these risks, however, they may still impact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positions, including hedges. Principal currency exposures include the Euro, Japanese yen, British pound, Canadian dollar, and Australian dollar.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fixed-income portfolio is diversified and consists primarily of investment-grade securities. We manage credit exposures relative to broad-based indices to facilitate portfolio diversification.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Securities held in our equity investments portfolio are subject to price risk.</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SENSITIVITY ANALYSIS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potential loss in future earnings or fair values, including associated derivatives, resulting from hypothetical changes in relevant market rates or prices: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vMerge w:val="restart"/>
          </w:tcPr>
          <w:p>
            <w:pPr>
              <w:spacing w:after="0"/>
              <w:rPr>
                <w:sz w:val="20"/>
                <w:szCs w:val="20"/>
                <w:color w:val="auto"/>
              </w:rPr>
            </w:pPr>
            <w:r>
              <w:rPr>
                <w:rFonts w:ascii="Arial" w:cs="Arial" w:eastAsia="Arial" w:hAnsi="Arial"/>
                <w:sz w:val="13"/>
                <w:szCs w:val="13"/>
                <w:b w:val="1"/>
                <w:bCs w:val="1"/>
                <w:color w:val="auto"/>
              </w:rPr>
              <w:t>Risk Categories</w:t>
            </w:r>
          </w:p>
        </w:tc>
        <w:tc>
          <w:tcPr>
            <w:tcW w:w="5220" w:type="dxa"/>
            <w:vAlign w:val="bottom"/>
            <w:vMerge w:val="restart"/>
          </w:tcPr>
          <w:p>
            <w:pPr>
              <w:ind w:left="480"/>
              <w:spacing w:after="0"/>
              <w:rPr>
                <w:sz w:val="20"/>
                <w:szCs w:val="20"/>
                <w:color w:val="auto"/>
              </w:rPr>
            </w:pPr>
            <w:r>
              <w:rPr>
                <w:rFonts w:ascii="Arial" w:cs="Arial" w:eastAsia="Arial" w:hAnsi="Arial"/>
                <w:sz w:val="13"/>
                <w:szCs w:val="13"/>
                <w:b w:val="1"/>
                <w:bCs w:val="1"/>
                <w:color w:val="auto"/>
              </w:rPr>
              <w:t>Hypothetical Change</w:t>
            </w:r>
          </w:p>
        </w:tc>
        <w:tc>
          <w:tcPr>
            <w:tcW w:w="640" w:type="dxa"/>
            <w:vAlign w:val="bottom"/>
          </w:tcPr>
          <w:p>
            <w:pPr>
              <w:spacing w:after="0"/>
              <w:rPr>
                <w:sz w:val="12"/>
                <w:szCs w:val="12"/>
                <w:color w:val="auto"/>
              </w:rPr>
            </w:pPr>
          </w:p>
        </w:tc>
        <w:tc>
          <w:tcPr>
            <w:tcW w:w="1160" w:type="dxa"/>
            <w:vAlign w:val="bottom"/>
          </w:tcPr>
          <w:p>
            <w:pPr>
              <w:jc w:val="right"/>
              <w:ind w:right="56"/>
              <w:spacing w:after="0"/>
              <w:rPr>
                <w:sz w:val="20"/>
                <w:szCs w:val="20"/>
                <w:color w:val="auto"/>
              </w:rPr>
            </w:pPr>
            <w:r>
              <w:rPr>
                <w:rFonts w:ascii="Arial" w:cs="Arial" w:eastAsia="Arial" w:hAnsi="Arial"/>
                <w:sz w:val="13"/>
                <w:szCs w:val="13"/>
                <w:b w:val="1"/>
                <w:bCs w:val="1"/>
                <w:color w:val="auto"/>
              </w:rPr>
              <w:t>September 30,</w:t>
            </w:r>
          </w:p>
        </w:tc>
        <w:tc>
          <w:tcPr>
            <w:tcW w:w="12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Impact</w:t>
            </w:r>
          </w:p>
        </w:tc>
        <w:tc>
          <w:tcPr>
            <w:tcW w:w="0" w:type="dxa"/>
            <w:vAlign w:val="bottom"/>
          </w:tcPr>
          <w:p>
            <w:pPr>
              <w:spacing w:after="0"/>
              <w:rPr>
                <w:sz w:val="1"/>
                <w:szCs w:val="1"/>
                <w:color w:val="auto"/>
              </w:rPr>
            </w:pPr>
          </w:p>
        </w:tc>
      </w:tr>
      <w:tr>
        <w:trPr>
          <w:trHeight w:val="195"/>
        </w:trPr>
        <w:tc>
          <w:tcPr>
            <w:tcW w:w="3000" w:type="dxa"/>
            <w:vAlign w:val="bottom"/>
            <w:vMerge w:val="continue"/>
          </w:tcPr>
          <w:p>
            <w:pPr>
              <w:spacing w:after="0"/>
              <w:rPr>
                <w:sz w:val="16"/>
                <w:szCs w:val="16"/>
                <w:color w:val="auto"/>
              </w:rPr>
            </w:pPr>
          </w:p>
        </w:tc>
        <w:tc>
          <w:tcPr>
            <w:tcW w:w="52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jc w:val="right"/>
              <w:ind w:right="56"/>
              <w:spacing w:after="0"/>
              <w:rPr>
                <w:sz w:val="20"/>
                <w:szCs w:val="20"/>
                <w:color w:val="auto"/>
              </w:rPr>
            </w:pPr>
            <w:r>
              <w:rPr>
                <w:rFonts w:ascii="Arial" w:cs="Arial" w:eastAsia="Arial" w:hAnsi="Arial"/>
                <w:sz w:val="13"/>
                <w:szCs w:val="13"/>
                <w:b w:val="1"/>
                <w:bCs w:val="1"/>
                <w:color w:val="auto"/>
              </w:rPr>
              <w:t>2026</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000" w:type="dxa"/>
            <w:vAlign w:val="bottom"/>
            <w:shd w:val="clear" w:color="auto" w:fill="E5E5E5"/>
          </w:tcPr>
          <w:p>
            <w:pPr>
              <w:spacing w:after="0"/>
              <w:rPr>
                <w:sz w:val="20"/>
                <w:szCs w:val="20"/>
                <w:color w:val="auto"/>
              </w:rPr>
            </w:pPr>
            <w:r>
              <w:rPr>
                <w:rFonts w:ascii="Arial" w:cs="Arial" w:eastAsia="Arial" w:hAnsi="Arial"/>
                <w:sz w:val="18"/>
                <w:szCs w:val="18"/>
                <w:color w:val="auto"/>
              </w:rPr>
              <w:t>Foreign currency – Revenue</w:t>
            </w:r>
          </w:p>
        </w:tc>
        <w:tc>
          <w:tcPr>
            <w:tcW w:w="5220" w:type="dxa"/>
            <w:vAlign w:val="bottom"/>
            <w:shd w:val="clear" w:color="auto" w:fill="E5E5E5"/>
          </w:tcPr>
          <w:p>
            <w:pPr>
              <w:ind w:left="480"/>
              <w:spacing w:after="0"/>
              <w:rPr>
                <w:sz w:val="20"/>
                <w:szCs w:val="20"/>
                <w:color w:val="auto"/>
              </w:rPr>
            </w:pPr>
            <w:r>
              <w:rPr>
                <w:rFonts w:ascii="Arial" w:cs="Arial" w:eastAsia="Arial" w:hAnsi="Arial"/>
                <w:sz w:val="18"/>
                <w:szCs w:val="18"/>
                <w:color w:val="auto"/>
              </w:rPr>
              <w:t>10% decrease in foreign exchange rates</w:t>
            </w:r>
          </w:p>
        </w:tc>
        <w:tc>
          <w:tcPr>
            <w:tcW w:w="640" w:type="dxa"/>
            <w:vAlign w:val="bottom"/>
            <w:shd w:val="clear" w:color="auto" w:fill="E5E5E5"/>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(14,451)</w:t>
            </w:r>
          </w:p>
        </w:tc>
        <w:tc>
          <w:tcPr>
            <w:tcW w:w="1220" w:type="dxa"/>
            <w:vAlign w:val="bottom"/>
            <w:shd w:val="clear" w:color="auto" w:fill="E5E5E5"/>
          </w:tcPr>
          <w:p>
            <w:pPr>
              <w:ind w:left="80"/>
              <w:spacing w:after="0"/>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Foreign currency – Investments</w:t>
            </w:r>
          </w:p>
        </w:tc>
        <w:tc>
          <w:tcPr>
            <w:tcW w:w="5220" w:type="dxa"/>
            <w:vAlign w:val="bottom"/>
          </w:tcPr>
          <w:p>
            <w:pPr>
              <w:ind w:left="480"/>
              <w:spacing w:after="0" w:line="202" w:lineRule="exact"/>
              <w:rPr>
                <w:sz w:val="20"/>
                <w:szCs w:val="20"/>
                <w:color w:val="auto"/>
              </w:rPr>
            </w:pPr>
            <w:r>
              <w:rPr>
                <w:rFonts w:ascii="Arial" w:cs="Arial" w:eastAsia="Arial" w:hAnsi="Arial"/>
                <w:sz w:val="18"/>
                <w:szCs w:val="18"/>
                <w:color w:val="auto"/>
              </w:rPr>
              <w:t>10% decrease in foreign exchange rates</w:t>
            </w:r>
          </w:p>
        </w:tc>
        <w:tc>
          <w:tcPr>
            <w:tcW w:w="6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w:t>
            </w:r>
          </w:p>
        </w:tc>
        <w:tc>
          <w:tcPr>
            <w:tcW w:w="1220" w:type="dxa"/>
            <w:vAlign w:val="bottom"/>
          </w:tcPr>
          <w:p>
            <w:pPr>
              <w:ind w:left="80"/>
              <w:spacing w:after="0" w:line="202"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03"/>
        </w:trPr>
        <w:tc>
          <w:tcPr>
            <w:tcW w:w="3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Interest rate</w:t>
            </w:r>
          </w:p>
        </w:tc>
        <w:tc>
          <w:tcPr>
            <w:tcW w:w="5220" w:type="dxa"/>
            <w:vAlign w:val="bottom"/>
            <w:shd w:val="clear" w:color="auto" w:fill="E5E5E5"/>
          </w:tcPr>
          <w:p>
            <w:pPr>
              <w:ind w:left="480"/>
              <w:spacing w:after="0" w:line="202" w:lineRule="exact"/>
              <w:rPr>
                <w:sz w:val="20"/>
                <w:szCs w:val="20"/>
                <w:color w:val="auto"/>
              </w:rPr>
            </w:pPr>
            <w:r>
              <w:rPr>
                <w:rFonts w:ascii="Arial" w:cs="Arial" w:eastAsia="Arial" w:hAnsi="Arial"/>
                <w:sz w:val="18"/>
                <w:szCs w:val="18"/>
                <w:color w:val="auto"/>
              </w:rPr>
              <w:t>100 basis point increase in U.S. treasury interest rates</w:t>
            </w:r>
          </w:p>
        </w:tc>
        <w:tc>
          <w:tcPr>
            <w:tcW w:w="64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(1,023)</w:t>
            </w:r>
          </w:p>
        </w:tc>
        <w:tc>
          <w:tcPr>
            <w:tcW w:w="1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Credit</w:t>
            </w:r>
          </w:p>
        </w:tc>
        <w:tc>
          <w:tcPr>
            <w:tcW w:w="5220" w:type="dxa"/>
            <w:vAlign w:val="bottom"/>
          </w:tcPr>
          <w:p>
            <w:pPr>
              <w:ind w:left="480"/>
              <w:spacing w:after="0" w:line="202" w:lineRule="exact"/>
              <w:rPr>
                <w:sz w:val="20"/>
                <w:szCs w:val="20"/>
                <w:color w:val="auto"/>
              </w:rPr>
            </w:pPr>
            <w:r>
              <w:rPr>
                <w:rFonts w:ascii="Arial" w:cs="Arial" w:eastAsia="Arial" w:hAnsi="Arial"/>
                <w:sz w:val="18"/>
                <w:szCs w:val="18"/>
                <w:color w:val="auto"/>
              </w:rPr>
              <w:t>100 basis point increase in credit spreads</w:t>
            </w:r>
          </w:p>
        </w:tc>
        <w:tc>
          <w:tcPr>
            <w:tcW w:w="6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(387)</w:t>
            </w:r>
          </w:p>
        </w:tc>
        <w:tc>
          <w:tcPr>
            <w:tcW w:w="1220" w:type="dxa"/>
            <w:vAlign w:val="bottom"/>
          </w:tcPr>
          <w:p>
            <w:pPr>
              <w:ind w:left="80"/>
              <w:spacing w:after="0" w:line="202"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03"/>
        </w:trPr>
        <w:tc>
          <w:tcPr>
            <w:tcW w:w="3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Equity</w:t>
            </w:r>
          </w:p>
        </w:tc>
        <w:tc>
          <w:tcPr>
            <w:tcW w:w="5220" w:type="dxa"/>
            <w:vAlign w:val="bottom"/>
            <w:shd w:val="clear" w:color="auto" w:fill="E5E5E5"/>
          </w:tcPr>
          <w:p>
            <w:pPr>
              <w:ind w:left="480"/>
              <w:spacing w:after="0" w:line="202" w:lineRule="exact"/>
              <w:rPr>
                <w:sz w:val="20"/>
                <w:szCs w:val="20"/>
                <w:color w:val="auto"/>
              </w:rPr>
            </w:pPr>
            <w:r>
              <w:rPr>
                <w:rFonts w:ascii="Arial" w:cs="Arial" w:eastAsia="Arial" w:hAnsi="Arial"/>
                <w:sz w:val="18"/>
                <w:szCs w:val="18"/>
                <w:color w:val="auto"/>
              </w:rPr>
              <w:t>10% decrease in equity market prices</w:t>
            </w:r>
          </w:p>
        </w:tc>
        <w:tc>
          <w:tcPr>
            <w:tcW w:w="64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(2,806)</w:t>
            </w:r>
          </w:p>
        </w:tc>
        <w:tc>
          <w:tcPr>
            <w:tcW w:w="1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41"/>
        </w:trPr>
        <w:tc>
          <w:tcPr>
            <w:tcW w:w="3000" w:type="dxa"/>
            <w:vAlign w:val="bottom"/>
            <w:tcBorders>
              <w:bottom w:val="single" w:sz="8" w:color="auto"/>
            </w:tcBorders>
          </w:tcPr>
          <w:p>
            <w:pPr>
              <w:spacing w:after="0"/>
              <w:rPr>
                <w:sz w:val="3"/>
                <w:szCs w:val="3"/>
                <w:color w:val="auto"/>
              </w:rPr>
            </w:pPr>
          </w:p>
        </w:tc>
        <w:tc>
          <w:tcPr>
            <w:tcW w:w="5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4. CONTROLS AND PROCEDURES</w:t>
      </w:r>
    </w:p>
    <w:p>
      <w:pPr>
        <w:spacing w:after="0" w:line="16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 There were no changes in our internal control over financial reporting during the quarter ended September 30, 2026 that have materially affected, or are reasonably likely to materially affect, our internal control over financial reporting.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Item 1, 1A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LEGAL PROCEEDINGS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Refer to Note 13 – Contingencies of the Notes to Financial Statements (Part I, Item 1 of this Form 10-Q) for information regarding legal proceedings in which we are involved.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1A. RISK FACTORS</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below, that could adversely affect our business, operations, financial condition, results of operations, liquidity, and the trading price of our common stock. Statements in this section reflect our beliefs and opinions as to matters that could adversely affect us in the future. References to past events are provided by way of example only and are not intended to be a complete listing or a representation as to whether or not such matters have occurred in the past.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STRATEGIC AND COMPETITIVE RISKS</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face intense competition across all markets for our products and services, which could adversely affect our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technology sector</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competitors range in size from diversified global companies with significant research and development resources to small, specialized firms who may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If we do not continue to innovate and provide products, devices, and services that appeal to businesses and consumers, we may not remain competitive, which could adversely affect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among platform-based ecosystems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meet consumer demand and to achieve and maintain attractive margins. Firms offering competing platforms may make it more difficult to attract and retain customers.</w:t>
      </w:r>
    </w:p>
    <w:p>
      <w:pPr>
        <w:spacing w:after="0" w:line="39" w:lineRule="exact"/>
        <w:rPr>
          <w:sz w:val="20"/>
          <w:szCs w:val="20"/>
          <w:color w:val="auto"/>
        </w:rPr>
      </w:pPr>
    </w:p>
    <w:p>
      <w:pPr>
        <w:jc w:val="both"/>
        <w:ind w:left="1020" w:hanging="368"/>
        <w:spacing w:after="0" w:line="239"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 competing vertically-integrated model, in which a single firm controls the hardware and software elements of a product and related services, has succeeded with some consumer products such as PCs, tablets, smartphones, gaming consoles, wearables, and other endpoint devices.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vertically-integrated offer. We also offer some vertically-integrated hardware and software products and services. Expansion of our vertically-integrated capabilities, including developing proprietary hardware, infrastructure, and artificial intelligence (“AI”) models, could increase our cost structure, reduce margins, and expose us to operational risks.</w:t>
      </w:r>
    </w:p>
    <w:p>
      <w:pPr>
        <w:spacing w:after="0" w:line="51" w:lineRule="exact"/>
        <w:rPr>
          <w:rFonts w:ascii="Times New Roman" w:cs="Times New Roman" w:eastAsia="Times New Roman" w:hAnsi="Times New Roman"/>
          <w:sz w:val="18"/>
          <w:szCs w:val="18"/>
          <w:color w:val="auto"/>
        </w:rPr>
      </w:pPr>
    </w:p>
    <w:p>
      <w:pPr>
        <w:jc w:val="both"/>
        <w:ind w:left="1020" w:hanging="368"/>
        <w:spacing w:after="0" w:line="239"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We derive substantial revenue from licenses of Windows operating systems on PCs. We face significant competition from competing platforms developed for a range of devices, including smartphones and tablets. These devices compete on multiple bases including price and the perceived utility of the device and its platform. Even if many users view these devices as complementary to a PC,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OEM partners, which may affect their commitment to our platform.</w:t>
      </w:r>
    </w:p>
    <w:p>
      <w:pPr>
        <w:spacing w:after="0" w:line="51"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Competing platforms have content and application marketplaces with scale and significant installed bases. Users may incur costs to move data and buy new content and applications when switching platforms. To compete successfully, we must enlist developers to write applications for our platform and ensure that these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3" w:name="page44"/>
    <w:bookmarkEnd w:id="43"/>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51" w:lineRule="exact"/>
        <w:rPr>
          <w:sz w:val="20"/>
          <w:szCs w:val="20"/>
          <w:color w:val="auto"/>
        </w:rPr>
      </w:pPr>
    </w:p>
    <w:p>
      <w:pPr>
        <w:jc w:val="both"/>
        <w:ind w:left="1020"/>
        <w:spacing w:after="0" w:line="247" w:lineRule="auto"/>
        <w:rPr>
          <w:sz w:val="20"/>
          <w:szCs w:val="20"/>
          <w:color w:val="auto"/>
        </w:rPr>
      </w:pPr>
      <w:r>
        <w:rPr>
          <w:rFonts w:ascii="Arial" w:cs="Arial" w:eastAsia="Arial" w:hAnsi="Arial"/>
          <w:sz w:val="18"/>
          <w:szCs w:val="18"/>
          <w:color w:val="auto"/>
        </w:rPr>
        <w:t>applications have high quality, security, customer appeal, and value. Efforts to compete with competitors’ content and application marketplaces may increase our cost of revenue and lower our operating margins. Competitors’ rules governing their content and applications marketplaces may restrict our ability to distribute products and services through them in accordance with our technical and business model objectives.</w:t>
      </w:r>
    </w:p>
    <w:p>
      <w:pPr>
        <w:spacing w:after="0" w:line="12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 all of these reasons, we may not be able to compete successfully against our current and future competitors, which could adversely affect our business, operations, financial condition, and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 competition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Companies compete with us based on a growing variety of business models.</w:t>
      </w:r>
    </w:p>
    <w:p>
      <w:pPr>
        <w:spacing w:after="0" w:line="77" w:lineRule="exact"/>
        <w:rPr>
          <w:sz w:val="20"/>
          <w:szCs w:val="20"/>
          <w:color w:val="auto"/>
        </w:rPr>
      </w:pPr>
    </w:p>
    <w:p>
      <w:pPr>
        <w:jc w:val="both"/>
        <w:ind w:left="1020" w:hanging="368"/>
        <w:spacing w:after="0" w:line="243"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are investing in AI across the entire company and infusing AI capabilities into our offerings. AI technology and services are a highly competitive and rapidly evolving market, and new competitors continue to enter the market. Our AI offerings compete with AI products from hyperscalers, open-source offerings, and frontier model providers, some of which are also current or potential partners. To compete effectively we must also be responsive to technological change, new and potential regulatory developments, and public scrutiny.</w:t>
      </w:r>
    </w:p>
    <w:p>
      <w:pPr>
        <w:spacing w:after="0" w:line="44"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 material part of our business involves cloud-based services available across the spectrum of computing devices. We and our competitors continue to devote significant resources to developing and deploying cloud-based strategies and services for consumers and business customers.</w:t>
      </w:r>
    </w:p>
    <w:p>
      <w:pPr>
        <w:spacing w:after="0" w:line="35" w:lineRule="exact"/>
        <w:rPr>
          <w:rFonts w:ascii="Times New Roman" w:cs="Times New Roman" w:eastAsia="Times New Roman" w:hAnsi="Times New Roman"/>
          <w:sz w:val="18"/>
          <w:szCs w:val="18"/>
          <w:color w:val="auto"/>
        </w:rPr>
      </w:pPr>
    </w:p>
    <w:p>
      <w:pPr>
        <w:jc w:val="both"/>
        <w:ind w:left="1020" w:hanging="368"/>
        <w:spacing w:after="0" w:line="243"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Even as we transition more of our business to infrastructure-, platform-, and software-as-a-service business models,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spacing w:after="0" w:line="44"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Other competitors develop and offer free applications, online services, and content, and make money by selling third-party advertising. Advertising revenue funds development of products and services these competitors provide to users at little or no cost, competing directly with our revenue-generating products.</w:t>
      </w:r>
    </w:p>
    <w:p>
      <w:pPr>
        <w:spacing w:after="0" w:line="35" w:lineRule="exact"/>
        <w:rPr>
          <w:rFonts w:ascii="Times New Roman" w:cs="Times New Roman" w:eastAsia="Times New Roman" w:hAnsi="Times New Roman"/>
          <w:sz w:val="18"/>
          <w:szCs w:val="18"/>
          <w:color w:val="auto"/>
        </w:rPr>
      </w:pPr>
    </w:p>
    <w:p>
      <w:pPr>
        <w:jc w:val="both"/>
        <w:ind w:left="1020" w:hanging="368"/>
        <w:spacing w:after="0" w:line="246"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Some companies compete with us by modifying and then distributing open-source software at little or no cost to end users, developing, making available, or using AI models that are open, and earning revenue on advertising or integrated products and services. These firms do not bear the full costs of research and development for the open-source products. Some open-source products mimic the features and functionality of our products.</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competitive pressures described above may cause decreased sales volumes, price reductions, and/or increased operating costs, such as for research and development, marketing, and sales incentives, which could adversely affect our financial condition and results of operations.</w:t>
      </w:r>
    </w:p>
    <w:p>
      <w:pPr>
        <w:spacing w:after="0" w:line="11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Our cloud and AI strategy requires substantial investments and depends on evolving customer demand, technological developments, competitive dynamics, and regulatory conditions, any of which could adversely affect our business, financial condition, and results of operations. </w:t>
      </w:r>
      <w:r>
        <w:rPr>
          <w:rFonts w:ascii="Arial" w:cs="Arial" w:eastAsia="Arial" w:hAnsi="Arial"/>
          <w:sz w:val="18"/>
          <w:szCs w:val="18"/>
          <w:color w:val="auto"/>
        </w:rPr>
        <w:t>We have made and are continuing to make significant capital and operational investments to</w:t>
      </w:r>
      <w:r>
        <w:rPr>
          <w:rFonts w:ascii="Arial" w:cs="Arial" w:eastAsia="Arial" w:hAnsi="Arial"/>
          <w:sz w:val="18"/>
          <w:szCs w:val="18"/>
          <w:b w:val="1"/>
          <w:bCs w:val="1"/>
          <w:color w:val="auto"/>
        </w:rPr>
        <w:t xml:space="preserve"> </w:t>
      </w:r>
      <w:r>
        <w:rPr>
          <w:rFonts w:ascii="Arial" w:cs="Arial" w:eastAsia="Arial" w:hAnsi="Arial"/>
          <w:sz w:val="18"/>
          <w:szCs w:val="18"/>
          <w:color w:val="auto"/>
        </w:rPr>
        <w:t>develop, train, deploy, and support AI models and related cloud-based services, including building and expanding datacenters, acquiring necessary components, and securing energy resources. These investments are being made at significant scale and on an accelerated timeline, require substantial and increasing capital expenditures and continued access to capital, and are in advance of fully developed revenue streams. The associated revenue may not be realized in the expected timeframes or at expected levels. Our capital and operational investments are complex and involve projects in multiple locations around the world that expose us to increased compliance risks and political challenges, among others. Funding these investments depends on our ability to generate sufficient cash flows and obtain financing on acceptable terms. Adverse changes in interest rates, credit markets, investor sentiment, our credit ratings, or other factors affecting capital availability could increase our cost of capital or limit our ability to execute our infrastructure strategy. The financial success of these investments depends on a number of uncertain factors, including customer demand for cloud-based and AI products and services and continued customer use of Azure to build, train, deploy, and run AI workloads, our ability to price and monetize those services at levels sufficient to recover our costs, competitive dynamics affecting pricing, and the pace of adoption of AI. Customers may reduce, delay, or shift AI workloads to competing platforms, on-premises or local deployments, or other alternatives. If adoption of our AI services develops more slowly than expected, or if customers do not continue to utilize Azure for AI workloads at anticipated levels, we may not realize the expected returns on our investments.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4" w:name="page45"/>
    <w:bookmarkEnd w:id="44"/>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Demand for cloud-based and AI products and services is evolving and difficult to forecast. Overestimation of demand or misalignment of capacity investments may result in underutilization of infrastructure and may lead to impairment of assets on our balance sheet. Conversely, demand exceeding available capacity limits our ability to meet customer needs in a timely manner.</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cost structure for AI products and services is subject to significant uncertainty, including with respect to model training and inference costs, the availability and pricing of components, and energy costs. If these costs increase, remain elevated, or fail to decline, or if pricing for AI products and services declines as a result of competition, commoditization, or other market forces, our margins, financial condition, and results of operations could be adversely affected.</w:t>
      </w:r>
    </w:p>
    <w:p>
      <w:pPr>
        <w:spacing w:after="0" w:line="1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AI strategy also depends in part on strategic relationships with third parties that provide technologies, models, products, and services that enhance our offerings. These relationships may change over time, and many of these partners compete with us with respect to certain products and services. We also have limited visibility into or control over the design, training data, model weights, security practices, updates, evaluations, or behavior of models and related technologies provided by third parties. Changes in strategic priorities, contractual arrangements, our access to third-party technologies, or key commercial relationships could adversely affect the competitiveness of our AI products and services. In some cases, these parties are significant customers of Azure and other cloud services. The economic benefits we expect to derive from these relationships, including through commercial arrangements, technology access, and Azure consumption, may not be realized or sustained. As we manage infrastructure capacity constraints and evolving customer demand, we may modify capacity allocations, deployment priorities, pricing, or other commercial arrangements. Strategic partners and other customers may likewise adjust their purchasing decisions, deployment strategies, workloads, or anticipated use of our products and services. As a result, expected consumption or anticipated demand may not materialize, may be delayed or reduced, or may decline over time. Any such developments could adversely affect our business, financial condition, and results of operations.</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Our success depends on our ability to develop, deliver, and maintain competitive cloud-based and AI products and services that achieve broad customer adoption and sustainable revenue growth. </w:t>
      </w:r>
      <w:r>
        <w:rPr>
          <w:rFonts w:ascii="Arial" w:cs="Arial" w:eastAsia="Arial" w:hAnsi="Arial"/>
          <w:sz w:val="18"/>
          <w:szCs w:val="18"/>
          <w:color w:val="auto"/>
        </w:rPr>
        <w:t>Our ability to succeed depends on our ability to develop and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differentiated products and services that meet evolving customer needs, achieve broad adoption, maintain customer trust, and generate sustainable revenue and growth. The markets for cloud-based and AI products and services are highly dynamic, characterized by shifting customer expectations, increasing regulatory and governmental scrutiny, intense competition, and rapid technological change, such as the accelerating importance of agentic computing. Whether we succeed in cloud-based and AI products and services depends on our execution in several areas, including:</w:t>
      </w:r>
    </w:p>
    <w:p>
      <w:pPr>
        <w:spacing w:after="0" w:line="50" w:lineRule="exact"/>
        <w:rPr>
          <w:sz w:val="20"/>
          <w:szCs w:val="20"/>
          <w:color w:val="auto"/>
        </w:rPr>
      </w:pPr>
    </w:p>
    <w:p>
      <w:pPr>
        <w:ind w:left="1020" w:right="20" w:hanging="368"/>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to bring to market compelling cloud-based and AI products and services that generate increasing traffic and market share.</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Driving customer adoption, usage, and retention of our cloud-based and AI products and services.</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monetizing our cloud-based and AI products and services through pricing models that reflect their value while remaining competitive.</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third parties to utilize, build on, and extend our cloud and AI platforms.</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Ensuring our cloud-based and AI products and services meet the reliability expectations and specific requirements of our customers and maintain the security of their data as well as help them meet their own compliance needs.</w:t>
      </w:r>
    </w:p>
    <w:p>
      <w:pPr>
        <w:spacing w:after="0" w:line="19"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Making our suite of cloud-based and AI products and services platform-agnostic and maintaining the utility, compatibility, and performance of our cloud-based and AI products and services on the growing array of computing devices, including PCs, smartphones, tablets, gaming consoles, and other devices.</w:t>
      </w:r>
    </w:p>
    <w:p>
      <w:pPr>
        <w:spacing w:after="0" w:line="11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success depends on our ability to execute effectively across product development, go-to-market, customer acquisition, and customer retention initiatives. Failure to do so could reduce adoption, market share, and revenue growth. If we are not effective in executing organizational and technical changes to increase efficiency and accelerate innovation, or if we fail to generate sufficient usage of our new products and services, the timing or magnitude of any revenue growth may not be in line with these costs. This could adversely affect our operations, financial condition, and results of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5" w:name="page46"/>
    <w:bookmarkEnd w:id="45"/>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cloud-based and AI products and services may be misused by customers, users, or malicious actors for unintended, fraudulent, abusive, or unlawful purposes. Our efforts to detect, prevent, and mitigate such misuse may not be successful, which could result in reputational harm, regulatory scrutiny, service disruptions, or adverse impacts on our business, financial condition, and results of operations.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 RELATING TO THE EVOLUTION OF OUR BUSINESS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We make significant investments in products and services that may not achieve expected returns. </w:t>
      </w:r>
      <w:r>
        <w:rPr>
          <w:rFonts w:ascii="Arial" w:cs="Arial" w:eastAsia="Arial" w:hAnsi="Arial"/>
          <w:sz w:val="18"/>
          <w:szCs w:val="18"/>
          <w:color w:val="auto"/>
        </w:rPr>
        <w:t>We will continue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investments in research, development, and marketing for existing products, services, and technologies, including AI-based products and services. We also invest in the development and acquisition of a variety of hardware for productivity, communication, and entertainment, including PCs, tablets, and gaming devices. Investments in new technology are speculative. Commercial success depends on many factors, including innovation,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these investments for several years, if at all. New products and services may not be profitable or may not achieve operating margins as high as we have experienced historically. We may not get engagement in certain features that drive post-sale monetization opportunities. Perceptions of mismanagement, driven by regulatory activity or negative public reaction to our practices or product experiences, could negatively impact product and feature adoption. Developing new technologies is complex. It can require long development and testing periods. We could experience significant delays in new releases or significant problems in creating new products or services. These factors could adversely affect our business, financial condition, and results of operations.</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Acquisitions, joint ventures, and strategic alliances could have an adverse effect on our business. </w:t>
      </w:r>
      <w:r>
        <w:rPr>
          <w:rFonts w:ascii="Arial" w:cs="Arial" w:eastAsia="Arial" w:hAnsi="Arial"/>
          <w:sz w:val="18"/>
          <w:szCs w:val="18"/>
          <w:color w:val="auto"/>
        </w:rPr>
        <w:t>We expect to continue making</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and entering into joint ventures and strategic alliances as part of our long-term business strategy. For example, we have a long-term strategic partnership with OpenAI. Acquisitions and other transactions and arrangements involve significant challenges and risks, including that they do not advance our business strategy, that we get an unsatisfactory return on our investment, that they raise new compliance-related obligations and challenges, that we have difficulty integrating and retaining new employees, business systems, and technology, that they distract management from our other businesses, or that announced transactions may not be completed. If an arrangement fails to adequately anticipate changing circumstances and interests of a party, it may result in early termination or renegotiation of the arrangement. We also have limited ability to control or influence third parties with whom we have arrangements, which may impact our ability to realize the anticipated benefits. The success of these transactions and arrangements depends in part on our ability to leverage them to enhance our existing products and services or develop compelling new ones, as well as the acquired companies’ ability to meet our policies and processes in areas such as data governance, privacy, digital safety, responsible AI, and cybersecurity. It may take longer than expected to realize the full economic benefits from these transactions and arrangements, such as increased revenue or enhanced efficiencies, or the benefits may ultimately be smaller than we expected, which could cause an impairment of goodwill or intangibles. We have recorded, and may in the future be required to record, a significant charge in our consolidated financial statements during the period in which any impairment of our goodwill or amortizable intangible assets is determined, negatively affecting our results of operations. In addition, these transactions and arrangements have been and may be subject to legal and regulatory challenge. These events could adversely affect our business, operations, financial condition, and results of operations.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CYBERSECURITY, DATA PRIVACY, AND PLATFORM ABUSE RISKS</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Cyberattacks and security vulnerabilities could lead to reduced revenue, increased costs, liability claims, or harm to our reputation or competitive position.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information technology</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Threats to security can take a variety of forms. Threat actors, including individual and groups of hackers and sophisticated organizations, including nation-states, state-sponsored organizations, or cybercriminal groups, continuously undertake attacks that pose threats to our customers and our internal infrastructure, and we have experienced cybersecurity incidents in which such actors have gained unauthorized access to our systems and data, as well as customer, partner, and supplier systems and data. These actors use a wide variety of methods, which include developing and deploying malicious software; exploiting known, latent, or potential vulnerabilities or intentionally designed processes in our or third-party hardware, software, or other infrastructure to attack our products and services or gain access to our networks and datacenters; using social engineering and AI-assisted techniques to induce our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6" w:name="page47"/>
    <w:bookmarkEnd w:id="46"/>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employees, users, partners, suppliers, or customers to disclose sensitive information, such as passwords, or take other actions to gain access to our data or our users’ or customers’ data; or acting in a coordinated manner or conducting coordinated attacks. Nation-state and state-sponsored actors can sustain malicious activities for extended periods and deploy significant resources to plan and carry out attacks. Nation -state attacks against us, our customers, suppliers, or partners have increased and may continue to intensify due to our transparency to our customers, other stakeholders, and the public about cyberattacks, and during elections or periods of intense diplomatic or armed conflict. Challenges or failures to update or apply security patches to all hardware and devices connected to our systems, including end-of-life and end-of-support equipment, have resulted and may continue to result in unauthorized access to our systems and data in the future. Cyber incidents and attacks, individually or in the aggregate, could adversely affect our financial condition, results of operations, competitive position, and reputation, and expose us to legal or regulatory risk.</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Cyberthreats are constantly evolving and becoming increasingly sophisticated and complex, increasing the difficulty of preventing, detecting and successfully defending against them. Threat actors also utilize emerging technologies such as AI to, among other things, increase the speed and scale of attacks by generating and refining malicious content and code, automate reconnaissance and targeting, accelerate their ability to detect or exploit vulnerabilities, and rapidly iterate on attack techniques, which can broaden the scope, intensity, and sophistication of campaigns and reduce the time we have to identify and mitigate emerging threats. Our current capabilities may not detect certain vulnerabilities or new attack methods, including attacks that utilize, manipulate, or misuse AI models or agents, which may allow them to persist in the environment over long periods of time. It may be difficult to determine the best way to investigate, mitigate, contain, and remediate the harm caused by a cyber incident. Such efforts may not be successful, and we may make errors or fail to take necessary actions. It is possible that threat actors may gain undetected access to other networks and systems after establishing a foothold on an internal system. Cyber incidents and attacks can have cascading impacts that unfold with increasing speed across our internal networks and systems, as well as those of our partners and customers. AI agents acting independently or in coordination with other agents, with limited or no human intervention, have increased and may continue to increase the speed, scale, and reach of such impacts while making the nature, scope, and consequences of actions more difficult to predict, monitor, contain, and remediate. In addition, it may take considerable time for us to investigate and evaluate the full impact of incidents, particularly for sophisticated attacks. As a result of these and other factors, we may not be able to provide prompt, full, and reliable information about the incident to our customers, partners, suppliers, regulators, and the public. Breaches of our facilities, network, or data security can disrupt the security of our systems and business applications, impair our ability to provide services to our customers and protect the privacy of their data, result in product development delays, compromise confidential or technical business information, result in theft or misuse of our intellectual property or other assets, subject us to ransomware attacks, require us to allocate more resources to improve technologies or remediate the impacts of attacks, or otherwise adversely affect our business. In addition, actions taken to remediate an incident could result in outages, data losses, and disruptions of our services.</w:t>
      </w:r>
    </w:p>
    <w:p>
      <w:pPr>
        <w:spacing w:after="0" w:line="1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internal environment continues to evolve. Often, we are early adopters of new devices and technologies. We embrace new ways of sharing data and communicating internally and with partners and customers using methods such as social networking and other consumer-oriented technologies. Increasing use of AI, including models, algorithms, and autonomous or semi-autonomous agents, in our internal or third-party systems may create new attack surfaces or methods for adversaries. As a result, the risks associated with AI and cybersecurity increasingly overlap and amplify one another. Additionally, employees and other personnel may use our models or other AI agents in ways that produce unexpected or unintended consequences. AI agents operate with varying degrees of autonomy and their actions and the resulting consequences can be difficult to predict, prevent, detect, attribute, contain, mitigate, or audit. Interactions among AI agents may produce or amplify unexpected or malicious behaviors. Employees or other internal threat actors may misuse authorized access to engage in malicious activity. Our business policies and internal security controls may not keep pace with emerging threats, the evolution of AI models, algorithms, and agents, or the evolving regulatory landscape.</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Inadequate account security or organizational security practices, including those of companies we have acquired or those of the third parties we utilize, have resulted and may result in unauthorized access to our systems and data, including customer systems and data. For example, passwords may not be rotated and employee access may not be updated or removed on a timely basis. Further, third parties that we utilize may also face the AI-based enhanced cybersecurity risk as described elsewhere in these risk factors. Employees or third parties may intentionally compromise our or our users’ security or systems or reveal confidential information, and laws in certain jurisdictions may compel actions by such parties against our interests and could limit our recourse. AI models and agents with access to our internal infrastructure, sensitive data, software development environments, or operational tools may present risks similar to those associated with highly privileged users or threat actors. They may take unintended or unauthorized actions, be manipulated by malicious inputs, or be compromised by threat actors, and if inadequately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7" w:name="page48"/>
    <w:bookmarkEnd w:id="47"/>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controlled, facilitate unauthorized access, disclosure, alteration, or destruction of data or disruption of critical operations. Malicious actors have and may continue to exploit the supply chain to compromise our systems by, for example, injecting malware, including through software updates or compromised supplier or open-source software code, accounts, or hardware. Incidents involving the supply chain, including third-party vendors, suppliers, service providers, open-source software, or customer environments, may adversely affect our systems and our products and services, even where our own systems are not directly compromised.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products, services, devices, and customers’ data</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security of our products and services is important in our customers’ decisions to purchase or use our products or services across cloud and on-premises environments. Security threats are a significant challenge to companies like us, whose business is providing technology products and services to others. Threats to, or attacks on, our own infrastructure, such as the nation-state attack described in the prior risk factor, have also affected our customers and may do so in the future. The reliability of our cloud-based services and the protection of customer data depend on the security of our infrastructure and the security of third-party infrastructure upon which we rely, which includes hardware, software, and other elements provided by third parties. Adversaries tend to focus their efforts on the most popular operating systems, programs, and services, including many of ours, as well as customers with sensitive data, and we expect that to continue. In addition, adversaries can attack our customers’ on-premises or cloud environments, sometimes exploiting previously unknown (“zero-day”) vulnerabilities. Product vulnerabilities can persist even after we have issued security patches if customers have not installed the most recent updates, or if attackers, potentially with the assistance of artificial intelligence, reconstruct and exploit the vulnerabilities before patching. Attackers may utilize vulnerabilities to install malware to further compromise customers’ systems. Adversaries will continue to attack customers as they embrace digital transformation. Adversaries that acquire user account information can use that information to compromise our users’ accounts, including where accounts share the same attributes such as passwords. Inadequate account security practices may also result in unauthorized access, and user activity may result in ransomware or other malicious software impacting a customer’s use of our products or services. Our products are highly complex and weaknesses may exist in our development processes. For example, code generated by AI could include errors, deficiencies, or vulnerabilities that increase our exposure to cyberattacks. Additionally, open-source software can also contain vulnerabilities that may make our products susceptible to cyberattacks as we increasingly incorporate open-source software into our products. Accordingly, our products have and may continue to contain vulnerabilities or undetected errors.</w:t>
      </w:r>
    </w:p>
    <w:p>
      <w:pPr>
        <w:spacing w:after="0" w:line="12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customers operate complex systems with third -party hardware and software from multiple vendors that may include systems acquired over many years. They expect our products and services to support all these systems and products, including those that no longer incorporate the strongest current security advances or standards. As a result, we may not be able to discontinue support of our services for a product, service, standard, or feature solely because a more secure alternative is available. Failure to utilize the most current security advances and standards can increase our customers’ vulnerability to attack. Further, the rapid evolution of AI technologies and use cases, including the use of AI to identify and exploit vulnerabilities, may outpace the development, deployment, and effectiveness of security products, controls, and industry standards, particularly in complex customer environments, increasing the risk that security measures will be insufficient to address newly emerging threats. Customers of widely varied sizes and technical sophistication use our technology, and some may still have limited capabilities and resources to help them adopt and implement state-of-the-art cybersecurity practices and technologies. In addition, we must account for this wide variation of technical sophistication when defining default settings for our products and services, including security default settings, as these settings may limit or otherwise impact other aspects of operations and some customers may have limited capability to review and reset these defaults.</w:t>
      </w:r>
    </w:p>
    <w:p>
      <w:pPr>
        <w:spacing w:after="0" w:line="12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Cyberattacks could adversely impact our customers even if our production services are not directly compromised. We are committed to notifying our customers whose systems have been impacted as we become aware and have actionable information for customers to help protect themselves. We are also committed to providing guidance and support on detection, tracking, and remediation. We may not be able to detect the existence or extent of these attacks for all of our customers or have information on how to detect or track an attack, especially where an attack involves on-premises software such as Exchange Server where we may have no or limited visibility into our customers’ computing environments.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Any of the foregoing events could result in reputational harm, loss of revenue, increased costs, or otherwise adversely affect our business, financial condition, and results of operations.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8" w:name="page49"/>
    <w:bookmarkEnd w:id="48"/>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deployment of defensive measures</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 defend against security threats to our internal infrastructure, our cloud-based services, and our customers’ systems, we must take a complex and multifaceted approach. This includes continuously engineering more secure products and services, and enhancing security, threat detection, and reliability features, including through the deployment of AI-based and automated defenses. The continual advancement and diffusion of AI models is accelerating vulnerability discovery. We must also escalate and improve our development processes and the deployment of software updates to address this accelerating pace of vulnerability discovery in our own products as well as those provided by others in a timely manner. In addition, we must develop mitigation technologies that help to secure customers from attacks even when software updates are not deployed and maintain the digital security infrastructure that protects the integrity of our network, products, and services. Further, we must provide security tools such as firewalls, anti-virus software, and advanced security and information about the need to deploy security measures and the impact of doing so.</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cost of these measures to protect products and customer-facing services could reduce our operating margins. If we fail to do these things well, actual or perceived security vulnerabilities in our processes, products, and services, data corruption issues, or reduced performance could harm our reputation and lead customers to exercise contractual or other remedies against us, reduce or delay future purchases of products or subscriptions to services, or to use competing products or services. Customers and third parties granted access to customer systems may fail to update their systems, continue to run software or operating systems we no longer support, may fail to timely install or enable security patches, or may otherwise fail to adopt adequate security practices, including in response to enhanced AI-based threats. Customers may also spend more on protecting their existing computer systems from attack, which could delay adoption of additional products or services. Customers in certain industries such as financial services, health care, and government have enhanced or specialized expectations and requirements to which we must develop and engineer our products and services. Any of these could adversely affect our reputation and results of operations. Actual or perceived vulnerabilities may lead to claims against us. Our license agreements typically contain provisions that eliminate or limit our exposure to liability, but these provisions may not withstand legal challenges. At times, to achieve commercial objectives, we may enter into agreements with larger liability exposure to customers.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products operate in conjunction with and are dependent on products and components across a broad ecosystem of third parties. If there is a security vulnerability in one of these components, and if there is a security exploit targeting it, we could experience adverse impacts to our results of operations, reputation, or competitive position.</w:t>
      </w:r>
    </w:p>
    <w:p>
      <w:pPr>
        <w:spacing w:after="0" w:line="11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Disclosure and misuse of personal data could result in liability and harm our reputation. </w:t>
      </w:r>
      <w:r>
        <w:rPr>
          <w:rFonts w:ascii="Arial" w:cs="Arial" w:eastAsia="Arial" w:hAnsi="Arial"/>
          <w:sz w:val="18"/>
          <w:szCs w:val="18"/>
          <w:color w:val="auto"/>
        </w:rPr>
        <w:t>As we continue to grow the number, breadth,</w:t>
      </w:r>
      <w:r>
        <w:rPr>
          <w:rFonts w:ascii="Arial" w:cs="Arial" w:eastAsia="Arial" w:hAnsi="Arial"/>
          <w:sz w:val="18"/>
          <w:szCs w:val="18"/>
          <w:b w:val="1"/>
          <w:bCs w:val="1"/>
          <w:color w:val="auto"/>
        </w:rPr>
        <w:t xml:space="preserve"> </w:t>
      </w:r>
      <w:r>
        <w:rPr>
          <w:rFonts w:ascii="Arial" w:cs="Arial" w:eastAsia="Arial" w:hAnsi="Arial"/>
          <w:sz w:val="18"/>
          <w:szCs w:val="18"/>
          <w:color w:val="auto"/>
        </w:rPr>
        <w:t>and scale of our cloud-based offerings, we store and process increasingly large amounts of personal data of our customers and users. The continued occurrence of high-profile data breaches provides evidence of an external environment increasingly hostile to information security. Our security controls over personal data, our training of employees and third parties on data security, and other practices we follow may not prevent the improper disclosure or misuse of customer or user data we or our vendors store and manage. Relatedly, we may fail to identify or mitigate insider threat activities that could lead to the misuse of our systems or customer and user data.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on-premises or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take to address customer or user concerns, or constraints on our flexibility to determine where and how to operate datacenters in response to customer or user expectations or governmental rules or actions, may increase costs or hinder sales of our products and services.</w:t>
      </w:r>
    </w:p>
    <w:p>
      <w:pPr>
        <w:spacing w:after="0" w:line="13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We may not be able to protect information in our products and services from use by others. </w:t>
      </w:r>
      <w:r>
        <w:rPr>
          <w:rFonts w:ascii="Arial" w:cs="Arial" w:eastAsia="Arial" w:hAnsi="Arial"/>
          <w:sz w:val="18"/>
          <w:szCs w:val="18"/>
          <w:color w:val="auto"/>
        </w:rPr>
        <w:t>LinkedIn and other Microsoft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services contain valuable information and content protected by contractual restrictions or technical measures. In certain cases, we have made commitments to our members, customers, and users to limit access to or use of this information. Limitations on our ability to prevent third parties from scraping or gathering information or content through use of bots, agents, or other measures and using it for their own benefit due to, among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9" w:name="page50"/>
    <w:bookmarkEnd w:id="49"/>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other things, changes in the law, interpretations of law, or increasing use of agentic AI, could adversely affect our business, financial condition, and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our platforms may harm our reputation or user engagement.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professional, marketplace, and gaming platform abuses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platform products and services that provide content or host ads that come from or can be influenced by third parties, our reputation or user engagement may be negatively affected by activity that is hostile or inappropriate. This activity may come from users impersonating other people or organizations, including through the use of AI technologies, dissemination of information that may be viewed as misleading or intended to manipulate the opinions of our users, or the use of our products or services that violates our terms of service or otherwise for objectionable or illegal ends. Preventing or responding to these actions may require us to make substantial investments in people and technology and these investments may not be successful, adversely affecting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digital safety abuses</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services may be used to find, generate, store, or disseminate harmful or illegal content in violation of our terms or applicable law. We may not proactively discover such content due to scale, the limitations of existing technologies, and conflicting legal frameworks. This content may negatively affect users, our reputation, our brands, or could impact our business in certain markets. Regulatory enforcement is increasingly focused on product design, safety-by-design, and the responsibility of platform providers. At the same time, laws designed to reduce risks to children are driving new obligations for age-assurance systems, age-appropriate design, and parental controls across the online ecosystem, including within app stores and operating systems. In addition, certain AI technologies, including conversational or emotionally engaging AI systems, may present distinct risks for children and adolescents. If our safeguards are or are perceived to be inadequate, trust could be undermined even where applicable requirements are met. Failure to establish appropriate safeguards or comply with legal and regulatory requirements may subject us to enhanced regulatory oversight, civil or criminal liability, fines and penalties, or other reputational damage, which could adversely affect our business, financial condition, and results of operations.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Our products and services, how they are used by customers, and how third-party products and services interact with them, may present security, privacy, and execution risks. </w:t>
      </w:r>
      <w:r>
        <w:rPr>
          <w:rFonts w:ascii="Arial" w:cs="Arial" w:eastAsia="Arial" w:hAnsi="Arial"/>
          <w:sz w:val="18"/>
          <w:szCs w:val="18"/>
          <w:color w:val="auto"/>
        </w:rPr>
        <w:t>Our products and services may contain defects in design, manufacture, or operation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make them insecure or ineffective for their intended purposes. For example, customers control our products and services, including our AI products, within their environments, and may deploy them in high-risk scenarios or utilize them inappropriately. Our products may also collect large amounts of data in manners which may not satisfy customers or regulatory requirements. Our customers also operate complex systems with third-party hardware and software from multiple vendors whose products or personnel may take or fail to take actions which impact the reliability or security of our products and services. If our products and services do not work as intended, are utilized in methods not intended, violate the law, or harm individuals or businesses, we may be subject to legal claims or enforcement actions. These risks, if realized, may increase our costs, damage our reputation, or adversely affect our results of operations.</w:t>
      </w:r>
    </w:p>
    <w:p>
      <w:pPr>
        <w:spacing w:after="0" w:line="1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Issues in the development, deployment, and use of AI may result in reputational or competitive harm or liability. </w:t>
      </w:r>
      <w:r>
        <w:rPr>
          <w:rFonts w:ascii="Arial" w:cs="Arial" w:eastAsia="Arial" w:hAnsi="Arial"/>
          <w:sz w:val="18"/>
          <w:szCs w:val="18"/>
          <w:color w:val="auto"/>
        </w:rPr>
        <w:t>We are providing</w:t>
      </w:r>
      <w:r>
        <w:rPr>
          <w:rFonts w:ascii="Arial" w:cs="Arial" w:eastAsia="Arial" w:hAnsi="Arial"/>
          <w:sz w:val="18"/>
          <w:szCs w:val="18"/>
          <w:b w:val="1"/>
          <w:bCs w:val="1"/>
          <w:color w:val="auto"/>
        </w:rPr>
        <w:t xml:space="preserve"> </w:t>
      </w:r>
      <w:r>
        <w:rPr>
          <w:rFonts w:ascii="Arial" w:cs="Arial" w:eastAsia="Arial" w:hAnsi="Arial"/>
          <w:sz w:val="18"/>
          <w:szCs w:val="18"/>
          <w:color w:val="auto"/>
        </w:rPr>
        <w:t>AI-based products and services and enabling customers and partners to build AI-based solutions using our platforms. These capabilities may be developed by Microsoft or third parties and are becoming an increasing part of our business. The increasing scale and adoption of AI amplifies challenges that may affect its development, deployment, and use, which could give rise to reputational, competitive, or legal harm. AI models and the methodologies used to train, evaluate, deploy, contain, and monitor them may be flawed. During training, evaluation, and internal and external deployment, AI models may behave in ways that are difficult to predict, prevent, detect, attribute, contain, mitigate, evaluate, or audit, and may result in unintended consequences or harm. Datasets may be overbroad, insufficient, or contain biased or inaccurate information. Content generated by AI systems may be offensive, illegal, inaccurate, or otherwise harmful. Models and agentic systems may pursue unintended goals and be manipulated through prompts, retrieved content, external communications, compromised tools, or other inputs to disclose sensitive information, disregard instructions, conceal activity, take unauthorized actions, or otherwise engage in harmful activity. Ineffective or inadequate AI development or deployment practices by Microsoft or others could result in incidents that impair the acceptance of AI solutions, cause harm to individuals, customers, or society, or result in our products and services not working as intended. Human review of certain inputs and outputs or other forms of human oversight may be required, including for agentic AI systems that can take actions autonomously. Companion or highly-personalized AI systems may result in over-reliance or dependence by users that is harmful. Our implementation of AI</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0" w:name="page51"/>
    <w:bookmarkEnd w:id="50"/>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systems could result in legal liability, regulatory action, litigation, brand, reputational, or competitive harm, or other adverse impacts. These risks may stem from issues related to AI model and system capabilities, intellectual property, data privacy, product liability, and other claims associated with AI training, outputs, system behavior, and development and deployment practices. They are further compounded by the evolving regulatory landscape, with new laws emerging globally and increased scrutiny from regulators and lawmakers. Certain AI technologies and use cases present ethical issues or may have broad or uneven impacts on society or vulnerable groups within society. There is also rising divergence globally in how to address these issues and impacts, with the result that we will need to navigate a web of different tensions across geographies. We have experienced, and expect to continue to experience, instances in which the AI solutions we enable or offer produce unintended consequences, are used or customized in unforeseen ways, or operate in a manner inconsistent with our responsible AI policies and practices. These outcomes may give rise to public controversy, societal concerns, or regulatory actions relating to human rights, privacy, employment, or other social, economic, or political issues, and could adversely affect our reputation, competitive position, business, financial condition, and results of operations.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OPERATIONAL RISKS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We may be unable to develop and expand adequate infrastructure. </w:t>
      </w:r>
      <w:r>
        <w:rPr>
          <w:rFonts w:ascii="Arial" w:cs="Arial" w:eastAsia="Arial" w:hAnsi="Arial"/>
          <w:sz w:val="18"/>
          <w:szCs w:val="18"/>
          <w:color w:val="auto"/>
        </w:rPr>
        <w:t>Our increasing user traffic, our growth in services,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complexity of our products and services demand more infrastructure capacity and computing power. We have spent and will continue to spend substantial amounts to build, purchase, or lease datacenters and equipment and to upgrade our technology and network infrastructure. Our infrastructure capacity depends on the availability of permitted and buildable land, predictable and affordable energy, networking supplies, and servers, including graphics processing units and other components. These demands continue to increase as we introduce new products and services and support the growth and the augmentation of existing services, and scale further the incorporation of AI features and/or functionality. We are rapidly growing our business of providing a platform and back-end hosting for services provided by third parties to their end users. In addition, infrastructure in certain geographies carries higher safety and reliability risks. Maintaining, securing, and expanding our infrastructure globally is expensive and complex.</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availability, reliability, and cost of electrical power are critical to the operation and expansion of our datacenters. In many regions, electricity generation, transmission, and distribution infrastructure is experiencing increasing demand and capacity constraints. Limitations in power availability, delays in obtaining power connections, outages, shortages, increased energy costs, or requirements imposed by utilities, regulators, or other market participants could restrict our ability to develop or expand datacenter capacity. In addition, alternative energy sources and other emerging solutions may not be available in sufficient quantities, may not timely scale to meet our requirements, or may be available only at higher costs. If we are unable to secure adequate power resources on commercially reasonable terms, our ability to support customer demand and execute our growth strategy could be adversely affected.</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ability to develop additional capacity is also subject to land availability, zoning restrictions, environmental reviews, permitting requirements, and other regulatory approvals. Changes in governmental policies, permitting processes, environmental regulations, sustainability requirements, building standards, energy regulations, or other factors beyond our control may delay projects, restrict development opportunities, impose additional compliance obligations, or increase costs. We also face community opposition, state and local moratoriums, and hyper-local dissent, as well as increasingly coordinated opposition to infrastructure development across jurisdictions, including through the involvement or influence of elected officials, policymakers, and advocacy groups. Our failure to navigate successfully any of these challenges may delay projects, restrict development opportunities, impose additional compliance obligations, or increase costs.</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construction and operation of datacenters also requires significant numbers of skilled technical, engineering, construction, and operational personnel. Labor shortages, competition for talent, wage inflation, labor disputes, immigration restrictions, or shortages of specialized contractors could increase operating and construction costs, extend project timelines, and adversely affect our ability to deploy infrastructure at the pace required to meet demand.</w:t>
      </w:r>
    </w:p>
    <w:p>
      <w:pPr>
        <w:spacing w:after="0" w:line="12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may experience supply problems. </w:t>
      </w:r>
      <w:r>
        <w:rPr>
          <w:rFonts w:ascii="Arial" w:cs="Arial" w:eastAsia="Arial" w:hAnsi="Arial"/>
          <w:sz w:val="18"/>
          <w:szCs w:val="18"/>
          <w:color w:val="auto"/>
        </w:rPr>
        <w:t>There are limited suppliers for certain critical device and datacenter components, and those items</w:t>
      </w:r>
      <w:r>
        <w:rPr>
          <w:rFonts w:ascii="Arial" w:cs="Arial" w:eastAsia="Arial" w:hAnsi="Arial"/>
          <w:sz w:val="18"/>
          <w:szCs w:val="18"/>
          <w:b w:val="1"/>
          <w:bCs w:val="1"/>
          <w:color w:val="auto"/>
        </w:rPr>
        <w:t xml:space="preserve"> </w:t>
      </w:r>
      <w:r>
        <w:rPr>
          <w:rFonts w:ascii="Arial" w:cs="Arial" w:eastAsia="Arial" w:hAnsi="Arial"/>
          <w:sz w:val="18"/>
          <w:szCs w:val="18"/>
          <w:color w:val="auto"/>
        </w:rPr>
        <w:t>are in short supply. We continue to identify and evaluate opportunities to expand our datacenter locations and increase our server capacity to meet the evolving needs of our customers, particularly given the growing demand for AI products and services. Our competitors are also scaling their infrastructure and use some of the same suppliers and materials for hardware components as we do, which impacts price and availability. We depend on the timely availability of critical hardware, equipment, and components used to construct and operate datacenters and related infrastructure. We have experienced and may continue to experience supply constraints, including shortages of semiconductors, networking equipment, power systems, cooling equipment, and other key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1" w:name="page52"/>
    <w:bookmarkEnd w:id="51"/>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components. Expanding manufacturing or supply capacity for certain components may require significant investments and multi-year lead times. As components are delayed or become unavailable or more expensive, whether because of supplier capacity constraint or allocation decisions, industry shortages, legal or regulatory changes that restrict supply sources, geopolitical tensions, trade restrictions, tariffs, transportation disruptions, supplier financial distress, natural disasters, public health events, instability in regions important to our or our suppliers’ supply chains, or other reasons, we may not obtain timely replacement supplies, or may be able to obtain supplies only by entering into long-term purchase commitments, price commitments, paying prices above prevailing market rates, or other arrangements on terms that are less favorable than prevailing market terms. Any delay or inability to obtain necessary equipment, hardware, or components on acceptable terms and timelines could delay infrastructure deployments, result in reduced sales, higher costs, or inadequate datacenter capacity to support the delivery and continued development of our products and services. Component shortages, excess or obsolete inventory, or price reductions resulting in inventory adjustments have and may increase our cost of revenue.</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infrastructure, other products such as XBOX consoles, Surface devices, and other hardware are similarly subject to supply chain challenges and disruptions, resulting in shortages which could adversely affect our business, operations, financial condition, and results of operations.</w:t>
      </w:r>
    </w:p>
    <w:p>
      <w:pPr>
        <w:spacing w:after="0" w:line="11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We may experience outages, disruptions, or capacity constraints if we fail to maintain and operate adequate infrastructure or secure the resources necessary to support it. </w:t>
      </w:r>
      <w:r>
        <w:rPr>
          <w:rFonts w:ascii="Arial" w:cs="Arial" w:eastAsia="Arial" w:hAnsi="Arial"/>
          <w:sz w:val="18"/>
          <w:szCs w:val="18"/>
          <w:color w:val="auto"/>
        </w:rPr>
        <w:t>Maintaining, securing, and operating our infrastructure requires that we maintain an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connectivity infrastructure and storage and compute capacity that is robust, resilient, and reliable within competitive, economic, and regulatory constraints that continue to evolve. The cost or availability of critical resources necessary to support our infrastructure, including power, networking supplies, servers, graphics processing units, and other components, could be adversely affected by a variety of factors, including supply chain and energy issues, evolving environmental or other regulations, and geopolitical disruptions.</w:t>
      </w:r>
    </w:p>
    <w:p>
      <w:pPr>
        <w:spacing w:after="0" w:line="1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to datacenters we own or operate, we rely on third-party providers, including colocation facilities, leased datacenters, and cloud infrastructure providers, to support portions of our operations. If any of these providers fail to meet our requirements, or experience service interruptions, operational failures, capacity constraints, physical damage, cybersecurity incidents, or other disruptions, our ability to provide services, maintain system performance, or meet customer expectations could be negatively impacted.</w:t>
      </w:r>
    </w:p>
    <w:p>
      <w:pPr>
        <w:spacing w:after="0" w:line="12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Inefficiencies or operational failures, including temporary or permanent loss of customer data, outages, insufficient Internet connectivity, insufficient or unavailable power or water supply, inefficient operation of our of our cloud-based and AI products and services on our infrastructure, or inadequate storage and compute capacity could diminish the actual or perceived quality of our products, services, and user experience, resulting in contractual liability, claims by customers and other third parties, regulatory actions, damage to our reputation, and loss of current and potential users, subscribers, and advertisers, each of which could adversely affect our business, operations, financial condition, and results of operations.</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We may experience other quality problems. </w:t>
      </w:r>
      <w:r>
        <w:rPr>
          <w:rFonts w:ascii="Arial" w:cs="Arial" w:eastAsia="Arial" w:hAnsi="Arial"/>
          <w:sz w:val="18"/>
          <w:szCs w:val="18"/>
          <w:color w:val="auto"/>
        </w:rPr>
        <w:t>Our AI and other software products and services also have and may in the future experience</w:t>
      </w:r>
      <w:r>
        <w:rPr>
          <w:rFonts w:ascii="Arial" w:cs="Arial" w:eastAsia="Arial" w:hAnsi="Arial"/>
          <w:sz w:val="18"/>
          <w:szCs w:val="18"/>
          <w:b w:val="1"/>
          <w:bCs w:val="1"/>
          <w:color w:val="auto"/>
        </w:rPr>
        <w:t xml:space="preserve"> </w:t>
      </w:r>
      <w:r>
        <w:rPr>
          <w:rFonts w:ascii="Arial" w:cs="Arial" w:eastAsia="Arial" w:hAnsi="Arial"/>
          <w:sz w:val="18"/>
          <w:szCs w:val="18"/>
          <w:color w:val="auto"/>
        </w:rPr>
        <w:t>quality or reliability problems. The processes we use to develop our software are imperfect. Like all software, our software contains bugs and other defects that interfere with their intended operation. Our customers rely on us for critical business functions and multiple workloads. Many of our products and services are interdependent on one another. Our products and services may be impacted by interaction with third-party products and services. Our customers may also utilize their own or third-party products and services whose reliability is dependent on interaction with our products and services. Each of these circumstances potentially magnifies the impact of quality or reliability issues. Weaknesses in our processes could result in defects we do not detect and fix in pre-release testing, which could cause reduced sales, damage to our reputation, repair or remediation costs, delays in the release of new products or versions, or legal liability, any of which could adversely affect our business, financial condition, and results of operations. Although our license agreements typically contain provisions that eliminate or limit our exposure to liability, these provisions may not withstand legal challenge.</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datacenters and our hardware products such as XBOX consoles, Surface devices, and other devices we design and market are highly complex. Failure to prevent, detect, or address defects in design, manufacture, or associated software could adversely affect our business and results of operations.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2" w:name="page53"/>
    <w:bookmarkEnd w:id="52"/>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LEGAL, REGULATORY, AND LITIGATION RISKS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We are subject to a variety of new, existing, and evolving legal and regulatory requirements that could adversely affect our results of operations. </w:t>
      </w:r>
      <w:r>
        <w:rPr>
          <w:rFonts w:ascii="Arial" w:cs="Arial" w:eastAsia="Arial" w:hAnsi="Arial"/>
          <w:sz w:val="18"/>
          <w:szCs w:val="18"/>
          <w:color w:val="auto"/>
        </w:rPr>
        <w:t>We are subject to a wide range of laws, regulations, and legal requirements in the U.S. and globally, including those that may</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our products and online services offerings, and those that impose requirements related to user privacy, cybersecurity, telecommunications, data storage and protection, digital accessibility, advertising, and online safety. Laws in several jurisdictions, including EU Member State laws under the European Electronic Communications Code, increasingly define certain of our services as regulated services. This trend may continue with our offerings becoming subject to additional data protection, security, digital safety, law enforcement surveillance, and other obligations. Regulators and private litigants may assert that our collection, use, and management of customer data and other information is inconsistent with their laws and regulations, including laws that apply to the tracking of users via technology such as cookies. In addition, laws requiring us to retrieve and produce customer data in response to compulsory legal demands from law enforcement and governmental authorities are evolving and the requests we are experiencing are increasing in volume and complexity.</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New, existing, and evolving laws and regulations, or interpretations or applications of existing laws and regulations in a manner inconsistent with our interpretations of such laws and regulations or our practices, may result in modification of our products and services, altered business models and operations, increased costs, reputational damage, and civil or criminal liability. Examples include laws and regulations regarding:</w:t>
      </w:r>
    </w:p>
    <w:p>
      <w:pPr>
        <w:spacing w:after="0" w:line="39" w:lineRule="exact"/>
        <w:rPr>
          <w:sz w:val="20"/>
          <w:szCs w:val="20"/>
          <w:color w:val="auto"/>
        </w:rPr>
      </w:pPr>
    </w:p>
    <w:p>
      <w:pPr>
        <w:jc w:val="both"/>
        <w:ind w:left="1020" w:hanging="368"/>
        <w:spacing w:after="0" w:line="239"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Competition laws and new market regulation: </w:t>
      </w:r>
      <w:r>
        <w:rPr>
          <w:rFonts w:ascii="Arial" w:cs="Arial" w:eastAsia="Arial" w:hAnsi="Arial"/>
          <w:sz w:val="18"/>
          <w:szCs w:val="18"/>
          <w:color w:val="auto"/>
        </w:rPr>
        <w:t>Government agencies closely scrutinize us under U.S. and foreign competition</w:t>
      </w:r>
      <w:r>
        <w:rPr>
          <w:rFonts w:ascii="Arial" w:cs="Arial" w:eastAsia="Arial" w:hAnsi="Arial"/>
          <w:sz w:val="18"/>
          <w:szCs w:val="18"/>
          <w:b w:val="1"/>
          <w:bCs w:val="1"/>
          <w:color w:val="auto"/>
        </w:rPr>
        <w:t xml:space="preserve"> </w:t>
      </w:r>
      <w:r>
        <w:rPr>
          <w:rFonts w:ascii="Arial" w:cs="Arial" w:eastAsia="Arial" w:hAnsi="Arial"/>
          <w:sz w:val="18"/>
          <w:szCs w:val="18"/>
          <w:color w:val="auto"/>
        </w:rPr>
        <w:t>laws. Governments are actively enforcing competition laws and regulations and enacting new regulations to intervene in digital markets, and this includes markets such as the EU, the United Kingdom, the U.S., and China. Some jurisdictions also allow competitors or consumers to assert claims of anti-competitive conduct. U.S. and foreign antitrust authorities have previously brought enforcement actions and continue to scrutinize our business. Competition law enforcement actions and court decisions along with new market regulations may result in fines or hinder our ability to provide the benefits of our software to consumers and businesses, reducing the attractiveness of our products and the revenue that comes from them. New competition law actions or obligations under market regulation schemes could be initiated, potentially using previous actions as precedent.</w:t>
      </w:r>
    </w:p>
    <w:p>
      <w:pPr>
        <w:spacing w:after="0" w:line="51" w:lineRule="exact"/>
        <w:rPr>
          <w:rFonts w:ascii="Times New Roman" w:cs="Times New Roman" w:eastAsia="Times New Roman" w:hAnsi="Times New Roman"/>
          <w:sz w:val="18"/>
          <w:szCs w:val="18"/>
          <w:color w:val="auto"/>
        </w:rPr>
      </w:pPr>
    </w:p>
    <w:p>
      <w:pPr>
        <w:jc w:val="both"/>
        <w:ind w:left="1020" w:hanging="368"/>
        <w:spacing w:after="0" w:line="239"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AI: </w:t>
      </w:r>
      <w:r>
        <w:rPr>
          <w:rFonts w:ascii="Arial" w:cs="Arial" w:eastAsia="Arial" w:hAnsi="Arial"/>
          <w:sz w:val="18"/>
          <w:szCs w:val="18"/>
          <w:color w:val="auto"/>
        </w:rPr>
        <w:t>Legislative and regulatory action on AI is evolving rapidly and accelerating across multiple jurisdictions, which is increasing</w:t>
      </w:r>
      <w:r>
        <w:rPr>
          <w:rFonts w:ascii="Arial" w:cs="Arial" w:eastAsia="Arial" w:hAnsi="Arial"/>
          <w:sz w:val="18"/>
          <w:szCs w:val="18"/>
          <w:b w:val="1"/>
          <w:bCs w:val="1"/>
          <w:color w:val="auto"/>
        </w:rPr>
        <w:t xml:space="preserve"> </w:t>
      </w:r>
      <w:r>
        <w:rPr>
          <w:rFonts w:ascii="Arial" w:cs="Arial" w:eastAsia="Arial" w:hAnsi="Arial"/>
          <w:sz w:val="18"/>
          <w:szCs w:val="18"/>
          <w:color w:val="auto"/>
        </w:rPr>
        <w:t>costs and may create liability and restrict opportunity. For example, the EU’s AI Act may increase costs or impact the provision or operation of our AI models and services in the European market and new external audit and evaluation obligations for advanced AI models and systems in several U.S. states may have similar effects. In addition, governments may impose restrictions on the development, deployment, availability, or cross-border access to advanced AI models based on safety, cybersecurity, or national security or may apply laws to AI models in ways we cannot anticipate. AI regulatory areas include model and system development and deployment, frontier model safety and security, transparency, content provenance, digital replicas, and AI companions.</w:t>
      </w:r>
    </w:p>
    <w:p>
      <w:pPr>
        <w:spacing w:after="0" w:line="51" w:lineRule="exact"/>
        <w:rPr>
          <w:rFonts w:ascii="Times New Roman" w:cs="Times New Roman" w:eastAsia="Times New Roman" w:hAnsi="Times New Roman"/>
          <w:sz w:val="18"/>
          <w:szCs w:val="18"/>
          <w:color w:val="auto"/>
        </w:rPr>
      </w:pPr>
    </w:p>
    <w:p>
      <w:pPr>
        <w:jc w:val="both"/>
        <w:ind w:left="1020" w:hanging="368"/>
        <w:spacing w:after="0" w:line="24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Anti-corruption: </w:t>
      </w:r>
      <w:r>
        <w:rPr>
          <w:rFonts w:ascii="Arial" w:cs="Arial" w:eastAsia="Arial" w:hAnsi="Arial"/>
          <w:sz w:val="18"/>
          <w:szCs w:val="18"/>
          <w:color w:val="auto"/>
        </w:rPr>
        <w:t>The Foreign Corrupt Practices Act (“FCPA”) and other anti-corruption laws and regulations (“Anti-Corruption</w:t>
      </w:r>
      <w:r>
        <w:rPr>
          <w:rFonts w:ascii="Arial" w:cs="Arial" w:eastAsia="Arial" w:hAnsi="Arial"/>
          <w:sz w:val="18"/>
          <w:szCs w:val="18"/>
          <w:b w:val="1"/>
          <w:bCs w:val="1"/>
          <w:color w:val="auto"/>
        </w:rPr>
        <w:t xml:space="preserve"> </w:t>
      </w:r>
      <w:r>
        <w:rPr>
          <w:rFonts w:ascii="Arial" w:cs="Arial" w:eastAsia="Arial" w:hAnsi="Arial"/>
          <w:sz w:val="18"/>
          <w:szCs w:val="18"/>
          <w:color w:val="auto"/>
        </w:rPr>
        <w:t>Laws”) prohibit corrupt payments by our employees, vendors, or agents, and the accounting provisions of the FCPA require us to maintain accurate books and records and adequate internal controls. From time to time, we receive inquiries from authorities in the U.S. and elsewhere which may be based on reports from employees and others about our business activities and our compliance with Anti-Corruption Laws. Periodically, we receive such reports directly and investigate them and also cooperate with investigations by U.S. and foreign law enforcement authorities.</w:t>
      </w:r>
    </w:p>
    <w:p>
      <w:pPr>
        <w:spacing w:after="0" w:line="42" w:lineRule="exact"/>
        <w:rPr>
          <w:rFonts w:ascii="Times New Roman" w:cs="Times New Roman" w:eastAsia="Times New Roman" w:hAnsi="Times New Roman"/>
          <w:sz w:val="18"/>
          <w:szCs w:val="18"/>
          <w:color w:val="auto"/>
        </w:rPr>
      </w:pPr>
    </w:p>
    <w:p>
      <w:pPr>
        <w:jc w:val="both"/>
        <w:ind w:left="1020" w:hanging="368"/>
        <w:spacing w:after="0" w:line="238"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Trade: </w:t>
      </w:r>
      <w:r>
        <w:rPr>
          <w:rFonts w:ascii="Arial" w:cs="Arial" w:eastAsia="Arial" w:hAnsi="Arial"/>
          <w:sz w:val="18"/>
          <w:szCs w:val="18"/>
          <w:color w:val="auto"/>
        </w:rPr>
        <w:t>Increasing trade laws, policies, sanctions, and other regulatory requirements also affect our operations in and outside the</w:t>
      </w:r>
      <w:r>
        <w:rPr>
          <w:rFonts w:ascii="Arial" w:cs="Arial" w:eastAsia="Arial" w:hAnsi="Arial"/>
          <w:sz w:val="18"/>
          <w:szCs w:val="18"/>
          <w:b w:val="1"/>
          <w:bCs w:val="1"/>
          <w:color w:val="auto"/>
        </w:rPr>
        <w:t xml:space="preserve"> </w:t>
      </w:r>
      <w:r>
        <w:rPr>
          <w:rFonts w:ascii="Arial" w:cs="Arial" w:eastAsia="Arial" w:hAnsi="Arial"/>
          <w:sz w:val="18"/>
          <w:szCs w:val="18"/>
          <w:color w:val="auto"/>
        </w:rPr>
        <w:t>U.S. relating to trade and investment. Economic sanctions in the U.S., the EU, and other countries could prohibit business with restricted entities or countries. U.S. export controls restrict Microsoft from offering many of its products and services to, or making investments in, certain entities in specified countries. U.S. import controls restrict us from integrating certain information and communication technologies into our supply chain and allow for government review of transactions involving information and communications technology from countries determined to be foreign adversaries. Supply chain regulations may impact the availability of goods or result in additional regulatory scrutiny. Restrictions on data flows and outbound investment and customer sensitivities may limit our ability to leverage parts of our global engineering footprint to provide services in certain jurisdictions. Increased geopolitical instabilities and changing U.S. Administration priorities create an unpredictable trade landscape. U.S. tariffs, shifting AI export controls policies, and disagreements among governments on sanctions policies toward third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3" w:name="page54"/>
    <w:bookmarkEnd w:id="53"/>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51"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countries, has and may continue to increase operational costs, create uncertainty in the continuity of our products, and accelerate sovereignty initiatives among international partners and customers. The volatility of U.S. tariffs has triggered economic uncertainty and could impact cloud and devices supply chain cost competitiveness. The potential replacement of the rescinded AI Diffusion Rule, expanded export license conditions, and other potential AI-related rulemakings could adversely affect Microsoft’s business, strategy, and operations. Periods of intense diplomatic or armed conflict, such as the conflicts in Ukraine and the Middle East could continue to result in (1) new and rapidly evolving sanctions and trade restrictions, which may impair trade with sanctioned individuals and countries, and (2) negative impacts to regional trade ecosystems among our customers, partners, and us.</w:t>
      </w:r>
    </w:p>
    <w:p>
      <w:pPr>
        <w:spacing w:after="0" w:line="45" w:lineRule="exact"/>
        <w:rPr>
          <w:sz w:val="20"/>
          <w:szCs w:val="20"/>
          <w:color w:val="auto"/>
        </w:rPr>
      </w:pPr>
    </w:p>
    <w:p>
      <w:pPr>
        <w:jc w:val="both"/>
        <w:ind w:left="1020" w:hanging="368"/>
        <w:spacing w:after="0" w:line="243"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Cybersecurity: </w:t>
      </w:r>
      <w:r>
        <w:rPr>
          <w:rFonts w:ascii="Arial" w:cs="Arial" w:eastAsia="Arial" w:hAnsi="Arial"/>
          <w:sz w:val="18"/>
          <w:szCs w:val="18"/>
          <w:color w:val="auto"/>
        </w:rPr>
        <w:t>Legislative and regulatory actions related to cybersecurity may increase the costs associated with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implementing, or securing our products and services. The legal and regulatory environment in this area is complex and continues to evolve across multiple jurisdictions. As a result, there is considerable uncertainty regarding both current and future compliance obligations. This uncertainty increases the risk that we may incur additional operational costs, face regulatory enforcement actions, or encounter challenges in the development and deployment of our products.</w:t>
      </w:r>
    </w:p>
    <w:p>
      <w:pPr>
        <w:spacing w:after="0" w:line="44" w:lineRule="exact"/>
        <w:rPr>
          <w:rFonts w:ascii="Times New Roman" w:cs="Times New Roman" w:eastAsia="Times New Roman" w:hAnsi="Times New Roman"/>
          <w:sz w:val="18"/>
          <w:szCs w:val="18"/>
          <w:color w:val="auto"/>
        </w:rPr>
      </w:pPr>
    </w:p>
    <w:p>
      <w:pPr>
        <w:jc w:val="both"/>
        <w:ind w:left="1020" w:hanging="368"/>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Datacenter construction and operation: </w:t>
      </w:r>
      <w:r>
        <w:rPr>
          <w:rFonts w:ascii="Arial" w:cs="Arial" w:eastAsia="Arial" w:hAnsi="Arial"/>
          <w:sz w:val="18"/>
          <w:szCs w:val="18"/>
          <w:color w:val="auto"/>
        </w:rPr>
        <w:t>Emerging laws, regulations, and policies governing the siting, permitting,</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and operation of datacenters are restricting and delaying infrastructure development, increasing costs, and imposing additional operational and reporting obligations. These requirements may address energy and water use, environmental impacts, emissions, grid reliability, land use, building standards, and community impacts, and may vary or conflict across jurisdictions. Changes in these requirements, or our inability to obtain or maintain necessary approvals, could limit available capacity, delay projects, require operational changes, or adversely affect our business, financial condition, and results of operations.</w:t>
      </w:r>
    </w:p>
    <w:p>
      <w:pPr>
        <w:spacing w:after="0" w:line="48" w:lineRule="exact"/>
        <w:rPr>
          <w:rFonts w:ascii="Times New Roman" w:cs="Times New Roman" w:eastAsia="Times New Roman" w:hAnsi="Times New Roman"/>
          <w:sz w:val="18"/>
          <w:szCs w:val="18"/>
          <w:color w:val="auto"/>
        </w:rPr>
      </w:pPr>
    </w:p>
    <w:p>
      <w:pPr>
        <w:jc w:val="both"/>
        <w:ind w:left="1020" w:hanging="368"/>
        <w:spacing w:after="0" w:line="242"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Handling of personal data: </w:t>
      </w:r>
      <w:r>
        <w:rPr>
          <w:rFonts w:ascii="Arial" w:cs="Arial" w:eastAsia="Arial" w:hAnsi="Arial"/>
          <w:sz w:val="18"/>
          <w:szCs w:val="18"/>
          <w:color w:val="auto"/>
        </w:rPr>
        <w:t>Legal requirements relating to the collection, use, storage, handling, and transfer of personal data</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 continue to evolve. The growth of our cloud-based and AI products and services internationally relies on the processing of personal data and the movement of data across national boundaries. Data protection authorities and governments in the EU and other markets have and may again restrict and/or block the use of services that involve the transfer of data across borders and impose new obligations on the processing of personal data. New and evolving rules and restrictions could increase the cost and complexity of delivering our products and services.</w:t>
      </w:r>
    </w:p>
    <w:p>
      <w:pPr>
        <w:spacing w:after="0" w:line="42" w:lineRule="exact"/>
        <w:rPr>
          <w:rFonts w:ascii="Times New Roman" w:cs="Times New Roman" w:eastAsia="Times New Roman" w:hAnsi="Times New Roman"/>
          <w:sz w:val="18"/>
          <w:szCs w:val="18"/>
          <w:color w:val="auto"/>
        </w:rPr>
      </w:pPr>
    </w:p>
    <w:p>
      <w:pPr>
        <w:jc w:val="both"/>
        <w:ind w:left="1020" w:hanging="368"/>
        <w:spacing w:after="0" w:line="238"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Environmental, Social, and Governance: </w:t>
      </w:r>
      <w:r>
        <w:rPr>
          <w:rFonts w:ascii="Arial" w:cs="Arial" w:eastAsia="Arial" w:hAnsi="Arial"/>
          <w:sz w:val="18"/>
          <w:szCs w:val="18"/>
          <w:color w:val="auto"/>
        </w:rPr>
        <w:t>Laws, regulations, and policies relating to environmental, social, and governance</w:t>
      </w:r>
      <w:r>
        <w:rPr>
          <w:rFonts w:ascii="Arial" w:cs="Arial" w:eastAsia="Arial" w:hAnsi="Arial"/>
          <w:sz w:val="18"/>
          <w:szCs w:val="18"/>
          <w:b w:val="1"/>
          <w:bCs w:val="1"/>
          <w:color w:val="auto"/>
        </w:rPr>
        <w:t xml:space="preserve"> </w:t>
      </w:r>
      <w:r>
        <w:rPr>
          <w:rFonts w:ascii="Arial" w:cs="Arial" w:eastAsia="Arial" w:hAnsi="Arial"/>
          <w:sz w:val="18"/>
          <w:szCs w:val="18"/>
          <w:color w:val="auto"/>
        </w:rPr>
        <w:t>matters are being developed and formalized in Europe, the U.S., and elsewhere, which may include greenhouse gas emissions and energy usage caps, permitting, reporting, procurement, operational, and infrastructure-siting requirements as well as specific, target-driven environmental, social, and governance frameworks and disclosure requirements. These laws, regulations, and policies may require significant investments or operational changes and may result in new or unexpected costs. In addition, in 2020 we announced goals to become carbon negative, water positive, and zero waste by 2030. AI development and deployment involves managing the demand for energy, water, land, and other resources, increasing operational costs and challenging the viability of these goals. Any failure or perceived failure to meet our sustainability goals, or to meet various sustainability regulatory requirements, could result in claims and lawsuits, regulatory actions, penalties, or damage to our reputation, each of which could adversely affect our business, operations, financial condition, and results of operations.</w:t>
      </w:r>
    </w:p>
    <w:p>
      <w:pPr>
        <w:spacing w:after="0" w:line="1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How these laws and regulations apply to our business is often unclear, subject to change, and sometimes may conflict or be inconsistent from jurisdiction to jurisdiction. In addition, governments’ approach to enforcement, and our products and services, are continuing to evolve. Political and social change may increase this legal and regulatory volatility. Compliance with existing, expanding, or new laws and regulations may involve significant costs and operational efforts, or require changes to our business, including our products, that could adversely affect our business, operations, financial condition, and results of operations. Noncompliance could result in the imposition of penalties, criminal sanctions, or orders to cease the alleged noncompliant activity. If our products do not meet customer expectations or legal requirements, we could face regulatory or legal actions, and our business, operations, financial condition, and results of operations could be adversely affected.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4" w:name="page55"/>
    <w:bookmarkEnd w:id="54"/>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have claims and lawsuits against us that may result in adverse outcomes. </w:t>
      </w:r>
      <w:r>
        <w:rPr>
          <w:rFonts w:ascii="Arial" w:cs="Arial" w:eastAsia="Arial" w:hAnsi="Arial"/>
          <w:sz w:val="18"/>
          <w:szCs w:val="18"/>
          <w:color w:val="auto"/>
        </w:rPr>
        <w:t>We are subject to a variety of claims and lawsuits. These</w:t>
      </w:r>
      <w:r>
        <w:rPr>
          <w:rFonts w:ascii="Arial" w:cs="Arial" w:eastAsia="Arial" w:hAnsi="Arial"/>
          <w:sz w:val="18"/>
          <w:szCs w:val="18"/>
          <w:b w:val="1"/>
          <w:bCs w:val="1"/>
          <w:color w:val="auto"/>
        </w:rPr>
        <w:t xml:space="preserve"> </w:t>
      </w:r>
      <w:r>
        <w:rPr>
          <w:rFonts w:ascii="Arial" w:cs="Arial" w:eastAsia="Arial" w:hAnsi="Arial"/>
          <w:sz w:val="18"/>
          <w:szCs w:val="18"/>
          <w:color w:val="auto"/>
        </w:rPr>
        <w:t>claims may arise from a wide variety of business practices and initiatives, including major new product releases, AI products and services, significant business transactions, warranty or product claims, employment practices, and regulation. As we continue to expand our business and offerings, we may experience new and novel legal claims. Adverse outcomes in some or all of these claims may result in significant monetary damages or injunctive relief that could adversely affect our ability to conduct our business. Litigation and other claims are subject to inherent uncertainties and management’s view of these matters may change in the future. An adverse impact to our financial condition and results of operations could occur for the period in which the effect of an unfavorable outcome becomes probable and reasonably estimable.</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Our business with government customers may present additional uncertainties. </w:t>
      </w:r>
      <w:r>
        <w:rPr>
          <w:rFonts w:ascii="Arial" w:cs="Arial" w:eastAsia="Arial" w:hAnsi="Arial"/>
          <w:sz w:val="18"/>
          <w:szCs w:val="18"/>
          <w:color w:val="auto"/>
        </w:rPr>
        <w:t>We derive substantial revenue from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Government contracts and regulatory requirements can present risks and challenges not present in private commercial agreements. For instance, we are subject to government audits and investigations relating to these contracts, and we are required to provide assurance and attestations about our products and processes. If we do not satisfy contractual or regulatory requirements, we could be suspended or debarred as a governmental contractor, we could incur civil and criminal fines and penalties, and under certain circumstances contracts may be rescinded. Some agreements may allow a government to terminate without cause and provide for higher liability limits for certain losses. Some contracts may be subject to periodic funding approval, reductions, cancellations, or delays which could adversely impact public-sector demand for our products and services. In some cases what is considered compliant or otherwise acceptable government contractor behavior can shift over time, leading to customer dissatisfaction. These events could negatively impact our financial condition, results of operations, and reputation.</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may have additional tax liabilities. </w:t>
      </w:r>
      <w:r>
        <w:rPr>
          <w:rFonts w:ascii="Arial" w:cs="Arial" w:eastAsia="Arial" w:hAnsi="Arial"/>
          <w:sz w:val="18"/>
          <w:szCs w:val="18"/>
          <w:color w:val="auto"/>
        </w:rPr>
        <w:t>We are subject to income taxes in the U.S. and many foreign jurisdictions. Significant judgment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 determining our worldwide provision for income taxes. In the course of our business, there are many transactions and calculations where the ultimate tax determination is uncertain. We may recognize additional tax expense and be subject to additional tax liabilities due to changes in tax laws, regulations, and administrative practices and principles, including changes to the global tax framework, in various jurisdictions. In recent years, multiple domestic and international tax proposals were proposed to impose greater tax burdens on large multinational enterprises. The Organisation for Economic Co-operation and Development continues to advance proposals or guidance in international taxation, including global minimum tax.</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regularly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IRS audit for prior tax years and have received Notices of Proposed Adjustment (“NOPAs”) from the IRS for the tax years 2004 to 2013. The primary issues in the NOPAs relate to intercompany transfer pricing. In the NOPAs, the IRS is seeking an additional tax payment of $28.9 billion plus penalties and interest. The final resolution of the proposed adjustments, and other audits or litigation, may differ from the amounts recorded in our consolidated financial statements and adversely affect our results of operations in the period or periods in which that determination is made.</w:t>
      </w:r>
    </w:p>
    <w:p>
      <w:pPr>
        <w:spacing w:after="0" w:line="12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global fundamental law changes currently being considered by many countries, including in the U.S., and changes in taxing jurisdictions’ administrative interpretations, decisions, policies, and positions could adversely affect our financial condition and results of operations.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INTELLECTUAL PROPERTY RISKS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We face risks related to the protection and utilization of our intellectual property that may result in our business and operating results being harmed. </w:t>
      </w:r>
      <w:r>
        <w:rPr>
          <w:rFonts w:ascii="Arial" w:cs="Arial" w:eastAsia="Arial" w:hAnsi="Arial"/>
          <w:sz w:val="18"/>
          <w:szCs w:val="18"/>
          <w:color w:val="auto"/>
        </w:rPr>
        <w:t>Protecting our intellectual property rights and combating unlicensed copying and use of our software, source code,</w:t>
      </w:r>
      <w:r>
        <w:rPr>
          <w:rFonts w:ascii="Arial" w:cs="Arial" w:eastAsia="Arial" w:hAnsi="Arial"/>
          <w:sz w:val="18"/>
          <w:szCs w:val="18"/>
          <w:b w:val="1"/>
          <w:bCs w:val="1"/>
          <w:color w:val="auto"/>
        </w:rPr>
        <w:t xml:space="preserve"> </w:t>
      </w:r>
      <w:r>
        <w:rPr>
          <w:rFonts w:ascii="Arial" w:cs="Arial" w:eastAsia="Arial" w:hAnsi="Arial"/>
          <w:sz w:val="18"/>
          <w:szCs w:val="18"/>
          <w:color w:val="auto"/>
        </w:rPr>
        <w:t>trade secrets, and other intellectual property on a global basis is difficult. Similarly, the absence of harmonized patent laws makes it more difficult to ensure consistent respect for patent rights. Use of some third-party technology, such as frontier AI that trains on our interactions with it, could put our intellectual property at risk.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5" w:name="page56"/>
    <w:bookmarkEnd w:id="55"/>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Source code, the detailed program commands for our software programs, is critical to our business. Unauthorized access to or disclosure of source code or other intellectual property may negatively impact future trade secret protection for that intellectual property. It may then become easier for third parties to compete with our products by copying functionality, which could adversely affect our results of operations. Unauthorized access to or disclosure of source code or other intellectual property also increases the security risks described elsewhere in these risk factors.</w:t>
      </w:r>
    </w:p>
    <w:p>
      <w:pPr>
        <w:spacing w:after="0" w:line="12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Third parties may claim that we infringe their intellectual property. </w:t>
      </w:r>
      <w:r>
        <w:rPr>
          <w:rFonts w:ascii="Arial" w:cs="Arial" w:eastAsia="Arial" w:hAnsi="Arial"/>
          <w:sz w:val="18"/>
          <w:szCs w:val="18"/>
          <w:color w:val="auto"/>
        </w:rPr>
        <w:t>From time to time, others claim we infringe their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including current copyright infringement and other claims arising from AI training, inference, and output. To resolve these claims, we may enter into royalty-bearing data access or licensing agreements on terms that are less favorable than currently available, stop selling or redesign affected products or services, or pay damages to satisfy indemnification commitments with our customers. Adverse outcomes could also include monetary damages or injunctive relief that may limit or prevent importing, marketing, and selling our products or services that have infringing technologies. We have paid significant amounts to settle claims related to the use of technology and intellectual property rights and to procure intellectual property rights as part of our strategy to manage this risk, and may continue to do so, which could adversely affect our results of operations.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RISKS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If our reputation or our brands are damaged, our business and results of operations may be harmed. </w:t>
      </w:r>
      <w:r>
        <w:rPr>
          <w:rFonts w:ascii="Arial" w:cs="Arial" w:eastAsia="Arial" w:hAnsi="Arial"/>
          <w:sz w:val="18"/>
          <w:szCs w:val="18"/>
          <w:color w:val="auto"/>
        </w:rPr>
        <w:t>Our reputation and brands are</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 recognized and are important to our business. Our reputation and brands affect our ability to attract and retain consumer, business, and public-sector customers. Our reputation or brands could be damaged by product safety, quality, or accessibility issues; our environmental impact, sustainability, supply chain practices, or human rights record; backlash from customers, government entities, advocacy groups, employees, or other stakeholders regarding our product offering decisions, public policy positions, or corporate philanthropic initiatives; the introduction of new features, products, services, or terms of service that customers, users, or partners do not like; public scrutiny of our decisions regarding user privacy, data practices, content, or the development and deployment of AI; or data security breaches, cybersecurity incidents, responsible AI failures, compliance failures, or actions of partners or individual employees.</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Social media may increase the likelihood, speed, and magnitude of negative brand events. If our brands or reputation are damaged, it could adversely affect our business, results of operations, or ability to attract the most highly qualified employees.</w:t>
      </w:r>
    </w:p>
    <w:p>
      <w:pPr>
        <w:spacing w:after="0" w:line="10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Adverse economic or market conditions could harm our business. </w:t>
      </w:r>
      <w:r>
        <w:rPr>
          <w:rFonts w:ascii="Arial" w:cs="Arial" w:eastAsia="Arial" w:hAnsi="Arial"/>
          <w:sz w:val="18"/>
          <w:szCs w:val="18"/>
          <w:color w:val="auto"/>
        </w:rPr>
        <w:t>Worsening economic conditions, including inflation, recession,</w:t>
      </w:r>
      <w:r>
        <w:rPr>
          <w:rFonts w:ascii="Arial" w:cs="Arial" w:eastAsia="Arial" w:hAnsi="Arial"/>
          <w:sz w:val="18"/>
          <w:szCs w:val="18"/>
          <w:b w:val="1"/>
          <w:bCs w:val="1"/>
          <w:color w:val="auto"/>
        </w:rPr>
        <w:t xml:space="preserve"> </w:t>
      </w:r>
      <w:r>
        <w:rPr>
          <w:rFonts w:ascii="Arial" w:cs="Arial" w:eastAsia="Arial" w:hAnsi="Arial"/>
          <w:sz w:val="18"/>
          <w:szCs w:val="18"/>
          <w:color w:val="auto"/>
        </w:rPr>
        <w:t>pandemic, or other changes in economic conditions, periods of economic uncertainty, evolution of customer demand, technology investment cycles, interest rates, foreign exchange rates, or the timing and mix of customer spending, may cause lower or delayed IT spending and adversely affect our results of operations. If demand for computing power, PCs, servers, and other computing devices declines, or consumer or business spending for those products declines, could adversely affect our results of operations. Such conditions could also disrupt our distribution channels, including through financial distress or bankruptcy of a significant distributor, OEM, or retailer, and impair our customers’ ability to pay amounts owed, resulting in increased allowances for doubtful accounts and write-offs of accounts receivable.</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maintain an investment portfolio of various holdings, types, and maturities. These investments are subject to general credit, liquidity, market, and interest rate risks, which may be exacerbated by market downturns or events that affect global financial markets. If global financial markets decline for long periods, or if there is a downgrade of the U.S. government credit rating due to an actual or threatened default on government debt, our investment portfolio could be adversely affected and we could determine that more of our investments have experienced a decline in fair value, requiring impairment charges that could adversely affect our financial condition and results of operations.</w:t>
      </w:r>
    </w:p>
    <w:p>
      <w:pPr>
        <w:spacing w:after="0" w:line="12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Catastrophic events or geopolitical conditions could disrupt our business. </w:t>
      </w:r>
      <w:r>
        <w:rPr>
          <w:rFonts w:ascii="Arial" w:cs="Arial" w:eastAsia="Arial" w:hAnsi="Arial"/>
          <w:sz w:val="18"/>
          <w:szCs w:val="18"/>
          <w:color w:val="auto"/>
        </w:rPr>
        <w:t>A disruption or failure of our systems, operations, or supply</w:t>
      </w:r>
      <w:r>
        <w:rPr>
          <w:rFonts w:ascii="Arial" w:cs="Arial" w:eastAsia="Arial" w:hAnsi="Arial"/>
          <w:sz w:val="18"/>
          <w:szCs w:val="18"/>
          <w:b w:val="1"/>
          <w:bCs w:val="1"/>
          <w:color w:val="auto"/>
        </w:rPr>
        <w:t xml:space="preserve"> </w:t>
      </w:r>
      <w:r>
        <w:rPr>
          <w:rFonts w:ascii="Arial" w:cs="Arial" w:eastAsia="Arial" w:hAnsi="Arial"/>
          <w:sz w:val="18"/>
          <w:szCs w:val="18"/>
          <w:color w:val="auto"/>
        </w:rPr>
        <w:t>chain because of a major earthquake, weather event, cyberattack, terrorist attack, pandemic, or other catastrophic event could cause delays in completing sales, providing services, or performing other critical functions. As an example, our corporate headquarters, a significant portion of our research and development activities, and certain other essential business operations are located in seismically active regions. A catastrophic event that results in the destruction or disruption of any of our critical business or systems, or the infrastructure or systems they rely on, such as power grids, could harm our ability to conduct normal business operations or adversely affect our results of operations. Providing our customers with more services and solutions in the cloud puts a premium on the resilience of our systems and strength of our business continuity management plans and magnifies the potential negative consequences of prolonged service outages.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6" w:name="page57"/>
    <w:bookmarkEnd w:id="56"/>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Abrupt political change, terrorist activity, and armed conflict pose economic and other risks, which may negatively impact our ability to sell to and collect from customers, increase our operating costs, or otherwise disrupt our operations in markets both directly and indirectly impacted by such events. These conditions also may add uncertainty to the timing and budget for technology investment decisions by our customers and may cause supply chain disruptions. Geopolitical change may result in changing regulatory systems and requirements and market interventions that could impact our operating strategies, access to national, regional, and global markets, hiring, and profitability. Geopolitical instability may lead to sanctions and impact our ability to do business in some markets or with some public-sector customers. Any of these changes could adversely affect our results of operations. Changes in geopolitical conditions also increase the security risks described elsewhere in these risk factors.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Regional epidemics or a global pandemic could adversely affect our business, operations, financial condition, and results of operations, depending on their duration and scope, responsive actions by governments, businesses, and individuals, and effects on economic activity and financial markets, and containment measures may intensify other risks described in these risk factors.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Climate change and related environmental regulation or changes in the availability, demand, or cost of energy and other resources could increase the cost or reduce the availability of goods and services necessary to operate our business, including the energy required to power and cool computing infrastructure used to develop software and provide cloud-based services.</w:t>
      </w:r>
    </w:p>
    <w:p>
      <w:pPr>
        <w:spacing w:after="0" w:line="11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Our global business exposes us to operational and economic risks. </w:t>
      </w:r>
      <w:r>
        <w:rPr>
          <w:rFonts w:ascii="Arial" w:cs="Arial" w:eastAsia="Arial" w:hAnsi="Arial"/>
          <w:sz w:val="18"/>
          <w:szCs w:val="18"/>
          <w:color w:val="auto"/>
        </w:rPr>
        <w:t>Our customers, employees, and infrastructure are located</w:t>
      </w:r>
      <w:r>
        <w:rPr>
          <w:rFonts w:ascii="Arial" w:cs="Arial" w:eastAsia="Arial" w:hAnsi="Arial"/>
          <w:sz w:val="18"/>
          <w:szCs w:val="18"/>
          <w:b w:val="1"/>
          <w:bCs w:val="1"/>
          <w:color w:val="auto"/>
        </w:rPr>
        <w:t xml:space="preserve"> </w:t>
      </w:r>
      <w:r>
        <w:rPr>
          <w:rFonts w:ascii="Arial" w:cs="Arial" w:eastAsia="Arial" w:hAnsi="Arial"/>
          <w:sz w:val="18"/>
          <w:szCs w:val="18"/>
          <w:color w:val="auto"/>
        </w:rPr>
        <w:t>throughout the world and a significant part of our revenue comes from international sales. The global nature of our business creates operational, economic, and geopolitical risks. Global, regional, and local economic developments, monetary policy, geopolitical tension, restrictions on international trade, such as tariffs and other controls on imports or exports, inflation, and recession, as well as political and military disputes, could adversely affect our results of operations. Non-compliance with sanctions as well as general ecosystem disruptions could adversely affect our business, financial condition, and results of operations.</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and protectionist trends and concerns about human rights, the environment, and political expression in specific countries may significantly alter the trade and commercial environments. Changes to trade policy or agreements as a result of populism, protectionism, or economic nationalism may result in higher tariffs, local sourcing initiatives, and non-local sourcing restrictions, disagreements among governments on export controls and sanctions toward third countries, investment restrictions, or other developments that make it more difficult to operate and sell our products in foreign countries. Disruptions of these kinds could adversely affect our business, financial condition, and results of operations. Although we hedge a portion of our international currency exposure, significant fluctuations in foreign exchange rates between the U.S. dollar and foreign currencies could adversely affect our results of operations.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Our business depends on our ability to attract and retain talented employees. </w:t>
      </w:r>
      <w:r>
        <w:rPr>
          <w:rFonts w:ascii="Arial" w:cs="Arial" w:eastAsia="Arial" w:hAnsi="Arial"/>
          <w:sz w:val="18"/>
          <w:szCs w:val="18"/>
          <w:color w:val="auto"/>
        </w:rPr>
        <w:t>Our business depends on attracting, developing,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retaining highly skilled employees and leaders in a competitive labor market. Our brand, reputation, and ability to maintain an inclusive work environment are important to recruiting and retention. Restrictions on the international flow of technical and professional talent, including changes in U.S. immigration laws or policies, may limit our ability to adequately staff our research and development efforts. If we are unable to recruit and retain highly skilled employees and key leaders, our ability to develop and deliver successful products and services could be adversely affected. Effective succession planning and knowledge transfer are also important to our long-term success, and failures in these areas could hinder our strategic planning and execution. Employment laws and their application to our workforce practices may increase our operating costs or reduce our flexibility in meeting workforce needs. Although our global workforce is predominantly non-unionized, some employees in the U.S. and internationally are represented by unions or works councils, and increased unionization could result in higher costs and operational changes, including those associated with establishing and managing relationships with worker representatives.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Item 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62" w:lineRule="exact"/>
        <w:rPr>
          <w:sz w:val="20"/>
          <w:szCs w:val="20"/>
          <w:color w:val="auto"/>
        </w:rPr>
      </w:pPr>
    </w:p>
    <w:p>
      <w:pPr>
        <w:ind w:left="3880"/>
        <w:spacing w:after="0"/>
        <w:rPr>
          <w:sz w:val="20"/>
          <w:szCs w:val="20"/>
          <w:color w:val="auto"/>
        </w:rPr>
      </w:pPr>
      <w:r>
        <w:rPr>
          <w:rFonts w:ascii="Arial" w:cs="Arial" w:eastAsia="Arial" w:hAnsi="Arial"/>
          <w:sz w:val="18"/>
          <w:szCs w:val="18"/>
          <w:u w:val="single" w:color="auto"/>
          <w:color w:val="auto"/>
        </w:rPr>
        <w:t>SHARE REPURCHASES AND 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Following are our monthly share repurchases for the first quarter of fiscal year 2027: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 Number</w:t>
            </w:r>
          </w:p>
        </w:tc>
        <w:tc>
          <w:tcPr>
            <w:tcW w:w="300" w:type="dxa"/>
            <w:vAlign w:val="bottom"/>
          </w:tcPr>
          <w:p>
            <w:pPr>
              <w:spacing w:after="0"/>
              <w:rPr>
                <w:sz w:val="13"/>
                <w:szCs w:val="13"/>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Approximate</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of Shares</w:t>
            </w:r>
          </w:p>
        </w:tc>
        <w:tc>
          <w:tcPr>
            <w:tcW w:w="30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Dollar Value of</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Total Number</w:t>
            </w:r>
          </w:p>
        </w:tc>
        <w:tc>
          <w:tcPr>
            <w:tcW w:w="660" w:type="dxa"/>
            <w:vAlign w:val="bottom"/>
          </w:tcPr>
          <w:p>
            <w:pPr>
              <w:spacing w:after="0"/>
              <w:rPr>
                <w:sz w:val="12"/>
                <w:szCs w:val="12"/>
                <w:color w:val="auto"/>
              </w:rPr>
            </w:pPr>
          </w:p>
        </w:tc>
        <w:tc>
          <w:tcPr>
            <w:tcW w:w="1320" w:type="dxa"/>
            <w:vAlign w:val="bottom"/>
            <w:vMerge w:val="restart"/>
          </w:tcPr>
          <w:p>
            <w:pPr>
              <w:jc w:val="right"/>
              <w:ind w:right="241"/>
              <w:spacing w:after="0"/>
              <w:rPr>
                <w:sz w:val="20"/>
                <w:szCs w:val="20"/>
                <w:color w:val="auto"/>
              </w:rPr>
            </w:pPr>
            <w:r>
              <w:rPr>
                <w:rFonts w:ascii="Arial" w:cs="Arial" w:eastAsia="Arial" w:hAnsi="Arial"/>
                <w:sz w:val="13"/>
                <w:szCs w:val="13"/>
                <w:b w:val="1"/>
                <w:bCs w:val="1"/>
                <w:color w:val="auto"/>
              </w:rPr>
              <w:t>Average</w:t>
            </w:r>
          </w:p>
        </w:tc>
        <w:tc>
          <w:tcPr>
            <w:tcW w:w="14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Purchased as</w:t>
            </w:r>
          </w:p>
        </w:tc>
        <w:tc>
          <w:tcPr>
            <w:tcW w:w="30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Shares That May</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Part of Publicly</w:t>
            </w:r>
          </w:p>
        </w:tc>
        <w:tc>
          <w:tcPr>
            <w:tcW w:w="30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Yet Be Purchased</w:t>
            </w:r>
          </w:p>
        </w:tc>
        <w:tc>
          <w:tcPr>
            <w:tcW w:w="0" w:type="dxa"/>
            <w:vAlign w:val="bottom"/>
          </w:tcPr>
          <w:p>
            <w:pPr>
              <w:spacing w:after="0"/>
              <w:rPr>
                <w:sz w:val="1"/>
                <w:szCs w:val="1"/>
                <w:color w:val="auto"/>
              </w:rPr>
            </w:pPr>
          </w:p>
        </w:tc>
      </w:tr>
      <w:tr>
        <w:trPr>
          <w:trHeight w:val="149"/>
        </w:trPr>
        <w:tc>
          <w:tcPr>
            <w:tcW w:w="4760" w:type="dxa"/>
            <w:vAlign w:val="bottom"/>
            <w:vMerge w:val="restart"/>
          </w:tcPr>
          <w:p>
            <w:pPr>
              <w:spacing w:after="0"/>
              <w:rPr>
                <w:sz w:val="20"/>
                <w:szCs w:val="20"/>
                <w:color w:val="auto"/>
              </w:rPr>
            </w:pPr>
            <w:r>
              <w:rPr>
                <w:rFonts w:ascii="Arial" w:cs="Arial" w:eastAsia="Arial" w:hAnsi="Arial"/>
                <w:sz w:val="13"/>
                <w:szCs w:val="13"/>
                <w:b w:val="1"/>
                <w:bCs w:val="1"/>
                <w:color w:val="auto"/>
              </w:rPr>
              <w:t>Period</w:t>
            </w:r>
          </w:p>
        </w:tc>
        <w:tc>
          <w:tcPr>
            <w:tcW w:w="1360" w:type="dxa"/>
            <w:vAlign w:val="bottom"/>
            <w:gridSpan w:val="2"/>
          </w:tcPr>
          <w:p>
            <w:pPr>
              <w:jc w:val="right"/>
              <w:spacing w:after="0"/>
              <w:rPr>
                <w:sz w:val="20"/>
                <w:szCs w:val="20"/>
                <w:color w:val="auto"/>
              </w:rPr>
            </w:pPr>
            <w:r>
              <w:rPr>
                <w:rFonts w:ascii="Arial" w:cs="Arial" w:eastAsia="Arial" w:hAnsi="Arial"/>
                <w:sz w:val="13"/>
                <w:szCs w:val="13"/>
                <w:b w:val="1"/>
                <w:bCs w:val="1"/>
                <w:color w:val="auto"/>
              </w:rPr>
              <w:t>of Shares</w:t>
            </w:r>
          </w:p>
        </w:tc>
        <w:tc>
          <w:tcPr>
            <w:tcW w:w="660" w:type="dxa"/>
            <w:vAlign w:val="bottom"/>
          </w:tcPr>
          <w:p>
            <w:pPr>
              <w:spacing w:after="0"/>
              <w:rPr>
                <w:sz w:val="12"/>
                <w:szCs w:val="12"/>
                <w:color w:val="auto"/>
              </w:rPr>
            </w:pPr>
          </w:p>
        </w:tc>
        <w:tc>
          <w:tcPr>
            <w:tcW w:w="1320" w:type="dxa"/>
            <w:vAlign w:val="bottom"/>
          </w:tcPr>
          <w:p>
            <w:pPr>
              <w:jc w:val="right"/>
              <w:ind w:right="241"/>
              <w:spacing w:after="0"/>
              <w:rPr>
                <w:sz w:val="20"/>
                <w:szCs w:val="20"/>
                <w:color w:val="auto"/>
              </w:rPr>
            </w:pPr>
            <w:r>
              <w:rPr>
                <w:rFonts w:ascii="Arial" w:cs="Arial" w:eastAsia="Arial" w:hAnsi="Arial"/>
                <w:sz w:val="13"/>
                <w:szCs w:val="13"/>
                <w:b w:val="1"/>
                <w:bCs w:val="1"/>
                <w:color w:val="auto"/>
              </w:rPr>
              <w:t>Price Paid</w:t>
            </w:r>
          </w:p>
        </w:tc>
        <w:tc>
          <w:tcPr>
            <w:tcW w:w="14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Announced Plans</w:t>
            </w:r>
          </w:p>
        </w:tc>
        <w:tc>
          <w:tcPr>
            <w:tcW w:w="30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Under the Plans</w:t>
            </w:r>
          </w:p>
        </w:tc>
        <w:tc>
          <w:tcPr>
            <w:tcW w:w="0" w:type="dxa"/>
            <w:vAlign w:val="bottom"/>
          </w:tcPr>
          <w:p>
            <w:pPr>
              <w:spacing w:after="0"/>
              <w:rPr>
                <w:sz w:val="1"/>
                <w:szCs w:val="1"/>
                <w:color w:val="auto"/>
              </w:rPr>
            </w:pPr>
          </w:p>
        </w:tc>
      </w:tr>
      <w:tr>
        <w:trPr>
          <w:trHeight w:val="197"/>
        </w:trPr>
        <w:tc>
          <w:tcPr>
            <w:tcW w:w="476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Purchased</w:t>
            </w:r>
          </w:p>
        </w:tc>
        <w:tc>
          <w:tcPr>
            <w:tcW w:w="6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Per Share</w:t>
            </w:r>
          </w:p>
        </w:tc>
        <w:tc>
          <w:tcPr>
            <w:tcW w:w="14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or Programs</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211"/>
        </w:trPr>
        <w:tc>
          <w:tcPr>
            <w:tcW w:w="47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July 1, 2026 – July 31, 2026</w:t>
            </w:r>
          </w:p>
        </w:tc>
        <w:tc>
          <w:tcPr>
            <w:tcW w:w="136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2,921,818</w:t>
            </w:r>
          </w:p>
        </w:tc>
        <w:tc>
          <w:tcPr>
            <w:tcW w:w="660" w:type="dxa"/>
            <w:vAlign w:val="bottom"/>
            <w:shd w:val="clear" w:color="auto" w:fill="E5E5E5"/>
          </w:tcPr>
          <w:p>
            <w:pPr>
              <w:jc w:val="right"/>
              <w:ind w:right="27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E5E5E5"/>
          </w:tcPr>
          <w:p>
            <w:pPr>
              <w:jc w:val="right"/>
              <w:ind w:right="241"/>
              <w:spacing w:after="0"/>
              <w:rPr>
                <w:sz w:val="20"/>
                <w:szCs w:val="20"/>
                <w:color w:val="auto"/>
              </w:rPr>
            </w:pPr>
            <w:r>
              <w:rPr>
                <w:rFonts w:ascii="Arial" w:cs="Arial" w:eastAsia="Arial" w:hAnsi="Arial"/>
                <w:sz w:val="18"/>
                <w:szCs w:val="18"/>
                <w:b w:val="1"/>
                <w:bCs w:val="1"/>
                <w:color w:val="auto"/>
              </w:rPr>
              <w:t>393.77</w:t>
            </w:r>
          </w:p>
        </w:tc>
        <w:tc>
          <w:tcPr>
            <w:tcW w:w="14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2,921,818</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39,480</w:t>
            </w:r>
          </w:p>
        </w:tc>
        <w:tc>
          <w:tcPr>
            <w:tcW w:w="0" w:type="dxa"/>
            <w:vAlign w:val="bottom"/>
          </w:tcPr>
          <w:p>
            <w:pPr>
              <w:spacing w:after="0"/>
              <w:rPr>
                <w:sz w:val="1"/>
                <w:szCs w:val="1"/>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b w:val="1"/>
                <w:bCs w:val="1"/>
                <w:color w:val="auto"/>
              </w:rPr>
              <w:t>August 1, 2026 – August 31, 2026</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1,394,620</w:t>
            </w:r>
          </w:p>
        </w:tc>
        <w:tc>
          <w:tcPr>
            <w:tcW w:w="660" w:type="dxa"/>
            <w:vAlign w:val="bottom"/>
          </w:tcPr>
          <w:p>
            <w:pPr>
              <w:spacing w:after="0"/>
              <w:rPr>
                <w:sz w:val="17"/>
                <w:szCs w:val="17"/>
                <w:color w:val="auto"/>
              </w:rPr>
            </w:pPr>
          </w:p>
        </w:tc>
        <w:tc>
          <w:tcPr>
            <w:tcW w:w="1320" w:type="dxa"/>
            <w:vAlign w:val="bottom"/>
          </w:tcPr>
          <w:p>
            <w:pPr>
              <w:jc w:val="right"/>
              <w:ind w:right="241"/>
              <w:spacing w:after="0" w:line="202" w:lineRule="exact"/>
              <w:rPr>
                <w:sz w:val="20"/>
                <w:szCs w:val="20"/>
                <w:color w:val="auto"/>
              </w:rPr>
            </w:pPr>
            <w:r>
              <w:rPr>
                <w:rFonts w:ascii="Arial" w:cs="Arial" w:eastAsia="Arial" w:hAnsi="Arial"/>
                <w:sz w:val="18"/>
                <w:szCs w:val="18"/>
                <w:b w:val="1"/>
                <w:bCs w:val="1"/>
                <w:color w:val="auto"/>
              </w:rPr>
              <w:t>494.12</w:t>
            </w: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1,394,620</w:t>
            </w:r>
          </w:p>
        </w:tc>
        <w:tc>
          <w:tcPr>
            <w:tcW w:w="30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38,790</w:t>
            </w:r>
          </w:p>
        </w:tc>
        <w:tc>
          <w:tcPr>
            <w:tcW w:w="0" w:type="dxa"/>
            <w:vAlign w:val="bottom"/>
          </w:tcPr>
          <w:p>
            <w:pPr>
              <w:spacing w:after="0"/>
              <w:rPr>
                <w:sz w:val="1"/>
                <w:szCs w:val="1"/>
                <w:color w:val="auto"/>
              </w:rPr>
            </w:pPr>
          </w:p>
        </w:tc>
      </w:tr>
      <w:tr>
        <w:trPr>
          <w:trHeight w:val="203"/>
        </w:trPr>
        <w:tc>
          <w:tcPr>
            <w:tcW w:w="476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September 1, 2026 – September 30, 2026</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2,172,432</w:t>
            </w:r>
          </w:p>
        </w:tc>
        <w:tc>
          <w:tcPr>
            <w:tcW w:w="660" w:type="dxa"/>
            <w:vAlign w:val="bottom"/>
            <w:shd w:val="clear" w:color="auto" w:fill="E5E5E5"/>
          </w:tcPr>
          <w:p>
            <w:pPr>
              <w:spacing w:after="0"/>
              <w:rPr>
                <w:sz w:val="17"/>
                <w:szCs w:val="17"/>
                <w:color w:val="auto"/>
              </w:rPr>
            </w:pPr>
          </w:p>
        </w:tc>
        <w:tc>
          <w:tcPr>
            <w:tcW w:w="1320" w:type="dxa"/>
            <w:vAlign w:val="bottom"/>
            <w:shd w:val="clear" w:color="auto" w:fill="E5E5E5"/>
          </w:tcPr>
          <w:p>
            <w:pPr>
              <w:jc w:val="right"/>
              <w:ind w:right="241"/>
              <w:spacing w:after="0" w:line="202" w:lineRule="exact"/>
              <w:rPr>
                <w:sz w:val="20"/>
                <w:szCs w:val="20"/>
                <w:color w:val="auto"/>
              </w:rPr>
            </w:pPr>
            <w:r>
              <w:rPr>
                <w:rFonts w:ascii="Arial" w:cs="Arial" w:eastAsia="Arial" w:hAnsi="Arial"/>
                <w:sz w:val="18"/>
                <w:szCs w:val="18"/>
                <w:b w:val="1"/>
                <w:bCs w:val="1"/>
                <w:color w:val="auto"/>
              </w:rPr>
              <w:t>499.62</w:t>
            </w:r>
          </w:p>
        </w:tc>
        <w:tc>
          <w:tcPr>
            <w:tcW w:w="14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2,172,432</w:t>
            </w:r>
          </w:p>
        </w:tc>
        <w:tc>
          <w:tcPr>
            <w:tcW w:w="300" w:type="dxa"/>
            <w:vAlign w:val="bottom"/>
            <w:shd w:val="clear" w:color="auto" w:fill="E5E5E5"/>
          </w:tcPr>
          <w:p>
            <w:pPr>
              <w:spacing w:after="0"/>
              <w:rPr>
                <w:sz w:val="17"/>
                <w:szCs w:val="17"/>
                <w:color w:val="auto"/>
              </w:rPr>
            </w:pPr>
          </w:p>
        </w:tc>
        <w:tc>
          <w:tcPr>
            <w:tcW w:w="13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37,705</w:t>
            </w:r>
          </w:p>
        </w:tc>
        <w:tc>
          <w:tcPr>
            <w:tcW w:w="0" w:type="dxa"/>
            <w:vAlign w:val="bottom"/>
          </w:tcPr>
          <w:p>
            <w:pPr>
              <w:spacing w:after="0"/>
              <w:rPr>
                <w:sz w:val="1"/>
                <w:szCs w:val="1"/>
                <w:color w:val="auto"/>
              </w:rPr>
            </w:pPr>
          </w:p>
        </w:tc>
      </w:tr>
      <w:tr>
        <w:trPr>
          <w:trHeight w:val="40"/>
        </w:trPr>
        <w:tc>
          <w:tcPr>
            <w:tcW w:w="4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760" w:type="dxa"/>
            <w:vAlign w:val="bottom"/>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6,488,870</w:t>
            </w: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6,488,870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share repurchases were made using cash resources. Our share repurchases may occur through open market purchases or pursuant to a Rule 10b5-1 trading plan. The above table excludes shares repurchased to settle employee tax withholding related to the vesting of stock awards.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 during the first quarter of fiscal year 2027: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vMerge w:val="restart"/>
          </w:tcPr>
          <w:p>
            <w:pPr>
              <w:spacing w:after="0"/>
              <w:rPr>
                <w:sz w:val="20"/>
                <w:szCs w:val="20"/>
                <w:color w:val="auto"/>
              </w:rPr>
            </w:pPr>
            <w:r>
              <w:rPr>
                <w:rFonts w:ascii="Arial" w:cs="Arial" w:eastAsia="Arial" w:hAnsi="Arial"/>
                <w:sz w:val="13"/>
                <w:szCs w:val="13"/>
                <w:b w:val="1"/>
                <w:bCs w:val="1"/>
                <w:color w:val="auto"/>
              </w:rPr>
              <w:t>Declaration Date</w:t>
            </w:r>
          </w:p>
        </w:tc>
        <w:tc>
          <w:tcPr>
            <w:tcW w:w="2780" w:type="dxa"/>
            <w:vAlign w:val="bottom"/>
            <w:vMerge w:val="restart"/>
          </w:tcPr>
          <w:p>
            <w:pPr>
              <w:ind w:left="680"/>
              <w:spacing w:after="0"/>
              <w:rPr>
                <w:sz w:val="20"/>
                <w:szCs w:val="20"/>
                <w:color w:val="auto"/>
              </w:rPr>
            </w:pPr>
            <w:r>
              <w:rPr>
                <w:rFonts w:ascii="Arial" w:cs="Arial" w:eastAsia="Arial" w:hAnsi="Arial"/>
                <w:sz w:val="13"/>
                <w:szCs w:val="13"/>
                <w:b w:val="1"/>
                <w:bCs w:val="1"/>
                <w:color w:val="auto"/>
              </w:rPr>
              <w:t>Record Date</w:t>
            </w:r>
          </w:p>
        </w:tc>
        <w:tc>
          <w:tcPr>
            <w:tcW w:w="2520" w:type="dxa"/>
            <w:vAlign w:val="bottom"/>
            <w:vMerge w:val="restart"/>
          </w:tcPr>
          <w:p>
            <w:pPr>
              <w:ind w:left="480"/>
              <w:spacing w:after="0"/>
              <w:rPr>
                <w:sz w:val="20"/>
                <w:szCs w:val="20"/>
                <w:color w:val="auto"/>
              </w:rPr>
            </w:pPr>
            <w:r>
              <w:rPr>
                <w:rFonts w:ascii="Arial" w:cs="Arial" w:eastAsia="Arial" w:hAnsi="Arial"/>
                <w:sz w:val="13"/>
                <w:szCs w:val="13"/>
                <w:b w:val="1"/>
                <w:bCs w:val="1"/>
                <w:color w:val="auto"/>
              </w:rPr>
              <w:t>Payment Date</w:t>
            </w:r>
          </w:p>
        </w:tc>
        <w:tc>
          <w:tcPr>
            <w:tcW w:w="900" w:type="dxa"/>
            <w:vAlign w:val="bottom"/>
          </w:tcPr>
          <w:p>
            <w:pPr>
              <w:spacing w:after="0"/>
              <w:rPr>
                <w:sz w:val="13"/>
                <w:szCs w:val="13"/>
                <w:color w:val="auto"/>
              </w:rPr>
            </w:pPr>
          </w:p>
        </w:tc>
        <w:tc>
          <w:tcPr>
            <w:tcW w:w="1100" w:type="dxa"/>
            <w:vAlign w:val="bottom"/>
          </w:tcPr>
          <w:p>
            <w:pPr>
              <w:jc w:val="right"/>
              <w:ind w:right="25"/>
              <w:spacing w:after="0"/>
              <w:rPr>
                <w:sz w:val="20"/>
                <w:szCs w:val="20"/>
                <w:color w:val="auto"/>
              </w:rPr>
            </w:pPr>
            <w:r>
              <w:rPr>
                <w:rFonts w:ascii="Arial" w:cs="Arial" w:eastAsia="Arial" w:hAnsi="Arial"/>
                <w:sz w:val="13"/>
                <w:szCs w:val="13"/>
                <w:b w:val="1"/>
                <w:bCs w:val="1"/>
                <w:color w:val="auto"/>
              </w:rPr>
              <w:t>Dividend</w:t>
            </w:r>
          </w:p>
        </w:tc>
        <w:tc>
          <w:tcPr>
            <w:tcW w:w="4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360" w:type="dxa"/>
            <w:vAlign w:val="bottom"/>
            <w:tcBorders>
              <w:bottom w:val="single" w:sz="8" w:color="auto"/>
            </w:tcBorders>
            <w:vMerge w:val="continue"/>
          </w:tcPr>
          <w:p>
            <w:pPr>
              <w:spacing w:after="0"/>
              <w:rPr>
                <w:sz w:val="17"/>
                <w:szCs w:val="17"/>
                <w:color w:val="auto"/>
              </w:rPr>
            </w:pPr>
          </w:p>
        </w:tc>
        <w:tc>
          <w:tcPr>
            <w:tcW w:w="2780" w:type="dxa"/>
            <w:vAlign w:val="bottom"/>
            <w:tcBorders>
              <w:bottom w:val="single" w:sz="8" w:color="auto"/>
            </w:tcBorders>
            <w:vMerge w:val="continue"/>
          </w:tcPr>
          <w:p>
            <w:pPr>
              <w:spacing w:after="0"/>
              <w:rPr>
                <w:sz w:val="17"/>
                <w:szCs w:val="17"/>
                <w:color w:val="auto"/>
              </w:rPr>
            </w:pPr>
          </w:p>
        </w:tc>
        <w:tc>
          <w:tcPr>
            <w:tcW w:w="25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rPr>
              <w:t>Per Share</w:t>
            </w: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3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211"/>
        </w:trPr>
        <w:tc>
          <w:tcPr>
            <w:tcW w:w="23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September 15, 2026</w:t>
            </w:r>
          </w:p>
        </w:tc>
        <w:tc>
          <w:tcPr>
            <w:tcW w:w="2780" w:type="dxa"/>
            <w:vAlign w:val="bottom"/>
            <w:shd w:val="clear" w:color="auto" w:fill="E5E5E5"/>
          </w:tcPr>
          <w:p>
            <w:pPr>
              <w:ind w:left="680"/>
              <w:spacing w:after="0"/>
              <w:rPr>
                <w:sz w:val="20"/>
                <w:szCs w:val="20"/>
                <w:color w:val="auto"/>
              </w:rPr>
            </w:pPr>
            <w:r>
              <w:rPr>
                <w:rFonts w:ascii="Arial" w:cs="Arial" w:eastAsia="Arial" w:hAnsi="Arial"/>
                <w:sz w:val="18"/>
                <w:szCs w:val="18"/>
                <w:b w:val="1"/>
                <w:bCs w:val="1"/>
                <w:color w:val="auto"/>
              </w:rPr>
              <w:t>November 19, 2026</w:t>
            </w:r>
          </w:p>
        </w:tc>
        <w:tc>
          <w:tcPr>
            <w:tcW w:w="2520" w:type="dxa"/>
            <w:vAlign w:val="bottom"/>
            <w:shd w:val="clear" w:color="auto" w:fill="E5E5E5"/>
          </w:tcPr>
          <w:p>
            <w:pPr>
              <w:ind w:left="480"/>
              <w:spacing w:after="0"/>
              <w:rPr>
                <w:sz w:val="20"/>
                <w:szCs w:val="20"/>
                <w:color w:val="auto"/>
              </w:rPr>
            </w:pPr>
            <w:r>
              <w:rPr>
                <w:rFonts w:ascii="Arial" w:cs="Arial" w:eastAsia="Arial" w:hAnsi="Arial"/>
                <w:sz w:val="18"/>
                <w:szCs w:val="18"/>
                <w:b w:val="1"/>
                <w:bCs w:val="1"/>
                <w:color w:val="auto"/>
              </w:rPr>
              <w:t>December 10, 2026</w:t>
            </w:r>
          </w:p>
        </w:tc>
        <w:tc>
          <w:tcPr>
            <w:tcW w:w="900" w:type="dxa"/>
            <w:vAlign w:val="bottom"/>
            <w:shd w:val="clear" w:color="auto" w:fill="E5E5E5"/>
          </w:tcPr>
          <w:p>
            <w:pPr>
              <w:jc w:val="right"/>
              <w:ind w:right="27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5E5E5"/>
          </w:tcPr>
          <w:p>
            <w:pPr>
              <w:jc w:val="right"/>
              <w:ind w:right="25"/>
              <w:spacing w:after="0"/>
              <w:rPr>
                <w:sz w:val="20"/>
                <w:szCs w:val="20"/>
                <w:color w:val="auto"/>
              </w:rPr>
            </w:pPr>
            <w:r>
              <w:rPr>
                <w:rFonts w:ascii="Arial" w:cs="Arial" w:eastAsia="Arial" w:hAnsi="Arial"/>
                <w:sz w:val="18"/>
                <w:szCs w:val="18"/>
                <w:b w:val="1"/>
                <w:bCs w:val="1"/>
                <w:color w:val="auto"/>
              </w:rPr>
              <w:t>0.98</w:t>
            </w:r>
          </w:p>
        </w:tc>
        <w:tc>
          <w:tcPr>
            <w:tcW w:w="460" w:type="dxa"/>
            <w:vAlign w:val="bottom"/>
            <w:shd w:val="clear" w:color="auto" w:fill="E5E5E5"/>
          </w:tcPr>
          <w:p>
            <w:pPr>
              <w:jc w:val="right"/>
              <w:ind w:right="17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7,279</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36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returned $10.2 billion to shareholders in the form of share repurchases and dividends in the first quarter of fiscal year 2027. Refer to Note 14 – Stockholders’ Equity of the Notes to Financial Statements (Part I, Item 1 of this Form 10-Q) for further discussion regarding share repurchases and dividends.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Item 5</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ITEM 5.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None of our officers or directors, as defined in Rule 16a-1(f) of the Securities Exchange Act of 1934, adopted, modified, or terminated a “Rule 10b5-1 trading arrangement” or a “non-Rule 10b5-1 trading arrangement,” as defined in Item 408 of Regulation S-K, during the three months ended September 30, 2026.</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Item 6</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6. EXHIBITS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Incorporated by Reference</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820" w:type="dxa"/>
            <w:vAlign w:val="bottom"/>
          </w:tcPr>
          <w:p>
            <w:pPr>
              <w:spacing w:after="0"/>
              <w:rPr>
                <w:sz w:val="20"/>
                <w:szCs w:val="20"/>
                <w:color w:val="auto"/>
              </w:rPr>
            </w:pPr>
            <w:r>
              <w:rPr>
                <w:rFonts w:ascii="Arial" w:cs="Arial" w:eastAsia="Arial" w:hAnsi="Arial"/>
                <w:sz w:val="13"/>
                <w:szCs w:val="13"/>
                <w:b w:val="1"/>
                <w:bCs w:val="1"/>
                <w:color w:val="auto"/>
              </w:rPr>
              <w:t>Exhibit</w:t>
            </w:r>
          </w:p>
        </w:tc>
        <w:tc>
          <w:tcPr>
            <w:tcW w:w="3060" w:type="dxa"/>
            <w:vAlign w:val="bottom"/>
            <w:vMerge w:val="restart"/>
          </w:tcPr>
          <w:p>
            <w:pPr>
              <w:ind w:left="300"/>
              <w:spacing w:after="0"/>
              <w:rPr>
                <w:sz w:val="20"/>
                <w:szCs w:val="20"/>
                <w:color w:val="auto"/>
              </w:rPr>
            </w:pPr>
            <w:r>
              <w:rPr>
                <w:rFonts w:ascii="Arial" w:cs="Arial" w:eastAsia="Arial" w:hAnsi="Arial"/>
                <w:sz w:val="13"/>
                <w:szCs w:val="13"/>
                <w:b w:val="1"/>
                <w:bCs w:val="1"/>
                <w:color w:val="auto"/>
              </w:rPr>
              <w:t>Exhibit Description</w:t>
            </w:r>
          </w:p>
        </w:tc>
        <w:tc>
          <w:tcPr>
            <w:tcW w:w="2480" w:type="dxa"/>
            <w:vAlign w:val="bottom"/>
          </w:tcPr>
          <w:p>
            <w:pPr>
              <w:jc w:val="center"/>
              <w:ind w:left="1073"/>
              <w:spacing w:after="0"/>
              <w:rPr>
                <w:sz w:val="20"/>
                <w:szCs w:val="20"/>
                <w:color w:val="auto"/>
              </w:rPr>
            </w:pPr>
            <w:r>
              <w:rPr>
                <w:rFonts w:ascii="Arial" w:cs="Arial" w:eastAsia="Arial" w:hAnsi="Arial"/>
                <w:sz w:val="13"/>
                <w:szCs w:val="13"/>
                <w:b w:val="1"/>
                <w:bCs w:val="1"/>
                <w:color w:val="auto"/>
                <w:w w:val="98"/>
              </w:rPr>
              <w:t>Filed</w:t>
            </w:r>
          </w:p>
        </w:tc>
        <w:tc>
          <w:tcPr>
            <w:tcW w:w="1380" w:type="dxa"/>
            <w:vAlign w:val="bottom"/>
            <w:vMerge w:val="restart"/>
          </w:tcPr>
          <w:p>
            <w:pPr>
              <w:ind w:left="820"/>
              <w:spacing w:after="0"/>
              <w:rPr>
                <w:sz w:val="20"/>
                <w:szCs w:val="20"/>
                <w:color w:val="auto"/>
              </w:rPr>
            </w:pPr>
            <w:r>
              <w:rPr>
                <w:rFonts w:ascii="Arial" w:cs="Arial" w:eastAsia="Arial" w:hAnsi="Arial"/>
                <w:sz w:val="13"/>
                <w:szCs w:val="13"/>
                <w:b w:val="1"/>
                <w:bCs w:val="1"/>
                <w:color w:val="auto"/>
              </w:rPr>
              <w:t>Form</w:t>
            </w:r>
          </w:p>
        </w:tc>
        <w:tc>
          <w:tcPr>
            <w:tcW w:w="1360" w:type="dxa"/>
            <w:vAlign w:val="bottom"/>
          </w:tcPr>
          <w:p>
            <w:pPr>
              <w:jc w:val="right"/>
              <w:ind w:right="333"/>
              <w:spacing w:after="0"/>
              <w:rPr>
                <w:sz w:val="20"/>
                <w:szCs w:val="20"/>
                <w:color w:val="auto"/>
              </w:rPr>
            </w:pPr>
            <w:r>
              <w:rPr>
                <w:rFonts w:ascii="Arial" w:cs="Arial" w:eastAsia="Arial" w:hAnsi="Arial"/>
                <w:sz w:val="13"/>
                <w:szCs w:val="13"/>
                <w:b w:val="1"/>
                <w:bCs w:val="1"/>
                <w:color w:val="auto"/>
              </w:rPr>
              <w:t>Period</w:t>
            </w:r>
          </w:p>
        </w:tc>
        <w:tc>
          <w:tcPr>
            <w:tcW w:w="116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Exhibit</w:t>
            </w:r>
          </w:p>
        </w:tc>
        <w:tc>
          <w:tcPr>
            <w:tcW w:w="980" w:type="dxa"/>
            <w:vAlign w:val="bottom"/>
            <w:vMerge w:val="restart"/>
          </w:tcPr>
          <w:p>
            <w:pPr>
              <w:ind w:left="300"/>
              <w:spacing w:after="0"/>
              <w:rPr>
                <w:sz w:val="20"/>
                <w:szCs w:val="20"/>
                <w:color w:val="auto"/>
              </w:rPr>
            </w:pPr>
            <w:r>
              <w:rPr>
                <w:rFonts w:ascii="Arial" w:cs="Arial" w:eastAsia="Arial" w:hAnsi="Arial"/>
                <w:sz w:val="13"/>
                <w:szCs w:val="13"/>
                <w:b w:val="1"/>
                <w:bCs w:val="1"/>
                <w:color w:val="auto"/>
                <w:w w:val="99"/>
              </w:rPr>
              <w:t>Filing Date</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20"/>
                <w:szCs w:val="20"/>
                <w:color w:val="auto"/>
              </w:rPr>
            </w:pPr>
            <w:r>
              <w:rPr>
                <w:rFonts w:ascii="Arial" w:cs="Arial" w:eastAsia="Arial" w:hAnsi="Arial"/>
                <w:sz w:val="13"/>
                <w:szCs w:val="13"/>
                <w:b w:val="1"/>
                <w:bCs w:val="1"/>
                <w:color w:val="auto"/>
              </w:rPr>
              <w:t>Number</w:t>
            </w:r>
          </w:p>
        </w:tc>
        <w:tc>
          <w:tcPr>
            <w:tcW w:w="3060" w:type="dxa"/>
            <w:vAlign w:val="bottom"/>
            <w:vMerge w:val="continue"/>
          </w:tcPr>
          <w:p>
            <w:pPr>
              <w:spacing w:after="0"/>
              <w:rPr>
                <w:sz w:val="16"/>
                <w:szCs w:val="16"/>
                <w:color w:val="auto"/>
              </w:rPr>
            </w:pPr>
          </w:p>
        </w:tc>
        <w:tc>
          <w:tcPr>
            <w:tcW w:w="2480" w:type="dxa"/>
            <w:vAlign w:val="bottom"/>
          </w:tcPr>
          <w:p>
            <w:pPr>
              <w:jc w:val="center"/>
              <w:ind w:left="1073"/>
              <w:spacing w:after="0"/>
              <w:rPr>
                <w:sz w:val="20"/>
                <w:szCs w:val="20"/>
                <w:color w:val="auto"/>
              </w:rPr>
            </w:pPr>
            <w:r>
              <w:rPr>
                <w:rFonts w:ascii="Arial" w:cs="Arial" w:eastAsia="Arial" w:hAnsi="Arial"/>
                <w:sz w:val="13"/>
                <w:szCs w:val="13"/>
                <w:b w:val="1"/>
                <w:bCs w:val="1"/>
                <w:color w:val="auto"/>
              </w:rPr>
              <w:t>Herewith</w:t>
            </w:r>
          </w:p>
        </w:tc>
        <w:tc>
          <w:tcPr>
            <w:tcW w:w="1380" w:type="dxa"/>
            <w:vAlign w:val="bottom"/>
            <w:vMerge w:val="continue"/>
          </w:tcPr>
          <w:p>
            <w:pPr>
              <w:spacing w:after="0"/>
              <w:rPr>
                <w:sz w:val="16"/>
                <w:szCs w:val="16"/>
                <w:color w:val="auto"/>
              </w:rPr>
            </w:pPr>
          </w:p>
        </w:tc>
        <w:tc>
          <w:tcPr>
            <w:tcW w:w="1360" w:type="dxa"/>
            <w:vAlign w:val="bottom"/>
          </w:tcPr>
          <w:p>
            <w:pPr>
              <w:jc w:val="right"/>
              <w:ind w:right="333"/>
              <w:spacing w:after="0"/>
              <w:rPr>
                <w:sz w:val="20"/>
                <w:szCs w:val="20"/>
                <w:color w:val="auto"/>
              </w:rPr>
            </w:pPr>
            <w:r>
              <w:rPr>
                <w:rFonts w:ascii="Arial" w:cs="Arial" w:eastAsia="Arial" w:hAnsi="Arial"/>
                <w:sz w:val="13"/>
                <w:szCs w:val="13"/>
                <w:b w:val="1"/>
                <w:bCs w:val="1"/>
                <w:color w:val="auto"/>
              </w:rPr>
              <w:t>Ending</w:t>
            </w:r>
          </w:p>
        </w:tc>
        <w:tc>
          <w:tcPr>
            <w:tcW w:w="11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3840" w:type="dxa"/>
            <w:vAlign w:val="bottom"/>
            <w:gridSpan w:val="9"/>
          </w:tcPr>
          <w:p>
            <w:pPr>
              <w:spacing w:after="0"/>
              <w:rPr>
                <w:sz w:val="20"/>
                <w:szCs w:val="20"/>
                <w:color w:val="auto"/>
              </w:rPr>
            </w:pPr>
            <w:r>
              <w:rPr>
                <w:rFonts w:ascii="Arial" w:cs="Arial" w:eastAsia="Arial" w:hAnsi="Arial"/>
                <w:sz w:val="18"/>
                <w:szCs w:val="18"/>
                <w:color w:val="auto"/>
              </w:rPr>
              <w:t>Form of Performance Stock Award Agreement</w:t>
            </w:r>
          </w:p>
        </w:tc>
      </w:tr>
      <w:tr>
        <w:trPr>
          <w:trHeight w:val="183"/>
        </w:trPr>
        <w:tc>
          <w:tcPr>
            <w:tcW w:w="1120" w:type="dxa"/>
            <w:vAlign w:val="bottom"/>
          </w:tcPr>
          <w:p>
            <w:pPr>
              <w:spacing w:after="0"/>
              <w:rPr>
                <w:sz w:val="15"/>
                <w:szCs w:val="15"/>
                <w:color w:val="auto"/>
              </w:rPr>
            </w:pPr>
          </w:p>
        </w:tc>
        <w:tc>
          <w:tcPr>
            <w:tcW w:w="374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auto"/>
              </w:rPr>
              <w:t>Under the Microsoft Corporation 2026 Stock</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36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auto"/>
                <w:w w:val="94"/>
              </w:rPr>
              <w:t>Plan</w:t>
            </w:r>
          </w:p>
        </w:tc>
        <w:tc>
          <w:tcPr>
            <w:tcW w:w="3200" w:type="dxa"/>
            <w:vAlign w:val="bottom"/>
            <w:tcBorders>
              <w:top w:val="single" w:sz="8" w:color="0000EE"/>
            </w:tcBorders>
            <w:gridSpan w:val="5"/>
          </w:tcPr>
          <w:p>
            <w:pPr>
              <w:spacing w:after="0"/>
              <w:rPr>
                <w:sz w:val="15"/>
                <w:szCs w:val="15"/>
                <w:color w:val="auto"/>
              </w:rPr>
            </w:pPr>
          </w:p>
        </w:tc>
        <w:tc>
          <w:tcPr>
            <w:tcW w:w="2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15.1</w:t>
            </w:r>
          </w:p>
        </w:tc>
        <w:tc>
          <w:tcPr>
            <w:tcW w:w="3840" w:type="dxa"/>
            <w:vAlign w:val="bottom"/>
            <w:gridSpan w:val="9"/>
          </w:tcPr>
          <w:p>
            <w:pPr>
              <w:spacing w:after="0"/>
              <w:rPr>
                <w:sz w:val="20"/>
                <w:szCs w:val="20"/>
                <w:color w:val="auto"/>
              </w:rPr>
            </w:pPr>
            <w:r>
              <w:rPr>
                <w:rFonts w:ascii="Arial" w:cs="Arial" w:eastAsia="Arial" w:hAnsi="Arial"/>
                <w:sz w:val="18"/>
                <w:szCs w:val="18"/>
                <w:color w:val="auto"/>
              </w:rPr>
              <w:t>Letter regarding unaudited interim financial</w:t>
            </w:r>
          </w:p>
        </w:tc>
      </w:tr>
      <w:tr>
        <w:trPr>
          <w:trHeight w:val="183"/>
        </w:trPr>
        <w:tc>
          <w:tcPr>
            <w:tcW w:w="1120" w:type="dxa"/>
            <w:vAlign w:val="bottom"/>
          </w:tcPr>
          <w:p>
            <w:pPr>
              <w:spacing w:after="0"/>
              <w:rPr>
                <w:sz w:val="15"/>
                <w:szCs w:val="15"/>
                <w:color w:val="auto"/>
              </w:rPr>
            </w:pPr>
          </w:p>
        </w:tc>
        <w:tc>
          <w:tcPr>
            <w:tcW w:w="346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auto"/>
              </w:rPr>
              <w:t>information</w:t>
            </w:r>
          </w:p>
        </w:tc>
        <w:tc>
          <w:tcPr>
            <w:tcW w:w="8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38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auto"/>
              </w:rPr>
              <w:t>Certification of Chief Executive Officer Pursuant</w:t>
            </w:r>
          </w:p>
        </w:tc>
      </w:tr>
      <w:tr>
        <w:trPr>
          <w:trHeight w:val="183"/>
        </w:trPr>
        <w:tc>
          <w:tcPr>
            <w:tcW w:w="1120" w:type="dxa"/>
            <w:vAlign w:val="bottom"/>
          </w:tcPr>
          <w:p>
            <w:pPr>
              <w:spacing w:after="0"/>
              <w:rPr>
                <w:sz w:val="15"/>
                <w:szCs w:val="15"/>
                <w:color w:val="auto"/>
              </w:rPr>
            </w:pPr>
          </w:p>
        </w:tc>
        <w:tc>
          <w:tcPr>
            <w:tcW w:w="3840" w:type="dxa"/>
            <w:vAlign w:val="bottom"/>
            <w:gridSpan w:val="9"/>
          </w:tcPr>
          <w:p>
            <w:pPr>
              <w:spacing w:after="0" w:line="182" w:lineRule="exact"/>
              <w:rPr>
                <w:sz w:val="20"/>
                <w:szCs w:val="20"/>
                <w:color w:val="auto"/>
              </w:rPr>
            </w:pPr>
            <w:r>
              <w:rPr>
                <w:rFonts w:ascii="Arial" w:cs="Arial" w:eastAsia="Arial" w:hAnsi="Arial"/>
                <w:sz w:val="18"/>
                <w:szCs w:val="18"/>
                <w:color w:val="auto"/>
              </w:rPr>
              <w:t>to Section 302 of the Sarbanes-Oxley Act of</w:t>
            </w:r>
          </w:p>
        </w:tc>
      </w:tr>
      <w:tr>
        <w:trPr>
          <w:trHeight w:val="183"/>
        </w:trPr>
        <w:tc>
          <w:tcPr>
            <w:tcW w:w="1120" w:type="dxa"/>
            <w:vAlign w:val="bottom"/>
          </w:tcPr>
          <w:p>
            <w:pPr>
              <w:spacing w:after="0"/>
              <w:rPr>
                <w:sz w:val="15"/>
                <w:szCs w:val="15"/>
                <w:color w:val="auto"/>
              </w:rPr>
            </w:pPr>
          </w:p>
        </w:tc>
        <w:tc>
          <w:tcPr>
            <w:tcW w:w="4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auto"/>
                <w:w w:val="94"/>
              </w:rPr>
              <w:t>2002</w:t>
            </w:r>
          </w:p>
        </w:tc>
        <w:tc>
          <w:tcPr>
            <w:tcW w:w="480" w:type="dxa"/>
            <w:vAlign w:val="bottom"/>
            <w:tcBorders>
              <w:top w:val="single" w:sz="8" w:color="0000EE"/>
            </w:tcBorders>
          </w:tcPr>
          <w:p>
            <w:pPr>
              <w:spacing w:after="0"/>
              <w:rPr>
                <w:sz w:val="15"/>
                <w:szCs w:val="15"/>
                <w:color w:val="auto"/>
              </w:rPr>
            </w:pPr>
          </w:p>
        </w:tc>
        <w:tc>
          <w:tcPr>
            <w:tcW w:w="25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3840" w:type="dxa"/>
            <w:vAlign w:val="bottom"/>
            <w:gridSpan w:val="9"/>
          </w:tcPr>
          <w:p>
            <w:pPr>
              <w:spacing w:after="0"/>
              <w:rPr>
                <w:sz w:val="20"/>
                <w:szCs w:val="20"/>
                <w:color w:val="auto"/>
              </w:rPr>
            </w:pPr>
            <w:r>
              <w:rPr>
                <w:rFonts w:ascii="Arial" w:cs="Arial" w:eastAsia="Arial" w:hAnsi="Arial"/>
                <w:sz w:val="18"/>
                <w:szCs w:val="18"/>
                <w:color w:val="auto"/>
              </w:rPr>
              <w:t>Certification of Chief Financial Officer Pursuant</w:t>
            </w:r>
          </w:p>
        </w:tc>
      </w:tr>
      <w:tr>
        <w:trPr>
          <w:trHeight w:val="183"/>
        </w:trPr>
        <w:tc>
          <w:tcPr>
            <w:tcW w:w="1120" w:type="dxa"/>
            <w:vAlign w:val="bottom"/>
          </w:tcPr>
          <w:p>
            <w:pPr>
              <w:spacing w:after="0"/>
              <w:rPr>
                <w:sz w:val="15"/>
                <w:szCs w:val="15"/>
                <w:color w:val="auto"/>
              </w:rPr>
            </w:pPr>
          </w:p>
        </w:tc>
        <w:tc>
          <w:tcPr>
            <w:tcW w:w="378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auto"/>
              </w:rPr>
              <w:t>to Section 302 of the Sarbanes-Oxley Act of</w:t>
            </w:r>
          </w:p>
        </w:tc>
        <w:tc>
          <w:tcPr>
            <w:tcW w:w="6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4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auto"/>
                <w:w w:val="94"/>
              </w:rPr>
              <w:t>2002</w:t>
            </w:r>
          </w:p>
        </w:tc>
        <w:tc>
          <w:tcPr>
            <w:tcW w:w="480" w:type="dxa"/>
            <w:vAlign w:val="bottom"/>
            <w:tcBorders>
              <w:top w:val="single" w:sz="8" w:color="0000EE"/>
            </w:tcBorders>
          </w:tcPr>
          <w:p>
            <w:pPr>
              <w:spacing w:after="0"/>
              <w:rPr>
                <w:sz w:val="15"/>
                <w:szCs w:val="15"/>
                <w:color w:val="auto"/>
              </w:rPr>
            </w:pPr>
          </w:p>
        </w:tc>
        <w:tc>
          <w:tcPr>
            <w:tcW w:w="25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77" w:lineRule="exact"/>
        <w:rPr>
          <w:sz w:val="20"/>
          <w:szCs w:val="20"/>
          <w:color w:val="auto"/>
        </w:rPr>
      </w:pPr>
    </w:p>
    <w:p>
      <w:pPr>
        <w:sectPr>
          <w:pgSz w:w="11900" w:h="16838" w:orient="portrait"/>
          <w:cols w:equalWidth="0" w:num="2">
            <w:col w:w="4960" w:space="680"/>
            <w:col w:w="5600"/>
          </w:cols>
          <w:pgMar w:left="320" w:top="77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20" w:type="dxa"/>
            <w:vAlign w:val="bottom"/>
          </w:tcPr>
          <w:p>
            <w:pPr>
              <w:jc w:val="right"/>
              <w:ind w:right="530"/>
              <w:spacing w:after="0"/>
              <w:rPr>
                <w:sz w:val="20"/>
                <w:szCs w:val="20"/>
                <w:color w:val="auto"/>
              </w:rPr>
            </w:pPr>
            <w:r>
              <w:rPr>
                <w:rFonts w:ascii="Arial" w:cs="Arial" w:eastAsia="Arial" w:hAnsi="Arial"/>
                <w:sz w:val="18"/>
                <w:szCs w:val="18"/>
                <w:color w:val="auto"/>
                <w:w w:val="97"/>
              </w:rPr>
              <w:t>32.1**</w:t>
            </w:r>
          </w:p>
        </w:tc>
        <w:tc>
          <w:tcPr>
            <w:tcW w:w="38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auto"/>
              </w:rPr>
              <w:t>Certification of Chief Executive Officer Pursuant</w:t>
            </w:r>
          </w:p>
        </w:tc>
        <w:tc>
          <w:tcPr>
            <w:tcW w:w="800" w:type="dxa"/>
            <w:vAlign w:val="bottom"/>
            <w:vMerge w:val="restart"/>
          </w:tcPr>
          <w:p>
            <w:pPr>
              <w:ind w:left="6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840" w:type="dxa"/>
            <w:vAlign w:val="bottom"/>
            <w:gridSpan w:val="4"/>
          </w:tcPr>
          <w:p>
            <w:pPr>
              <w:spacing w:after="0" w:line="182" w:lineRule="exact"/>
              <w:rPr>
                <w:sz w:val="20"/>
                <w:szCs w:val="20"/>
                <w:color w:val="auto"/>
              </w:rPr>
            </w:pPr>
            <w:r>
              <w:rPr>
                <w:rFonts w:ascii="Arial" w:cs="Arial" w:eastAsia="Arial" w:hAnsi="Arial"/>
                <w:sz w:val="18"/>
                <w:szCs w:val="18"/>
                <w:color w:val="auto"/>
              </w:rPr>
              <w:t>to Section 906 of the Sarbanes-Oxley Act of</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auto"/>
                <w:w w:val="94"/>
              </w:rPr>
              <w:t>2002</w:t>
            </w:r>
          </w:p>
        </w:tc>
        <w:tc>
          <w:tcPr>
            <w:tcW w:w="3140" w:type="dxa"/>
            <w:vAlign w:val="bottom"/>
            <w:tcBorders>
              <w:top w:val="single" w:sz="8" w:color="0000EE"/>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120" w:type="dxa"/>
            <w:vAlign w:val="bottom"/>
          </w:tcPr>
          <w:p>
            <w:pPr>
              <w:jc w:val="right"/>
              <w:ind w:right="530"/>
              <w:spacing w:after="0"/>
              <w:rPr>
                <w:sz w:val="20"/>
                <w:szCs w:val="20"/>
                <w:color w:val="auto"/>
              </w:rPr>
            </w:pPr>
            <w:r>
              <w:rPr>
                <w:rFonts w:ascii="Arial" w:cs="Arial" w:eastAsia="Arial" w:hAnsi="Arial"/>
                <w:sz w:val="18"/>
                <w:szCs w:val="18"/>
                <w:color w:val="auto"/>
                <w:w w:val="97"/>
              </w:rPr>
              <w:t>32.2**</w:t>
            </w:r>
          </w:p>
        </w:tc>
        <w:tc>
          <w:tcPr>
            <w:tcW w:w="3840" w:type="dxa"/>
            <w:vAlign w:val="bottom"/>
            <w:gridSpan w:val="4"/>
          </w:tcPr>
          <w:p>
            <w:pPr>
              <w:spacing w:after="0"/>
              <w:rPr>
                <w:sz w:val="20"/>
                <w:szCs w:val="20"/>
                <w:color w:val="auto"/>
              </w:rPr>
            </w:pPr>
            <w:r>
              <w:rPr>
                <w:rFonts w:ascii="Arial" w:cs="Arial" w:eastAsia="Arial" w:hAnsi="Arial"/>
                <w:sz w:val="18"/>
                <w:szCs w:val="18"/>
                <w:color w:val="auto"/>
              </w:rPr>
              <w:t>Certification of Chief Financial Officer Pursuant</w:t>
            </w:r>
          </w:p>
        </w:tc>
        <w:tc>
          <w:tcPr>
            <w:tcW w:w="800" w:type="dxa"/>
            <w:vAlign w:val="bottom"/>
            <w:vMerge w:val="restart"/>
          </w:tcPr>
          <w:p>
            <w:pPr>
              <w:ind w:left="6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78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auto"/>
              </w:rPr>
              <w:t>to Section 906 of the Sarbanes-Oxley Act of</w:t>
            </w: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auto"/>
                <w:w w:val="94"/>
              </w:rPr>
              <w:t>2002</w:t>
            </w:r>
          </w:p>
        </w:tc>
        <w:tc>
          <w:tcPr>
            <w:tcW w:w="3140" w:type="dxa"/>
            <w:vAlign w:val="bottom"/>
            <w:tcBorders>
              <w:top w:val="single" w:sz="8" w:color="0000EE"/>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ectPr>
          <w:pgSz w:w="11900" w:h="16838" w:orient="portrait"/>
          <w:cols w:equalWidth="0" w:num="1">
            <w:col w:w="11240"/>
          </w:cols>
          <w:pgMar w:left="320" w:top="77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020" w:type="dxa"/>
            <w:vAlign w:val="bottom"/>
          </w:tcPr>
          <w:p>
            <w:pPr>
              <w:ind w:left="200"/>
              <w:spacing w:after="0"/>
              <w:rPr>
                <w:sz w:val="20"/>
                <w:szCs w:val="20"/>
                <w:color w:val="auto"/>
              </w:rPr>
            </w:pPr>
            <w:r>
              <w:rPr>
                <w:rFonts w:ascii="Arial" w:cs="Arial" w:eastAsia="Arial" w:hAnsi="Arial"/>
                <w:sz w:val="18"/>
                <w:szCs w:val="18"/>
                <w:color w:val="auto"/>
              </w:rPr>
              <w:t>Inline XBRL Instance Document–the instance</w:t>
            </w:r>
          </w:p>
        </w:tc>
      </w:tr>
      <w:tr>
        <w:trPr>
          <w:trHeight w:val="203"/>
        </w:trPr>
        <w:tc>
          <w:tcPr>
            <w:tcW w:w="920" w:type="dxa"/>
            <w:vAlign w:val="bottom"/>
          </w:tcPr>
          <w:p>
            <w:pPr>
              <w:spacing w:after="0"/>
              <w:rPr>
                <w:sz w:val="17"/>
                <w:szCs w:val="17"/>
                <w:color w:val="auto"/>
              </w:rPr>
            </w:pPr>
          </w:p>
        </w:tc>
        <w:tc>
          <w:tcPr>
            <w:tcW w:w="4020" w:type="dxa"/>
            <w:vAlign w:val="bottom"/>
          </w:tcPr>
          <w:p>
            <w:pPr>
              <w:ind w:left="200"/>
              <w:spacing w:after="0" w:line="202" w:lineRule="exact"/>
              <w:rPr>
                <w:sz w:val="20"/>
                <w:szCs w:val="20"/>
                <w:color w:val="auto"/>
              </w:rPr>
            </w:pPr>
            <w:r>
              <w:rPr>
                <w:rFonts w:ascii="Arial" w:cs="Arial" w:eastAsia="Arial" w:hAnsi="Arial"/>
                <w:sz w:val="18"/>
                <w:szCs w:val="18"/>
                <w:color w:val="auto"/>
              </w:rPr>
              <w:t>document does not appear in the Interactive</w:t>
            </w:r>
          </w:p>
        </w:tc>
      </w:tr>
      <w:tr>
        <w:trPr>
          <w:trHeight w:val="203"/>
        </w:trPr>
        <w:tc>
          <w:tcPr>
            <w:tcW w:w="920" w:type="dxa"/>
            <w:vAlign w:val="bottom"/>
          </w:tcPr>
          <w:p>
            <w:pPr>
              <w:spacing w:after="0"/>
              <w:rPr>
                <w:sz w:val="17"/>
                <w:szCs w:val="17"/>
                <w:color w:val="auto"/>
              </w:rPr>
            </w:pPr>
          </w:p>
        </w:tc>
        <w:tc>
          <w:tcPr>
            <w:tcW w:w="4020" w:type="dxa"/>
            <w:vAlign w:val="bottom"/>
          </w:tcPr>
          <w:p>
            <w:pPr>
              <w:ind w:left="200"/>
              <w:spacing w:after="0" w:line="202" w:lineRule="exact"/>
              <w:rPr>
                <w:sz w:val="20"/>
                <w:szCs w:val="20"/>
                <w:color w:val="auto"/>
              </w:rPr>
            </w:pPr>
            <w:r>
              <w:rPr>
                <w:rFonts w:ascii="Arial" w:cs="Arial" w:eastAsia="Arial" w:hAnsi="Arial"/>
                <w:sz w:val="18"/>
                <w:szCs w:val="18"/>
                <w:color w:val="auto"/>
                <w:w w:val="99"/>
              </w:rPr>
              <w:t>Data File as its XBRL tags are embedded within</w:t>
            </w:r>
          </w:p>
        </w:tc>
      </w:tr>
      <w:tr>
        <w:trPr>
          <w:trHeight w:val="239"/>
        </w:trPr>
        <w:tc>
          <w:tcPr>
            <w:tcW w:w="920" w:type="dxa"/>
            <w:vAlign w:val="bottom"/>
          </w:tcPr>
          <w:p>
            <w:pPr>
              <w:spacing w:after="0"/>
              <w:rPr>
                <w:sz w:val="20"/>
                <w:szCs w:val="20"/>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the Inline XBRL document</w:t>
            </w:r>
          </w:p>
        </w:tc>
      </w:tr>
      <w:tr>
        <w:trPr>
          <w:trHeight w:val="247"/>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020" w:type="dxa"/>
            <w:vAlign w:val="bottom"/>
          </w:tcPr>
          <w:p>
            <w:pPr>
              <w:ind w:left="200"/>
              <w:spacing w:after="0"/>
              <w:rPr>
                <w:sz w:val="20"/>
                <w:szCs w:val="20"/>
                <w:color w:val="auto"/>
              </w:rPr>
            </w:pPr>
            <w:r>
              <w:rPr>
                <w:rFonts w:ascii="Arial" w:cs="Arial" w:eastAsia="Arial" w:hAnsi="Arial"/>
                <w:sz w:val="18"/>
                <w:szCs w:val="18"/>
                <w:color w:val="auto"/>
              </w:rPr>
              <w:t>Inline XBRL Taxonomy Extension Schema with</w:t>
            </w:r>
          </w:p>
        </w:tc>
      </w:tr>
      <w:tr>
        <w:trPr>
          <w:trHeight w:val="239"/>
        </w:trPr>
        <w:tc>
          <w:tcPr>
            <w:tcW w:w="920" w:type="dxa"/>
            <w:vAlign w:val="bottom"/>
          </w:tcPr>
          <w:p>
            <w:pPr>
              <w:spacing w:after="0"/>
              <w:rPr>
                <w:sz w:val="20"/>
                <w:szCs w:val="20"/>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Embedded Linkbase Documents</w:t>
            </w:r>
          </w:p>
        </w:tc>
      </w:tr>
    </w:tbl>
    <w:p>
      <w:pPr>
        <w:spacing w:after="0" w:line="45" w:lineRule="exact"/>
        <w:rPr>
          <w:sz w:val="20"/>
          <w:szCs w:val="20"/>
          <w:color w:val="auto"/>
        </w:rPr>
      </w:pPr>
    </w:p>
    <w:p>
      <w:pPr>
        <w:ind w:left="1120" w:right="500" w:hanging="1112"/>
        <w:spacing w:after="0" w:line="271"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Cover page formatted as Inline XBRL and contained in Exhibit 101</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98" w:lineRule="exact"/>
        <w:rPr>
          <w:sz w:val="20"/>
          <w:szCs w:val="20"/>
          <w:color w:val="auto"/>
        </w:rPr>
      </w:pPr>
    </w:p>
    <w:p>
      <w:pPr>
        <w:sectPr>
          <w:pgSz w:w="11900" w:h="16838" w:orient="portrait"/>
          <w:cols w:equalWidth="0" w:num="2">
            <w:col w:w="4940" w:space="700"/>
            <w:col w:w="5600"/>
          </w:cols>
          <w:pgMar w:left="320" w:top="775" w:right="339" w:bottom="1440" w:gutter="0" w:footer="0" w:header="0"/>
          <w:type w:val="continuous"/>
        </w:sectPr>
      </w:pPr>
    </w:p>
    <w:p>
      <w:pPr>
        <w:ind w:right="5100" w:firstLine="8"/>
        <w:spacing w:after="0" w:line="269" w:lineRule="auto"/>
        <w:tabs>
          <w:tab w:leader="none" w:pos="3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a management contract or compensatory plan or arrangement. ** Furnished, not filed.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and 4 are not applicable and have been omitted.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type w:val="continuous"/>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ICROSOFT</w:t>
      </w:r>
      <w:r>
        <w:rPr>
          <w:rFonts w:ascii="Arial" w:cs="Arial" w:eastAsia="Arial" w:hAnsi="Arial"/>
          <w:sz w:val="18"/>
          <w:szCs w:val="18"/>
          <w:color w:val="auto"/>
        </w:rPr>
        <w:t xml:space="preserve"> C</w:t>
      </w:r>
      <w:r>
        <w:rPr>
          <w:rFonts w:ascii="Arial" w:cs="Arial" w:eastAsia="Arial" w:hAnsi="Arial"/>
          <w:sz w:val="13"/>
          <w:szCs w:val="13"/>
          <w:color w:val="auto"/>
        </w:rPr>
        <w:t>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LICE</w:t>
      </w:r>
      <w:r>
        <w:rPr>
          <w:rFonts w:ascii="Arial" w:cs="Arial" w:eastAsia="Arial" w:hAnsi="Arial"/>
          <w:sz w:val="18"/>
          <w:szCs w:val="18"/>
          <w:color w:val="auto"/>
        </w:rPr>
        <w:t xml:space="preserve"> L. J</w:t>
      </w:r>
      <w:r>
        <w:rPr>
          <w:rFonts w:ascii="Arial" w:cs="Arial" w:eastAsia="Arial" w:hAnsi="Arial"/>
          <w:sz w:val="13"/>
          <w:szCs w:val="13"/>
          <w:color w:val="auto"/>
        </w:rPr>
        <w:t>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566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Alice L. Jolla</w:t>
      </w:r>
    </w:p>
    <w:p>
      <w:pPr>
        <w:spacing w:after="0" w:line="234" w:lineRule="auto"/>
        <w:rPr>
          <w:sz w:val="20"/>
          <w:szCs w:val="20"/>
          <w:color w:val="auto"/>
        </w:rPr>
      </w:pPr>
      <w:r>
        <w:rPr>
          <w:rFonts w:ascii="Arial" w:cs="Arial" w:eastAsia="Arial" w:hAnsi="Arial"/>
          <w:sz w:val="18"/>
          <w:szCs w:val="18"/>
          <w:color w:val="auto"/>
        </w:rPr>
        <w:t>Corporate Vice President and Chief Accounting Officer (Duly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Authorized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October 28, 2026</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61" w:name="page62"/>
    <w:bookmarkEnd w:id="61"/>
    <w:p>
      <w:pPr>
        <w:ind w:left="10260"/>
        <w:spacing w:after="0"/>
        <w:rPr>
          <w:sz w:val="20"/>
          <w:szCs w:val="20"/>
          <w:color w:val="auto"/>
        </w:rPr>
      </w:pPr>
      <w:r>
        <w:rPr>
          <w:rFonts w:ascii="Arial" w:cs="Arial" w:eastAsia="Arial" w:hAnsi="Arial"/>
          <w:sz w:val="18"/>
          <w:szCs w:val="18"/>
          <w:color w:val="auto"/>
        </w:rPr>
        <w:t>Exhibit 10.1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STOCK AWARD AGREEMENT UNDER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MICROSOFT CORPORATION 2026 STOCK PLAN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Number &lt;&lt;GrantIdentifier&gt;&gt;</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This Award Agreement, including Schedule A hereto, sets forth the terms and conditions of an award (the “Award”) of performance stock awards (“PSAs”) awarded to </w:t>
      </w:r>
      <w:r>
        <w:rPr>
          <w:rFonts w:ascii="Arial" w:cs="Arial" w:eastAsia="Arial" w:hAnsi="Arial"/>
          <w:sz w:val="18"/>
          <w:szCs w:val="18"/>
          <w:b w:val="1"/>
          <w:bCs w:val="1"/>
          <w:color w:val="auto"/>
        </w:rPr>
        <w:t>&lt;&lt;FullName&gt;&gt;</w:t>
      </w:r>
      <w:r>
        <w:rPr>
          <w:rFonts w:ascii="Arial" w:cs="Arial" w:eastAsia="Arial" w:hAnsi="Arial"/>
          <w:sz w:val="18"/>
          <w:szCs w:val="18"/>
          <w:color w:val="auto"/>
        </w:rPr>
        <w:t xml:space="preserve"> (“Awardee”) by Microsoft Corporation (the “Company”) in the exercise of its sole discretion under the Microsoft Corporation 2026 Stock Plan (the “Plan”) and pursuant to the Microsoft Corporation Executive Incentive Plan on </w:t>
      </w:r>
      <w:r>
        <w:rPr>
          <w:rFonts w:ascii="Arial" w:cs="Arial" w:eastAsia="Arial" w:hAnsi="Arial"/>
          <w:sz w:val="18"/>
          <w:szCs w:val="18"/>
          <w:b w:val="1"/>
          <w:bCs w:val="1"/>
          <w:color w:val="auto"/>
        </w:rPr>
        <w:t xml:space="preserve">&lt;&lt;GrantDate&gt;&gt; </w:t>
      </w:r>
      <w:r>
        <w:rPr>
          <w:rFonts w:ascii="Arial" w:cs="Arial" w:eastAsia="Arial" w:hAnsi="Arial"/>
          <w:sz w:val="18"/>
          <w:szCs w:val="18"/>
          <w:color w:val="auto"/>
        </w:rPr>
        <w:t>(the “Award Date”). Capitalized terms used but not defined in this Award Agreement shall have the meanings assigned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them in the Plan.</w:t>
      </w:r>
    </w:p>
    <w:p>
      <w:pPr>
        <w:spacing w:after="0" w:line="122" w:lineRule="exact"/>
        <w:rPr>
          <w:sz w:val="20"/>
          <w:szCs w:val="20"/>
          <w:color w:val="auto"/>
        </w:rPr>
      </w:pPr>
    </w:p>
    <w:p>
      <w:pPr>
        <w:jc w:val="both"/>
        <w:ind w:firstLine="8"/>
        <w:spacing w:after="0" w:line="244" w:lineRule="auto"/>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Award</w:t>
      </w:r>
      <w:r>
        <w:rPr>
          <w:rFonts w:ascii="Arial" w:cs="Arial" w:eastAsia="Arial" w:hAnsi="Arial"/>
          <w:sz w:val="18"/>
          <w:szCs w:val="18"/>
          <w:color w:val="auto"/>
        </w:rPr>
        <w:t xml:space="preserve">. (a) The Award is earned over a performance period beginning July 1, 20XX and ending June 30, 20XX (the “Performance Period”). Under the Award, the number of shares that may be earned at target performance for the Performance Period is </w:t>
      </w:r>
      <w:r>
        <w:rPr>
          <w:rFonts w:ascii="Arial" w:cs="Arial" w:eastAsia="Arial" w:hAnsi="Arial"/>
          <w:sz w:val="18"/>
          <w:szCs w:val="18"/>
          <w:b w:val="1"/>
          <w:bCs w:val="1"/>
          <w:color w:val="auto"/>
        </w:rPr>
        <w:t>&lt;&lt;PSATargetShares&gt;&gt;</w:t>
      </w:r>
      <w:r>
        <w:rPr>
          <w:rFonts w:ascii="Arial" w:cs="Arial" w:eastAsia="Arial" w:hAnsi="Arial"/>
          <w:sz w:val="18"/>
          <w:szCs w:val="18"/>
          <w:color w:val="auto"/>
        </w:rPr>
        <w:t xml:space="preserve"> (“Target Award”), and the maximum number of shares that may be earned for the Performance Period is XXX% of the Target Award. At the end of the Performance Period, the Committee (as that term is defined in Section 2(g) of the Plan) will determine the number of PSAs earned under the Award as set forth in Section 2 (these earned PSAs are the “Earned PSAs”).</w:t>
      </w:r>
    </w:p>
    <w:p>
      <w:pPr>
        <w:spacing w:after="0" w:line="122" w:lineRule="exact"/>
        <w:rPr>
          <w:sz w:val="20"/>
          <w:szCs w:val="20"/>
          <w:color w:val="auto"/>
        </w:rPr>
      </w:pPr>
    </w:p>
    <w:p>
      <w:pPr>
        <w:ind w:firstLine="8"/>
        <w:spacing w:after="0" w:line="271" w:lineRule="auto"/>
        <w:tabs>
          <w:tab w:leader="none" w:pos="2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PSAs represent the Company’s unfunded and unsecured promise to issue Shares at a future date, subject to the terms of this Award Agreement and the Plan. Awardee has no rights under the PSAs other than the rights of a general unsecured creditor of the Company.</w:t>
      </w:r>
    </w:p>
    <w:p>
      <w:pPr>
        <w:spacing w:after="0" w:line="100" w:lineRule="exact"/>
        <w:rPr>
          <w:sz w:val="20"/>
          <w:szCs w:val="20"/>
          <w:color w:val="auto"/>
        </w:rPr>
      </w:pPr>
    </w:p>
    <w:p>
      <w:pPr>
        <w:jc w:val="both"/>
        <w:ind w:firstLine="8"/>
        <w:spacing w:after="0" w:line="253" w:lineRule="auto"/>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Earned PSAs</w:t>
      </w:r>
      <w:r>
        <w:rPr>
          <w:rFonts w:ascii="Arial" w:cs="Arial" w:eastAsia="Arial" w:hAnsi="Arial"/>
          <w:sz w:val="18"/>
          <w:szCs w:val="18"/>
          <w:color w:val="auto"/>
        </w:rPr>
        <w:t>. Within 90 days following the close of the Performance Period, the Committee shall determine the number of Earned PSAs pursuant to Schedule A; provided that in no event may the number of Earned PSAs exceed the maximum amount specified in Section 1(a). The date the Committee makes the determination of the number of Earned PSAs is the “Determination Date” for the Performance Period.</w:t>
      </w:r>
    </w:p>
    <w:p>
      <w:pPr>
        <w:spacing w:after="0" w:line="114" w:lineRule="exact"/>
        <w:rPr>
          <w:rFonts w:ascii="Arial" w:cs="Arial" w:eastAsia="Arial" w:hAnsi="Arial"/>
          <w:sz w:val="18"/>
          <w:szCs w:val="18"/>
          <w:color w:val="auto"/>
        </w:rPr>
      </w:pPr>
    </w:p>
    <w:p>
      <w:pPr>
        <w:jc w:val="both"/>
        <w:ind w:firstLine="8"/>
        <w:spacing w:after="0" w:line="253" w:lineRule="auto"/>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Vesting of PSAs</w:t>
      </w:r>
      <w:r>
        <w:rPr>
          <w:rFonts w:ascii="Arial" w:cs="Arial" w:eastAsia="Arial" w:hAnsi="Arial"/>
          <w:sz w:val="18"/>
          <w:szCs w:val="18"/>
          <w:color w:val="auto"/>
        </w:rPr>
        <w:t>. Earned PSAs shall vest on the first NASDAQ Stock Market regular trading day that is on or after the Determination Date, subject to the terms of this Award Agreement and the Plan and provided that Awardee remains in Continuous Status through the last day of the Performance Period.</w:t>
      </w:r>
    </w:p>
    <w:p>
      <w:pPr>
        <w:spacing w:after="0" w:line="114" w:lineRule="exact"/>
        <w:rPr>
          <w:rFonts w:ascii="Arial" w:cs="Arial" w:eastAsia="Arial" w:hAnsi="Arial"/>
          <w:sz w:val="18"/>
          <w:szCs w:val="18"/>
          <w:color w:val="auto"/>
        </w:rPr>
      </w:pPr>
    </w:p>
    <w:p>
      <w:pPr>
        <w:ind w:firstLine="8"/>
        <w:spacing w:after="0" w:line="271" w:lineRule="auto"/>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Unless terminated earlier under Section 5 below, an Awardee’s rights under this Award Agreement with respect to the PSAs under this Award Agreement shall terminate at the time the PSAs are converted into Shares and distributed to Awardee.</w:t>
      </w:r>
    </w:p>
    <w:p>
      <w:pPr>
        <w:spacing w:after="0" w:line="99" w:lineRule="exact"/>
        <w:rPr>
          <w:rFonts w:ascii="Arial" w:cs="Arial" w:eastAsia="Arial" w:hAnsi="Arial"/>
          <w:sz w:val="18"/>
          <w:szCs w:val="18"/>
          <w:color w:val="auto"/>
        </w:rPr>
      </w:pPr>
    </w:p>
    <w:p>
      <w:pPr>
        <w:jc w:val="both"/>
        <w:ind w:firstLine="8"/>
        <w:spacing w:after="0" w:line="247" w:lineRule="auto"/>
        <w:tabs>
          <w:tab w:leader="none" w:pos="227"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Termination of Awardee's Continuous Status</w:t>
      </w:r>
      <w:r>
        <w:rPr>
          <w:rFonts w:ascii="Arial" w:cs="Arial" w:eastAsia="Arial" w:hAnsi="Arial"/>
          <w:sz w:val="18"/>
          <w:szCs w:val="18"/>
          <w:color w:val="auto"/>
        </w:rPr>
        <w:t>. Except as otherwise specified in Sections 6 or 7 below, in the event of termination of Awardee's Continuous Status before the end of the Performance Period, Awardee’s rights under this Award Agreement in any unvested PSAs shall terminate. For the avoidance of doubt, an Awardee’s Continuous Status also terminates if and at the time Awardee’s actual employer ceases to be the Company or a Subsidiary.</w:t>
      </w:r>
    </w:p>
    <w:p>
      <w:pPr>
        <w:spacing w:after="0" w:line="119" w:lineRule="exact"/>
        <w:rPr>
          <w:rFonts w:ascii="Arial" w:cs="Arial" w:eastAsia="Arial" w:hAnsi="Arial"/>
          <w:sz w:val="18"/>
          <w:szCs w:val="18"/>
          <w:color w:val="auto"/>
        </w:rPr>
      </w:pPr>
    </w:p>
    <w:p>
      <w:pPr>
        <w:jc w:val="both"/>
        <w:ind w:firstLine="8"/>
        <w:spacing w:after="0" w:line="253" w:lineRule="auto"/>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Disability or Death of Awardee</w:t>
      </w:r>
      <w:r>
        <w:rPr>
          <w:rFonts w:ascii="Arial" w:cs="Arial" w:eastAsia="Arial" w:hAnsi="Arial"/>
          <w:sz w:val="18"/>
          <w:szCs w:val="18"/>
          <w:color w:val="auto"/>
        </w:rPr>
        <w:t>. (a) Notwithstanding the provisions of Section 5 above, in the event of termination of Awardee's Continuous Status as a result of Total and Permanent Disability (as that term is defined in Section 2(cc) of the Plan) before the end of the Performance Period, the Awardee shall become immediately vested in the Target Award.</w:t>
      </w:r>
    </w:p>
    <w:p>
      <w:pPr>
        <w:spacing w:after="0" w:line="115" w:lineRule="exact"/>
        <w:rPr>
          <w:sz w:val="20"/>
          <w:szCs w:val="20"/>
          <w:color w:val="auto"/>
        </w:rPr>
      </w:pPr>
    </w:p>
    <w:p>
      <w:pPr>
        <w:jc w:val="both"/>
        <w:ind w:firstLine="8"/>
        <w:spacing w:after="0" w:line="247" w:lineRule="auto"/>
        <w:tabs>
          <w:tab w:leader="none" w:pos="2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Notwithstanding the provisions of Section 5 above, if at the time of Awardee’s death before the end of the Performance Period he or she is in Continuous Status [(including pursuant to Section 7(a) below)], the Awardee shall become immediately vested in the Target Award. [If Awardee vests in the Target Award pursuant to Section 6(b), then no vesting shall occur pursuant to the Retirement vesting provisions of Section 7(a).]</w:t>
      </w:r>
    </w:p>
    <w:p>
      <w:pPr>
        <w:spacing w:after="0" w:line="120" w:lineRule="exact"/>
        <w:rPr>
          <w:sz w:val="20"/>
          <w:szCs w:val="20"/>
          <w:color w:val="auto"/>
        </w:rPr>
      </w:pPr>
    </w:p>
    <w:p>
      <w:pPr>
        <w:jc w:val="both"/>
        <w:ind w:firstLine="8"/>
        <w:spacing w:after="0" w:line="239" w:lineRule="auto"/>
        <w:tabs>
          <w:tab w:leader="none" w:pos="21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[For Retirement Awards] </w:t>
      </w:r>
      <w:r>
        <w:rPr>
          <w:rFonts w:ascii="Arial" w:cs="Arial" w:eastAsia="Arial" w:hAnsi="Arial"/>
          <w:sz w:val="18"/>
          <w:szCs w:val="18"/>
          <w:u w:val="single" w:color="auto"/>
          <w:color w:val="auto"/>
        </w:rPr>
        <w:t>Vesting after termination of employment</w:t>
      </w:r>
      <w:r>
        <w:rPr>
          <w:rFonts w:ascii="Arial" w:cs="Arial" w:eastAsia="Arial" w:hAnsi="Arial"/>
          <w:sz w:val="18"/>
          <w:szCs w:val="18"/>
          <w:color w:val="auto"/>
        </w:rPr>
        <w:t>. (a) [Retirement. Notwithstanding the provisions of Section 5 above, in the event of Awardee's Retirement, Awardee shall be treated as being in Continuous Status through the periods in Section 3 above; provided that any Earned PSAs shall be prorated, so that the number of PSAs that vest shall be calculated by multiplying the number of Earned PSAs by (i) the number of calendar months in which Awardee was in Continuous Service (including partial months) from the beginning of the Performance Period to the date of Awardee’s Retirement, divided by (ii) the number of calendar months (including partial months) in the Performance Period. For this purpose, "Retirement" means termination of Continuous Service with the Company or a Subsidiary after the earlier of (a) age 65, or (b) attaining age 55 and 15 years of Continuous Service, provided that immediately prior to termination of employment Awardee is employed by the Company (or a Subsidiary) in the United States and that such termination of employment is not due to Awardee’s Total and Permanent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This Section 7 will only apply to a Retirement if (a) the Retirement occurs more than one year after the beginning of the Performance Period,</w:t>
      </w:r>
    </w:p>
    <w:p>
      <w:pPr>
        <w:spacing w:after="0" w:line="14" w:lineRule="exact"/>
        <w:rPr>
          <w:sz w:val="20"/>
          <w:szCs w:val="20"/>
          <w:color w:val="auto"/>
        </w:rPr>
      </w:pPr>
    </w:p>
    <w:p>
      <w:pPr>
        <w:jc w:val="both"/>
        <w:ind w:firstLine="8"/>
        <w:spacing w:after="0" w:line="239" w:lineRule="auto"/>
        <w:tabs>
          <w:tab w:leader="none" w:pos="28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Awardee executes a release in conjunction with the Retirement in the form provided by the Company, and (c) during, and for one year following termination of Awardee’s Continuous Status, Awardee has not engaged in misconduct (as determined in the sole discretion of the Company’s senior corporate officer in charge of the Human Resources department), including but not limited to (a) misconduct in violation of Company policy or that leads to a breach of Awardee’s Employee Agreement and (b) misconduct that adversely affects the Company’s interests or reputation.</w:t>
      </w:r>
    </w:p>
    <w:p>
      <w:pPr>
        <w:spacing w:after="0" w:line="12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purposes of this Award Agreement, “Continuous Service” means that Awardee has continuously remained an employee of the Company or a Subsidiary, measured from Awardee’s “most recent hire date” as reflected in the Company records. For an Awardee who became an employee of the Company or a Subsidiary following the acquisition of Awardee’s employer by the Company or a Subsidiary, and has continuously remained an employee of the Company or a Subsidiary since such acquisition, service with the acquired employer shall count toward Continuous Service for purposes of determining Retirement eligibility, and Continuous Service shall be measured from Awardee’s most recent acquired company hire date as reflected in the Company’s records.</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 [Vesting Under Severance Plan] Awardee may vest in PSAs following Awardee’s termination of Continuous Status to the extent provided in a Company severance benefit plan, including the Senior Executive Severance Benefit Plan. In no event, however, shall any continued vesting under a Company severance benefit plan change the time of payment specified under this Award Agreement.</w:t>
      </w:r>
    </w:p>
    <w:p>
      <w:pPr>
        <w:spacing w:after="0" w:line="115" w:lineRule="exact"/>
        <w:rPr>
          <w:sz w:val="20"/>
          <w:szCs w:val="20"/>
          <w:color w:val="auto"/>
        </w:rPr>
      </w:pPr>
    </w:p>
    <w:p>
      <w:pPr>
        <w:jc w:val="both"/>
        <w:ind w:firstLine="8"/>
        <w:spacing w:after="0" w:line="244" w:lineRule="auto"/>
        <w:tabs>
          <w:tab w:leader="none" w:pos="2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Value of Unvested PSAs</w:t>
      </w:r>
      <w:r>
        <w:rPr>
          <w:rFonts w:ascii="Arial" w:cs="Arial" w:eastAsia="Arial" w:hAnsi="Arial"/>
          <w:sz w:val="18"/>
          <w:szCs w:val="18"/>
          <w:color w:val="auto"/>
        </w:rPr>
        <w:t>. In consideration of the Award of these PSAs, Awardee agrees that upon and following termination of Awardee's Continuous Status for any reason (whether or not in breach of applicable laws), and regardless of whether Awardee is terminated with or without cause, notice, or pre-termination procedure or whether Awardee asserts or prevails on a claim that Awardee’s Continuous Status was terminable only for cause or only with notice or pre-termination procedure, any unvested PSAs under this Award Agreement shall be deemed to have a value of zero dollars ($0.00).</w:t>
      </w:r>
    </w:p>
    <w:p>
      <w:pPr>
        <w:spacing w:after="0" w:line="122" w:lineRule="exact"/>
        <w:rPr>
          <w:rFonts w:ascii="Arial" w:cs="Arial" w:eastAsia="Arial" w:hAnsi="Arial"/>
          <w:sz w:val="18"/>
          <w:szCs w:val="18"/>
          <w:color w:val="auto"/>
        </w:rPr>
      </w:pPr>
    </w:p>
    <w:p>
      <w:pPr>
        <w:jc w:val="both"/>
        <w:ind w:firstLine="8"/>
        <w:spacing w:after="0" w:line="241" w:lineRule="auto"/>
        <w:tabs>
          <w:tab w:leader="none" w:pos="2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Conversion of PSAs to Shares; Responsibility for Taxes</w:t>
      </w:r>
      <w:r>
        <w:rPr>
          <w:rFonts w:ascii="Arial" w:cs="Arial" w:eastAsia="Arial" w:hAnsi="Arial"/>
          <w:sz w:val="18"/>
          <w:szCs w:val="18"/>
          <w:color w:val="auto"/>
        </w:rPr>
        <w:t>. (a) Provided Awardee has satisfied the requirements of Section 9(b) below, on the vesting of any Earned PSAs (including any continued vesting that may apply pursuant to Section 7 above), the vested Earned PSAs shall be converted into an equivalent number of Shares that will be distributed to Awardee (or Awardee’s legal representative, if applicable) within</w:t>
      </w:r>
    </w:p>
    <w:p>
      <w:pPr>
        <w:spacing w:after="0" w:line="1" w:lineRule="exact"/>
        <w:rPr>
          <w:rFonts w:ascii="Arial" w:cs="Arial" w:eastAsia="Arial" w:hAnsi="Arial"/>
          <w:sz w:val="18"/>
          <w:szCs w:val="18"/>
          <w:color w:val="auto"/>
        </w:rPr>
      </w:pPr>
    </w:p>
    <w:p>
      <w:pPr>
        <w:jc w:val="both"/>
        <w:ind w:firstLine="8"/>
        <w:spacing w:after="0" w:line="237" w:lineRule="auto"/>
        <w:tabs>
          <w:tab w:leader="none" w:pos="2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days after the date of the applicable vesting event set forth in Section 3 or 6 hereof (but in no event prior to the Determination Date, except in the event of accelerated vesting under Section 6 above). Notwithstanding the foregoing provisions of this Section 9(a), to the extent that the PSAs are exempt or otherwise not subject to Section 409A, the Earned PSAs may be converted into an equivalent number of Shares that will be distributed to Awardee within the period contemplated by the “short-term deferral exception” of Section 409A.The distribution to Awardee, or in the case of Awardee’s death, to Awardee’s legal representative (or Awardee’s beneficiary, if one has been designated in accordance with procedures designated by the Company), of Shares in respect of the vested Earned PSAs shall be evidenced by means that the Company determines to be appropriate.</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event ownership or issuance of Shares is not feasible due to applicable exchange controls, securities regulations, tax laws or other provisions of applicable law, as determined by the Company in its sole discretion, Awardee or in the event of Awardee’s death, Awardee’s legal representative (or designated beneficiary, if applicable), shall receive cash proceeds in an amount equal to the value of the Shares otherwise distributable to Awardee, as determined by the Company in its sole discretion, net of amounts withheld in satisfaction of the requirements of Section 9(b) below. Alternatively, except as would result in a violation of Code Section 409A, the Company may decide to defer vesting of the PSAs and/or issuance of the Shares if such vesting or issuance is required or advisable to comply with Company policies or applicable laws, rules, or regulations as determined by the Company in its sole discretion. Lastly, the Company may decide, in its sole discretion, to cancel the PSAs if it determines, in its sole discretion that the Company’s policies and/or applicable laws, rules, or regulations require this cancellation or make it advisable.</w:t>
      </w:r>
    </w:p>
    <w:p>
      <w:pPr>
        <w:spacing w:after="0" w:line="129" w:lineRule="exact"/>
        <w:rPr>
          <w:sz w:val="20"/>
          <w:szCs w:val="20"/>
          <w:color w:val="auto"/>
        </w:rPr>
      </w:pPr>
    </w:p>
    <w:p>
      <w:pPr>
        <w:jc w:val="both"/>
        <w:ind w:firstLine="8"/>
        <w:spacing w:after="0" w:line="238" w:lineRule="auto"/>
        <w:tabs>
          <w:tab w:leader="none" w:pos="276"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Regardless of any action the Company or Awardee’s actual employer takes with respect to any or all income tax (including federal, state and local taxes), social insurance, payroll tax, fringe benefit tax, payment on account, or other tax-related withholding items (“Tax-Related Items”) that arise in connection with the PSAs, Awardee acknowledges and agrees that the ultimate liability for any Tax-Related Items determined by the Company in its discretion to be legally due by Awardee, is and remains Awardee’s responsibility. Awardee acknowledges and agrees that the Company and/or Awardee’s actual employer (i) make no representations or undertakings regarding the treatment of any Tax-Related Items in connection with any aspect of the PSAs, including the grant of the PSAs, the vesting of Earned PSAs, the conversion of Earned PSAs into Shares or the receipt of an equivalent cash payment, the subsequent sale of any Shares acquired and the receipt of any dividends; and (ii) do not commit to and are under no obligation to structure the terms of the grant or any aspect of the PSAs to reduce or eliminate Awardee’s liability for any Tax-Related Items. If Awardee has relocated to a different jurisdiction after the Award Date, Awardee acknowledges that the Company and/or Awardee’s actual employer (or former employer, as applicable) may be required to withhold or account for Tax-Related Items in more than one jurisdiction.</w:t>
      </w:r>
    </w:p>
    <w:p>
      <w:pPr>
        <w:spacing w:after="0" w:line="13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connection with the relevant taxable or tax-withholding event, as applicable, Awardee shall pay, or make adequate arrangements satisfactory to the Company or to Awardee’s actual employer (in their sole discretion) to satisfy all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3" w:name="page64"/>
    <w:bookmarkEnd w:id="63"/>
    <w:p>
      <w:pPr>
        <w:jc w:val="both"/>
        <w:spacing w:after="0" w:line="238" w:lineRule="auto"/>
        <w:rPr>
          <w:sz w:val="20"/>
          <w:szCs w:val="20"/>
          <w:color w:val="auto"/>
        </w:rPr>
      </w:pPr>
      <w:r>
        <w:rPr>
          <w:rFonts w:ascii="Arial" w:cs="Arial" w:eastAsia="Arial" w:hAnsi="Arial"/>
          <w:sz w:val="18"/>
          <w:szCs w:val="18"/>
          <w:color w:val="auto"/>
        </w:rPr>
        <w:t>for Tax-Related Items. In this regard, except where applicable law prohibits or makes it inadvisable, until otherwise determined by the Company, the standard process for the satisfaction of withholding obligations or rights for an Awardee’s Tax-Related Items shall be for the Company to withhold in whole or fractional Shares (up to such amount determined by the Company as not resulting in negative accounting consequences for the Company)Alternatively, or in addition, Awardee authorizes the Company , at its sole discretion, to satisfy the Company’s and/or any Subsidiary’s withholding obligations or rights with regard to all Tax-Related Items by one or a combination of the following: (i) sell or arrange for the sale of Shares to be issued upon the vesting of Earned PSAs or other event (on Awardee’s behalf and at Awardee’s direction pursuant to this authorization without further consent) and withhold from the sales proceeds, (ii) withhold from Awardee’s wages or other cash compensation payable to Awardee by the Company, Awardee’s actual employer or any other Subsidiary, (iii) withhold from proceeds of a voluntary sale by Awardee of Shares acquired upon vesting of the PSAs, and/or (iv) any other method as determined by the Company to be in compliance with applicable law and the Plan. Notwithstanding anything herein to the contrary, in the case of individuals subject to Section 16 of the Exchange Act of 1934, as amended, all Tax-Related Items shall only be satisfied by Share withholding (as described above) or such other procedure specifically approved by the Committee in resolutions.</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may withhold or account for Tax-Related Items by considering applicable statutory withholding rates or other applicable withholding rates, including maximum rates applicable in Awardee's jurisdiction(s). In the event of over-withholding, Awardee may receive a refund of any over-withheld amount in cash through Awardee’s actual employer’s normal payroll processes (with no entitlement to the equivalent in Shares) or, if not refunded, Awardee may seek a refund from the local tax authorities. In the event of under-withholding, Awardee may be required to pay additional Tax-Related Items directly to the applicable tax authority or to the Company and/or Awardee’s actual employer. If the obligation for Tax-Related Items is satisfied by withholding in Shares, Awardee will be deemed to have been issued the full number of Shares subject to the Earned PSAs, notwithstanding that a number of vested Shares are held back solely for the purpose of paying the Tax-Related Items. Awardee shall pay to the Company or to Awardee’s actual employer any amount of Tax-Related Items that the Company or Awardee’s actual employer may be required to withhold or account for as a result of Awardee’s participation in the Plan that cannot be satisfied by the means described. The Company may refuse to deliver Shares to Awardee if Awardee fails to comply with Awardee’s obligation in connection with the Tax-Related Items as described in this Section 9(b).</w:t>
      </w:r>
    </w:p>
    <w:p>
      <w:pPr>
        <w:spacing w:after="0" w:line="132" w:lineRule="exact"/>
        <w:rPr>
          <w:sz w:val="20"/>
          <w:szCs w:val="20"/>
          <w:color w:val="auto"/>
        </w:rPr>
      </w:pPr>
    </w:p>
    <w:p>
      <w:pPr>
        <w:jc w:val="both"/>
        <w:ind w:firstLine="8"/>
        <w:spacing w:after="0" w:line="253" w:lineRule="auto"/>
        <w:tabs>
          <w:tab w:leader="none" w:pos="266"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determining the number of Shares that vest on any given date, the Company shall round the Shares down to the nearest whole Share and any remaining fraction of a Share will be included in a subsequent vest date. Notwithstanding the foregoing, fractional Shares may be delivered as a result of fractional Share tax withholding pursuant to Section 9(b) above</w:t>
      </w:r>
    </w:p>
    <w:p>
      <w:pPr>
        <w:spacing w:after="0" w:line="114" w:lineRule="exact"/>
        <w:rPr>
          <w:rFonts w:ascii="Arial" w:cs="Arial" w:eastAsia="Arial" w:hAnsi="Arial"/>
          <w:sz w:val="18"/>
          <w:szCs w:val="18"/>
          <w:color w:val="auto"/>
        </w:rPr>
      </w:pPr>
    </w:p>
    <w:p>
      <w:pPr>
        <w:jc w:val="both"/>
        <w:ind w:firstLine="8"/>
        <w:spacing w:after="0" w:line="244" w:lineRule="auto"/>
        <w:tabs>
          <w:tab w:leader="none" w:pos="2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Until the distribution to Awardee of the Shares in respect of the vested Earned PSAs is evidenced by deposit in Awardee’s brokerage account, Awardee shall have no right to vote or receive dividends or any other rights as a shareholder with respect to such Shares, notwithstanding the vesting of Earned PSAs. The Company shall cause the distribution to Awardee to occur upon the vesting of Earned PSAs in accordance with Section 9(a) above. No adjustment will be made for a dividend or other right for which the record date is prior to the date Awardee is recorded as the owner of the Shares, except as provided in the Plan.</w:t>
      </w:r>
    </w:p>
    <w:p>
      <w:pPr>
        <w:spacing w:after="0" w:line="122" w:lineRule="exact"/>
        <w:rPr>
          <w:rFonts w:ascii="Arial" w:cs="Arial" w:eastAsia="Arial" w:hAnsi="Arial"/>
          <w:sz w:val="18"/>
          <w:szCs w:val="18"/>
          <w:color w:val="auto"/>
        </w:rPr>
      </w:pPr>
    </w:p>
    <w:p>
      <w:pPr>
        <w:jc w:val="both"/>
        <w:ind w:firstLine="8"/>
        <w:spacing w:after="0" w:line="247" w:lineRule="auto"/>
        <w:tabs>
          <w:tab w:leader="none" w:pos="273" w:val="left"/>
        </w:tabs>
        <w:numPr>
          <w:ilvl w:val="0"/>
          <w:numId w:val="33"/>
        </w:numPr>
        <w:rPr>
          <w:rFonts w:ascii="Arial" w:cs="Arial" w:eastAsia="Arial" w:hAnsi="Arial"/>
          <w:sz w:val="18"/>
          <w:szCs w:val="18"/>
          <w:color w:val="auto"/>
        </w:rPr>
      </w:pPr>
      <w:r>
        <w:rPr>
          <w:rFonts w:ascii="Arial" w:cs="Arial" w:eastAsia="Arial" w:hAnsi="Arial"/>
          <w:sz w:val="18"/>
          <w:szCs w:val="18"/>
          <w:color w:val="auto"/>
        </w:rPr>
        <w:t>By accepting the Award of PSAs evidenced by this Award Agreement, Awardee agrees not to sell any of the Shares received on account of vested Earned PSAs at a time when applicable laws or Company policies prohibit a sale. This restriction shall apply so long as Awardee is an Employee, Consultant or outside director of the Company or a Subsidiary, and may apply even after Continuous Status ends if required under applicable law or Company policies.</w:t>
      </w:r>
    </w:p>
    <w:p>
      <w:pPr>
        <w:spacing w:after="0" w:line="120" w:lineRule="exact"/>
        <w:rPr>
          <w:sz w:val="20"/>
          <w:szCs w:val="20"/>
          <w:color w:val="auto"/>
        </w:rPr>
      </w:pPr>
    </w:p>
    <w:p>
      <w:pPr>
        <w:jc w:val="both"/>
        <w:ind w:firstLine="8"/>
        <w:spacing w:after="0" w:line="253" w:lineRule="auto"/>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Non-Transferability of PSAs</w:t>
      </w:r>
      <w:r>
        <w:rPr>
          <w:rFonts w:ascii="Arial" w:cs="Arial" w:eastAsia="Arial" w:hAnsi="Arial"/>
          <w:sz w:val="18"/>
          <w:szCs w:val="18"/>
          <w:color w:val="auto"/>
        </w:rPr>
        <w:t>. Awardee’s right in the PSAs awarded under this Award Agreement and any interest therein may not be sold, pledged, assigned, hypothecated, transferred, or disposed of in any manner, other than by will or by the laws of descent or distribution. PSAs shall not be subject to execution, attachment or other process.</w:t>
      </w:r>
    </w:p>
    <w:p>
      <w:pPr>
        <w:spacing w:after="0" w:line="114" w:lineRule="exact"/>
        <w:rPr>
          <w:rFonts w:ascii="Arial" w:cs="Arial" w:eastAsia="Arial" w:hAnsi="Arial"/>
          <w:sz w:val="18"/>
          <w:szCs w:val="18"/>
          <w:color w:val="auto"/>
        </w:rPr>
      </w:pPr>
    </w:p>
    <w:p>
      <w:pPr>
        <w:ind w:left="300" w:hanging="292"/>
        <w:spacing w:after="0"/>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Acknowledgment of Nature of Plan and PSAs</w:t>
      </w:r>
      <w:r>
        <w:rPr>
          <w:rFonts w:ascii="Arial" w:cs="Arial" w:eastAsia="Arial" w:hAnsi="Arial"/>
          <w:sz w:val="18"/>
          <w:szCs w:val="18"/>
          <w:color w:val="auto"/>
        </w:rPr>
        <w:t>. In accepting the Award, Awardee acknowledges that:</w:t>
      </w:r>
    </w:p>
    <w:p>
      <w:pPr>
        <w:spacing w:after="0" w:line="158" w:lineRule="exact"/>
        <w:rPr>
          <w:sz w:val="20"/>
          <w:szCs w:val="20"/>
          <w:color w:val="auto"/>
        </w:rPr>
      </w:pPr>
    </w:p>
    <w:p>
      <w:pPr>
        <w:ind w:firstLine="8"/>
        <w:spacing w:after="0" w:line="271" w:lineRule="auto"/>
        <w:tabs>
          <w:tab w:leader="none" w:pos="27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may be modified, amended, suspended or terminated by the Company at any time, as provided in the Plan;</w:t>
      </w:r>
    </w:p>
    <w:p>
      <w:pPr>
        <w:spacing w:after="0" w:line="99" w:lineRule="exact"/>
        <w:rPr>
          <w:rFonts w:ascii="Arial" w:cs="Arial" w:eastAsia="Arial" w:hAnsi="Arial"/>
          <w:sz w:val="18"/>
          <w:szCs w:val="18"/>
          <w:color w:val="auto"/>
        </w:rPr>
      </w:pPr>
    </w:p>
    <w:p>
      <w:pPr>
        <w:ind w:firstLine="8"/>
        <w:spacing w:after="0" w:line="271" w:lineRule="auto"/>
        <w:tabs>
          <w:tab w:leader="none" w:pos="28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Award of PSAs is voluntary and occasional and does not create any contractual or other right to receive future awards of PSAs or other awards, or benefits in lieu of PSAs even if PSAs have been awarded repeatedly in the past;</w:t>
      </w:r>
    </w:p>
    <w:p>
      <w:pPr>
        <w:spacing w:after="0" w:line="99" w:lineRule="exact"/>
        <w:rPr>
          <w:rFonts w:ascii="Arial" w:cs="Arial" w:eastAsia="Arial" w:hAnsi="Arial"/>
          <w:sz w:val="18"/>
          <w:szCs w:val="18"/>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decisions with respect to PSAs or other future awards, if any, will be at the sole discretion of the Company;</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Awardee’s participation in the Plan is voluntary;</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w:t>
      </w:r>
    </w:p>
    <w:p>
      <w:pPr>
        <w:spacing w:after="0" w:line="157"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Awardee receives Shares, the value of the Shares acquired on vesting of Earned PSAs may increase or decrease in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4" w:name="page65"/>
    <w:bookmarkEnd w:id="64"/>
    <w:p>
      <w:pPr>
        <w:jc w:val="both"/>
        <w:ind w:firstLine="8"/>
        <w:spacing w:after="0"/>
        <w:tabs>
          <w:tab w:leader="none" w:pos="287"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notwithstanding any terms or conditions of the Plan to the contrary and consistent with Section 5 above, in the event of termination of Awardee's Continuous Status under circumstances where Section 7 above does not apply (whether or not in breach of applicable laws), Awardee's right to receive PSAs, if any, will terminate effective as of the date that Awardee is no longer in Continuous Status and will not be extended by any notice period mandated under applicable law. Awardee's right to receive Shares pursuant to any Earned PSAs after termination of Continuous Status, if any, will be calculated as of the date of termination of Awardee's Continuous Status and will not be extended by any notice period mandated under applicable law; or if later, the Determination Date in the event of continued vesting under Section 7 above. The senior corporate officer in charge of the Company’s Human Resources department has the exclusive discretion to determine when Awardee is no longer in Continuous Status for purposes of the award of PSAs; and</w:t>
      </w:r>
    </w:p>
    <w:p>
      <w:pPr>
        <w:spacing w:after="0" w:line="126" w:lineRule="exact"/>
        <w:rPr>
          <w:rFonts w:ascii="Arial" w:cs="Arial" w:eastAsia="Arial" w:hAnsi="Arial"/>
          <w:sz w:val="18"/>
          <w:szCs w:val="18"/>
          <w:color w:val="auto"/>
        </w:rPr>
      </w:pPr>
    </w:p>
    <w:p>
      <w:pPr>
        <w:jc w:val="both"/>
        <w:ind w:firstLine="8"/>
        <w:spacing w:after="0" w:line="244" w:lineRule="auto"/>
        <w:tabs>
          <w:tab w:leader="none" w:pos="287" w:val="left"/>
        </w:tabs>
        <w:numPr>
          <w:ilvl w:val="0"/>
          <w:numId w:val="36"/>
        </w:numPr>
        <w:rPr>
          <w:rFonts w:ascii="Arial" w:cs="Arial" w:eastAsia="Arial" w:hAnsi="Arial"/>
          <w:sz w:val="18"/>
          <w:szCs w:val="18"/>
          <w:color w:val="auto"/>
        </w:rPr>
      </w:pPr>
      <w:r>
        <w:rPr>
          <w:rFonts w:ascii="Arial" w:cs="Arial" w:eastAsia="Arial" w:hAnsi="Arial"/>
          <w:sz w:val="18"/>
          <w:szCs w:val="18"/>
          <w:color w:val="auto"/>
        </w:rPr>
        <w:t>Awardee acknowledges and agrees that, regardless of whether Awardee is terminated with or without cause, notice or pre-termination procedure or whether Awardee asserts or prevails on a claim that Awardee’s Continuous Status was terminable only for cause or only with notice or pre-termination procedure, Awardee has no right to, and will not bring any legal claim or action for, (a) any damages for any portion of any Earned PSAs that have been vested and converted into Shares, or (b) termination of any unvested PSAs under this Award Agreement.</w:t>
      </w:r>
    </w:p>
    <w:p>
      <w:pPr>
        <w:spacing w:after="0" w:line="122" w:lineRule="exact"/>
        <w:rPr>
          <w:sz w:val="20"/>
          <w:szCs w:val="20"/>
          <w:color w:val="auto"/>
        </w:rPr>
      </w:pPr>
    </w:p>
    <w:p>
      <w:pPr>
        <w:jc w:val="both"/>
        <w:ind w:firstLine="8"/>
        <w:spacing w:after="0"/>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 Employment Right</w:t>
      </w:r>
      <w:r>
        <w:rPr>
          <w:rFonts w:ascii="Arial" w:cs="Arial" w:eastAsia="Arial" w:hAnsi="Arial"/>
          <w:sz w:val="18"/>
          <w:szCs w:val="18"/>
          <w:color w:val="auto"/>
        </w:rPr>
        <w:t>. Awardee acknowledges that neither this Award of PSAs nor any provision of this Award Agreement, the Plan or the policies adopted pursuant to the Plan confers upon Awardee any right with respect to employment or other service or continuation of current employment with the Company or with Awardee’s actual employer, or to employment or other service that is not terminable at will. Awardee further acknowledges and agrees that neither the Plan nor this Award of PSAs makes Awardee's Continuous Status with the Company or Awardee’s actual employer for any minimum or fixed period, and that this employment is subject to the mutual consent of Awardee and the Company or Awardee’s actual employer, and may be terminated by either Awardee or the Company or Awardee’s actual employer at any time, for any reason or no reason, with or without cause or notice or any kind of pre- or post-termination warning, discipline or procedure.</w:t>
      </w:r>
    </w:p>
    <w:p>
      <w:pPr>
        <w:spacing w:after="0" w:line="126" w:lineRule="exact"/>
        <w:rPr>
          <w:rFonts w:ascii="Arial" w:cs="Arial" w:eastAsia="Arial" w:hAnsi="Arial"/>
          <w:sz w:val="18"/>
          <w:szCs w:val="18"/>
          <w:color w:val="auto"/>
        </w:rPr>
      </w:pPr>
    </w:p>
    <w:p>
      <w:pPr>
        <w:jc w:val="both"/>
        <w:ind w:firstLine="8"/>
        <w:spacing w:after="0" w:line="242" w:lineRule="auto"/>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Except as otherwise expressly provided in the Plan, the authority to manage and control the operation and administration of this Award Agreement shall be vested in the Committee (as that term is defined in the Plan), and the Committee shall have all powers and discretion with respect to this Award Agreement as it has with respect to the Plan. Any interpretation of the Award Agreement by the Committee and any decision made by the Committee with respect to the Award Agreement shall be final and binding on all parties. References to the Committee in this Award Agreement shall be read to include a reference to any delegate of the Committee acting within the scope of his or her delegation.</w:t>
      </w:r>
    </w:p>
    <w:p>
      <w:pPr>
        <w:spacing w:after="0" w:line="124" w:lineRule="exact"/>
        <w:rPr>
          <w:rFonts w:ascii="Arial" w:cs="Arial" w:eastAsia="Arial" w:hAnsi="Arial"/>
          <w:sz w:val="18"/>
          <w:szCs w:val="18"/>
          <w:color w:val="auto"/>
        </w:rPr>
      </w:pPr>
    </w:p>
    <w:p>
      <w:pPr>
        <w:jc w:val="both"/>
        <w:ind w:firstLine="8"/>
        <w:spacing w:after="0" w:line="253" w:lineRule="auto"/>
        <w:tabs>
          <w:tab w:leader="none" w:pos="31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Except as provided in Schedule A, this Award Agreement shall be subject to the terms of the Plan and the Executive Incentive Plan, and this Award Agreement is subject to all interpretations, amendments, rules and regulations promulgated by the Committee from time to time pursuant to the Plan and the Executive Incentive Plan.</w:t>
      </w:r>
    </w:p>
    <w:p>
      <w:pPr>
        <w:spacing w:after="0" w:line="114" w:lineRule="exact"/>
        <w:rPr>
          <w:rFonts w:ascii="Arial" w:cs="Arial" w:eastAsia="Arial" w:hAnsi="Arial"/>
          <w:sz w:val="18"/>
          <w:szCs w:val="18"/>
          <w:color w:val="auto"/>
        </w:rPr>
      </w:pPr>
    </w:p>
    <w:p>
      <w:pPr>
        <w:jc w:val="both"/>
        <w:ind w:firstLine="8"/>
        <w:spacing w:after="0" w:line="253" w:lineRule="auto"/>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written notices provided for in this Award Agreement that are sent by mail shall be deemed received three business days after mailing, but not later than the date of actual receipt. Notices shall be directed, if to Awardee, at Awardee’s address indicated by the Company’s records and, if to the Company, at the Company’s principal executive office.</w:t>
      </w:r>
    </w:p>
    <w:p>
      <w:pPr>
        <w:spacing w:after="0" w:line="114" w:lineRule="exact"/>
        <w:rPr>
          <w:rFonts w:ascii="Arial" w:cs="Arial" w:eastAsia="Arial" w:hAnsi="Arial"/>
          <w:sz w:val="18"/>
          <w:szCs w:val="18"/>
          <w:color w:val="auto"/>
        </w:rPr>
      </w:pPr>
    </w:p>
    <w:p>
      <w:pPr>
        <w:jc w:val="both"/>
        <w:ind w:firstLine="8"/>
        <w:spacing w:after="0" w:line="247" w:lineRule="auto"/>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decide to deliver any documents related to PSAs awarded under the Plan or future PSAs that may be awarded under the Plan by electronic means or request Awardee’s consent to participate in the Plan by electronic means. Awardee hereby consents to receive such documents by electronic delivery and agrees to participate in the Plan through an on-line or electronic system established and maintained by the Company or another third party designated by the Company.</w:t>
      </w:r>
    </w:p>
    <w:p>
      <w:pPr>
        <w:spacing w:after="0" w:line="119" w:lineRule="exact"/>
        <w:rPr>
          <w:rFonts w:ascii="Arial" w:cs="Arial" w:eastAsia="Arial" w:hAnsi="Arial"/>
          <w:sz w:val="18"/>
          <w:szCs w:val="18"/>
          <w:color w:val="auto"/>
        </w:rPr>
      </w:pPr>
    </w:p>
    <w:p>
      <w:pPr>
        <w:jc w:val="both"/>
        <w:ind w:firstLine="8"/>
        <w:spacing w:after="0" w:line="244" w:lineRule="auto"/>
        <w:tabs>
          <w:tab w:leader="none" w:pos="36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By Awardee’s acceptance of this Award Agreement in the manner prescribed by the Company, Awardee acknowledges that Awardee has received and has read, understood and accepted all the terms, conditions and restrictions of this Award Agreement (including the policy referenced in Section 24) and the Plan. Awardee understands and agrees that this Award Agreement is subject to all the terms, conditions, and restrictions stated in this Award Agreement and in the other documents referenced in the preceding sentence, as the latter may be amended from time to time in the Company’s sole discretion.</w:t>
      </w:r>
    </w:p>
    <w:p>
      <w:pPr>
        <w:spacing w:after="0" w:line="12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Awardee further acknowledges that Awardee must accept this Award Agreement in the manner prescribed by the Company no later than the earlier of the first anniversary of Award Date or the first vesting date specified in Section 2(a) above.</w:t>
      </w:r>
    </w:p>
    <w:p>
      <w:pPr>
        <w:spacing w:after="0" w:line="100" w:lineRule="exact"/>
        <w:rPr>
          <w:sz w:val="20"/>
          <w:szCs w:val="20"/>
          <w:color w:val="auto"/>
        </w:rPr>
      </w:pPr>
    </w:p>
    <w:p>
      <w:pPr>
        <w:jc w:val="both"/>
        <w:ind w:firstLine="8"/>
        <w:spacing w:after="0" w:line="253" w:lineRule="auto"/>
        <w:tabs>
          <w:tab w:leader="none" w:pos="31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Board Approval</w:t>
      </w:r>
      <w:r>
        <w:rPr>
          <w:rFonts w:ascii="Arial" w:cs="Arial" w:eastAsia="Arial" w:hAnsi="Arial"/>
          <w:sz w:val="18"/>
          <w:szCs w:val="18"/>
          <w:color w:val="auto"/>
        </w:rPr>
        <w:t>. These PSAs have been awarded pursuant to the Plan and accordingly this Award of PSAs has been approved by an authorized Committee or the Board of Directors. If this Award of PSAs has not already been approved, the Company agrees to submit this Award for approval as soon as practical. If this approval is not obtained, this Award is null and void.</w:t>
      </w:r>
    </w:p>
    <w:p>
      <w:pPr>
        <w:spacing w:after="0" w:line="114" w:lineRule="exact"/>
        <w:rPr>
          <w:rFonts w:ascii="Arial" w:cs="Arial" w:eastAsia="Arial" w:hAnsi="Arial"/>
          <w:sz w:val="18"/>
          <w:szCs w:val="18"/>
          <w:color w:val="auto"/>
        </w:rPr>
      </w:pPr>
    </w:p>
    <w:p>
      <w:pPr>
        <w:ind w:firstLine="8"/>
        <w:spacing w:after="0" w:line="271" w:lineRule="auto"/>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Award Agreement shall be governed by the laws of the State of Washington, U.S.A., without regard to Washington laws that might cause other law to govern under applicable principles of conflicts of law.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5" w:name="page66"/>
    <w:bookmarkEnd w:id="65"/>
    <w:p>
      <w:pPr>
        <w:jc w:val="both"/>
        <w:spacing w:after="0" w:line="247" w:lineRule="auto"/>
        <w:rPr>
          <w:sz w:val="20"/>
          <w:szCs w:val="20"/>
          <w:color w:val="auto"/>
        </w:rPr>
      </w:pPr>
      <w:r>
        <w:rPr>
          <w:rFonts w:ascii="Arial" w:cs="Arial" w:eastAsia="Arial" w:hAnsi="Arial"/>
          <w:sz w:val="18"/>
          <w:szCs w:val="18"/>
          <w:color w:val="auto"/>
        </w:rPr>
        <w:t>purposes of litigating any dispute that arises under this Award of PSAs or this Award Agreement the parties hereby submit to and consent to the exclusive jurisdiction of the State of Washington, and agree that such litigation shall be conducted solely in the courts of King County, Washington, or the federal courts for the United States for the Western District of Washington, and no other courts, where this Award of PSAs is made and/or to be performed.</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Awardee and the Company agree to resolve any dispute, claim, or controversy relating to this Award Agreement between each other, including claims against the Company’s subsidiaries, and the current and former officers, directors, or employees of any of them (collectively “the Company”), in the manner specified in this Section 19. The Company and its affiliates, and Awardee, are referred to below as “parties.”</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parties agree to first attempt to resolve all disputes through informal negotiations. The party asserting the dispute shall provide written notice to the other party describing with specificity the nature of the dispute. Written notice to Awardee shall be delivered to Awardee’s home address appearing in the Company’s records. Written notice to the Company shall be delivered to the attention of its General Counsel. Within five days after delivery of the written notice, the other party shall respond in writing stating its position.</w:t>
      </w:r>
    </w:p>
    <w:p>
      <w:pPr>
        <w:spacing w:after="0" w:line="1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If the parties are unable to resolve the dispute through informal negotiations, the parties agree to resolve all disputes by binding arbitration before a single qualified mutually selected arbitrator in accordance with the National Rules for the Resolution of Employment Disputes of the American Arbitration Association. If the parties are unable to agree on an arbitrator, each party shall select a representative and those two representatives shall select a qualified arbitrator who shall preside over the arbitral proceeding. The party initiating the arbitration normally shall bear the burden of proof and normally must prove any actual damages sought, but these proof issues will be determined by applicable law. The prevailing party shall be entitled to reasonable attorney’s fees and costs to the extent consistent with applicable law. The Company shall pay the arbitration costs, including the administrative fees and the arbitrator’s fees and expenses. The arbitrator shall issue a written decision within fifteen days of the end of the hearing. The decision of the arbitrator shall be final and binding and may be enforced and a judgment entered in any court of competent jurisdiction. The arbitration itself, and all testimony, documents, briefs and arguments therein, shall be kept confidential. This Section 19 shall survive the employer-employee relationship between the Company and Awardee.</w:t>
      </w:r>
    </w:p>
    <w:p>
      <w:pPr>
        <w:spacing w:after="0" w:line="126" w:lineRule="exact"/>
        <w:rPr>
          <w:sz w:val="20"/>
          <w:szCs w:val="20"/>
          <w:color w:val="auto"/>
        </w:rPr>
      </w:pPr>
    </w:p>
    <w:p>
      <w:pPr>
        <w:jc w:val="both"/>
        <w:ind w:firstLine="8"/>
        <w:spacing w:after="0" w:line="244" w:lineRule="auto"/>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that could be deemed null and void shall first be construed, interpreted or revised retroactively to permit this Award Agreement to be construed so as to foster the intent of this Award Agreement and the Plan.</w:t>
      </w:r>
    </w:p>
    <w:p>
      <w:pPr>
        <w:spacing w:after="0" w:line="122" w:lineRule="exact"/>
        <w:rPr>
          <w:rFonts w:ascii="Arial" w:cs="Arial" w:eastAsia="Arial" w:hAnsi="Arial"/>
          <w:sz w:val="18"/>
          <w:szCs w:val="18"/>
          <w:color w:val="auto"/>
        </w:rPr>
      </w:pPr>
    </w:p>
    <w:p>
      <w:pPr>
        <w:ind w:firstLine="8"/>
        <w:spacing w:after="0" w:line="271" w:lineRule="auto"/>
        <w:tabs>
          <w:tab w:leader="none" w:pos="3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Waiver. Awardee acknowledges that a waiver by the Company of breach of any provision of this Award Agreement shall not operate or be construed as a waiver of any other provision of this Award Agreement, or of any subsequent breach by Awardee.</w:t>
      </w:r>
    </w:p>
    <w:p>
      <w:pPr>
        <w:spacing w:after="0" w:line="99" w:lineRule="exact"/>
        <w:rPr>
          <w:rFonts w:ascii="Arial" w:cs="Arial" w:eastAsia="Arial" w:hAnsi="Arial"/>
          <w:sz w:val="18"/>
          <w:szCs w:val="18"/>
          <w:color w:val="auto"/>
        </w:rPr>
      </w:pPr>
    </w:p>
    <w:p>
      <w:pPr>
        <w:jc w:val="both"/>
        <w:ind w:firstLine="8"/>
        <w:spacing w:after="0" w:line="242" w:lineRule="auto"/>
        <w:tabs>
          <w:tab w:leader="none" w:pos="32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Complete Award Agreement and Amendment</w:t>
      </w:r>
      <w:r>
        <w:rPr>
          <w:rFonts w:ascii="Arial" w:cs="Arial" w:eastAsia="Arial" w:hAnsi="Arial"/>
          <w:sz w:val="18"/>
          <w:szCs w:val="18"/>
          <w:color w:val="auto"/>
        </w:rPr>
        <w:t>. This Award Agreement (including the policy referenced in Section 24) and the Plan constitute the entire agreement between Awardee and the Company regarding PSAs. Any prior agreements, commitments or negotiations concerning these PSAs are superseded. This Award Agreement may be amended only by written agreement of Awardee and the Company, without consent of any other person, provided that no consent is necessary to an amendment that in the reasonable judgment of the Committee confers a benefit on Awardee. Awardee agrees not to rely on any oral information regarding this Award of PSAs or any written materials not identified in this Section 22.</w:t>
      </w:r>
    </w:p>
    <w:p>
      <w:pPr>
        <w:spacing w:after="0" w:line="124" w:lineRule="exact"/>
        <w:rPr>
          <w:rFonts w:ascii="Arial" w:cs="Arial" w:eastAsia="Arial" w:hAnsi="Arial"/>
          <w:sz w:val="18"/>
          <w:szCs w:val="18"/>
          <w:color w:val="auto"/>
        </w:rPr>
      </w:pPr>
    </w:p>
    <w:p>
      <w:pPr>
        <w:jc w:val="both"/>
        <w:ind w:firstLine="8"/>
        <w:spacing w:after="0" w:line="237" w:lineRule="auto"/>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This Award Agreement shall be interpreted, operated, and administered in a manner so as not to subject Awardee to the assessment of additional taxes or interest under Code section 409A, and this Award Agreement shall be amended as the Company, in its sole discretion, determines is necessary and appropriate to avoid the application of any such taxes or interest. Payments under this Award Agreement may be made within any period as permitted in compliance with Section 409A. In addition, notwithstanding any provision herein to the contrary, in the event that following the Award Date, the Committee (including any delegate thereof) determines that it may be necessary or appropriate to do so, the Committee may adopt such amendments to the Plan and/or this Award Agreement or adopt other policies and procedures (including amendments, policies and procedures with retroactive effect), or take any other actions, that the Committee determines are necessary or appropriate to (a) exempt the Plan and/or the PSAs from the application of Section 409A and/or preserve the intended tax treatment of the benefits provided with respect to this Award, or (b) comply with the requirements of Section 409A; provided, however, that this paragraph shall not create an obligation on the part of the Committee to adopt any such amendment, policy or procedure or take any such other action. Any payments hereunder to be made upon or following an Awardee’s termination of employment shall be made upon or following the Awardee’s “separation from service” (within the meaning of Section 409A) to extent necessary to avoid the imposition of taxation under Code section 409A. No payment hereunder shall be made to Awardee during the six (6)-month period following Awardee’s “separation from service” (within the meaning of Section 409A) to the extent that the Company determines that paying such amount at the time set forth herein would be a prohibited distribution under Section 409A(a)(2)(B)(i). If the payment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6" w:name="page67"/>
    <w:bookmarkEnd w:id="66"/>
    <w:p>
      <w:pPr>
        <w:jc w:val="both"/>
        <w:spacing w:after="0" w:line="242" w:lineRule="auto"/>
        <w:rPr>
          <w:sz w:val="20"/>
          <w:szCs w:val="20"/>
          <w:color w:val="auto"/>
        </w:rPr>
      </w:pPr>
      <w:r>
        <w:rPr>
          <w:rFonts w:ascii="Arial" w:cs="Arial" w:eastAsia="Arial" w:hAnsi="Arial"/>
          <w:sz w:val="18"/>
          <w:szCs w:val="18"/>
          <w:color w:val="auto"/>
        </w:rPr>
        <w:t>such amounts is delayed as a result of the previous sentence, then within thirty (30) days following the end of such six (6)-month period (or, if earlier, Awardee’s death), the Company shall pay to Awardee (or to Awardee’s legal representative or estate) the cumulative amounts that would have otherwise been payable to Awardee during such period, without interest. The Committee makes no representation that any of the PSAs or amounts received under this Award Agreement will be exempt from or comply with Section 409A and makes no undertaking to prevent Section 409A from applying to any such PSAs or amounts. An Awardee will be solely responsible for the payment of any taxes and penalties incurred under Section 409A.</w:t>
      </w:r>
    </w:p>
    <w:p>
      <w:pPr>
        <w:spacing w:after="0" w:line="125" w:lineRule="exact"/>
        <w:rPr>
          <w:sz w:val="20"/>
          <w:szCs w:val="20"/>
          <w:color w:val="auto"/>
        </w:rPr>
      </w:pPr>
    </w:p>
    <w:p>
      <w:pPr>
        <w:ind w:left="300" w:hanging="292"/>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Compensation Recovery</w:t>
      </w:r>
      <w:r>
        <w:rPr>
          <w:rFonts w:ascii="Arial" w:cs="Arial" w:eastAsia="Arial" w:hAnsi="Arial"/>
          <w:sz w:val="18"/>
          <w:szCs w:val="18"/>
          <w:color w:val="auto"/>
        </w:rPr>
        <w:t>.</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accepting the Award, Awardee acknowledges, understands and agrees that the PSAs, and other incentive or performance-based compensation Awardee receives or has received from the Company, are subject to (a) the Company’s Executive Compensation Recovery Policy (as may be amended from time to time), (b) any other recoupment policies that the Company adopts, and/or (c) any recoupment policy prescribed by applicable law, in each case, to the extent Awardee is covered by such policies or law. Further, any clawback, recovery or recoupment under this section can be made by withholding compensation otherwise due to Awardee, by cancelling vested but unpaid PSAs, by reacquiring any previously issued Shares or other cash or property, or by such other means determined appropriate by the Committee.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MICROSOFT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15.1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October 28, 2026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Microsoft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Microsoft Way</w:t>
      </w:r>
    </w:p>
    <w:p>
      <w:pPr>
        <w:spacing w:after="0"/>
        <w:rPr>
          <w:sz w:val="20"/>
          <w:szCs w:val="20"/>
          <w:color w:val="auto"/>
        </w:rPr>
      </w:pPr>
      <w:r>
        <w:rPr>
          <w:rFonts w:ascii="Arial" w:cs="Arial" w:eastAsia="Arial" w:hAnsi="Arial"/>
          <w:sz w:val="18"/>
          <w:szCs w:val="18"/>
          <w:color w:val="auto"/>
        </w:rPr>
        <w:t>Redmond, WA 98052-6399</w:t>
      </w:r>
    </w:p>
    <w:p>
      <w:pPr>
        <w:spacing w:after="0" w:line="140" w:lineRule="exact"/>
        <w:rPr>
          <w:sz w:val="20"/>
          <w:szCs w:val="20"/>
          <w:color w:val="auto"/>
        </w:rPr>
      </w:pPr>
    </w:p>
    <w:p>
      <w:pPr>
        <w:jc w:val="both"/>
        <w:ind w:right="300"/>
        <w:spacing w:after="0" w:line="244" w:lineRule="auto"/>
        <w:rPr>
          <w:sz w:val="20"/>
          <w:szCs w:val="20"/>
          <w:color w:val="auto"/>
        </w:rPr>
      </w:pPr>
      <w:r>
        <w:rPr>
          <w:rFonts w:ascii="Arial" w:cs="Arial" w:eastAsia="Arial" w:hAnsi="Arial"/>
          <w:sz w:val="18"/>
          <w:szCs w:val="18"/>
          <w:color w:val="auto"/>
        </w:rPr>
        <w:t>We are aware that our report dated October 28, 2026, on our review of the interim financial information of Microsoft Corporation and subsidiaries (“Microsoft”) appearing in Microsoft’s Quarterly Report on Form 10-Q for the quarter ended September 30, 2026, is incorporated by reference in Registration Statement Nos. 333-109185, 333-118764, 333-52852, 333-132100, 333-161516, 333-75243, 333-185757, 333-221833, 333-292490, and 333-292496 on Form S-8 and Registration Statement No. 333-283760 on Form S-3.</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750570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20" w:top="985" w:right="37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31.1</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Satya Nadella, certify that:</w:t>
      </w:r>
    </w:p>
    <w:p>
      <w:pPr>
        <w:spacing w:after="0" w:line="158" w:lineRule="exact"/>
        <w:rPr>
          <w:sz w:val="20"/>
          <w:szCs w:val="20"/>
          <w:color w:val="auto"/>
        </w:rPr>
      </w:pPr>
    </w:p>
    <w:p>
      <w:pPr>
        <w:ind w:left="200" w:hanging="192"/>
        <w:spacing w:after="0"/>
        <w:tabs>
          <w:tab w:leader="none" w:pos="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line="253" w:lineRule="auto"/>
        <w:tabs>
          <w:tab w:leader="none" w:pos="2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8"/>
          <w:szCs w:val="18"/>
          <w:color w:val="auto"/>
        </w:rPr>
      </w:pPr>
    </w:p>
    <w:p>
      <w:pPr>
        <w:ind w:firstLine="8"/>
        <w:spacing w:after="0" w:line="271" w:lineRule="auto"/>
        <w:tabs>
          <w:tab w:leader="none" w:pos="2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Arial" w:cs="Arial" w:eastAsia="Arial" w:hAnsi="Arial"/>
          <w:sz w:val="18"/>
          <w:szCs w:val="18"/>
          <w:color w:val="auto"/>
        </w:rPr>
      </w:pPr>
    </w:p>
    <w:p>
      <w:pPr>
        <w:jc w:val="both"/>
        <w:ind w:firstLine="8"/>
        <w:spacing w:after="0" w:line="253" w:lineRule="auto"/>
        <w:tabs>
          <w:tab w:leader="none" w:pos="2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sz w:val="20"/>
          <w:szCs w:val="20"/>
          <w:color w:val="auto"/>
        </w:rPr>
      </w:pPr>
    </w:p>
    <w:p>
      <w:pPr>
        <w:jc w:val="both"/>
        <w:ind w:right="20" w:firstLine="8"/>
        <w:spacing w:after="0" w:line="253" w:lineRule="auto"/>
        <w:tabs>
          <w:tab w:leader="none" w:pos="2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8"/>
          <w:szCs w:val="18"/>
          <w:color w:val="auto"/>
        </w:rPr>
      </w:pPr>
    </w:p>
    <w:p>
      <w:pPr>
        <w:jc w:val="both"/>
        <w:ind w:firstLine="8"/>
        <w:spacing w:after="0" w:line="253" w:lineRule="auto"/>
        <w:tabs>
          <w:tab w:leader="none" w:pos="223"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8"/>
          <w:szCs w:val="18"/>
          <w:color w:val="auto"/>
        </w:rPr>
      </w:pPr>
    </w:p>
    <w:p>
      <w:pPr>
        <w:ind w:firstLine="8"/>
        <w:spacing w:after="0" w:line="271" w:lineRule="auto"/>
        <w:tabs>
          <w:tab w:leader="none" w:pos="2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Arial" w:cs="Arial" w:eastAsia="Arial" w:hAnsi="Arial"/>
          <w:sz w:val="18"/>
          <w:szCs w:val="18"/>
          <w:color w:val="auto"/>
        </w:rPr>
      </w:pPr>
    </w:p>
    <w:p>
      <w:pPr>
        <w:jc w:val="both"/>
        <w:ind w:firstLine="8"/>
        <w:spacing w:after="0" w:line="253" w:lineRule="auto"/>
        <w:tabs>
          <w:tab w:leader="none" w:pos="229"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sz w:val="20"/>
          <w:szCs w:val="20"/>
          <w:color w:val="auto"/>
        </w:rPr>
      </w:pPr>
    </w:p>
    <w:p>
      <w:pPr>
        <w:jc w:val="both"/>
        <w:ind w:firstLine="8"/>
        <w:spacing w:after="0" w:line="253" w:lineRule="auto"/>
        <w:tabs>
          <w:tab w:leader="none" w:pos="23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5" w:lineRule="exact"/>
        <w:rPr>
          <w:sz w:val="20"/>
          <w:szCs w:val="20"/>
          <w:color w:val="auto"/>
        </w:rPr>
      </w:pPr>
    </w:p>
    <w:p>
      <w:pPr>
        <w:ind w:right="20" w:firstLine="8"/>
        <w:spacing w:after="0" w:line="271" w:lineRule="auto"/>
        <w:tabs>
          <w:tab w:leader="none" w:pos="2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Arial" w:cs="Arial" w:eastAsia="Arial" w:hAnsi="Arial"/>
          <w:sz w:val="18"/>
          <w:szCs w:val="18"/>
          <w:color w:val="auto"/>
        </w:rPr>
      </w:pPr>
    </w:p>
    <w:p>
      <w:pPr>
        <w:ind w:firstLine="8"/>
        <w:spacing w:after="0" w:line="271" w:lineRule="auto"/>
        <w:tabs>
          <w:tab w:leader="none" w:pos="22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460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31.2</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Amy E. Hood, certify that:</w:t>
      </w:r>
    </w:p>
    <w:p>
      <w:pPr>
        <w:spacing w:after="0" w:line="158" w:lineRule="exact"/>
        <w:rPr>
          <w:sz w:val="20"/>
          <w:szCs w:val="20"/>
          <w:color w:val="auto"/>
        </w:rPr>
      </w:pPr>
    </w:p>
    <w:p>
      <w:pPr>
        <w:ind w:left="200" w:hanging="192"/>
        <w:spacing w:after="0"/>
        <w:tabs>
          <w:tab w:leader="none" w:pos="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line="253" w:lineRule="auto"/>
        <w:tabs>
          <w:tab w:leader="none" w:pos="20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8"/>
          <w:szCs w:val="18"/>
          <w:color w:val="auto"/>
        </w:rPr>
      </w:pPr>
    </w:p>
    <w:p>
      <w:pPr>
        <w:ind w:firstLine="8"/>
        <w:spacing w:after="0" w:line="271" w:lineRule="auto"/>
        <w:tabs>
          <w:tab w:leader="none" w:pos="2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Arial" w:cs="Arial" w:eastAsia="Arial" w:hAnsi="Arial"/>
          <w:sz w:val="18"/>
          <w:szCs w:val="18"/>
          <w:color w:val="auto"/>
        </w:rPr>
      </w:pPr>
    </w:p>
    <w:p>
      <w:pPr>
        <w:jc w:val="both"/>
        <w:ind w:firstLine="8"/>
        <w:spacing w:after="0" w:line="253" w:lineRule="auto"/>
        <w:tabs>
          <w:tab w:leader="none" w:pos="2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sz w:val="20"/>
          <w:szCs w:val="20"/>
          <w:color w:val="auto"/>
        </w:rPr>
      </w:pPr>
    </w:p>
    <w:p>
      <w:pPr>
        <w:jc w:val="both"/>
        <w:ind w:right="20" w:firstLine="8"/>
        <w:spacing w:after="0" w:line="253" w:lineRule="auto"/>
        <w:tabs>
          <w:tab w:leader="none" w:pos="2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8"/>
          <w:szCs w:val="18"/>
          <w:color w:val="auto"/>
        </w:rPr>
      </w:pPr>
    </w:p>
    <w:p>
      <w:pPr>
        <w:jc w:val="both"/>
        <w:ind w:firstLine="8"/>
        <w:spacing w:after="0" w:line="253" w:lineRule="auto"/>
        <w:tabs>
          <w:tab w:leader="none" w:pos="223"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8"/>
          <w:szCs w:val="18"/>
          <w:color w:val="auto"/>
        </w:rPr>
      </w:pPr>
    </w:p>
    <w:p>
      <w:pPr>
        <w:ind w:firstLine="8"/>
        <w:spacing w:after="0" w:line="271" w:lineRule="auto"/>
        <w:tabs>
          <w:tab w:leader="none" w:pos="2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Arial" w:cs="Arial" w:eastAsia="Arial" w:hAnsi="Arial"/>
          <w:sz w:val="18"/>
          <w:szCs w:val="18"/>
          <w:color w:val="auto"/>
        </w:rPr>
      </w:pPr>
    </w:p>
    <w:p>
      <w:pPr>
        <w:jc w:val="both"/>
        <w:ind w:firstLine="8"/>
        <w:spacing w:after="0" w:line="253" w:lineRule="auto"/>
        <w:tabs>
          <w:tab w:leader="none" w:pos="229"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sz w:val="20"/>
          <w:szCs w:val="20"/>
          <w:color w:val="auto"/>
        </w:rPr>
      </w:pPr>
    </w:p>
    <w:p>
      <w:pPr>
        <w:jc w:val="both"/>
        <w:ind w:firstLine="8"/>
        <w:spacing w:after="0" w:line="253" w:lineRule="auto"/>
        <w:tabs>
          <w:tab w:leader="none" w:pos="23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5" w:lineRule="exact"/>
        <w:rPr>
          <w:sz w:val="20"/>
          <w:szCs w:val="20"/>
          <w:color w:val="auto"/>
        </w:rPr>
      </w:pPr>
    </w:p>
    <w:p>
      <w:pPr>
        <w:ind w:right="20" w:firstLine="8"/>
        <w:spacing w:after="0" w:line="271" w:lineRule="auto"/>
        <w:tabs>
          <w:tab w:leader="none" w:pos="246"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Arial" w:cs="Arial" w:eastAsia="Arial" w:hAnsi="Arial"/>
          <w:sz w:val="18"/>
          <w:szCs w:val="18"/>
          <w:color w:val="auto"/>
        </w:rPr>
      </w:pPr>
    </w:p>
    <w:p>
      <w:pPr>
        <w:ind w:firstLine="8"/>
        <w:spacing w:after="0" w:line="271" w:lineRule="auto"/>
        <w:tabs>
          <w:tab w:leader="none" w:pos="22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460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ind w:left="10260"/>
        <w:spacing w:after="0"/>
        <w:rPr>
          <w:sz w:val="20"/>
          <w:szCs w:val="20"/>
          <w:color w:val="auto"/>
        </w:rPr>
      </w:pPr>
      <w:r>
        <w:rPr>
          <w:rFonts w:ascii="Arial" w:cs="Arial" w:eastAsia="Arial" w:hAnsi="Arial"/>
          <w:sz w:val="18"/>
          <w:szCs w:val="18"/>
          <w:color w:val="auto"/>
        </w:rPr>
        <w:t>Exhibit 32.1</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September 30, 2026, as filed with the Securities and Exchange Commission (the “Report”), Satya Nadella, Chief Executive Officer of the Company, does hereby certify, pursuant to § 906 of the Sarbanes-Oxley Act of 2002 (18 U.S.C. § 1350), that to his knowledge:</w:t>
      </w:r>
    </w:p>
    <w:p>
      <w:pPr>
        <w:spacing w:after="0" w:line="115"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1" w:lineRule="auto"/>
        <w:tabs>
          <w:tab w:leader="none" w:pos="28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460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October 28, 2026</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71" w:name="page72"/>
    <w:bookmarkEnd w:id="71"/>
    <w:p>
      <w:pPr>
        <w:ind w:left="10260"/>
        <w:spacing w:after="0"/>
        <w:rPr>
          <w:sz w:val="20"/>
          <w:szCs w:val="20"/>
          <w:color w:val="auto"/>
        </w:rPr>
      </w:pPr>
      <w:r>
        <w:rPr>
          <w:rFonts w:ascii="Arial" w:cs="Arial" w:eastAsia="Arial" w:hAnsi="Arial"/>
          <w:sz w:val="18"/>
          <w:szCs w:val="18"/>
          <w:color w:val="auto"/>
        </w:rPr>
        <w:t>Exhibit 32.2</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September 30, 2026, as filed with the Securities and Exchange Commission (the “Report”), Amy E. Hood, Chief Financial Officer of the Company, does hereby certify, pursuant to § 906 of the Sarbanes-Oxley Act of 2002 (18 U.S.C. § 1350), that to her knowledge:</w:t>
      </w:r>
    </w:p>
    <w:p>
      <w:pPr>
        <w:spacing w:after="0" w:line="115"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1" w:lineRule="auto"/>
        <w:tabs>
          <w:tab w:leader="none" w:pos="2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460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October 28, 2026</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425"/>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lowerLetter"/>
      <w:start w:val="1"/>
    </w:lvl>
  </w:abstractNum>
  <w:abstractNum w:abstractNumId="5">
    <w:nsid w:val="2CA88611"/>
    <w:multiLevelType w:val="hybridMultilevel"/>
    <w:lvl w:ilvl="0">
      <w:lvlJc w:val="left"/>
      <w:lvlText w:val="(%1)"/>
      <w:numFmt w:val="lowerLetter"/>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1)"/>
      <w:numFmt w:val="lowerLetter"/>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decimal"/>
      <w:start w:val="104"/>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lowerLetter"/>
      <w:start w:val="2"/>
    </w:lvl>
  </w:abstractNum>
  <w:abstractNum w:abstractNumId="25">
    <w:nsid w:val="5C482A97"/>
    <w:multiLevelType w:val="hybridMultilevel"/>
    <w:lvl w:ilvl="0">
      <w:lvlJc w:val="left"/>
      <w:lvlText w:val="%1."/>
      <w:numFmt w:val="decimal"/>
      <w:start w:val="2"/>
    </w:lvl>
  </w:abstractNum>
  <w:abstractNum w:abstractNumId="26">
    <w:nsid w:val="2463B9EA"/>
    <w:multiLevelType w:val="hybridMultilevel"/>
    <w:lvl w:ilvl="0">
      <w:lvlJc w:val="left"/>
      <w:lvlText w:val="(%1)"/>
      <w:numFmt w:val="lowerLetter"/>
      <w:start w:val="2"/>
    </w:lvl>
  </w:abstractNum>
  <w:abstractNum w:abstractNumId="27">
    <w:nsid w:val="5E884ADC"/>
    <w:multiLevelType w:val="hybridMultilevel"/>
    <w:lvl w:ilvl="0">
      <w:lvlJc w:val="left"/>
      <w:lvlText w:val="%1."/>
      <w:numFmt w:val="decimal"/>
      <w:start w:val="7"/>
    </w:lvl>
  </w:abstractNum>
  <w:abstractNum w:abstractNumId="28">
    <w:nsid w:val="51EAD36B"/>
    <w:multiLevelType w:val="hybridMultilevel"/>
    <w:lvl w:ilvl="0">
      <w:lvlJc w:val="left"/>
      <w:lvlText w:val="(%1)"/>
      <w:numFmt w:val="lowerLetter"/>
      <w:start w:val="2"/>
    </w:lvl>
  </w:abstractNum>
  <w:abstractNum w:abstractNumId="29">
    <w:nsid w:val="2D517796"/>
    <w:multiLevelType w:val="hybridMultilevel"/>
    <w:lvl w:ilvl="0">
      <w:lvlJc w:val="left"/>
      <w:lvlText w:val="%1."/>
      <w:numFmt w:val="decimal"/>
      <w:start w:val="8"/>
    </w:lvl>
  </w:abstractNum>
  <w:abstractNum w:abstractNumId="30">
    <w:nsid w:val="580BD78F"/>
    <w:multiLevelType w:val="hybridMultilevel"/>
    <w:lvl w:ilvl="0">
      <w:lvlJc w:val="left"/>
      <w:lvlText w:val="%1"/>
      <w:numFmt w:val="decimal"/>
      <w:start w:val="60"/>
    </w:lvl>
  </w:abstractNum>
  <w:abstractNum w:abstractNumId="31">
    <w:nsid w:val="153EA438"/>
    <w:multiLevelType w:val="hybridMultilevel"/>
    <w:lvl w:ilvl="0">
      <w:lvlJc w:val="left"/>
      <w:lvlText w:val="(%1)"/>
      <w:numFmt w:val="lowerLetter"/>
      <w:start w:val="2"/>
    </w:lvl>
  </w:abstractNum>
  <w:abstractNum w:abstractNumId="32">
    <w:nsid w:val="3855585C"/>
    <w:multiLevelType w:val="hybridMultilevel"/>
    <w:lvl w:ilvl="0">
      <w:lvlJc w:val="left"/>
      <w:lvlText w:val="(%1)"/>
      <w:numFmt w:val="lowerLetter"/>
      <w:start w:val="3"/>
    </w:lvl>
  </w:abstractNum>
  <w:abstractNum w:abstractNumId="33">
    <w:nsid w:val="70A64E2A"/>
    <w:multiLevelType w:val="hybridMultilevel"/>
    <w:lvl w:ilvl="0">
      <w:lvlJc w:val="left"/>
      <w:lvlText w:val="%1."/>
      <w:numFmt w:val="decimal"/>
      <w:start w:val="10"/>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lowerLetter"/>
      <w:start w:val="7"/>
    </w:lvl>
  </w:abstractNum>
  <w:abstractNum w:abstractNumId="36">
    <w:nsid w:val="1D4ED43B"/>
    <w:multiLevelType w:val="hybridMultilevel"/>
    <w:lvl w:ilvl="0">
      <w:lvlJc w:val="left"/>
      <w:lvlText w:val="%1."/>
      <w:numFmt w:val="decimal"/>
      <w:start w:val="12"/>
    </w:lvl>
  </w:abstractNum>
  <w:abstractNum w:abstractNumId="37">
    <w:nsid w:val="725A06FB"/>
    <w:multiLevelType w:val="hybridMultilevel"/>
    <w:lvl w:ilvl="0">
      <w:lvlJc w:val="left"/>
      <w:lvlText w:val="%1."/>
      <w:numFmt w:val="decimal"/>
      <w:start w:val="18"/>
    </w:lvl>
  </w:abstractNum>
  <w:abstractNum w:abstractNumId="38">
    <w:nsid w:val="2CD89A32"/>
    <w:multiLevelType w:val="hybridMultilevel"/>
    <w:lvl w:ilvl="0">
      <w:lvlJc w:val="left"/>
      <w:lvlText w:val="%1."/>
      <w:numFmt w:val="decimal"/>
      <w:start w:val="20"/>
    </w:lvl>
  </w:abstractNum>
  <w:abstractNum w:abstractNumId="39">
    <w:nsid w:val="57E4CCAF"/>
    <w:multiLevelType w:val="hybridMultilevel"/>
    <w:lvl w:ilvl="0">
      <w:lvlJc w:val="left"/>
      <w:lvlText w:val="%1."/>
      <w:numFmt w:val="decimal"/>
      <w:start w:val="24"/>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decimal"/>
      <w:start w:val="5"/>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decimal"/>
      <w:start w:val="5"/>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2026-10-28T15:26:18Z</dcterms:created>
  <dcterms:modified xsi:type="dcterms:W3CDTF">2026-10-28T15:26:18Z</dcterms:modified>
</cp:coreProperties>
</file>