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49530</wp:posOffset>
            </wp:positionV>
            <wp:extent cx="1646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80645</wp:posOffset>
            </wp:positionV>
            <wp:extent cx="1646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69" w:lineRule="exact"/>
        <w:rPr>
          <w:sz w:val="24"/>
          <w:szCs w:val="24"/>
          <w:color w:val="auto"/>
        </w:rPr>
      </w:pPr>
    </w:p>
    <w:p>
      <w:pPr>
        <w:ind w:left="540" w:right="20" w:hanging="532"/>
        <w:spacing w:after="0" w:line="261"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58" w:lineRule="exact"/>
        <w:rPr>
          <w:sz w:val="24"/>
          <w:szCs w:val="24"/>
          <w:color w:val="auto"/>
        </w:rPr>
      </w:pPr>
    </w:p>
    <w:p>
      <w:pPr>
        <w:ind w:left="540" w:right="40" w:hanging="532"/>
        <w:spacing w:after="0" w:line="261"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 w:lineRule="exact"/>
        <w:rPr>
          <w:sz w:val="24"/>
          <w:szCs w:val="24"/>
          <w:color w:val="auto"/>
        </w:rPr>
      </w:pPr>
    </w:p>
    <w:p>
      <w:pPr>
        <w:ind w:left="540"/>
        <w:spacing w:after="0"/>
        <w:tabs>
          <w:tab w:leader="none" w:pos="3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62865</wp:posOffset>
            </wp:positionV>
            <wp:extent cx="1646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48895</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9" w:lineRule="exact"/>
        <w:rPr>
          <w:sz w:val="24"/>
          <w:szCs w:val="24"/>
          <w:color w:val="auto"/>
        </w:rPr>
      </w:pPr>
    </w:p>
    <w:tbl>
      <w:tblPr>
        <w:tblLayout w:type="fixed"/>
        <w:tblInd w:w="1060" w:type="dxa"/>
        <w:tblCellMar>
          <w:top w:w="0" w:type="dxa"/>
          <w:left w:w="0" w:type="dxa"/>
          <w:bottom w:w="0" w:type="dxa"/>
          <w:right w:w="0" w:type="dxa"/>
        </w:tblCellMar>
      </w:tblPr>
      <w:tr>
        <w:trPr>
          <w:trHeight w:val="209"/>
        </w:trPr>
        <w:tc>
          <w:tcPr>
            <w:tcW w:w="6700" w:type="dxa"/>
            <w:vAlign w:val="bottom"/>
          </w:tcPr>
          <w:p>
            <w:pPr>
              <w:jc w:val="center"/>
              <w:ind w:right="2963"/>
              <w:spacing w:after="0"/>
              <w:rPr>
                <w:sz w:val="20"/>
                <w:szCs w:val="20"/>
                <w:color w:val="auto"/>
              </w:rPr>
            </w:pPr>
            <w:r>
              <w:rPr>
                <w:rFonts w:ascii="Arial" w:cs="Arial" w:eastAsia="Arial" w:hAnsi="Arial"/>
                <w:sz w:val="18"/>
                <w:szCs w:val="18"/>
                <w:b w:val="1"/>
                <w:bCs w:val="1"/>
                <w:color w:val="auto"/>
                <w:w w:val="98"/>
              </w:rPr>
              <w:t>Washington</w:t>
            </w:r>
          </w:p>
        </w:tc>
        <w:tc>
          <w:tcPr>
            <w:tcW w:w="1460" w:type="dxa"/>
            <w:vAlign w:val="bottom"/>
          </w:tcPr>
          <w:p>
            <w:pPr>
              <w:jc w:val="center"/>
              <w:ind w:left="263"/>
              <w:spacing w:after="0"/>
              <w:rPr>
                <w:sz w:val="20"/>
                <w:szCs w:val="20"/>
                <w:color w:val="auto"/>
              </w:rPr>
            </w:pPr>
            <w:r>
              <w:rPr>
                <w:rFonts w:ascii="Arial" w:cs="Arial" w:eastAsia="Arial" w:hAnsi="Arial"/>
                <w:sz w:val="18"/>
                <w:szCs w:val="18"/>
                <w:b w:val="1"/>
                <w:bCs w:val="1"/>
                <w:color w:val="auto"/>
                <w:w w:val="99"/>
              </w:rPr>
              <w:t>91-1144442</w:t>
            </w:r>
          </w:p>
        </w:tc>
      </w:tr>
      <w:tr>
        <w:trPr>
          <w:trHeight w:val="149"/>
        </w:trPr>
        <w:tc>
          <w:tcPr>
            <w:tcW w:w="6700" w:type="dxa"/>
            <w:vAlign w:val="bottom"/>
          </w:tcPr>
          <w:p>
            <w:pPr>
              <w:jc w:val="center"/>
              <w:ind w:right="2963"/>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1460" w:type="dxa"/>
            <w:vAlign w:val="bottom"/>
          </w:tcPr>
          <w:p>
            <w:pPr>
              <w:jc w:val="center"/>
              <w:ind w:left="26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6700" w:type="dxa"/>
            <w:vAlign w:val="bottom"/>
          </w:tcPr>
          <w:p>
            <w:pPr>
              <w:jc w:val="center"/>
              <w:ind w:right="2963"/>
              <w:spacing w:after="0"/>
              <w:rPr>
                <w:sz w:val="20"/>
                <w:szCs w:val="20"/>
                <w:color w:val="auto"/>
              </w:rPr>
            </w:pPr>
            <w:r>
              <w:rPr>
                <w:rFonts w:ascii="Arial" w:cs="Arial" w:eastAsia="Arial" w:hAnsi="Arial"/>
                <w:sz w:val="14"/>
                <w:szCs w:val="14"/>
                <w:b w:val="1"/>
                <w:bCs w:val="1"/>
                <w:color w:val="auto"/>
                <w:w w:val="97"/>
              </w:rPr>
              <w:t>incorporation or organization)</w:t>
            </w:r>
          </w:p>
        </w:tc>
        <w:tc>
          <w:tcPr>
            <w:tcW w:w="1460" w:type="dxa"/>
            <w:vAlign w:val="bottom"/>
          </w:tcPr>
          <w:p>
            <w:pPr>
              <w:jc w:val="center"/>
              <w:ind w:left="243"/>
              <w:spacing w:after="0"/>
              <w:rPr>
                <w:sz w:val="20"/>
                <w:szCs w:val="20"/>
                <w:color w:val="auto"/>
              </w:rPr>
            </w:pPr>
            <w:r>
              <w:rPr>
                <w:rFonts w:ascii="Arial" w:cs="Arial" w:eastAsia="Arial" w:hAnsi="Arial"/>
                <w:sz w:val="14"/>
                <w:szCs w:val="14"/>
                <w:b w:val="1"/>
                <w:bCs w:val="1"/>
                <w:color w:val="auto"/>
                <w:w w:val="96"/>
              </w:rPr>
              <w:t>Identification No.)</w:t>
            </w:r>
          </w:p>
        </w:tc>
      </w:tr>
      <w:tr>
        <w:trPr>
          <w:trHeight w:val="240"/>
        </w:trPr>
        <w:tc>
          <w:tcPr>
            <w:tcW w:w="6700" w:type="dxa"/>
            <w:vAlign w:val="bottom"/>
          </w:tcPr>
          <w:p>
            <w:pPr>
              <w:jc w:val="center"/>
              <w:ind w:right="2963"/>
              <w:spacing w:after="0"/>
              <w:rPr>
                <w:sz w:val="20"/>
                <w:szCs w:val="20"/>
                <w:color w:val="auto"/>
              </w:rPr>
            </w:pPr>
            <w:r>
              <w:rPr>
                <w:rFonts w:ascii="Arial" w:cs="Arial" w:eastAsia="Arial" w:hAnsi="Arial"/>
                <w:sz w:val="18"/>
                <w:szCs w:val="18"/>
                <w:b w:val="1"/>
                <w:bCs w:val="1"/>
                <w:color w:val="auto"/>
                <w:w w:val="99"/>
              </w:rPr>
              <w:t>One Microsoft Way, Redmond, Washington</w:t>
            </w:r>
          </w:p>
        </w:tc>
        <w:tc>
          <w:tcPr>
            <w:tcW w:w="1460" w:type="dxa"/>
            <w:vAlign w:val="bottom"/>
          </w:tcPr>
          <w:p>
            <w:pPr>
              <w:jc w:val="center"/>
              <w:ind w:left="263"/>
              <w:spacing w:after="0"/>
              <w:rPr>
                <w:sz w:val="20"/>
                <w:szCs w:val="20"/>
                <w:color w:val="auto"/>
              </w:rPr>
            </w:pPr>
            <w:r>
              <w:rPr>
                <w:rFonts w:ascii="Arial" w:cs="Arial" w:eastAsia="Arial" w:hAnsi="Arial"/>
                <w:sz w:val="18"/>
                <w:szCs w:val="18"/>
                <w:b w:val="1"/>
                <w:bCs w:val="1"/>
                <w:color w:val="auto"/>
                <w:w w:val="99"/>
              </w:rPr>
              <w:t>98052-6399</w:t>
            </w:r>
          </w:p>
        </w:tc>
      </w:tr>
      <w:tr>
        <w:trPr>
          <w:trHeight w:val="178"/>
        </w:trPr>
        <w:tc>
          <w:tcPr>
            <w:tcW w:w="6700" w:type="dxa"/>
            <w:vAlign w:val="bottom"/>
          </w:tcPr>
          <w:p>
            <w:pPr>
              <w:jc w:val="center"/>
              <w:ind w:right="2943"/>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1460" w:type="dxa"/>
            <w:vAlign w:val="bottom"/>
          </w:tcPr>
          <w:p>
            <w:pPr>
              <w:jc w:val="center"/>
              <w:ind w:left="263"/>
              <w:spacing w:after="0"/>
              <w:rPr>
                <w:sz w:val="20"/>
                <w:szCs w:val="20"/>
                <w:color w:val="auto"/>
              </w:rPr>
            </w:pPr>
            <w:r>
              <w:rPr>
                <w:rFonts w:ascii="Arial" w:cs="Arial" w:eastAsia="Arial" w:hAnsi="Arial"/>
                <w:sz w:val="14"/>
                <w:szCs w:val="14"/>
                <w:b w:val="1"/>
                <w:bCs w:val="1"/>
                <w:color w:val="auto"/>
                <w:w w:val="98"/>
              </w:rPr>
              <w:t>(Zip Code)</w:t>
            </w:r>
          </w:p>
        </w:tc>
      </w:tr>
      <w:tr>
        <w:trPr>
          <w:trHeight w:val="254"/>
        </w:trPr>
        <w:tc>
          <w:tcPr>
            <w:tcW w:w="6700" w:type="dxa"/>
            <w:vAlign w:val="bottom"/>
          </w:tcPr>
          <w:p>
            <w:pPr>
              <w:jc w:val="right"/>
              <w:ind w:right="1363"/>
              <w:spacing w:after="0"/>
              <w:rPr>
                <w:sz w:val="20"/>
                <w:szCs w:val="20"/>
                <w:color w:val="auto"/>
              </w:rPr>
            </w:pPr>
            <w:r>
              <w:rPr>
                <w:rFonts w:ascii="Arial" w:cs="Arial" w:eastAsia="Arial" w:hAnsi="Arial"/>
                <w:sz w:val="18"/>
                <w:szCs w:val="18"/>
                <w:b w:val="1"/>
                <w:bCs w:val="1"/>
                <w:color w:val="auto"/>
              </w:rPr>
              <w:t>(425) 882-8080</w:t>
            </w:r>
          </w:p>
        </w:tc>
        <w:tc>
          <w:tcPr>
            <w:tcW w:w="1460" w:type="dxa"/>
            <w:vAlign w:val="bottom"/>
          </w:tcPr>
          <w:p>
            <w:pPr>
              <w:spacing w:after="0"/>
              <w:rPr>
                <w:sz w:val="22"/>
                <w:szCs w:val="22"/>
                <w:color w:val="auto"/>
              </w:rPr>
            </w:pPr>
          </w:p>
        </w:tc>
      </w:tr>
      <w:tr>
        <w:trPr>
          <w:trHeight w:val="178"/>
        </w:trPr>
        <w:tc>
          <w:tcPr>
            <w:tcW w:w="6700" w:type="dxa"/>
            <w:vAlign w:val="bottom"/>
          </w:tcPr>
          <w:p>
            <w:pPr>
              <w:jc w:val="center"/>
              <w:ind w:left="2523"/>
              <w:spacing w:after="0"/>
              <w:rPr>
                <w:sz w:val="20"/>
                <w:szCs w:val="20"/>
                <w:color w:val="auto"/>
              </w:rPr>
            </w:pPr>
            <w:r>
              <w:rPr>
                <w:rFonts w:ascii="Arial" w:cs="Arial" w:eastAsia="Arial" w:hAnsi="Arial"/>
                <w:sz w:val="14"/>
                <w:szCs w:val="14"/>
                <w:b w:val="1"/>
                <w:bCs w:val="1"/>
                <w:color w:val="auto"/>
                <w:w w:val="96"/>
              </w:rPr>
              <w:t>(Registrant’s telephone number, including area code)</w:t>
            </w:r>
          </w:p>
        </w:tc>
        <w:tc>
          <w:tcPr>
            <w:tcW w:w="1460" w:type="dxa"/>
            <w:vAlign w:val="bottom"/>
          </w:tcPr>
          <w:p>
            <w:pPr>
              <w:spacing w:after="0"/>
              <w:rPr>
                <w:sz w:val="15"/>
                <w:szCs w:val="15"/>
                <w:color w:val="auto"/>
              </w:rPr>
            </w:pPr>
          </w:p>
        </w:tc>
      </w:tr>
    </w:tbl>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41" w:lineRule="exact"/>
        <w:rPr>
          <w:sz w:val="24"/>
          <w:szCs w:val="24"/>
          <w:color w:val="auto"/>
        </w:rPr>
      </w:pPr>
    </w:p>
    <w:p>
      <w:pPr>
        <w:jc w:val="both"/>
        <w:ind w:right="2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4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20"/>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292" w:right="219" w:bottom="1440" w:gutter="0" w:footer="0" w:header="0"/>
        </w:sectPr>
      </w:pPr>
    </w:p>
    <w:p>
      <w:pPr>
        <w:spacing w:after="0" w:line="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7760" w:space="720"/>
            <w:col w:w="2960"/>
          </w:cols>
          <w:pgMar w:left="240" w:top="292" w:right="21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ectPr>
          <w:pgSz w:w="11900" w:h="16838" w:orient="portrait"/>
          <w:cols w:equalWidth="0" w:num="3">
            <w:col w:w="1880" w:space="60"/>
            <w:col w:w="5820" w:space="720"/>
            <w:col w:w="2960"/>
          </w:cols>
          <w:pgMar w:left="240" w:top="292" w:right="21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440"/>
          </w:cols>
          <w:pgMar w:left="240" w:top="292" w:right="219" w:bottom="1440" w:gutter="0" w:footer="0" w:header="0"/>
          <w:type w:val="continuous"/>
        </w:sectPr>
      </w:pPr>
    </w:p>
    <w:p>
      <w:pPr>
        <w:spacing w:after="0" w:line="94" w:lineRule="exact"/>
        <w:rPr>
          <w:sz w:val="24"/>
          <w:szCs w:val="24"/>
          <w:color w:val="auto"/>
        </w:rPr>
      </w:pPr>
    </w:p>
    <w:p>
      <w:pPr>
        <w:ind w:right="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1400"/>
        <w:spacing w:after="0" w:line="25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620" w:type="dxa"/>
            <w:vAlign w:val="bottom"/>
          </w:tcPr>
          <w:p>
            <w:pPr>
              <w:spacing w:after="0"/>
              <w:rPr>
                <w:sz w:val="20"/>
                <w:szCs w:val="20"/>
                <w:color w:val="auto"/>
              </w:rPr>
            </w:pPr>
            <w:r>
              <w:rPr>
                <w:rFonts w:ascii="Arial" w:cs="Arial" w:eastAsia="Arial" w:hAnsi="Arial"/>
                <w:sz w:val="14"/>
                <w:szCs w:val="14"/>
                <w:b w:val="1"/>
                <w:bCs w:val="1"/>
                <w:color w:val="auto"/>
              </w:rPr>
              <w:t>Class</w:t>
            </w:r>
          </w:p>
        </w:tc>
        <w:tc>
          <w:tcPr>
            <w:tcW w:w="4800" w:type="dxa"/>
            <w:vAlign w:val="bottom"/>
          </w:tcPr>
          <w:p>
            <w:pPr>
              <w:ind w:left="2640"/>
              <w:spacing w:after="0"/>
              <w:rPr>
                <w:sz w:val="20"/>
                <w:szCs w:val="20"/>
                <w:color w:val="auto"/>
              </w:rPr>
            </w:pPr>
            <w:r>
              <w:rPr>
                <w:rFonts w:ascii="Arial" w:cs="Arial" w:eastAsia="Arial" w:hAnsi="Arial"/>
                <w:sz w:val="14"/>
                <w:szCs w:val="14"/>
                <w:b w:val="1"/>
                <w:bCs w:val="1"/>
                <w:color w:val="auto"/>
              </w:rPr>
              <w:t>Outstanding as of April 20, 2018</w:t>
            </w:r>
          </w:p>
        </w:tc>
        <w:tc>
          <w:tcPr>
            <w:tcW w:w="20" w:type="dxa"/>
            <w:vAlign w:val="bottom"/>
          </w:tcPr>
          <w:p>
            <w:pPr>
              <w:spacing w:after="0"/>
              <w:rPr>
                <w:sz w:val="15"/>
                <w:szCs w:val="15"/>
                <w:color w:val="auto"/>
              </w:rPr>
            </w:pPr>
          </w:p>
        </w:tc>
      </w:tr>
      <w:tr>
        <w:trPr>
          <w:trHeight w:val="28"/>
        </w:trPr>
        <w:tc>
          <w:tcPr>
            <w:tcW w:w="662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$0.00000625 par value per share</w:t>
            </w:r>
          </w:p>
        </w:tc>
        <w:tc>
          <w:tcPr>
            <w:tcW w:w="4800" w:type="dxa"/>
            <w:vAlign w:val="bottom"/>
            <w:tcBorders>
              <w:bottom w:val="single" w:sz="8" w:color="auto"/>
            </w:tcBorders>
          </w:tcPr>
          <w:p>
            <w:pPr>
              <w:ind w:left="2960"/>
              <w:spacing w:after="0"/>
              <w:rPr>
                <w:sz w:val="20"/>
                <w:szCs w:val="20"/>
                <w:color w:val="auto"/>
              </w:rPr>
            </w:pPr>
            <w:r>
              <w:rPr>
                <w:rFonts w:ascii="Arial" w:cs="Arial" w:eastAsia="Arial" w:hAnsi="Arial"/>
                <w:sz w:val="18"/>
                <w:szCs w:val="18"/>
                <w:color w:val="auto"/>
              </w:rPr>
              <w:t>7,683,197,503 shares</w:t>
            </w:r>
          </w:p>
        </w:tc>
        <w:tc>
          <w:tcPr>
            <w:tcW w:w="20" w:type="dxa"/>
            <w:vAlign w:val="bottom"/>
          </w:tcPr>
          <w:p>
            <w:pPr>
              <w:spacing w:after="0"/>
              <w:rPr>
                <w:sz w:val="23"/>
                <w:szCs w:val="23"/>
                <w:color w:val="auto"/>
              </w:rPr>
            </w:pPr>
          </w:p>
        </w:tc>
      </w:tr>
      <w:tr>
        <w:trPr>
          <w:trHeight w:val="736"/>
        </w:trPr>
        <w:tc>
          <w:tcPr>
            <w:tcW w:w="66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92" w:right="219" w:bottom="1440" w:gutter="0" w:footer="0" w:header="0"/>
          <w:type w:val="continuous"/>
        </w:sectPr>
      </w:pPr>
    </w:p>
    <w:bookmarkStart w:id="1" w:name="page2"/>
    <w:bookmarkEnd w:id="1"/>
    <w:p>
      <w:pPr>
        <w:jc w:val="center"/>
        <w:ind w:left="1040"/>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color w:val="auto"/>
        </w:rPr>
        <w:t>For the Quarter Ended March 31, 2018</w:t>
      </w:r>
    </w:p>
    <w:p>
      <w:pPr>
        <w:spacing w:after="0" w:line="63"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color w:val="auto"/>
        </w:rPr>
        <w:t>INDEX</w:t>
      </w:r>
    </w:p>
    <w:p>
      <w:pPr>
        <w:spacing w:after="0" w:line="333" w:lineRule="exact"/>
        <w:rPr>
          <w:sz w:val="20"/>
          <w:szCs w:val="20"/>
          <w:color w:val="auto"/>
        </w:rPr>
      </w:pPr>
    </w:p>
    <w:p>
      <w:pPr>
        <w:spacing w:after="0"/>
        <w:tabs>
          <w:tab w:leader="none" w:pos="900" w:val="left"/>
        </w:tabs>
        <w:rPr>
          <w:rFonts w:ascii="Arial" w:cs="Arial" w:eastAsia="Arial" w:hAnsi="Arial"/>
          <w:sz w:val="17"/>
          <w:szCs w:val="17"/>
          <w:b w:val="1"/>
          <w:bCs w:val="1"/>
          <w:u w:val="single" w:color="auto"/>
          <w:color w:val="0000EE"/>
        </w:rPr>
      </w:pPr>
      <w:hyperlink w:anchor="page3"/>
      <w:r>
        <w:rPr>
          <w:rFonts w:ascii="Arial" w:cs="Arial" w:eastAsia="Arial" w:hAnsi="Arial"/>
          <w:sz w:val="36"/>
          <w:szCs w:val="36"/>
          <w:b w:val="1"/>
          <w:bCs w:val="1"/>
          <w:color w:val="000000"/>
          <w:vertAlign w:val="superscript"/>
        </w:rPr>
        <w:t>PART</w:t>
      </w:r>
      <w:r>
        <w:rPr>
          <w:rFonts w:ascii="Arial" w:cs="Arial" w:eastAsia="Arial" w:hAnsi="Arial"/>
          <w:sz w:val="18"/>
          <w:szCs w:val="18"/>
          <w:b w:val="1"/>
          <w:bCs w:val="1"/>
          <w:color w:val="0000EE"/>
        </w:rPr>
        <w:t xml:space="preserve"> </w:t>
      </w:r>
      <w:r>
        <w:rPr>
          <w:rFonts w:ascii="Arial" w:cs="Arial" w:eastAsia="Arial" w:hAnsi="Arial"/>
          <w:sz w:val="36"/>
          <w:szCs w:val="36"/>
          <w:b w:val="1"/>
          <w:bCs w:val="1"/>
          <w:color w:val="000000"/>
          <w:vertAlign w:val="superscript"/>
        </w:rPr>
        <w:t>I.</w:t>
      </w:r>
      <w:r>
        <w:rPr>
          <w:rFonts w:ascii="Arial" w:cs="Arial" w:eastAsia="Arial" w:hAnsi="Arial"/>
          <w:sz w:val="18"/>
          <w:szCs w:val="18"/>
          <w:b w:val="1"/>
          <w:bCs w:val="1"/>
          <w:color w:val="0000EE"/>
        </w:rPr>
        <w:tab/>
      </w:r>
      <w:hyperlink w:anchor="page3">
        <w:r>
          <w:rPr>
            <w:rFonts w:ascii="Arial" w:cs="Arial" w:eastAsia="Arial" w:hAnsi="Arial"/>
            <w:sz w:val="17"/>
            <w:szCs w:val="17"/>
            <w:b w:val="1"/>
            <w:bCs w:val="1"/>
            <w:u w:val="single" w:color="auto"/>
            <w:color w:val="0000EE"/>
          </w:rPr>
          <w:t>FINANCIAL INFORMATION</w:t>
        </w:r>
      </w:hyperlink>
    </w:p>
    <w:p>
      <w:pPr>
        <w:spacing w:after="0" w:line="135" w:lineRule="exact"/>
        <w:rPr>
          <w:sz w:val="20"/>
          <w:szCs w:val="20"/>
          <w:color w:val="auto"/>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7"/>
            <w:szCs w:val="17"/>
            <w:u w:val="single" w:color="auto"/>
            <w:color w:val="0000EE"/>
          </w:rPr>
          <w:t>Financial Statements</w:t>
        </w:r>
      </w:hyperlink>
    </w:p>
    <w:p>
      <w:pPr>
        <w:spacing w:after="0" w:line="239" w:lineRule="exact"/>
        <w:rPr>
          <w:sz w:val="20"/>
          <w:szCs w:val="20"/>
          <w:color w:val="auto"/>
        </w:rPr>
      </w:pPr>
    </w:p>
    <w:p>
      <w:pPr>
        <w:ind w:left="2020" w:hanging="270"/>
        <w:spacing w:after="0"/>
        <w:tabs>
          <w:tab w:leader="none" w:pos="202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Income Statements for the Three and Nine Months Ended March 31, 2018 and 2017</w:t>
        </w:r>
      </w:hyperlink>
    </w:p>
    <w:p>
      <w:pPr>
        <w:spacing w:after="0" w:line="105" w:lineRule="exact"/>
        <w:rPr>
          <w:rFonts w:ascii="Arial" w:cs="Arial" w:eastAsia="Arial" w:hAnsi="Arial"/>
          <w:sz w:val="18"/>
          <w:szCs w:val="18"/>
          <w:u w:val="single" w:color="auto"/>
          <w:color w:val="0000EE"/>
        </w:rPr>
      </w:pPr>
    </w:p>
    <w:p>
      <w:pPr>
        <w:ind w:left="2020" w:hanging="270"/>
        <w:spacing w:after="0"/>
        <w:tabs>
          <w:tab w:leader="none" w:pos="2020" w:val="left"/>
        </w:tabs>
        <w:numPr>
          <w:ilvl w:val="0"/>
          <w:numId w:val="3"/>
        </w:numPr>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Comprehensive Income Statements for the Three and Nine Months Ended March 31, 2018 and 2017</w:t>
        </w:r>
      </w:hyperlink>
    </w:p>
    <w:p>
      <w:pPr>
        <w:spacing w:after="0" w:line="203" w:lineRule="exact"/>
        <w:rPr>
          <w:rFonts w:ascii="Arial" w:cs="Arial" w:eastAsia="Arial" w:hAnsi="Arial"/>
          <w:sz w:val="17"/>
          <w:szCs w:val="17"/>
          <w:u w:val="single" w:color="auto"/>
          <w:color w:val="0000EE"/>
        </w:rPr>
      </w:pPr>
    </w:p>
    <w:p>
      <w:pPr>
        <w:ind w:left="2020" w:hanging="270"/>
        <w:spacing w:after="0" w:line="184" w:lineRule="auto"/>
        <w:tabs>
          <w:tab w:leader="none" w:pos="2020" w:val="left"/>
        </w:tabs>
        <w:numPr>
          <w:ilvl w:val="0"/>
          <w:numId w:val="3"/>
        </w:numPr>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Balance Sheets as of March 31, 2018 and June 30, 2017</w:t>
        </w:r>
      </w:hyperlink>
    </w:p>
    <w:p>
      <w:pPr>
        <w:spacing w:after="0" w:line="204" w:lineRule="exact"/>
        <w:rPr>
          <w:rFonts w:ascii="Arial" w:cs="Arial" w:eastAsia="Arial" w:hAnsi="Arial"/>
          <w:sz w:val="17"/>
          <w:szCs w:val="17"/>
          <w:u w:val="single" w:color="auto"/>
          <w:color w:val="0000EE"/>
        </w:rPr>
      </w:pPr>
    </w:p>
    <w:p>
      <w:pPr>
        <w:ind w:left="2020" w:hanging="270"/>
        <w:spacing w:after="0" w:line="184" w:lineRule="auto"/>
        <w:tabs>
          <w:tab w:leader="none" w:pos="2020" w:val="left"/>
        </w:tabs>
        <w:numPr>
          <w:ilvl w:val="0"/>
          <w:numId w:val="3"/>
        </w:numPr>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Cash Flows Statements for the Three and Nine Months Ended March 31, 2018 and 2017</w:t>
        </w:r>
      </w:hyperlink>
    </w:p>
    <w:p>
      <w:pPr>
        <w:spacing w:after="0" w:line="204" w:lineRule="exact"/>
        <w:rPr>
          <w:rFonts w:ascii="Arial" w:cs="Arial" w:eastAsia="Arial" w:hAnsi="Arial"/>
          <w:sz w:val="17"/>
          <w:szCs w:val="17"/>
          <w:u w:val="single" w:color="auto"/>
          <w:color w:val="0000EE"/>
        </w:rPr>
      </w:pPr>
    </w:p>
    <w:p>
      <w:pPr>
        <w:ind w:left="2020" w:hanging="270"/>
        <w:spacing w:after="0" w:line="184" w:lineRule="auto"/>
        <w:tabs>
          <w:tab w:leader="none" w:pos="2020" w:val="left"/>
        </w:tabs>
        <w:numPr>
          <w:ilvl w:val="0"/>
          <w:numId w:val="3"/>
        </w:numPr>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Stockholders’ Equity Statements for the Three and Nine Months Ended March 31, 2018 and 2017</w:t>
        </w:r>
      </w:hyperlink>
    </w:p>
    <w:p>
      <w:pPr>
        <w:spacing w:after="0" w:line="204" w:lineRule="exact"/>
        <w:rPr>
          <w:rFonts w:ascii="Arial" w:cs="Arial" w:eastAsia="Arial" w:hAnsi="Arial"/>
          <w:sz w:val="17"/>
          <w:szCs w:val="17"/>
          <w:u w:val="single" w:color="auto"/>
          <w:color w:val="0000EE"/>
        </w:rPr>
      </w:pPr>
    </w:p>
    <w:p>
      <w:pPr>
        <w:ind w:left="2020" w:hanging="270"/>
        <w:spacing w:after="0" w:line="184" w:lineRule="auto"/>
        <w:tabs>
          <w:tab w:leader="none" w:pos="2020" w:val="left"/>
        </w:tabs>
        <w:numPr>
          <w:ilvl w:val="0"/>
          <w:numId w:val="3"/>
        </w:numPr>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Notes to Financial Statements</w:t>
        </w:r>
      </w:hyperlink>
    </w:p>
    <w:p>
      <w:pPr>
        <w:spacing w:after="0" w:line="204" w:lineRule="exact"/>
        <w:rPr>
          <w:rFonts w:ascii="Arial" w:cs="Arial" w:eastAsia="Arial" w:hAnsi="Arial"/>
          <w:sz w:val="17"/>
          <w:szCs w:val="17"/>
          <w:u w:val="single" w:color="auto"/>
          <w:color w:val="0000EE"/>
        </w:rPr>
      </w:pPr>
    </w:p>
    <w:p>
      <w:pPr>
        <w:ind w:left="2020" w:hanging="270"/>
        <w:spacing w:after="0" w:line="184" w:lineRule="auto"/>
        <w:tabs>
          <w:tab w:leader="none" w:pos="2020" w:val="left"/>
        </w:tabs>
        <w:numPr>
          <w:ilvl w:val="0"/>
          <w:numId w:val="3"/>
        </w:numPr>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Report of Independent Registered Public Accounting Firm</w:t>
        </w:r>
      </w:hyperlink>
    </w:p>
    <w:p>
      <w:pPr>
        <w:spacing w:after="0" w:line="22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39">
        <w:r>
          <w:rPr>
            <w:rFonts w:ascii="Arial" w:cs="Arial" w:eastAsia="Arial" w:hAnsi="Arial"/>
            <w:sz w:val="17"/>
            <w:szCs w:val="17"/>
            <w:u w:val="single" w:color="auto"/>
            <w:color w:val="0000EE"/>
          </w:rPr>
          <w:t>Management’s Discussion and Analysis of Financial Condition and Results of Operations</w:t>
        </w:r>
      </w:hyperlink>
    </w:p>
    <w:p>
      <w:pPr>
        <w:spacing w:after="0" w:line="27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54">
        <w:r>
          <w:rPr>
            <w:rFonts w:ascii="Arial" w:cs="Arial" w:eastAsia="Arial" w:hAnsi="Arial"/>
            <w:sz w:val="17"/>
            <w:szCs w:val="17"/>
            <w:u w:val="single" w:color="auto"/>
            <w:color w:val="0000EE"/>
          </w:rPr>
          <w:t>Quantitative and Qualitative Disclosures About Market Risk</w:t>
        </w:r>
      </w:hyperlink>
    </w:p>
    <w:p>
      <w:pPr>
        <w:spacing w:after="0" w:line="27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55">
        <w:r>
          <w:rPr>
            <w:rFonts w:ascii="Arial" w:cs="Arial" w:eastAsia="Arial" w:hAnsi="Arial"/>
            <w:sz w:val="17"/>
            <w:szCs w:val="17"/>
            <w:u w:val="single" w:color="auto"/>
            <w:color w:val="0000EE"/>
          </w:rPr>
          <w:t>Controls and Procedures</w:t>
        </w:r>
      </w:hyperlink>
    </w:p>
    <w:p>
      <w:pPr>
        <w:spacing w:after="0" w:line="271" w:lineRule="exact"/>
        <w:rPr>
          <w:rFonts w:ascii="Arial" w:cs="Arial" w:eastAsia="Arial" w:hAnsi="Arial"/>
          <w:sz w:val="32"/>
          <w:szCs w:val="32"/>
          <w:color w:val="auto"/>
          <w:vertAlign w:val="superscript"/>
        </w:rPr>
      </w:pPr>
    </w:p>
    <w:p>
      <w:pPr>
        <w:spacing w:after="0"/>
        <w:tabs>
          <w:tab w:leader="none" w:pos="900" w:val="left"/>
        </w:tabs>
        <w:rPr>
          <w:rFonts w:ascii="Arial" w:cs="Arial" w:eastAsia="Arial" w:hAnsi="Arial"/>
          <w:sz w:val="17"/>
          <w:szCs w:val="17"/>
          <w:b w:val="1"/>
          <w:bCs w:val="1"/>
          <w:u w:val="single" w:color="auto"/>
          <w:color w:val="0000EE"/>
        </w:rPr>
      </w:pPr>
      <w:r>
        <w:rPr>
          <w:rFonts w:ascii="Arial" w:cs="Arial" w:eastAsia="Arial" w:hAnsi="Arial"/>
          <w:sz w:val="18"/>
          <w:szCs w:val="18"/>
          <w:b w:val="1"/>
          <w:bCs w:val="1"/>
          <w:color w:val="auto"/>
        </w:rPr>
        <w:t>PART II.</w:t>
      </w:r>
      <w:r>
        <w:rPr>
          <w:sz w:val="20"/>
          <w:szCs w:val="20"/>
          <w:color w:val="auto"/>
        </w:rPr>
        <w:tab/>
      </w:r>
      <w:hyperlink w:anchor="page56">
        <w:r>
          <w:rPr>
            <w:rFonts w:ascii="Arial" w:cs="Arial" w:eastAsia="Arial" w:hAnsi="Arial"/>
            <w:sz w:val="17"/>
            <w:szCs w:val="17"/>
            <w:b w:val="1"/>
            <w:bCs w:val="1"/>
            <w:u w:val="single" w:color="auto"/>
            <w:color w:val="0000EE"/>
          </w:rPr>
          <w:t>OTHER INFORMATION</w:t>
        </w:r>
      </w:hyperlink>
    </w:p>
    <w:p>
      <w:pPr>
        <w:spacing w:after="0" w:line="288"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56">
        <w:r>
          <w:rPr>
            <w:rFonts w:ascii="Arial" w:cs="Arial" w:eastAsia="Arial" w:hAnsi="Arial"/>
            <w:sz w:val="17"/>
            <w:szCs w:val="17"/>
            <w:u w:val="single" w:color="auto"/>
            <w:color w:val="0000EE"/>
          </w:rPr>
          <w:t>Legal Proceedings</w:t>
        </w:r>
      </w:hyperlink>
    </w:p>
    <w:p>
      <w:pPr>
        <w:spacing w:after="0" w:line="27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56">
        <w:r>
          <w:rPr>
            <w:rFonts w:ascii="Arial" w:cs="Arial" w:eastAsia="Arial" w:hAnsi="Arial"/>
            <w:sz w:val="17"/>
            <w:szCs w:val="17"/>
            <w:u w:val="single" w:color="auto"/>
            <w:color w:val="0000EE"/>
          </w:rPr>
          <w:t>Risk Factors</w:t>
        </w:r>
      </w:hyperlink>
    </w:p>
    <w:p>
      <w:pPr>
        <w:spacing w:after="0" w:line="27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66">
        <w:r>
          <w:rPr>
            <w:rFonts w:ascii="Arial" w:cs="Arial" w:eastAsia="Arial" w:hAnsi="Arial"/>
            <w:sz w:val="17"/>
            <w:szCs w:val="17"/>
            <w:u w:val="single" w:color="auto"/>
            <w:color w:val="0000EE"/>
          </w:rPr>
          <w:t>Unregistered Sales of Equity Securities and Use of Proceeds</w:t>
        </w:r>
      </w:hyperlink>
    </w:p>
    <w:p>
      <w:pPr>
        <w:spacing w:after="0" w:line="27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5.</w:t>
      </w:r>
      <w:r>
        <w:rPr>
          <w:sz w:val="20"/>
          <w:szCs w:val="20"/>
          <w:color w:val="auto"/>
        </w:rPr>
        <w:tab/>
      </w:r>
      <w:hyperlink w:anchor="page66">
        <w:r>
          <w:rPr>
            <w:rFonts w:ascii="Arial" w:cs="Arial" w:eastAsia="Arial" w:hAnsi="Arial"/>
            <w:sz w:val="17"/>
            <w:szCs w:val="17"/>
            <w:u w:val="single" w:color="auto"/>
            <w:color w:val="0000EE"/>
          </w:rPr>
          <w:t>Other Information</w:t>
        </w:r>
      </w:hyperlink>
    </w:p>
    <w:p>
      <w:pPr>
        <w:spacing w:after="0" w:line="27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67">
        <w:r>
          <w:rPr>
            <w:rFonts w:ascii="Arial" w:cs="Arial" w:eastAsia="Arial" w:hAnsi="Arial"/>
            <w:sz w:val="17"/>
            <w:szCs w:val="17"/>
            <w:u w:val="single" w:color="auto"/>
            <w:color w:val="0000EE"/>
          </w:rPr>
          <w:t>Exhibits</w:t>
        </w:r>
      </w:hyperlink>
    </w:p>
    <w:p>
      <w:pPr>
        <w:spacing w:after="0" w:line="257" w:lineRule="exact"/>
        <w:rPr>
          <w:rFonts w:ascii="Arial" w:cs="Arial" w:eastAsia="Arial" w:hAnsi="Arial"/>
          <w:sz w:val="32"/>
          <w:szCs w:val="32"/>
          <w:color w:val="auto"/>
          <w:vertAlign w:val="superscript"/>
        </w:rPr>
      </w:pPr>
    </w:p>
    <w:p>
      <w:pPr>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SIGNATURE</w:t>
        </w:r>
      </w:hyperlink>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88" w:lineRule="exact"/>
        <w:rPr>
          <w:rFonts w:ascii="Arial" w:cs="Arial" w:eastAsia="Arial" w:hAnsi="Arial"/>
          <w:sz w:val="32"/>
          <w:szCs w:val="32"/>
          <w:color w:val="auto"/>
          <w:vertAlign w:val="superscript"/>
        </w:rPr>
      </w:pPr>
    </w:p>
    <w:p>
      <w:pPr>
        <w:jc w:val="center"/>
        <w:ind w:left="1040"/>
        <w:spacing w:after="0"/>
        <w:rPr>
          <w:sz w:val="20"/>
          <w:szCs w:val="20"/>
          <w:color w:val="auto"/>
        </w:rPr>
      </w:pPr>
      <w:r>
        <w:rPr>
          <w:rFonts w:ascii="Arial" w:cs="Arial" w:eastAsia="Arial" w:hAnsi="Arial"/>
          <w:sz w:val="14"/>
          <w:szCs w:val="14"/>
          <w:color w:val="auto"/>
        </w:rPr>
        <w:t>2</w:t>
      </w:r>
    </w:p>
    <w:p>
      <w:pPr>
        <w:spacing w:after="0" w:line="20" w:lineRule="exact"/>
        <w:rPr>
          <w:rFonts w:ascii="Arial" w:cs="Arial" w:eastAsia="Arial" w:hAnsi="Arial"/>
          <w:sz w:val="32"/>
          <w:szCs w:val="32"/>
          <w:color w:val="auto"/>
          <w:vertAlign w:val="superscript"/>
        </w:rPr>
      </w:pPr>
      <w:r>
        <w:rPr>
          <w:rFonts w:ascii="Arial" w:cs="Arial" w:eastAsia="Arial" w:hAnsi="Arial"/>
          <w:sz w:val="32"/>
          <w:szCs w:val="32"/>
          <w:color w:val="auto"/>
          <w:vertAlign w:val="superscript"/>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32"/>
          <w:szCs w:val="32"/>
          <w:color w:val="auto"/>
          <w:vertAlign w:val="superscript"/>
        </w:rPr>
      </w:pPr>
      <w:r>
        <w:rPr>
          <w:rFonts w:ascii="Arial" w:cs="Arial" w:eastAsia="Arial" w:hAnsi="Arial"/>
          <w:sz w:val="32"/>
          <w:szCs w:val="32"/>
          <w:color w:val="auto"/>
          <w:vertAlign w:val="superscript"/>
        </w:rPr>
        <w:br w:type="column"/>
      </w: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2" w:lineRule="exact"/>
        <w:rPr>
          <w:rFonts w:ascii="Arial" w:cs="Arial" w:eastAsia="Arial" w:hAnsi="Arial"/>
          <w:sz w:val="32"/>
          <w:szCs w:val="32"/>
          <w:color w:val="auto"/>
          <w:vertAlign w:val="superscript"/>
        </w:rPr>
      </w:pPr>
    </w:p>
    <w:p>
      <w:pPr>
        <w:spacing w:after="0"/>
        <w:rPr>
          <w:sz w:val="20"/>
          <w:szCs w:val="20"/>
          <w:color w:val="auto"/>
        </w:rPr>
      </w:pPr>
      <w:r>
        <w:rPr>
          <w:rFonts w:ascii="Arial" w:cs="Arial" w:eastAsia="Arial" w:hAnsi="Arial"/>
          <w:sz w:val="12"/>
          <w:szCs w:val="12"/>
          <w:b w:val="1"/>
          <w:bCs w:val="1"/>
          <w:color w:val="auto"/>
        </w:rPr>
        <w:t>Page</w:t>
      </w: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399"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3</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4</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5</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6</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7</w:t>
      </w:r>
    </w:p>
    <w:p>
      <w:pPr>
        <w:spacing w:after="0" w:line="291"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8</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38</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39</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54</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55</w:t>
      </w: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365"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56</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56</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66</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66</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67</w:t>
      </w:r>
    </w:p>
    <w:p>
      <w:pPr>
        <w:spacing w:after="0" w:line="23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10380" w:space="720"/>
            <w:col w:w="320"/>
          </w:cols>
          <w:pgMar w:left="240" w:top="333" w:right="239" w:bottom="1440" w:gutter="0" w:footer="0" w:header="0"/>
        </w:sectPr>
      </w:pPr>
    </w:p>
    <w:bookmarkStart w:id="2" w:name="page3"/>
    <w:bookmarkEnd w:id="2"/>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8"/>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 (Unaudited)</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260"/>
              <w:spacing w:after="0" w:line="189" w:lineRule="exact"/>
              <w:rPr>
                <w:sz w:val="20"/>
                <w:szCs w:val="20"/>
                <w:color w:val="auto"/>
              </w:rPr>
            </w:pPr>
            <w:r>
              <w:rPr>
                <w:rFonts w:ascii="Arial" w:cs="Arial" w:eastAsia="Arial" w:hAnsi="Arial"/>
                <w:sz w:val="18"/>
                <w:szCs w:val="18"/>
                <w:color w:val="auto"/>
              </w:rPr>
              <w:t>Product</w:t>
            </w:r>
          </w:p>
        </w:tc>
        <w:tc>
          <w:tcPr>
            <w:tcW w:w="16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15,114</w:t>
            </w:r>
          </w:p>
        </w:tc>
        <w:tc>
          <w:tcPr>
            <w:tcW w:w="50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14,513</w:t>
            </w: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47,338</w:t>
            </w:r>
          </w:p>
        </w:tc>
        <w:tc>
          <w:tcPr>
            <w:tcW w:w="4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47,754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Service and other</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11,705</w:t>
            </w: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8,699</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32,937</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23,212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7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7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26,819</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23,212</w:t>
            </w:r>
          </w:p>
        </w:tc>
        <w:tc>
          <w:tcPr>
            <w:tcW w:w="3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80,275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70,966</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260"/>
              <w:spacing w:after="0" w:line="189" w:lineRule="exact"/>
              <w:rPr>
                <w:sz w:val="20"/>
                <w:szCs w:val="20"/>
                <w:color w:val="auto"/>
              </w:rPr>
            </w:pPr>
            <w:r>
              <w:rPr>
                <w:rFonts w:ascii="Arial" w:cs="Arial" w:eastAsia="Arial" w:hAnsi="Arial"/>
                <w:sz w:val="18"/>
                <w:szCs w:val="18"/>
                <w:color w:val="auto"/>
              </w:rPr>
              <w:t>Product</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3,425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3,075</w:t>
            </w:r>
          </w:p>
        </w:tc>
        <w:tc>
          <w:tcPr>
            <w:tcW w:w="3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11,903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Service and other</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5,844</w:t>
            </w: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4,985</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16,708</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7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760" w:type="dxa"/>
            <w:vAlign w:val="bottom"/>
          </w:tcPr>
          <w:p>
            <w:pPr>
              <w:ind w:left="500"/>
              <w:spacing w:after="0"/>
              <w:rPr>
                <w:sz w:val="20"/>
                <w:szCs w:val="20"/>
                <w:color w:val="auto"/>
              </w:rPr>
            </w:pPr>
            <w:r>
              <w:rPr>
                <w:rFonts w:ascii="Arial" w:cs="Arial" w:eastAsia="Arial" w:hAnsi="Arial"/>
                <w:sz w:val="18"/>
                <w:szCs w:val="18"/>
                <w:color w:val="auto"/>
              </w:rPr>
              <w:t>Total cost of revenue</w:t>
            </w: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9,269</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8,060</w:t>
            </w:r>
          </w:p>
        </w:tc>
        <w:tc>
          <w:tcPr>
            <w:tcW w:w="3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28,611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25,805</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E5E5E5"/>
          </w:tcPr>
          <w:p>
            <w:pPr>
              <w:ind w:left="500"/>
              <w:spacing w:after="0" w:line="189" w:lineRule="exact"/>
              <w:rPr>
                <w:sz w:val="20"/>
                <w:szCs w:val="20"/>
                <w:color w:val="auto"/>
              </w:rPr>
            </w:pPr>
            <w:r>
              <w:rPr>
                <w:rFonts w:ascii="Arial" w:cs="Arial" w:eastAsia="Arial" w:hAnsi="Arial"/>
                <w:sz w:val="18"/>
                <w:szCs w:val="18"/>
                <w:color w:val="auto"/>
              </w:rPr>
              <w:t>Gross margin</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17,550</w:t>
            </w: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15,152</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51,664</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45,161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3,715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3,355</w:t>
            </w:r>
          </w:p>
        </w:tc>
        <w:tc>
          <w:tcPr>
            <w:tcW w:w="3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10,793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9,523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4,335</w:t>
            </w: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3,872</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12,709</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11,169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1,208</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1,202</w:t>
            </w:r>
          </w:p>
        </w:tc>
        <w:tc>
          <w:tcPr>
            <w:tcW w:w="3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3,483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76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8,292</w:t>
            </w: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6,723</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24,679</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21,343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 net</w:t>
            </w: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349</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1,115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76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Income before income taxes</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8,641</w:t>
            </w: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7,094</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25,794</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21,943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1,217</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1,608</w:t>
            </w:r>
          </w:p>
        </w:tc>
        <w:tc>
          <w:tcPr>
            <w:tcW w:w="3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18,096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76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7,424</w:t>
            </w:r>
          </w:p>
        </w:tc>
        <w:tc>
          <w:tcPr>
            <w:tcW w:w="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5,486</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7,698</w:t>
            </w:r>
          </w:p>
        </w:tc>
        <w:tc>
          <w:tcPr>
            <w:tcW w:w="4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17,420</w:t>
            </w:r>
          </w:p>
        </w:tc>
        <w:tc>
          <w:tcPr>
            <w:tcW w:w="0" w:type="dxa"/>
            <w:vAlign w:val="bottom"/>
          </w:tcPr>
          <w:p>
            <w:pPr>
              <w:spacing w:after="0"/>
              <w:rPr>
                <w:sz w:val="1"/>
                <w:szCs w:val="1"/>
                <w:color w:val="auto"/>
              </w:rPr>
            </w:pPr>
          </w:p>
        </w:tc>
      </w:tr>
      <w:tr>
        <w:trPr>
          <w:trHeight w:val="75"/>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2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780" w:type="dxa"/>
            <w:vAlign w:val="bottom"/>
            <w:gridSpan w:val="2"/>
            <w:vMerge w:val="continue"/>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Basic</w:t>
            </w:r>
          </w:p>
        </w:tc>
        <w:tc>
          <w:tcPr>
            <w:tcW w:w="16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0.96</w:t>
            </w:r>
          </w:p>
        </w:tc>
        <w:tc>
          <w:tcPr>
            <w:tcW w:w="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0.71</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1.00</w:t>
            </w:r>
          </w:p>
        </w:tc>
        <w:tc>
          <w:tcPr>
            <w:tcW w:w="4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2.25</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0.95</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0.70</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0.99</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47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200"/>
              <w:spacing w:after="0" w:line="189" w:lineRule="exact"/>
              <w:rPr>
                <w:sz w:val="20"/>
                <w:szCs w:val="20"/>
                <w:color w:val="auto"/>
              </w:rPr>
            </w:pPr>
            <w:r>
              <w:rPr>
                <w:rFonts w:ascii="Arial" w:cs="Arial" w:eastAsia="Arial" w:hAnsi="Arial"/>
                <w:sz w:val="18"/>
                <w:szCs w:val="18"/>
                <w:color w:val="auto"/>
              </w:rPr>
              <w:t>Basic</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7,698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7,725</w:t>
            </w:r>
          </w:p>
        </w:tc>
        <w:tc>
          <w:tcPr>
            <w:tcW w:w="3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7,706</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7,756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Diluted</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7,794</w:t>
            </w: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7,813</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7,798</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7,840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7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0.42</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1.26</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8"/>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(In millions) (Unaudited)</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8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15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7,424</w:t>
            </w:r>
          </w:p>
        </w:tc>
        <w:tc>
          <w:tcPr>
            <w:tcW w:w="4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5,486</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7,698</w:t>
            </w:r>
          </w:p>
        </w:tc>
        <w:tc>
          <w:tcPr>
            <w:tcW w:w="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17,420</w:t>
            </w:r>
          </w:p>
        </w:tc>
        <w:tc>
          <w:tcPr>
            <w:tcW w:w="0" w:type="dxa"/>
            <w:vAlign w:val="bottom"/>
          </w:tcPr>
          <w:p>
            <w:pPr>
              <w:spacing w:after="0"/>
              <w:rPr>
                <w:sz w:val="1"/>
                <w:szCs w:val="1"/>
                <w:color w:val="auto"/>
              </w:rPr>
            </w:pPr>
          </w:p>
        </w:tc>
      </w:tr>
      <w:tr>
        <w:trPr>
          <w:trHeight w:val="68"/>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00" w:type="dxa"/>
            <w:vAlign w:val="bottom"/>
            <w:gridSpan w:val="2"/>
            <w:vMerge w:val="continue"/>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Net change related to derivatives</w:t>
            </w:r>
          </w:p>
        </w:tc>
        <w:tc>
          <w:tcPr>
            <w:tcW w:w="11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(225)</w:t>
            </w:r>
          </w:p>
        </w:tc>
        <w:tc>
          <w:tcPr>
            <w:tcW w:w="3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(106)</w:t>
            </w:r>
          </w:p>
        </w:tc>
        <w:tc>
          <w:tcPr>
            <w:tcW w:w="1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200"/>
              <w:spacing w:after="0" w:line="189" w:lineRule="exact"/>
              <w:rPr>
                <w:sz w:val="20"/>
                <w:szCs w:val="20"/>
                <w:color w:val="auto"/>
              </w:rPr>
            </w:pPr>
            <w:r>
              <w:rPr>
                <w:rFonts w:ascii="Arial" w:cs="Arial" w:eastAsia="Arial" w:hAnsi="Arial"/>
                <w:sz w:val="18"/>
                <w:szCs w:val="18"/>
                <w:color w:val="auto"/>
              </w:rPr>
              <w:t>Net change related to investments</w:t>
            </w: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gridSpan w:val="2"/>
          </w:tcPr>
          <w:p>
            <w:pPr>
              <w:jc w:val="right"/>
              <w:ind w:right="12"/>
              <w:spacing w:after="0" w:line="189" w:lineRule="exact"/>
              <w:rPr>
                <w:sz w:val="20"/>
                <w:szCs w:val="20"/>
                <w:color w:val="auto"/>
              </w:rPr>
            </w:pPr>
            <w:r>
              <w:rPr>
                <w:rFonts w:ascii="Arial" w:cs="Arial" w:eastAsia="Arial" w:hAnsi="Arial"/>
                <w:sz w:val="18"/>
                <w:szCs w:val="18"/>
                <w:b w:val="1"/>
                <w:bCs w:val="1"/>
                <w:color w:val="auto"/>
              </w:rPr>
              <w:t>(1,016)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65</w:t>
            </w:r>
          </w:p>
        </w:tc>
        <w:tc>
          <w:tcPr>
            <w:tcW w:w="36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(2,182)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Translation adjustments and other</w:t>
            </w:r>
          </w:p>
        </w:tc>
        <w:tc>
          <w:tcPr>
            <w:tcW w:w="11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255</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349</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508</w:t>
            </w:r>
          </w:p>
        </w:tc>
        <w:tc>
          <w:tcPr>
            <w:tcW w:w="1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comprehensive income (loss)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(754)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(1,780)</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15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6,670</w:t>
            </w:r>
          </w:p>
        </w:tc>
        <w:tc>
          <w:tcPr>
            <w:tcW w:w="4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5,675</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5,918</w:t>
            </w:r>
          </w:p>
        </w:tc>
        <w:tc>
          <w:tcPr>
            <w:tcW w:w="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16,467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 Refer to Note 18 – Accumulated Other Comprehensive Income (Loss) for further information.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8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6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9,221</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7,663</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123,049</w:t>
            </w:r>
          </w:p>
        </w:tc>
        <w:tc>
          <w:tcPr>
            <w:tcW w:w="2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125,318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cash, cash equivalents, and short-term investments</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132,270</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132,981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ind w:left="20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$311</w:t>
            </w:r>
            <w:r>
              <w:rPr>
                <w:rFonts w:ascii="Arial" w:cs="Arial" w:eastAsia="Arial" w:hAnsi="Arial"/>
                <w:sz w:val="18"/>
                <w:szCs w:val="18"/>
                <w:color w:val="auto"/>
              </w:rPr>
              <w:t xml:space="preserve"> and $345</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17,208</w:t>
            </w:r>
          </w:p>
        </w:tc>
        <w:tc>
          <w:tcPr>
            <w:tcW w:w="280" w:type="dxa"/>
            <w:vAlign w:val="bottom"/>
          </w:tcPr>
          <w:p>
            <w:pPr>
              <w:spacing w:after="0"/>
              <w:rPr>
                <w:sz w:val="16"/>
                <w:szCs w:val="16"/>
                <w:color w:val="auto"/>
              </w:rPr>
            </w:pPr>
          </w:p>
        </w:tc>
        <w:tc>
          <w:tcPr>
            <w:tcW w:w="9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Inventories</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2,084</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2,181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5,097</w:t>
            </w:r>
          </w:p>
        </w:tc>
        <w:tc>
          <w:tcPr>
            <w:tcW w:w="2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current assets</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156,659</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162,696</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$28,377</w:t>
            </w:r>
            <w:r>
              <w:rPr>
                <w:rFonts w:ascii="Arial" w:cs="Arial" w:eastAsia="Arial" w:hAnsi="Arial"/>
                <w:sz w:val="18"/>
                <w:szCs w:val="18"/>
                <w:color w:val="auto"/>
              </w:rPr>
              <w:t xml:space="preserve"> and $24,179</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27,929</w:t>
            </w:r>
          </w:p>
        </w:tc>
        <w:tc>
          <w:tcPr>
            <w:tcW w:w="280" w:type="dxa"/>
            <w:vAlign w:val="bottom"/>
          </w:tcPr>
          <w:p>
            <w:pPr>
              <w:spacing w:after="0"/>
              <w:rPr>
                <w:sz w:val="16"/>
                <w:szCs w:val="16"/>
                <w:color w:val="auto"/>
              </w:rPr>
            </w:pPr>
          </w:p>
        </w:tc>
        <w:tc>
          <w:tcPr>
            <w:tcW w:w="9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23,734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6,859</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6,555</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spacing w:after="0" w:line="189" w:lineRule="exact"/>
              <w:rPr>
                <w:sz w:val="20"/>
                <w:szCs w:val="20"/>
                <w:color w:val="auto"/>
              </w:rPr>
            </w:pPr>
            <w:r>
              <w:rPr>
                <w:rFonts w:ascii="Arial" w:cs="Arial" w:eastAsia="Arial" w:hAnsi="Arial"/>
                <w:sz w:val="18"/>
                <w:szCs w:val="18"/>
                <w:color w:val="auto"/>
              </w:rPr>
              <w:t>Equity and other investments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2,818</w:t>
            </w:r>
          </w:p>
        </w:tc>
        <w:tc>
          <w:tcPr>
            <w:tcW w:w="28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Goodwill</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35,582</w:t>
            </w:r>
          </w:p>
        </w:tc>
        <w:tc>
          <w:tcPr>
            <w:tcW w:w="2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35,122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8,544</w:t>
            </w:r>
          </w:p>
        </w:tc>
        <w:tc>
          <w:tcPr>
            <w:tcW w:w="280" w:type="dxa"/>
            <w:vAlign w:val="bottom"/>
          </w:tcPr>
          <w:p>
            <w:pPr>
              <w:spacing w:after="0"/>
              <w:rPr>
                <w:sz w:val="16"/>
                <w:szCs w:val="16"/>
                <w:color w:val="auto"/>
              </w:rPr>
            </w:pPr>
          </w:p>
        </w:tc>
        <w:tc>
          <w:tcPr>
            <w:tcW w:w="9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7,106</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6,076</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245,497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250,312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8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6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Accounts payable</w:t>
            </w:r>
          </w:p>
        </w:tc>
        <w:tc>
          <w:tcPr>
            <w:tcW w:w="9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7,623</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7,390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ind w:left="200"/>
              <w:spacing w:after="0" w:line="189" w:lineRule="exact"/>
              <w:rPr>
                <w:sz w:val="20"/>
                <w:szCs w:val="20"/>
                <w:color w:val="auto"/>
              </w:rPr>
            </w:pPr>
            <w:r>
              <w:rPr>
                <w:rFonts w:ascii="Arial" w:cs="Arial" w:eastAsia="Arial" w:hAnsi="Arial"/>
                <w:sz w:val="18"/>
                <w:szCs w:val="18"/>
                <w:color w:val="auto"/>
              </w:rPr>
              <w:t>Short-term debt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230</w:t>
            </w:r>
          </w:p>
        </w:tc>
        <w:tc>
          <w:tcPr>
            <w:tcW w:w="28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9,072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Current portion of long-term debt</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3,447</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1,049</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ind w:left="200"/>
              <w:spacing w:after="0" w:line="189" w:lineRule="exact"/>
              <w:rPr>
                <w:sz w:val="20"/>
                <w:szCs w:val="20"/>
                <w:color w:val="auto"/>
              </w:rPr>
            </w:pPr>
            <w:r>
              <w:rPr>
                <w:rFonts w:ascii="Arial" w:cs="Arial" w:eastAsia="Arial" w:hAnsi="Arial"/>
                <w:sz w:val="18"/>
                <w:szCs w:val="18"/>
                <w:color w:val="auto"/>
              </w:rPr>
              <w:t>Accrued compensation</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5,149</w:t>
            </w:r>
          </w:p>
        </w:tc>
        <w:tc>
          <w:tcPr>
            <w:tcW w:w="28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5,819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Short-term income taxes</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814</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718</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ind w:left="200"/>
              <w:spacing w:after="0" w:line="189" w:lineRule="exact"/>
              <w:rPr>
                <w:sz w:val="20"/>
                <w:szCs w:val="20"/>
                <w:color w:val="auto"/>
              </w:rPr>
            </w:pPr>
            <w:r>
              <w:rPr>
                <w:rFonts w:ascii="Arial" w:cs="Arial" w:eastAsia="Arial" w:hAnsi="Arial"/>
                <w:sz w:val="18"/>
                <w:szCs w:val="18"/>
                <w:color w:val="auto"/>
              </w:rPr>
              <w:t>Short-term unearned revenue</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21,370</w:t>
            </w:r>
          </w:p>
        </w:tc>
        <w:tc>
          <w:tcPr>
            <w:tcW w:w="280" w:type="dxa"/>
            <w:vAlign w:val="bottom"/>
          </w:tcPr>
          <w:p>
            <w:pPr>
              <w:spacing w:after="0"/>
              <w:rPr>
                <w:sz w:val="16"/>
                <w:szCs w:val="16"/>
                <w:color w:val="auto"/>
              </w:rPr>
            </w:pPr>
          </w:p>
        </w:tc>
        <w:tc>
          <w:tcPr>
            <w:tcW w:w="9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24,013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7,500</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7,684</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46,133</w:t>
            </w:r>
          </w:p>
        </w:tc>
        <w:tc>
          <w:tcPr>
            <w:tcW w:w="28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55,745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debt</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73,480</w:t>
            </w:r>
          </w:p>
        </w:tc>
        <w:tc>
          <w:tcPr>
            <w:tcW w:w="2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76,073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spacing w:after="0" w:line="189" w:lineRule="exact"/>
              <w:rPr>
                <w:sz w:val="20"/>
                <w:szCs w:val="20"/>
                <w:color w:val="auto"/>
              </w:rPr>
            </w:pPr>
            <w:r>
              <w:rPr>
                <w:rFonts w:ascii="Arial" w:cs="Arial" w:eastAsia="Arial" w:hAnsi="Arial"/>
                <w:sz w:val="18"/>
                <w:szCs w:val="18"/>
                <w:color w:val="auto"/>
              </w:rPr>
              <w:t>Long-term income taxes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30,669</w:t>
            </w:r>
          </w:p>
        </w:tc>
        <w:tc>
          <w:tcPr>
            <w:tcW w:w="280" w:type="dxa"/>
            <w:vAlign w:val="bottom"/>
          </w:tcPr>
          <w:p>
            <w:pPr>
              <w:spacing w:after="0"/>
              <w:rPr>
                <w:sz w:val="16"/>
                <w:szCs w:val="16"/>
                <w:color w:val="auto"/>
              </w:rPr>
            </w:pPr>
          </w:p>
        </w:tc>
        <w:tc>
          <w:tcPr>
            <w:tcW w:w="9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13,485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unearned revenue</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2,585</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2,643</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spacing w:after="0" w:line="189" w:lineRule="exact"/>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2,417</w:t>
            </w:r>
          </w:p>
        </w:tc>
        <w:tc>
          <w:tcPr>
            <w:tcW w:w="28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5,734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5,751</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5,372</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5,223</w:t>
            </w:r>
          </w:p>
        </w:tc>
        <w:tc>
          <w:tcPr>
            <w:tcW w:w="2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640"/>
              <w:spacing w:after="0" w:line="189" w:lineRule="exact"/>
              <w:rPr>
                <w:sz w:val="20"/>
                <w:szCs w:val="20"/>
                <w:color w:val="auto"/>
              </w:rPr>
            </w:pPr>
            <w:r>
              <w:rPr>
                <w:rFonts w:ascii="Arial" w:cs="Arial" w:eastAsia="Arial" w:hAnsi="Arial"/>
                <w:sz w:val="18"/>
                <w:szCs w:val="18"/>
                <w:color w:val="auto"/>
              </w:rPr>
              <w:t>Total liabilities</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166,258</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162,601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Stockholders’ equity:</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tcPr>
          <w:p>
            <w:pPr>
              <w:ind w:left="20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7,690</w:t>
            </w:r>
            <w:r>
              <w:rPr>
                <w:rFonts w:ascii="Arial" w:cs="Arial" w:eastAsia="Arial" w:hAnsi="Arial"/>
                <w:sz w:val="18"/>
                <w:szCs w:val="18"/>
                <w:color w:val="auto"/>
              </w:rPr>
              <w:t xml:space="preserve"> and 7,708</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70,418</w:t>
            </w:r>
          </w:p>
        </w:tc>
        <w:tc>
          <w:tcPr>
            <w:tcW w:w="280" w:type="dxa"/>
            <w:vAlign w:val="bottom"/>
          </w:tcPr>
          <w:p>
            <w:pPr>
              <w:spacing w:after="0"/>
              <w:rPr>
                <w:sz w:val="16"/>
                <w:szCs w:val="16"/>
                <w:color w:val="auto"/>
              </w:rPr>
            </w:pPr>
          </w:p>
        </w:tc>
        <w:tc>
          <w:tcPr>
            <w:tcW w:w="9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69,315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Retained earnings</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9,974</w:t>
            </w:r>
          </w:p>
        </w:tc>
        <w:tc>
          <w:tcPr>
            <w:tcW w:w="2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17,769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(1,153)</w:t>
            </w:r>
          </w:p>
        </w:tc>
        <w:tc>
          <w:tcPr>
            <w:tcW w:w="2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shd w:val="clear" w:color="auto" w:fill="E5E5E5"/>
          </w:tcPr>
          <w:p>
            <w:pPr>
              <w:ind w:left="640"/>
              <w:spacing w:after="0" w:line="189" w:lineRule="exact"/>
              <w:rPr>
                <w:sz w:val="20"/>
                <w:szCs w:val="20"/>
                <w:color w:val="auto"/>
              </w:rPr>
            </w:pPr>
            <w:r>
              <w:rPr>
                <w:rFonts w:ascii="Arial" w:cs="Arial" w:eastAsia="Arial" w:hAnsi="Arial"/>
                <w:sz w:val="18"/>
                <w:szCs w:val="18"/>
                <w:color w:val="auto"/>
              </w:rPr>
              <w:t>Total stockholders’ equity</w:t>
            </w:r>
          </w:p>
        </w:tc>
        <w:tc>
          <w:tcPr>
            <w:tcW w:w="6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79,239</w:t>
            </w:r>
          </w:p>
        </w:tc>
        <w:tc>
          <w:tcPr>
            <w:tcW w:w="2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87,711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245,497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250,312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8"/>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millions) (Unaudited)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Operations</w:t>
            </w: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7,424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5,486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7,698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Adjustments to reconcile net income to net cash from operations:</w:t>
            </w: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Depreciation, amortization, and other</w:t>
            </w:r>
          </w:p>
        </w:tc>
        <w:tc>
          <w:tcPr>
            <w:tcW w:w="320" w:type="dxa"/>
            <w:vAlign w:val="bottom"/>
          </w:tcPr>
          <w:p>
            <w:pPr>
              <w:spacing w:after="0"/>
              <w:rPr>
                <w:sz w:val="21"/>
                <w:szCs w:val="21"/>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2,710</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7,745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E5E5E5"/>
          </w:tcPr>
          <w:p>
            <w:pPr>
              <w:spacing w:after="0"/>
              <w:rPr>
                <w:sz w:val="21"/>
                <w:szCs w:val="21"/>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969</w:t>
            </w:r>
          </w:p>
        </w:tc>
        <w:tc>
          <w:tcPr>
            <w:tcW w:w="2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2,928</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Net recognized gains on investments and derivatives</w:t>
            </w:r>
          </w:p>
        </w:tc>
        <w:tc>
          <w:tcPr>
            <w:tcW w:w="320" w:type="dxa"/>
            <w:vAlign w:val="bottom"/>
          </w:tcPr>
          <w:p>
            <w:pPr>
              <w:spacing w:after="0"/>
              <w:rPr>
                <w:sz w:val="21"/>
                <w:szCs w:val="21"/>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(438)</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(1,645)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(396)</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(2,754)</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1,285</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1,415</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5,326</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(149)</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(113)</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21"/>
                <w:szCs w:val="21"/>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(213)</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(393)</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138</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21"/>
                <w:szCs w:val="21"/>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91</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(2,780)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E5E5E5"/>
          </w:tcPr>
          <w:p>
            <w:pPr>
              <w:spacing w:after="0"/>
              <w:rPr>
                <w:sz w:val="21"/>
                <w:szCs w:val="21"/>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645</w:t>
            </w:r>
          </w:p>
        </w:tc>
        <w:tc>
          <w:tcPr>
            <w:tcW w:w="2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17,280</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546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E5E5E5"/>
          </w:tcPr>
          <w:p>
            <w:pPr>
              <w:spacing w:after="0"/>
              <w:rPr>
                <w:sz w:val="21"/>
                <w:szCs w:val="21"/>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145</w:t>
            </w:r>
          </w:p>
        </w:tc>
        <w:tc>
          <w:tcPr>
            <w:tcW w:w="2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346</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060" w:type="dxa"/>
            <w:vAlign w:val="bottom"/>
          </w:tcPr>
          <w:p>
            <w:pPr>
              <w:ind w:left="640"/>
              <w:spacing w:after="0"/>
              <w:rPr>
                <w:sz w:val="20"/>
                <w:szCs w:val="20"/>
                <w:color w:val="auto"/>
              </w:rPr>
            </w:pPr>
            <w:r>
              <w:rPr>
                <w:rFonts w:ascii="Arial" w:cs="Arial" w:eastAsia="Arial" w:hAnsi="Arial"/>
                <w:sz w:val="18"/>
                <w:szCs w:val="18"/>
                <w:color w:val="auto"/>
              </w:rPr>
              <w:t>Net cash from operations</w:t>
            </w:r>
          </w:p>
        </w:tc>
        <w:tc>
          <w:tcPr>
            <w:tcW w:w="320" w:type="dxa"/>
            <w:vAlign w:val="bottom"/>
          </w:tcPr>
          <w:p>
            <w:pPr>
              <w:spacing w:after="0"/>
              <w:rPr>
                <w:sz w:val="24"/>
                <w:szCs w:val="24"/>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12,151</w:t>
            </w:r>
          </w:p>
        </w:tc>
        <w:tc>
          <w:tcPr>
            <w:tcW w:w="3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10,660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32,466</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28,502</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w:t>
            </w: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Repayments of short-term debt, maturities of 90 days or less, net</w:t>
            </w:r>
          </w:p>
        </w:tc>
        <w:tc>
          <w:tcPr>
            <w:tcW w:w="320" w:type="dxa"/>
            <w:vAlign w:val="bottom"/>
          </w:tcPr>
          <w:p>
            <w:pPr>
              <w:spacing w:after="0"/>
              <w:rPr>
                <w:sz w:val="21"/>
                <w:szCs w:val="21"/>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(7,373)</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(7,324)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issuance of debt</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7,183</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42,593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Repayments of debt</w:t>
            </w:r>
          </w:p>
        </w:tc>
        <w:tc>
          <w:tcPr>
            <w:tcW w:w="320" w:type="dxa"/>
            <w:vAlign w:val="bottom"/>
          </w:tcPr>
          <w:p>
            <w:pPr>
              <w:spacing w:after="0"/>
              <w:rPr>
                <w:sz w:val="21"/>
                <w:szCs w:val="21"/>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(4,883)</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(9,379)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Common stock issued</w:t>
            </w:r>
          </w:p>
        </w:tc>
        <w:tc>
          <w:tcPr>
            <w:tcW w:w="320" w:type="dxa"/>
            <w:vAlign w:val="bottom"/>
            <w:shd w:val="clear" w:color="auto" w:fill="E5E5E5"/>
          </w:tcPr>
          <w:p>
            <w:pPr>
              <w:spacing w:after="0"/>
              <w:rPr>
                <w:sz w:val="21"/>
                <w:szCs w:val="21"/>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251</w:t>
            </w:r>
          </w:p>
        </w:tc>
        <w:tc>
          <w:tcPr>
            <w:tcW w:w="2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747</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320" w:type="dxa"/>
            <w:vAlign w:val="bottom"/>
          </w:tcPr>
          <w:p>
            <w:pPr>
              <w:spacing w:after="0"/>
              <w:rPr>
                <w:sz w:val="21"/>
                <w:szCs w:val="21"/>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(3,781)</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(8,359)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Common stock cash dividends paid</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(3,232)</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(3,012)</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(9,473)</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2"/>
                <w:szCs w:val="22"/>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(640)</w:t>
            </w:r>
          </w:p>
        </w:tc>
        <w:tc>
          <w:tcPr>
            <w:tcW w:w="3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Net cash from (used in) financing</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(19,658)</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(6,236)</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(27,551)</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11,109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Investing</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Additions to property and equipment</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(2,934)</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(7,652)</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Acquisition of companies, net of cash acquired, and purchases of</w:t>
            </w:r>
          </w:p>
        </w:tc>
        <w:tc>
          <w:tcPr>
            <w:tcW w:w="320" w:type="dxa"/>
            <w:vAlign w:val="bottom"/>
          </w:tcPr>
          <w:p>
            <w:pPr>
              <w:spacing w:after="0"/>
              <w:rPr>
                <w:sz w:val="17"/>
                <w:szCs w:val="17"/>
                <w:color w:val="auto"/>
              </w:rPr>
            </w:pPr>
          </w:p>
        </w:tc>
        <w:tc>
          <w:tcPr>
            <w:tcW w:w="1040" w:type="dxa"/>
            <w:vAlign w:val="bottom"/>
            <w:gridSpan w:val="2"/>
            <w:vMerge w:val="restart"/>
          </w:tcPr>
          <w:p>
            <w:pPr>
              <w:jc w:val="right"/>
              <w:ind w:right="92"/>
              <w:spacing w:after="0"/>
              <w:rPr>
                <w:sz w:val="20"/>
                <w:szCs w:val="20"/>
                <w:color w:val="auto"/>
              </w:rPr>
            </w:pPr>
            <w:r>
              <w:rPr>
                <w:rFonts w:ascii="Arial" w:cs="Arial" w:eastAsia="Arial" w:hAnsi="Arial"/>
                <w:sz w:val="18"/>
                <w:szCs w:val="18"/>
                <w:b w:val="1"/>
                <w:bCs w:val="1"/>
                <w:color w:val="auto"/>
              </w:rPr>
              <w:t>(248)</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(454)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line="203" w:lineRule="exact"/>
              <w:rPr>
                <w:sz w:val="20"/>
                <w:szCs w:val="20"/>
                <w:color w:val="auto"/>
              </w:rPr>
            </w:pPr>
            <w:r>
              <w:rPr>
                <w:rFonts w:ascii="Arial" w:cs="Arial" w:eastAsia="Arial" w:hAnsi="Arial"/>
                <w:sz w:val="18"/>
                <w:szCs w:val="18"/>
                <w:color w:val="auto"/>
              </w:rPr>
              <w:t>intangible and other assets</w:t>
            </w:r>
          </w:p>
        </w:tc>
        <w:tc>
          <w:tcPr>
            <w:tcW w:w="3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(25,586)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Purchases of investments</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(26,885)</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(43,918)</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(105,000)</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(147,874)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Maturities of investments</w:t>
            </w:r>
          </w:p>
        </w:tc>
        <w:tc>
          <w:tcPr>
            <w:tcW w:w="320" w:type="dxa"/>
            <w:vAlign w:val="bottom"/>
          </w:tcPr>
          <w:p>
            <w:pPr>
              <w:spacing w:after="0"/>
              <w:rPr>
                <w:sz w:val="21"/>
                <w:szCs w:val="21"/>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7,674</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19,252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22,234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Sales of investments</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26,256</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36,444</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90,553</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117,754</w:t>
            </w:r>
          </w:p>
        </w:tc>
        <w:tc>
          <w:tcPr>
            <w:tcW w:w="1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Securities lending payable</w:t>
            </w:r>
          </w:p>
        </w:tc>
        <w:tc>
          <w:tcPr>
            <w:tcW w:w="320" w:type="dxa"/>
            <w:vAlign w:val="bottom"/>
          </w:tcPr>
          <w:p>
            <w:pPr>
              <w:spacing w:after="0"/>
              <w:rPr>
                <w:sz w:val="22"/>
                <w:szCs w:val="22"/>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(19)</w:t>
            </w:r>
          </w:p>
        </w:tc>
        <w:tc>
          <w:tcPr>
            <w:tcW w:w="3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Net cash from (used in) investing</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3,844</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(6,191)</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(3,391)</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(39,412)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080" w:type="dxa"/>
            <w:vAlign w:val="bottom"/>
            <w:gridSpan w:val="2"/>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320" w:type="dxa"/>
            <w:vAlign w:val="bottom"/>
          </w:tcPr>
          <w:p>
            <w:pPr>
              <w:spacing w:after="0"/>
              <w:rPr>
                <w:sz w:val="24"/>
                <w:szCs w:val="24"/>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(3,638)</w:t>
            </w:r>
          </w:p>
        </w:tc>
        <w:tc>
          <w:tcPr>
            <w:tcW w:w="30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(1,755)</w:t>
            </w:r>
          </w:p>
        </w:tc>
        <w:tc>
          <w:tcPr>
            <w:tcW w:w="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1,558</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Pr>
          <w:p>
            <w:pPr>
              <w:spacing w:after="0"/>
              <w:rPr>
                <w:sz w:val="22"/>
                <w:szCs w:val="22"/>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12,859</w:t>
            </w:r>
          </w:p>
        </w:tc>
        <w:tc>
          <w:tcPr>
            <w:tcW w:w="30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8,468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7,663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9,221</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6,713</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9,221</w:t>
            </w:r>
          </w:p>
        </w:tc>
        <w:tc>
          <w:tcPr>
            <w:tcW w:w="4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0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8"/>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millions) (Unaudited)</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9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2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72"/>
              <w:spacing w:after="0" w:line="189" w:lineRule="exact"/>
              <w:rPr>
                <w:sz w:val="20"/>
                <w:szCs w:val="20"/>
                <w:color w:val="auto"/>
              </w:rPr>
            </w:pPr>
            <w:r>
              <w:rPr>
                <w:rFonts w:ascii="Arial" w:cs="Arial" w:eastAsia="Arial" w:hAnsi="Arial"/>
                <w:sz w:val="18"/>
                <w:szCs w:val="18"/>
                <w:b w:val="1"/>
                <w:bCs w:val="1"/>
                <w:color w:val="auto"/>
              </w:rPr>
              <w:t>70,192</w:t>
            </w:r>
          </w:p>
        </w:tc>
        <w:tc>
          <w:tcPr>
            <w:tcW w:w="4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68,177</w:t>
            </w: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69,315</w:t>
            </w:r>
          </w:p>
        </w:tc>
        <w:tc>
          <w:tcPr>
            <w:tcW w:w="440" w:type="dxa"/>
            <w:vAlign w:val="bottom"/>
            <w:gridSpan w:val="3"/>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68,178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9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251</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179</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747</w:t>
            </w:r>
          </w:p>
        </w:tc>
        <w:tc>
          <w:tcPr>
            <w:tcW w:w="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551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ind w:right="12"/>
              <w:spacing w:after="0" w:line="189" w:lineRule="exact"/>
              <w:rPr>
                <w:sz w:val="20"/>
                <w:szCs w:val="20"/>
                <w:color w:val="auto"/>
              </w:rPr>
            </w:pPr>
            <w:r>
              <w:rPr>
                <w:rFonts w:ascii="Arial" w:cs="Arial" w:eastAsia="Arial" w:hAnsi="Arial"/>
                <w:sz w:val="18"/>
                <w:szCs w:val="18"/>
                <w:b w:val="1"/>
                <w:bCs w:val="1"/>
                <w:color w:val="auto"/>
              </w:rPr>
              <w:t>(995)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(684)</w:t>
            </w:r>
          </w:p>
        </w:tc>
        <w:tc>
          <w:tcPr>
            <w:tcW w:w="34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(2,572)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969</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883</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2,928</w:t>
            </w:r>
          </w:p>
        </w:tc>
        <w:tc>
          <w:tcPr>
            <w:tcW w:w="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2,353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Balance, end of period</w:t>
            </w:r>
          </w:p>
        </w:tc>
        <w:tc>
          <w:tcPr>
            <w:tcW w:w="9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70,418</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68,554</w:t>
            </w: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70,418</w:t>
            </w:r>
          </w:p>
        </w:tc>
        <w:tc>
          <w:tcPr>
            <w:tcW w:w="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68,554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9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8,567</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13,000</w:t>
            </w: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17,769</w:t>
            </w:r>
          </w:p>
        </w:tc>
        <w:tc>
          <w:tcPr>
            <w:tcW w:w="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13,118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ind w:right="72"/>
              <w:spacing w:after="0" w:line="189" w:lineRule="exact"/>
              <w:rPr>
                <w:sz w:val="20"/>
                <w:szCs w:val="20"/>
                <w:color w:val="auto"/>
              </w:rPr>
            </w:pPr>
            <w:r>
              <w:rPr>
                <w:rFonts w:ascii="Arial" w:cs="Arial" w:eastAsia="Arial" w:hAnsi="Arial"/>
                <w:sz w:val="18"/>
                <w:szCs w:val="18"/>
                <w:b w:val="1"/>
                <w:bCs w:val="1"/>
                <w:color w:val="auto"/>
              </w:rPr>
              <w:t>7,424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5,486</w:t>
            </w:r>
          </w:p>
        </w:tc>
        <w:tc>
          <w:tcPr>
            <w:tcW w:w="34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7,698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17,420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9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(3,225)</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(3,009)</w:t>
            </w: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(9,696)</w:t>
            </w:r>
          </w:p>
        </w:tc>
        <w:tc>
          <w:tcPr>
            <w:tcW w:w="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(9,037)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(2,792)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(1,381)</w:t>
            </w:r>
          </w:p>
        </w:tc>
        <w:tc>
          <w:tcPr>
            <w:tcW w:w="3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(5,797)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Balance, end of period</w:t>
            </w:r>
          </w:p>
        </w:tc>
        <w:tc>
          <w:tcPr>
            <w:tcW w:w="9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9,974</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14,096</w:t>
            </w: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9,974</w:t>
            </w:r>
          </w:p>
        </w:tc>
        <w:tc>
          <w:tcPr>
            <w:tcW w:w="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14,096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9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(399)</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652</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627</w:t>
            </w:r>
          </w:p>
        </w:tc>
        <w:tc>
          <w:tcPr>
            <w:tcW w:w="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1,794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(1,780)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Balance, end of period</w:t>
            </w:r>
          </w:p>
        </w:tc>
        <w:tc>
          <w:tcPr>
            <w:tcW w:w="9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(1,153)</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841</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(1,153)</w:t>
            </w:r>
          </w:p>
        </w:tc>
        <w:tc>
          <w:tcPr>
            <w:tcW w:w="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841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1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79,239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83,491</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79,239</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83,491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2017 Form 10-K filed with the U.S. Securities and Exchange Commission on August 2, 2017.</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recast certain prior period income tax liabilities as discussed in the Recent Tax Legislation section below. We have also recast prior period securities lending payables to other current liabilities on our consolidated balance sheets to conform to the current period presentation, with no impact on consolidated net income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 Equity investments for which we are able to exercise significant influence over but do not control the investee and are not the primary beneficiary of the investee’s activities are accounted for using the equity method. Investments for which we are not able to exercise significant influence over the investee and which do not have readily determinable fair values are accounted for under the cost method.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future tax consequences of events that have been recognized on our consolidated financial statements or tax returns; and determining when investment impairments are other-than-temporary. Actual results and outcomes may differ from management’s estimates and assumptions.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and Service and Other Revenue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 revenue includes sales from operating systems; cross-device productivity applications; server applications; business solution applications; desktop and server management tools; software development tools; video games; and hardware such as PCs, tablets, gaming and entertainment consoles, other intelligent devices, and related accessories.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Service and other revenue includes sales from cloud-based solutions that provide customers with software, services, platforms, and content such as Microsoft Office 365, Microsoft Azure, Microsoft Dynamics 365, and Xbox Live; solution support; and consulting services. Service and other revenue also includes sales from online advertising and LinkedIn.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 w:name="page9"/>
    <w:bookmarkEnd w:id="8"/>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Cloud services, which allow customers to use hosted software over the contract period without taking possession of the software,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 from search advertising is recognized when the advertisement appears in the search results or when the action necessary to earn the revenue has been completed. Revenue from consulting services is recognized as services are provided.</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19 – Segment Information and Geographic Data for further information, including revenue by significant product and service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4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Our products are generally sold with a right of return and we may provide other credits or incentives, which are accounted for as variable consideration when estimating the amount of revenue to recognize. Returns and credits are estimated at contract inception and updated at the end of each reporting period as additional information becomes available.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current and long-term accounts receivable, net of allowance for doubtful accounts, was $22.3 billion as of July 1, 2016.</w:t>
      </w:r>
    </w:p>
    <w:p>
      <w:pPr>
        <w:spacing w:after="0" w:line="15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March 31, 2018 and June 30, 2017, long-term accounts receivable, net of allowance for doubtful accounts, were $1.6 billion and $1.7 billion, respectively, and are included in other long-term assets on our consolidated balance sheets.</w:t>
      </w:r>
    </w:p>
    <w:p>
      <w:pPr>
        <w:spacing w:after="0" w:line="143"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The allowance for doubtful accounts reflects our best estimate of probable losses inherent in the accounts receivable balance. We determine the allowance based on known troubled accounts, historical experience, and other currently available evidence.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69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March 31, 2018</w:t>
            </w:r>
          </w:p>
        </w:tc>
        <w:tc>
          <w:tcPr>
            <w:tcW w:w="4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160" w:type="dxa"/>
            <w:vAlign w:val="bottom"/>
          </w:tcPr>
          <w:p>
            <w:pPr>
              <w:spacing w:after="0"/>
              <w:rPr>
                <w:sz w:val="4"/>
                <w:szCs w:val="4"/>
                <w:color w:val="auto"/>
              </w:rPr>
            </w:pPr>
          </w:p>
        </w:tc>
        <w:tc>
          <w:tcPr>
            <w:tcW w:w="4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528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361</w:t>
            </w:r>
          </w:p>
        </w:tc>
        <w:tc>
          <w:tcPr>
            <w:tcW w:w="1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ind w:left="200"/>
              <w:spacing w:after="0" w:line="189" w:lineRule="exact"/>
              <w:rPr>
                <w:sz w:val="20"/>
                <w:szCs w:val="20"/>
                <w:color w:val="auto"/>
              </w:rPr>
            </w:pPr>
            <w:r>
              <w:rPr>
                <w:rFonts w:ascii="Arial" w:cs="Arial" w:eastAsia="Arial" w:hAnsi="Arial"/>
                <w:sz w:val="18"/>
                <w:szCs w:val="18"/>
                <w:color w:val="auto"/>
              </w:rPr>
              <w:t>Charged to costs and other</w:t>
            </w:r>
          </w:p>
        </w:tc>
        <w:tc>
          <w:tcPr>
            <w:tcW w:w="4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Write-offs</w:t>
            </w:r>
          </w:p>
        </w:tc>
        <w:tc>
          <w:tcPr>
            <w:tcW w:w="464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60" w:type="dxa"/>
            <w:vAlign w:val="bottom"/>
            <w:tcBorders>
              <w:bottom w:val="single" w:sz="8" w:color="auto"/>
            </w:tcBorders>
          </w:tcPr>
          <w:p>
            <w:pPr>
              <w:spacing w:after="0"/>
              <w:rPr>
                <w:sz w:val="5"/>
                <w:szCs w:val="5"/>
                <w:color w:val="auto"/>
              </w:rPr>
            </w:pPr>
          </w:p>
        </w:tc>
        <w:tc>
          <w:tcPr>
            <w:tcW w:w="528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18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5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Reported as of March 31, 2018</w:t>
            </w:r>
          </w:p>
        </w:tc>
        <w:tc>
          <w:tcPr>
            <w:tcW w:w="464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180" w:type="dxa"/>
            <w:vAlign w:val="bottom"/>
            <w:gridSpan w:val="2"/>
            <w:vMerge w:val="continue"/>
          </w:tcPr>
          <w:p>
            <w:pPr>
              <w:spacing w:after="0"/>
              <w:rPr>
                <w:sz w:val="19"/>
                <w:szCs w:val="19"/>
                <w:color w:val="auto"/>
              </w:rPr>
            </w:pPr>
          </w:p>
        </w:tc>
        <w:tc>
          <w:tcPr>
            <w:tcW w:w="4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160" w:type="dxa"/>
            <w:vAlign w:val="bottom"/>
          </w:tcPr>
          <w:p>
            <w:pPr>
              <w:spacing w:after="0"/>
              <w:rPr>
                <w:sz w:val="4"/>
                <w:szCs w:val="4"/>
                <w:color w:val="auto"/>
              </w:rPr>
            </w:pPr>
          </w:p>
        </w:tc>
        <w:tc>
          <w:tcPr>
            <w:tcW w:w="4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Accounts receivable, net of allowance for doubtful accounts</w:t>
            </w:r>
          </w:p>
        </w:tc>
        <w:tc>
          <w:tcPr>
            <w:tcW w:w="528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311</w:t>
            </w:r>
          </w:p>
        </w:tc>
        <w:tc>
          <w:tcPr>
            <w:tcW w:w="1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long-term assets</w:t>
            </w:r>
          </w:p>
        </w:tc>
        <w:tc>
          <w:tcPr>
            <w:tcW w:w="4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60" w:type="dxa"/>
            <w:vAlign w:val="bottom"/>
            <w:tcBorders>
              <w:top w:val="single" w:sz="8" w:color="auto"/>
            </w:tcBorders>
          </w:tcPr>
          <w:p>
            <w:pPr>
              <w:spacing w:after="0"/>
              <w:rPr>
                <w:sz w:val="5"/>
                <w:szCs w:val="5"/>
                <w:color w:val="auto"/>
              </w:rPr>
            </w:pPr>
          </w:p>
        </w:tc>
        <w:tc>
          <w:tcPr>
            <w:tcW w:w="46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E5E5E5"/>
          </w:tcPr>
          <w:p>
            <w:pPr>
              <w:ind w:left="240"/>
              <w:spacing w:after="0" w:line="189" w:lineRule="exact"/>
              <w:rPr>
                <w:sz w:val="20"/>
                <w:szCs w:val="20"/>
                <w:color w:val="auto"/>
              </w:rPr>
            </w:pPr>
            <w:r>
              <w:rPr>
                <w:rFonts w:ascii="Arial" w:cs="Arial" w:eastAsia="Arial" w:hAnsi="Arial"/>
                <w:sz w:val="18"/>
                <w:szCs w:val="18"/>
                <w:color w:val="auto"/>
              </w:rPr>
              <w:t>Total</w:t>
            </w:r>
          </w:p>
        </w:tc>
        <w:tc>
          <w:tcPr>
            <w:tcW w:w="528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328</w:t>
            </w:r>
          </w:p>
        </w:tc>
        <w:tc>
          <w:tcPr>
            <w:tcW w:w="1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160" w:type="dxa"/>
            <w:vAlign w:val="bottom"/>
          </w:tcPr>
          <w:p>
            <w:pPr>
              <w:spacing w:after="0"/>
              <w:rPr>
                <w:sz w:val="6"/>
                <w:szCs w:val="6"/>
                <w:color w:val="auto"/>
              </w:rPr>
            </w:pPr>
          </w:p>
        </w:tc>
        <w:tc>
          <w:tcPr>
            <w:tcW w:w="4640" w:type="dxa"/>
            <w:vAlign w:val="bottom"/>
            <w:vMerge w:val="restart"/>
          </w:tcPr>
          <w:p>
            <w:pPr>
              <w:jc w:val="right"/>
              <w:ind w:right="3934"/>
              <w:spacing w:after="0"/>
              <w:rPr>
                <w:sz w:val="20"/>
                <w:szCs w:val="20"/>
                <w:color w:val="auto"/>
              </w:rPr>
            </w:pPr>
            <w:r>
              <w:rPr>
                <w:rFonts w:ascii="Arial" w:cs="Arial" w:eastAsia="Arial" w:hAnsi="Arial"/>
                <w:sz w:val="14"/>
                <w:szCs w:val="14"/>
                <w:color w:val="auto"/>
              </w:rPr>
              <w:t>10</w:t>
            </w:r>
          </w:p>
        </w:tc>
        <w:tc>
          <w:tcPr>
            <w:tcW w:w="6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16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10" w:name="page11"/>
    <w:bookmarkEnd w:id="10"/>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SA and cloud services. Unearned revenue is generally invoiced annually at the beginning of each contract period for multi-year agreements and recognized ratably over the coverage period. Unearned revenue also includes payments for consulting services to be performed in the future; LinkedIn subscriptions; Office 365 subscriptions; Xbox Live subscriptions; Windows 10 post-delivery support; Dynamics business solutions; Skype prepaid credits and subscriptions; and other offerings for which we have been paid in advance and earn the revenue when we transfer control of the product or service.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14 – Unearned Revenue for further information, including unearned revenue by segment and changes in unearned revenue during the period.</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or to provide customers with financing. Examples include invoicing at the beginning of a subscription term with revenue recognized ratably over the contract period, and multi-year on-premises licenses that are invoiced annually with revenue recognized upfront.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Costs to Obtain a Contract with a Customer</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immaterial during the periods presented and are included in other current and long-term assets on our consolidated balance sheets.</w:t>
      </w:r>
    </w:p>
    <w:p>
      <w:pPr>
        <w:spacing w:after="0" w:line="14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apply a practical expedient to expense costs as incurred for costs to obtain a contract with a customer when the amortization period would have been one year or less. These costs include our internal sales force compensation program and certain partner sales incentive programs as we have determined annual compensation is commensurate with annual sales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on our consolidated balance sheets. Finance leases are included in property and equipment, other current liabilities, and other long-term liabilities on our consolidated balance sheets.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December 22, 2017, the Tax Cuts and Jobs Act (“TCJA”) was enacted into law, which significantly changes existing U.S. tax law and includes numerous provisions that affect our business. Refer to Note 12 – Income Taxes for further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 w:name="page12"/>
    <w:bookmarkEnd w:id="11"/>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a result of the TCJA, we have recast certain prior period income tax liabilities on our consolidated balance sheets to conform to the current period presentation. Previously reported balances were impacted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b w:val="1"/>
                <w:bCs w:val="1"/>
                <w:color w:val="auto"/>
              </w:rPr>
              <w:t>As</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40" w:type="dxa"/>
            <w:vAlign w:val="bottom"/>
          </w:tcPr>
          <w:p>
            <w:pPr>
              <w:jc w:val="right"/>
              <w:ind w:right="23"/>
              <w:spacing w:after="0" w:line="149" w:lineRule="exact"/>
              <w:rPr>
                <w:sz w:val="20"/>
                <w:szCs w:val="20"/>
                <w:color w:val="auto"/>
              </w:rPr>
            </w:pPr>
            <w:r>
              <w:rPr>
                <w:rFonts w:ascii="Arial" w:cs="Arial" w:eastAsia="Arial" w:hAnsi="Arial"/>
                <w:sz w:val="14"/>
                <w:szCs w:val="14"/>
                <w:b w:val="1"/>
                <w:bCs w:val="1"/>
                <w:color w:val="auto"/>
              </w:rPr>
              <w:t>Previously</w:t>
            </w:r>
          </w:p>
        </w:tc>
        <w:tc>
          <w:tcPr>
            <w:tcW w:w="52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8"/>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0" w:type="dxa"/>
            <w:vAlign w:val="bottom"/>
          </w:tcPr>
          <w:p>
            <w:pPr>
              <w:spacing w:after="0"/>
              <w:rPr>
                <w:sz w:val="15"/>
                <w:szCs w:val="15"/>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b w:val="1"/>
                <w:bCs w:val="1"/>
                <w:color w:val="auto"/>
              </w:rPr>
              <w:t>Reported</w:t>
            </w:r>
          </w:p>
        </w:tc>
        <w:tc>
          <w:tcPr>
            <w:tcW w:w="52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Balance Sheets</w:t>
            </w:r>
          </w:p>
        </w:tc>
        <w:tc>
          <w:tcPr>
            <w:tcW w:w="3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income taxes</w:t>
            </w:r>
          </w:p>
        </w:tc>
        <w:tc>
          <w:tcPr>
            <w:tcW w:w="360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23"/>
              <w:spacing w:after="0" w:line="189" w:lineRule="exact"/>
              <w:rPr>
                <w:sz w:val="20"/>
                <w:szCs w:val="20"/>
                <w:color w:val="auto"/>
              </w:rPr>
            </w:pPr>
            <w:r>
              <w:rPr>
                <w:rFonts w:ascii="Arial" w:cs="Arial" w:eastAsia="Arial" w:hAnsi="Arial"/>
                <w:sz w:val="18"/>
                <w:szCs w:val="18"/>
                <w:color w:val="auto"/>
              </w:rPr>
              <w:t>0</w:t>
            </w:r>
          </w:p>
        </w:tc>
        <w:tc>
          <w:tcPr>
            <w:tcW w:w="5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13,485</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60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Arial" w:cs="Arial" w:eastAsia="Arial" w:hAnsi="Arial"/>
                <w:sz w:val="18"/>
                <w:szCs w:val="18"/>
                <w:color w:val="auto"/>
              </w:rPr>
              <w:t>17,034</w:t>
            </w:r>
          </w:p>
        </w:tc>
        <w:tc>
          <w:tcPr>
            <w:tcW w:w="5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These adjustments had no impact on our consolidated income statements or net cash from or used in operating, financing, or investing on our consolidated cash flows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In February 2016, the Financial Accounting Standards Board (“FASB”) issued a new standard related to leases to increase transparency and comparability among organizations by requiring the recognition of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We are also required to recognize and measure leases existing at, or entered into after, the beginning of the earliest comparative period presented using a modified retrospective approach, with certain practical expedients available.</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elected to early adopt the standard effective July 1, 2017 concurrent with our adoption of the new standard related to revenue recognition. We elected the available practical expedients and implemented internal controls and key system functionality to enable the preparation of financial information on adoption.</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standard had a material impact on our consolidated balance sheets, but did not have an impact on our consolidated income statements. The most significant impact was the recognition of ROU assets and lease liabilities for operating leases, while our accounting for finance leases remained substantially unchanged. Adoption of the standard required us to restate certain previously reported results, including the recognition of additional ROU assets and lease liabilities for operating leases. Refer to Impacts to Previously Reported Results below for the impact of adoption of the standard on our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May 2014, the FASB issued a new standard related to revenue recognition. Under the standard,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w:t>
      </w:r>
    </w:p>
    <w:p>
      <w:pPr>
        <w:spacing w:after="0" w:line="14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elected to early adopt the standard effective July 1, 2017, using the full retrospective method, which required us to restate each prior reporting period presented. We implemented internal controls and key system functionality to enable the preparation of financial information on adoption.</w:t>
      </w:r>
    </w:p>
    <w:p>
      <w:pPr>
        <w:spacing w:after="0" w:line="14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most significant impact of the standard relates to our accounting for software license revenue. Specifically, for Windows 10, we recognize revenue predominantly at the time of billing and delivery rather than ratably over the life of the related device. For certain multi-year commercial software subscriptions that include both distinct software licenses and SA, we recognize license revenue at the time of contract execution rather than over the subscription period. Due to the complexity of certain of our commercial license subscription contracts, the actual revenue recognition treatment required under the standard depends on contract-specific terms and in some instances may vary from recognition at the time of billing. Revenue recognition related to our hardware, cloud offerings (such as Office 365), LinkedIn, and professional services remains substantially unchanged.</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12" w:name="page13"/>
    <w:bookmarkEnd w:id="12"/>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Adoption of the standard using the full retrospective method required us to restate certain previously reported results, including the recognition of additional revenue and an increase in the provision for income taxes, primarily due to the net change in Windows 10 revenue recognition. In addition, adoption of the standard resulted in an increase in accounts receivable and other current and long-term assets, driven by unbilled receivables from upfront recognition of revenue for certain multi-year commercial software subscriptions that include both distinct software licenses and SA; a reduction of unearned revenue, driven by the upfront recognition of license revenue from Windows 10 and certain multi-year commercial software subscriptions; and an increase in deferred income taxes, driven by the upfront recognition of revenue. Refer to Impacts to Previously Reported Results below for the impact of adoption of the standard on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to Previously Reported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Adoption of the standards related to revenue recognition and leases impacted our previously reported results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4"/>
                <w:szCs w:val="14"/>
                <w:b w:val="1"/>
                <w:bCs w:val="1"/>
                <w:color w:val="auto"/>
              </w:rPr>
              <w:t>New</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As</w:t>
            </w:r>
          </w:p>
        </w:tc>
        <w:tc>
          <w:tcPr>
            <w:tcW w:w="260" w:type="dxa"/>
            <w:vAlign w:val="bottom"/>
          </w:tcPr>
          <w:p>
            <w:pPr>
              <w:spacing w:after="0"/>
              <w:rPr>
                <w:sz w:val="12"/>
                <w:szCs w:val="12"/>
                <w:color w:val="auto"/>
              </w:rPr>
            </w:pPr>
          </w:p>
        </w:tc>
        <w:tc>
          <w:tcPr>
            <w:tcW w:w="94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rPr>
              <w:t>Revenue</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Previously</w:t>
            </w:r>
          </w:p>
        </w:tc>
        <w:tc>
          <w:tcPr>
            <w:tcW w:w="260" w:type="dxa"/>
            <w:vAlign w:val="bottom"/>
          </w:tcPr>
          <w:p>
            <w:pPr>
              <w:spacing w:after="0"/>
              <w:rPr>
                <w:sz w:val="12"/>
                <w:szCs w:val="12"/>
                <w:color w:val="auto"/>
              </w:rPr>
            </w:pPr>
          </w:p>
        </w:tc>
        <w:tc>
          <w:tcPr>
            <w:tcW w:w="94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rPr>
              <w:t>Standard</w:t>
            </w:r>
          </w:p>
        </w:tc>
        <w:tc>
          <w:tcPr>
            <w:tcW w:w="38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8"/>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4"/>
                <w:szCs w:val="14"/>
                <w:b w:val="1"/>
                <w:bCs w:val="1"/>
                <w:color w:val="auto"/>
              </w:rPr>
              <w:t>Reported</w:t>
            </w:r>
          </w:p>
        </w:tc>
        <w:tc>
          <w:tcPr>
            <w:tcW w:w="26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4"/>
                <w:szCs w:val="14"/>
                <w:b w:val="1"/>
                <w:bCs w:val="1"/>
                <w:color w:val="auto"/>
              </w:rPr>
              <w:t>Adjustment</w:t>
            </w:r>
          </w:p>
        </w:tc>
        <w:tc>
          <w:tcPr>
            <w:tcW w:w="380" w:type="dxa"/>
            <w:vAlign w:val="bottom"/>
          </w:tcPr>
          <w:p>
            <w:pPr>
              <w:spacing w:after="0"/>
              <w:rPr>
                <w:sz w:val="15"/>
                <w:szCs w:val="15"/>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55"/>
        </w:trPr>
        <w:tc>
          <w:tcPr>
            <w:tcW w:w="564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Income Statements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31, 2017</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w:t>
            </w:r>
          </w:p>
        </w:tc>
        <w:tc>
          <w:tcPr>
            <w:tcW w:w="1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22,090</w:t>
            </w:r>
          </w:p>
        </w:tc>
        <w:tc>
          <w:tcPr>
            <w:tcW w:w="26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57"/>
              <w:spacing w:after="0" w:line="202" w:lineRule="exact"/>
              <w:rPr>
                <w:sz w:val="20"/>
                <w:szCs w:val="20"/>
                <w:color w:val="auto"/>
              </w:rPr>
            </w:pPr>
            <w:r>
              <w:rPr>
                <w:rFonts w:ascii="Arial" w:cs="Arial" w:eastAsia="Arial" w:hAnsi="Arial"/>
                <w:sz w:val="18"/>
                <w:szCs w:val="18"/>
                <w:color w:val="auto"/>
              </w:rPr>
              <w:t>1,122</w:t>
            </w:r>
          </w:p>
        </w:tc>
        <w:tc>
          <w:tcPr>
            <w:tcW w:w="3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23,212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1,115</w:t>
            </w:r>
          </w:p>
        </w:tc>
        <w:tc>
          <w:tcPr>
            <w:tcW w:w="260" w:type="dxa"/>
            <w:vAlign w:val="bottom"/>
          </w:tcPr>
          <w:p>
            <w:pPr>
              <w:spacing w:after="0"/>
              <w:rPr>
                <w:sz w:val="17"/>
                <w:szCs w:val="17"/>
                <w:color w:val="auto"/>
              </w:rPr>
            </w:pP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493</w:t>
            </w:r>
          </w:p>
        </w:tc>
        <w:tc>
          <w:tcPr>
            <w:tcW w:w="3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4,801</w:t>
            </w:r>
          </w:p>
        </w:tc>
        <w:tc>
          <w:tcPr>
            <w:tcW w:w="26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57"/>
              <w:spacing w:after="0" w:line="202" w:lineRule="exact"/>
              <w:rPr>
                <w:sz w:val="20"/>
                <w:szCs w:val="20"/>
                <w:color w:val="auto"/>
              </w:rPr>
            </w:pPr>
            <w:r>
              <w:rPr>
                <w:rFonts w:ascii="Arial" w:cs="Arial" w:eastAsia="Arial" w:hAnsi="Arial"/>
                <w:sz w:val="18"/>
                <w:szCs w:val="18"/>
                <w:color w:val="auto"/>
              </w:rPr>
              <w:t>685</w:t>
            </w:r>
          </w:p>
        </w:tc>
        <w:tc>
          <w:tcPr>
            <w:tcW w:w="38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5,486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0.61</w:t>
            </w:r>
          </w:p>
        </w:tc>
        <w:tc>
          <w:tcPr>
            <w:tcW w:w="26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0.09</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March 31, 2017</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w:t>
            </w:r>
          </w:p>
        </w:tc>
        <w:tc>
          <w:tcPr>
            <w:tcW w:w="1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66,633</w:t>
            </w:r>
          </w:p>
        </w:tc>
        <w:tc>
          <w:tcPr>
            <w:tcW w:w="26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57"/>
              <w:spacing w:after="0" w:line="202" w:lineRule="exact"/>
              <w:rPr>
                <w:sz w:val="20"/>
                <w:szCs w:val="20"/>
                <w:color w:val="auto"/>
              </w:rPr>
            </w:pPr>
            <w:r>
              <w:rPr>
                <w:rFonts w:ascii="Arial" w:cs="Arial" w:eastAsia="Arial" w:hAnsi="Arial"/>
                <w:sz w:val="18"/>
                <w:szCs w:val="18"/>
                <w:color w:val="auto"/>
              </w:rPr>
              <w:t>4,333</w:t>
            </w:r>
          </w:p>
        </w:tc>
        <w:tc>
          <w:tcPr>
            <w:tcW w:w="3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70,966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2,913</w:t>
            </w:r>
          </w:p>
        </w:tc>
        <w:tc>
          <w:tcPr>
            <w:tcW w:w="260" w:type="dxa"/>
            <w:vAlign w:val="bottom"/>
          </w:tcPr>
          <w:p>
            <w:pPr>
              <w:spacing w:after="0"/>
              <w:rPr>
                <w:sz w:val="17"/>
                <w:szCs w:val="17"/>
                <w:color w:val="auto"/>
              </w:rPr>
            </w:pP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1,610</w:t>
            </w:r>
          </w:p>
        </w:tc>
        <w:tc>
          <w:tcPr>
            <w:tcW w:w="3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14,691</w:t>
            </w:r>
          </w:p>
        </w:tc>
        <w:tc>
          <w:tcPr>
            <w:tcW w:w="26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57"/>
              <w:spacing w:after="0" w:line="202" w:lineRule="exact"/>
              <w:rPr>
                <w:sz w:val="20"/>
                <w:szCs w:val="20"/>
                <w:color w:val="auto"/>
              </w:rPr>
            </w:pPr>
            <w:r>
              <w:rPr>
                <w:rFonts w:ascii="Arial" w:cs="Arial" w:eastAsia="Arial" w:hAnsi="Arial"/>
                <w:sz w:val="18"/>
                <w:szCs w:val="18"/>
                <w:color w:val="auto"/>
              </w:rPr>
              <w:t>2,729</w:t>
            </w:r>
          </w:p>
        </w:tc>
        <w:tc>
          <w:tcPr>
            <w:tcW w:w="38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17,420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0.35</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4"/>
                <w:szCs w:val="14"/>
                <w:b w:val="1"/>
                <w:bCs w:val="1"/>
                <w:color w:val="auto"/>
              </w:rPr>
              <w:t>New</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As</w:t>
            </w:r>
          </w:p>
        </w:tc>
        <w:tc>
          <w:tcPr>
            <w:tcW w:w="320" w:type="dxa"/>
            <w:vAlign w:val="bottom"/>
          </w:tcPr>
          <w:p>
            <w:pPr>
              <w:spacing w:after="0"/>
              <w:rPr>
                <w:sz w:val="12"/>
                <w:szCs w:val="12"/>
                <w:color w:val="auto"/>
              </w:rPr>
            </w:pPr>
          </w:p>
        </w:tc>
        <w:tc>
          <w:tcPr>
            <w:tcW w:w="98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2"/>
                <w:szCs w:val="12"/>
                <w:color w:val="auto"/>
              </w:rPr>
            </w:pPr>
          </w:p>
        </w:tc>
        <w:tc>
          <w:tcPr>
            <w:tcW w:w="94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New Lease</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Previously</w:t>
            </w:r>
          </w:p>
        </w:tc>
        <w:tc>
          <w:tcPr>
            <w:tcW w:w="320" w:type="dxa"/>
            <w:vAlign w:val="bottom"/>
          </w:tcPr>
          <w:p>
            <w:pPr>
              <w:spacing w:after="0"/>
              <w:rPr>
                <w:sz w:val="12"/>
                <w:szCs w:val="12"/>
                <w:color w:val="auto"/>
              </w:rPr>
            </w:pPr>
          </w:p>
        </w:tc>
        <w:tc>
          <w:tcPr>
            <w:tcW w:w="98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Standard</w:t>
            </w:r>
          </w:p>
        </w:tc>
        <w:tc>
          <w:tcPr>
            <w:tcW w:w="260" w:type="dxa"/>
            <w:vAlign w:val="bottom"/>
          </w:tcPr>
          <w:p>
            <w:pPr>
              <w:spacing w:after="0"/>
              <w:rPr>
                <w:sz w:val="12"/>
                <w:szCs w:val="12"/>
                <w:color w:val="auto"/>
              </w:rPr>
            </w:pPr>
          </w:p>
        </w:tc>
        <w:tc>
          <w:tcPr>
            <w:tcW w:w="94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Standard</w:t>
            </w:r>
          </w:p>
        </w:tc>
        <w:tc>
          <w:tcPr>
            <w:tcW w:w="380" w:type="dxa"/>
            <w:vAlign w:val="bottom"/>
          </w:tcPr>
          <w:p>
            <w:pPr>
              <w:spacing w:after="0"/>
              <w:rPr>
                <w:sz w:val="12"/>
                <w:szCs w:val="12"/>
                <w:color w:val="auto"/>
              </w:rPr>
            </w:pP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8"/>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5"/>
                <w:szCs w:val="15"/>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b w:val="1"/>
                <w:bCs w:val="1"/>
                <w:color w:val="auto"/>
              </w:rPr>
              <w:t>Reported</w:t>
            </w:r>
          </w:p>
        </w:tc>
        <w:tc>
          <w:tcPr>
            <w:tcW w:w="32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4"/>
                <w:szCs w:val="14"/>
                <w:b w:val="1"/>
                <w:bCs w:val="1"/>
                <w:color w:val="auto"/>
              </w:rPr>
              <w:t>Adjustment</w:t>
            </w:r>
          </w:p>
        </w:tc>
        <w:tc>
          <w:tcPr>
            <w:tcW w:w="26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4"/>
                <w:szCs w:val="14"/>
                <w:b w:val="1"/>
                <w:bCs w:val="1"/>
                <w:color w:val="auto"/>
              </w:rPr>
              <w:t>Adjustment</w:t>
            </w:r>
          </w:p>
        </w:tc>
        <w:tc>
          <w:tcPr>
            <w:tcW w:w="380" w:type="dxa"/>
            <w:vAlign w:val="bottom"/>
          </w:tcPr>
          <w:p>
            <w:pPr>
              <w:spacing w:after="0"/>
              <w:rPr>
                <w:sz w:val="15"/>
                <w:szCs w:val="15"/>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55"/>
        </w:trPr>
        <w:tc>
          <w:tcPr>
            <w:tcW w:w="564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Balance Sheets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Accounts receivable, net of allowance for doubtful accounts</w:t>
            </w:r>
          </w:p>
        </w:tc>
        <w:tc>
          <w:tcPr>
            <w:tcW w:w="11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19,792</w:t>
            </w:r>
          </w:p>
        </w:tc>
        <w:tc>
          <w:tcPr>
            <w:tcW w:w="3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color w:val="auto"/>
              </w:rPr>
              <w:t>2,639</w:t>
            </w:r>
          </w:p>
        </w:tc>
        <w:tc>
          <w:tcPr>
            <w:tcW w:w="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22,431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6"/>
                <w:szCs w:val="16"/>
                <w:color w:val="auto"/>
              </w:rPr>
            </w:pPr>
          </w:p>
        </w:tc>
        <w:tc>
          <w:tcPr>
            <w:tcW w:w="920" w:type="dxa"/>
            <w:vAlign w:val="bottom"/>
          </w:tcPr>
          <w:p>
            <w:pPr>
              <w:jc w:val="right"/>
              <w:ind w:right="16"/>
              <w:spacing w:after="0" w:line="189"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6"/>
                <w:szCs w:val="16"/>
                <w:color w:val="auto"/>
              </w:rPr>
            </w:pPr>
          </w:p>
        </w:tc>
        <w:tc>
          <w:tcPr>
            <w:tcW w:w="980" w:type="dxa"/>
            <w:vAlign w:val="bottom"/>
          </w:tcPr>
          <w:p>
            <w:pPr>
              <w:jc w:val="right"/>
              <w:ind w:right="37"/>
              <w:spacing w:after="0" w:line="189"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6"/>
                <w:szCs w:val="16"/>
                <w:color w:val="auto"/>
              </w:rPr>
            </w:pPr>
          </w:p>
        </w:tc>
        <w:tc>
          <w:tcPr>
            <w:tcW w:w="940" w:type="dxa"/>
            <w:vAlign w:val="bottom"/>
          </w:tcPr>
          <w:p>
            <w:pPr>
              <w:jc w:val="right"/>
              <w:ind w:right="17"/>
              <w:spacing w:after="0" w:line="189" w:lineRule="exact"/>
              <w:rPr>
                <w:sz w:val="20"/>
                <w:szCs w:val="20"/>
                <w:color w:val="auto"/>
              </w:rPr>
            </w:pPr>
            <w:r>
              <w:rPr>
                <w:rFonts w:ascii="Arial" w:cs="Arial" w:eastAsia="Arial" w:hAnsi="Arial"/>
                <w:sz w:val="18"/>
                <w:szCs w:val="18"/>
                <w:color w:val="auto"/>
              </w:rPr>
              <w:t>6,555</w:t>
            </w:r>
          </w:p>
        </w:tc>
        <w:tc>
          <w:tcPr>
            <w:tcW w:w="380" w:type="dxa"/>
            <w:vAlign w:val="bottom"/>
          </w:tcPr>
          <w:p>
            <w:pPr>
              <w:spacing w:after="0"/>
              <w:rPr>
                <w:sz w:val="16"/>
                <w:szCs w:val="16"/>
                <w:color w:val="auto"/>
              </w:rPr>
            </w:pPr>
          </w:p>
        </w:tc>
        <w:tc>
          <w:tcPr>
            <w:tcW w:w="7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6,555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current and long-term assets</w:t>
            </w:r>
          </w:p>
        </w:tc>
        <w:tc>
          <w:tcPr>
            <w:tcW w:w="112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11,147</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color w:val="auto"/>
              </w:rPr>
              <w:t>32</w:t>
            </w:r>
          </w:p>
        </w:tc>
        <w:tc>
          <w:tcPr>
            <w:tcW w:w="2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11,179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Arial" w:cs="Arial" w:eastAsia="Arial" w:hAnsi="Arial"/>
                <w:sz w:val="18"/>
                <w:szCs w:val="18"/>
                <w:color w:val="auto"/>
              </w:rPr>
              <w:t>Unearned revenue</w:t>
            </w:r>
          </w:p>
        </w:tc>
        <w:tc>
          <w:tcPr>
            <w:tcW w:w="1120" w:type="dxa"/>
            <w:vAlign w:val="bottom"/>
          </w:tcPr>
          <w:p>
            <w:pPr>
              <w:spacing w:after="0"/>
              <w:rPr>
                <w:sz w:val="16"/>
                <w:szCs w:val="16"/>
                <w:color w:val="auto"/>
              </w:rPr>
            </w:pPr>
          </w:p>
        </w:tc>
        <w:tc>
          <w:tcPr>
            <w:tcW w:w="920" w:type="dxa"/>
            <w:vAlign w:val="bottom"/>
          </w:tcPr>
          <w:p>
            <w:pPr>
              <w:jc w:val="right"/>
              <w:ind w:right="16"/>
              <w:spacing w:after="0" w:line="189" w:lineRule="exact"/>
              <w:rPr>
                <w:sz w:val="20"/>
                <w:szCs w:val="20"/>
                <w:color w:val="auto"/>
              </w:rPr>
            </w:pPr>
            <w:r>
              <w:rPr>
                <w:rFonts w:ascii="Arial" w:cs="Arial" w:eastAsia="Arial" w:hAnsi="Arial"/>
                <w:sz w:val="18"/>
                <w:szCs w:val="18"/>
                <w:color w:val="auto"/>
              </w:rPr>
              <w:t>44,479</w:t>
            </w:r>
          </w:p>
        </w:tc>
        <w:tc>
          <w:tcPr>
            <w:tcW w:w="3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(17,823)</w:t>
            </w:r>
          </w:p>
        </w:tc>
        <w:tc>
          <w:tcPr>
            <w:tcW w:w="260" w:type="dxa"/>
            <w:vAlign w:val="bottom"/>
          </w:tcPr>
          <w:p>
            <w:pPr>
              <w:spacing w:after="0"/>
              <w:rPr>
                <w:sz w:val="16"/>
                <w:szCs w:val="16"/>
                <w:color w:val="auto"/>
              </w:rPr>
            </w:pPr>
          </w:p>
        </w:tc>
        <w:tc>
          <w:tcPr>
            <w:tcW w:w="940" w:type="dxa"/>
            <w:vAlign w:val="bottom"/>
          </w:tcPr>
          <w:p>
            <w:pPr>
              <w:jc w:val="right"/>
              <w:ind w:right="17"/>
              <w:spacing w:after="0" w:line="189" w:lineRule="exact"/>
              <w:rPr>
                <w:sz w:val="20"/>
                <w:szCs w:val="20"/>
                <w:color w:val="auto"/>
              </w:rPr>
            </w:pPr>
            <w:r>
              <w:rPr>
                <w:rFonts w:ascii="Arial" w:cs="Arial" w:eastAsia="Arial" w:hAnsi="Arial"/>
                <w:sz w:val="18"/>
                <w:szCs w:val="18"/>
                <w:color w:val="auto"/>
              </w:rPr>
              <w:t>0</w:t>
            </w:r>
          </w:p>
        </w:tc>
        <w:tc>
          <w:tcPr>
            <w:tcW w:w="380" w:type="dxa"/>
            <w:vAlign w:val="bottom"/>
          </w:tcPr>
          <w:p>
            <w:pPr>
              <w:spacing w:after="0"/>
              <w:rPr>
                <w:sz w:val="16"/>
                <w:szCs w:val="16"/>
                <w:color w:val="auto"/>
              </w:rPr>
            </w:pPr>
          </w:p>
        </w:tc>
        <w:tc>
          <w:tcPr>
            <w:tcW w:w="7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26,656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531</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color w:val="auto"/>
              </w:rPr>
              <w:t>5,203</w:t>
            </w:r>
          </w:p>
        </w:tc>
        <w:tc>
          <w:tcPr>
            <w:tcW w:w="2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5,734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1120" w:type="dxa"/>
            <w:vAlign w:val="bottom"/>
          </w:tcPr>
          <w:p>
            <w:pPr>
              <w:spacing w:after="0"/>
              <w:rPr>
                <w:sz w:val="16"/>
                <w:szCs w:val="16"/>
                <w:color w:val="auto"/>
              </w:rPr>
            </w:pPr>
          </w:p>
        </w:tc>
        <w:tc>
          <w:tcPr>
            <w:tcW w:w="920" w:type="dxa"/>
            <w:vAlign w:val="bottom"/>
          </w:tcPr>
          <w:p>
            <w:pPr>
              <w:jc w:val="right"/>
              <w:ind w:right="16"/>
              <w:spacing w:after="0" w:line="189"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6"/>
                <w:szCs w:val="16"/>
                <w:color w:val="auto"/>
              </w:rPr>
            </w:pPr>
          </w:p>
        </w:tc>
        <w:tc>
          <w:tcPr>
            <w:tcW w:w="980" w:type="dxa"/>
            <w:vAlign w:val="bottom"/>
          </w:tcPr>
          <w:p>
            <w:pPr>
              <w:jc w:val="right"/>
              <w:ind w:right="37"/>
              <w:spacing w:after="0" w:line="189"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6"/>
                <w:szCs w:val="16"/>
                <w:color w:val="auto"/>
              </w:rPr>
            </w:pPr>
          </w:p>
        </w:tc>
        <w:tc>
          <w:tcPr>
            <w:tcW w:w="940" w:type="dxa"/>
            <w:vAlign w:val="bottom"/>
          </w:tcPr>
          <w:p>
            <w:pPr>
              <w:jc w:val="right"/>
              <w:ind w:right="17"/>
              <w:spacing w:after="0" w:line="189" w:lineRule="exact"/>
              <w:rPr>
                <w:sz w:val="20"/>
                <w:szCs w:val="20"/>
                <w:color w:val="auto"/>
              </w:rPr>
            </w:pPr>
            <w:r>
              <w:rPr>
                <w:rFonts w:ascii="Arial" w:cs="Arial" w:eastAsia="Arial" w:hAnsi="Arial"/>
                <w:sz w:val="18"/>
                <w:szCs w:val="18"/>
                <w:color w:val="auto"/>
              </w:rPr>
              <w:t>5,372</w:t>
            </w:r>
          </w:p>
        </w:tc>
        <w:tc>
          <w:tcPr>
            <w:tcW w:w="380" w:type="dxa"/>
            <w:vAlign w:val="bottom"/>
          </w:tcPr>
          <w:p>
            <w:pPr>
              <w:spacing w:after="0"/>
              <w:rPr>
                <w:sz w:val="16"/>
                <w:szCs w:val="16"/>
                <w:color w:val="auto"/>
              </w:rPr>
            </w:pPr>
          </w:p>
        </w:tc>
        <w:tc>
          <w:tcPr>
            <w:tcW w:w="7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5,372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current and long-term liabilities</w:t>
            </w:r>
          </w:p>
        </w:tc>
        <w:tc>
          <w:tcPr>
            <w:tcW w:w="112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23,464</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(26)</w:t>
            </w:r>
          </w:p>
        </w:tc>
        <w:tc>
          <w:tcPr>
            <w:tcW w:w="2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1,183</w:t>
            </w:r>
          </w:p>
        </w:tc>
        <w:tc>
          <w:tcPr>
            <w:tcW w:w="38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24,621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72,394</w:t>
            </w:r>
          </w:p>
        </w:tc>
        <w:tc>
          <w:tcPr>
            <w:tcW w:w="32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15,317</w:t>
            </w:r>
          </w:p>
        </w:tc>
        <w:tc>
          <w:tcPr>
            <w:tcW w:w="26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Adoption of the standards related to revenue recognition and leases had no impact to cash from or used in operating, financing, or investing on our consolidated cash flows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 w:name="page14"/>
    <w:bookmarkEnd w:id="13"/>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Targeted Improvements to Accounting for Hedging Activities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August 2017, the FASB issued new guidance related to accounting for hedging activities. This guidance expands strategies that qualify for hedge accounting, changes how many hedging relationships are presented in the financial statements, and simplifies the application of hedge accounting in certain situations. The standard will be effective for us beginning July 1, 2019, with early adoption permitted for any interim or annual period before the effective date. Adoption of the standard will be applied using a modified retrospective approach through a cumulative-effect adjustment to retained earnings as of the effective date. We are currently evaluating the impact of this standard on our consolidated financial statements, including accounting policies, processes, and systems.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 – Intra-Entity Asset Transfers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2016, the FASB issued new guidance requiring an entity to recognize the income tax consequences of an intra-entity transfer of an asset other than inventory when the transfer occurs, rather than when the asset has been sold to an outside party. This guidance is effective for us beginning July 1, 2018, with early adoption permitted beginning July 1, 2017. We plan to adopt the guidance effective July 1, 2018. Adoption of the guidance will be applied using a modified retrospective approach through a cumulative-effect adjustment to retained earnings as of the effective date. A cumulative-effect adjustment will capture the write-off of income tax consequences deferred from past intra-entity transfers</w:t>
      </w:r>
    </w:p>
    <w:p>
      <w:pPr>
        <w:spacing w:after="0" w:line="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involving assets other than inventory and new deferred tax assets for amounts not recognized under current GAAP. As a result of the TCJA, we are currently reevaluating the impact of this standard on our consolidated financial statements, including accounting policies, processes, and systems.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broader range of reasonable and supportable information to inform credit loss estimates. We will be required to use a forward-looking expected credit loss model for accounts receivables, loans, and other financial instruments. Credit losses relating to available-for-sale debt securities will also be recorded through an allowance for credit losses rather than as a reduction in the amortized cost basis of the securities. The standard will be effective for us beginning July 1, 2020, with early adoption permitted beginning July 1, 2019. Adoption of the standard will be applied using a modified retrospective approach through a cumulative-effect adjustment to retained earnings as of the effective date to align our credit loss methodology with the new standard. We are currently evaluating the impact of this standard on our consolidated financial statements, including accounting policies, processes, and systems.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Recognition, Measurement, Presentation, and Disclosure</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January 2016, the FASB issued a new standard related to certain aspects of recognition, measurement, presentation, and disclosure of financial instruments. Most prominent among the changes in the standard is the requirement for changes in the fair value of our equity investments, with certain exceptions, to be recognized through net income rather than other comprehensive income (“OCI”). Under the standard, equity investments that do not have a readily determinable fair value are eligible for the measurement alternative. Using the measurement alternative, investments without readily determinable fair values will be valued at cost, with adjustments for changes in price or impairments reflected through net income.</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standard will be effective for us beginning July 1, 2018. Adoption of the standard will be applied using a modified retrospective approach through a cumulative-effect adjustment from accumulated other comprehensive income (“AOCI”) to retained earnings as of the effective date. A cumulative-effect adjustment will capture any previously held unrealized gains and losses held in AOCI related to our equity investments carried at fair value as well as the impact of recording the fair value of certain equity investments carried at cost. The remaining implementation matters are primarily related to establishing processes and controls around equity securities without readily determinable fair values. We expect to elect the measurement alternative for equity investments that do not have readily determinable fair values.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 w:name="page15"/>
    <w:bookmarkEnd w:id="14"/>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impact on our consolidated balance sheets upon adoption will depend on the unrealized gains and losses held in AOCI related to our equity investments on the date of adoption, and on any impact the new guidance may have on our equity investments carried at cost. See Note 4 – Investments for our current investment balances. The impact of the standard going forward on our consolidated income statement will be dependent on our equity investment holdings, with adjustments to fair value reflected through net income. Adoption of the standard is expected to have no impact to cash from or used in operating, financing or investing on our consolidated cash flows statements.</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8"/>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available for common shareholders (A)</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7,424</w:t>
            </w:r>
          </w:p>
        </w:tc>
        <w:tc>
          <w:tcPr>
            <w:tcW w:w="5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5,486</w:t>
            </w:r>
          </w:p>
        </w:tc>
        <w:tc>
          <w:tcPr>
            <w:tcW w:w="4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7,698</w:t>
            </w:r>
          </w:p>
        </w:tc>
        <w:tc>
          <w:tcPr>
            <w:tcW w:w="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17,420</w:t>
            </w:r>
          </w:p>
        </w:tc>
        <w:tc>
          <w:tcPr>
            <w:tcW w:w="0" w:type="dxa"/>
            <w:vAlign w:val="bottom"/>
          </w:tcPr>
          <w:p>
            <w:pPr>
              <w:spacing w:after="0"/>
              <w:rPr>
                <w:sz w:val="1"/>
                <w:szCs w:val="1"/>
                <w:color w:val="auto"/>
              </w:rPr>
            </w:pPr>
          </w:p>
        </w:tc>
      </w:tr>
      <w:tr>
        <w:trPr>
          <w:trHeight w:val="68"/>
        </w:trPr>
        <w:tc>
          <w:tcPr>
            <w:tcW w:w="6180" w:type="dxa"/>
            <w:vAlign w:val="bottom"/>
            <w:gridSpan w:val="2"/>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180" w:type="dxa"/>
            <w:vAlign w:val="bottom"/>
            <w:gridSpan w:val="2"/>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4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7,698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7,706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40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96</w:t>
            </w:r>
          </w:p>
        </w:tc>
        <w:tc>
          <w:tcPr>
            <w:tcW w:w="2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88</w:t>
            </w:r>
          </w:p>
        </w:tc>
        <w:tc>
          <w:tcPr>
            <w:tcW w:w="1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92</w:t>
            </w:r>
          </w:p>
        </w:tc>
        <w:tc>
          <w:tcPr>
            <w:tcW w:w="1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1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180" w:type="dxa"/>
            <w:vAlign w:val="bottom"/>
            <w:gridSpan w:val="2"/>
          </w:tcPr>
          <w:p>
            <w:pPr>
              <w:spacing w:after="0"/>
              <w:rPr>
                <w:sz w:val="20"/>
                <w:szCs w:val="20"/>
                <w:color w:val="auto"/>
              </w:rPr>
            </w:pPr>
            <w:r>
              <w:rPr>
                <w:rFonts w:ascii="Arial" w:cs="Arial" w:eastAsia="Arial" w:hAnsi="Arial"/>
                <w:sz w:val="18"/>
                <w:szCs w:val="18"/>
                <w:color w:val="auto"/>
              </w:rPr>
              <w:t>Common stock and common stock equivalents (C)</w:t>
            </w:r>
          </w:p>
        </w:tc>
        <w:tc>
          <w:tcPr>
            <w:tcW w:w="40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7,794</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7,798</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61"/>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Per Share</w:t>
            </w: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18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0.96</w:t>
            </w:r>
          </w:p>
        </w:tc>
        <w:tc>
          <w:tcPr>
            <w:tcW w:w="5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0.71</w:t>
            </w:r>
          </w:p>
        </w:tc>
        <w:tc>
          <w:tcPr>
            <w:tcW w:w="4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1.00</w:t>
            </w:r>
          </w:p>
        </w:tc>
        <w:tc>
          <w:tcPr>
            <w:tcW w:w="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2.25</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0.95</w:t>
            </w: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0.70</w:t>
            </w:r>
          </w:p>
        </w:tc>
        <w:tc>
          <w:tcPr>
            <w:tcW w:w="4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0.99</w:t>
            </w:r>
          </w:p>
        </w:tc>
        <w:tc>
          <w:tcPr>
            <w:tcW w:w="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39" w:lineRule="exact"/>
        <w:rPr>
          <w:sz w:val="20"/>
          <w:szCs w:val="20"/>
          <w:color w:val="auto"/>
        </w:rPr>
      </w:pPr>
    </w:p>
    <w:p>
      <w:pPr>
        <w:ind w:right="3820" w:firstLine="3801"/>
        <w:spacing w:after="0" w:line="434"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80" w:type="dxa"/>
            <w:vAlign w:val="bottom"/>
            <w:gridSpan w:val="5"/>
          </w:tcPr>
          <w:p>
            <w:pPr>
              <w:jc w:val="right"/>
              <w:ind w:right="220"/>
              <w:spacing w:after="0" w:line="154" w:lineRule="exact"/>
              <w:rPr>
                <w:sz w:val="20"/>
                <w:szCs w:val="20"/>
                <w:color w:val="auto"/>
              </w:rPr>
            </w:pPr>
            <w:r>
              <w:rPr>
                <w:rFonts w:ascii="Arial" w:cs="Arial" w:eastAsia="Arial" w:hAnsi="Arial"/>
                <w:sz w:val="14"/>
                <w:szCs w:val="14"/>
                <w:b w:val="1"/>
                <w:bCs w:val="1"/>
                <w:color w:val="auto"/>
                <w:w w:val="96"/>
              </w:rPr>
              <w:t>Three Months Ended</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4"/>
          </w:tcPr>
          <w:p>
            <w:pPr>
              <w:jc w:val="right"/>
              <w:ind w:right="100"/>
              <w:spacing w:after="0" w:line="154" w:lineRule="exact"/>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8"/>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Dividends and interest income</w:t>
            </w:r>
          </w:p>
        </w:tc>
        <w:tc>
          <w:tcPr>
            <w:tcW w:w="126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575</w:t>
            </w:r>
          </w:p>
        </w:tc>
        <w:tc>
          <w:tcPr>
            <w:tcW w:w="4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380</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1,578</w:t>
            </w:r>
          </w:p>
        </w:tc>
        <w:tc>
          <w:tcPr>
            <w:tcW w:w="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984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gridSpan w:val="2"/>
          </w:tcPr>
          <w:p>
            <w:pPr>
              <w:jc w:val="right"/>
              <w:ind w:right="12"/>
              <w:spacing w:after="0" w:line="189" w:lineRule="exact"/>
              <w:rPr>
                <w:sz w:val="20"/>
                <w:szCs w:val="20"/>
                <w:color w:val="auto"/>
              </w:rPr>
            </w:pPr>
            <w:r>
              <w:rPr>
                <w:rFonts w:ascii="Arial" w:cs="Arial" w:eastAsia="Arial" w:hAnsi="Arial"/>
                <w:sz w:val="18"/>
                <w:szCs w:val="18"/>
                <w:b w:val="1"/>
                <w:bCs w:val="1"/>
                <w:color w:val="auto"/>
              </w:rPr>
              <w:t>(691)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(609)</w:t>
            </w:r>
          </w:p>
        </w:tc>
        <w:tc>
          <w:tcPr>
            <w:tcW w:w="36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(2,061)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8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510</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790</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1,851</w:t>
            </w:r>
          </w:p>
        </w:tc>
        <w:tc>
          <w:tcPr>
            <w:tcW w:w="1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1,893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Arial" w:cs="Arial" w:eastAsia="Arial" w:hAnsi="Arial"/>
                <w:sz w:val="18"/>
                <w:szCs w:val="18"/>
                <w:color w:val="auto"/>
              </w:rPr>
              <w:t>Net losses on derivatives</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gridSpan w:val="2"/>
          </w:tcPr>
          <w:p>
            <w:pPr>
              <w:jc w:val="right"/>
              <w:ind w:right="12"/>
              <w:spacing w:after="0" w:line="189" w:lineRule="exact"/>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(200)</w:t>
            </w:r>
          </w:p>
        </w:tc>
        <w:tc>
          <w:tcPr>
            <w:tcW w:w="36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(206)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8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50</w:t>
            </w:r>
          </w:p>
        </w:tc>
        <w:tc>
          <w:tcPr>
            <w:tcW w:w="3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(49)</w:t>
            </w:r>
          </w:p>
        </w:tc>
        <w:tc>
          <w:tcPr>
            <w:tcW w:w="1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349</w:t>
            </w:r>
          </w:p>
        </w:tc>
        <w:tc>
          <w:tcPr>
            <w:tcW w:w="4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371</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1,115</w:t>
            </w:r>
          </w:p>
        </w:tc>
        <w:tc>
          <w:tcPr>
            <w:tcW w:w="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600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Following are details of net recognized gains (losses) on investments during the periods reported: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Other-than-temporary impairments of investments</w:t>
            </w:r>
          </w:p>
        </w:tc>
        <w:tc>
          <w:tcPr>
            <w:tcW w:w="14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(17)</w:t>
            </w:r>
          </w:p>
        </w:tc>
        <w:tc>
          <w:tcPr>
            <w:tcW w:w="4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(15)</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(47)</w:t>
            </w:r>
          </w:p>
        </w:tc>
        <w:tc>
          <w:tcPr>
            <w:tcW w:w="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gridSpan w:val="2"/>
          </w:tcPr>
          <w:p>
            <w:pPr>
              <w:jc w:val="right"/>
              <w:ind w:right="72"/>
              <w:spacing w:after="0" w:line="189" w:lineRule="exact"/>
              <w:rPr>
                <w:sz w:val="20"/>
                <w:szCs w:val="20"/>
                <w:color w:val="auto"/>
              </w:rPr>
            </w:pPr>
            <w:r>
              <w:rPr>
                <w:rFonts w:ascii="Arial" w:cs="Arial" w:eastAsia="Arial" w:hAnsi="Arial"/>
                <w:sz w:val="18"/>
                <w:szCs w:val="18"/>
                <w:b w:val="1"/>
                <w:bCs w:val="1"/>
                <w:color w:val="auto"/>
              </w:rPr>
              <w:t>875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938</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2,612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2,272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losses from sales of available-for-sale securities</w:t>
            </w:r>
          </w:p>
        </w:tc>
        <w:tc>
          <w:tcPr>
            <w:tcW w:w="9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(348)</w:t>
            </w: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(133)</w:t>
            </w:r>
          </w:p>
        </w:tc>
        <w:tc>
          <w:tcPr>
            <w:tcW w:w="4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(714)</w:t>
            </w:r>
          </w:p>
        </w:tc>
        <w:tc>
          <w:tcPr>
            <w:tcW w:w="1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0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gridSpan w:val="2"/>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510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1,851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980" w:type="dxa"/>
            <w:vAlign w:val="bottom"/>
            <w:vMerge w:val="restart"/>
          </w:tcPr>
          <w:p>
            <w:pPr>
              <w:jc w:val="right"/>
              <w:ind w:right="196"/>
              <w:spacing w:after="0"/>
              <w:rPr>
                <w:sz w:val="20"/>
                <w:szCs w:val="20"/>
                <w:color w:val="auto"/>
              </w:rPr>
            </w:pPr>
            <w:r>
              <w:rPr>
                <w:rFonts w:ascii="Arial" w:cs="Arial" w:eastAsia="Arial" w:hAnsi="Arial"/>
                <w:sz w:val="14"/>
                <w:szCs w:val="14"/>
                <w:color w:val="auto"/>
              </w:rPr>
              <w:t>15</w:t>
            </w:r>
          </w:p>
        </w:tc>
        <w:tc>
          <w:tcPr>
            <w:tcW w:w="4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15" w:name="page16"/>
    <w:bookmarkEnd w:id="15"/>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including associated derivatives,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and Cash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78"/>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Basis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55"/>
        </w:trPr>
        <w:tc>
          <w:tcPr>
            <w:tcW w:w="27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4,104</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4,104</w:t>
            </w:r>
          </w:p>
        </w:tc>
        <w:tc>
          <w:tcPr>
            <w:tcW w:w="2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4,104</w:t>
            </w: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Mutual funds</w:t>
            </w: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683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Commercial paper</w:t>
            </w:r>
          </w:p>
        </w:tc>
        <w:tc>
          <w:tcPr>
            <w:tcW w:w="2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3,774</w:t>
            </w:r>
          </w:p>
        </w:tc>
        <w:tc>
          <w:tcPr>
            <w:tcW w:w="2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3,774</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3,158</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616</w:t>
            </w: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866</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U.S. government and</w:t>
            </w:r>
          </w:p>
        </w:tc>
        <w:tc>
          <w:tcPr>
            <w:tcW w:w="220" w:type="dxa"/>
            <w:vAlign w:val="bottom"/>
            <w:shd w:val="clear" w:color="auto" w:fill="E5E5E5"/>
          </w:tcPr>
          <w:p>
            <w:pPr>
              <w:spacing w:after="0"/>
              <w:rPr>
                <w:sz w:val="15"/>
                <w:szCs w:val="15"/>
                <w:color w:val="auto"/>
              </w:rPr>
            </w:pPr>
          </w:p>
        </w:tc>
        <w:tc>
          <w:tcPr>
            <w:tcW w:w="82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108,056</w:t>
            </w:r>
          </w:p>
        </w:tc>
        <w:tc>
          <w:tcPr>
            <w:tcW w:w="24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040" w:type="dxa"/>
            <w:vAlign w:val="bottom"/>
            <w:gridSpan w:val="3"/>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31</w:t>
            </w:r>
          </w:p>
        </w:tc>
        <w:tc>
          <w:tcPr>
            <w:tcW w:w="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60" w:type="dxa"/>
            <w:vAlign w:val="bottom"/>
            <w:gridSpan w:val="3"/>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(1,239)</w:t>
            </w:r>
          </w:p>
        </w:tc>
        <w:tc>
          <w:tcPr>
            <w:tcW w:w="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0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106,848</w:t>
            </w: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94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117</w:t>
            </w: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06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106,731</w:t>
            </w:r>
          </w:p>
        </w:tc>
        <w:tc>
          <w:tcPr>
            <w:tcW w:w="180" w:type="dxa"/>
            <w:vAlign w:val="bottom"/>
            <w:shd w:val="clear" w:color="auto" w:fill="E5E5E5"/>
          </w:tcPr>
          <w:p>
            <w:pPr>
              <w:spacing w:after="0"/>
              <w:rPr>
                <w:sz w:val="15"/>
                <w:szCs w:val="15"/>
                <w:color w:val="auto"/>
              </w:rPr>
            </w:pP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agency securities</w:t>
            </w:r>
          </w:p>
        </w:tc>
        <w:tc>
          <w:tcPr>
            <w:tcW w:w="220" w:type="dxa"/>
            <w:vAlign w:val="bottom"/>
            <w:shd w:val="clear" w:color="auto" w:fill="E5E5E5"/>
          </w:tcPr>
          <w:p>
            <w:pPr>
              <w:spacing w:after="0"/>
              <w:rPr>
                <w:sz w:val="17"/>
                <w:szCs w:val="17"/>
                <w:color w:val="auto"/>
              </w:rPr>
            </w:pPr>
          </w:p>
        </w:tc>
        <w:tc>
          <w:tcPr>
            <w:tcW w:w="820" w:type="dxa"/>
            <w:vAlign w:val="bottom"/>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40" w:type="dxa"/>
            <w:vAlign w:val="bottom"/>
            <w:gridSpan w:val="3"/>
            <w:vMerge w:val="continue"/>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60" w:type="dxa"/>
            <w:vAlign w:val="bottom"/>
            <w:gridSpan w:val="3"/>
            <w:vMerge w:val="continue"/>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00" w:type="dxa"/>
            <w:vAlign w:val="bottom"/>
            <w:gridSpan w:val="2"/>
            <w:vMerge w:val="continue"/>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40" w:type="dxa"/>
            <w:vAlign w:val="bottom"/>
            <w:gridSpan w:val="2"/>
            <w:vMerge w:val="continue"/>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vMerge w:val="continue"/>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40" w:type="dxa"/>
            <w:vAlign w:val="bottom"/>
            <w:vMerge w:val="continue"/>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4,671</w:t>
            </w:r>
          </w:p>
        </w:tc>
        <w:tc>
          <w:tcPr>
            <w:tcW w:w="240" w:type="dxa"/>
            <w:vAlign w:val="bottom"/>
          </w:tcPr>
          <w:p>
            <w:pPr>
              <w:spacing w:after="0"/>
              <w:rPr>
                <w:sz w:val="16"/>
                <w:szCs w:val="16"/>
                <w:color w:val="auto"/>
              </w:rPr>
            </w:pP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4,662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4,659</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Mortgage- and asset-backed</w:t>
            </w:r>
          </w:p>
        </w:tc>
        <w:tc>
          <w:tcPr>
            <w:tcW w:w="220" w:type="dxa"/>
            <w:vAlign w:val="bottom"/>
            <w:shd w:val="clear" w:color="auto" w:fill="E5E5E5"/>
          </w:tcPr>
          <w:p>
            <w:pPr>
              <w:spacing w:after="0"/>
              <w:rPr>
                <w:sz w:val="15"/>
                <w:szCs w:val="15"/>
                <w:color w:val="auto"/>
              </w:rPr>
            </w:pPr>
          </w:p>
        </w:tc>
        <w:tc>
          <w:tcPr>
            <w:tcW w:w="106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3,750</w:t>
            </w:r>
          </w:p>
        </w:tc>
        <w:tc>
          <w:tcPr>
            <w:tcW w:w="240" w:type="dxa"/>
            <w:vAlign w:val="bottom"/>
            <w:shd w:val="clear" w:color="auto" w:fill="E5E5E5"/>
          </w:tcPr>
          <w:p>
            <w:pPr>
              <w:spacing w:after="0"/>
              <w:rPr>
                <w:sz w:val="15"/>
                <w:szCs w:val="15"/>
                <w:color w:val="auto"/>
              </w:rPr>
            </w:pPr>
          </w:p>
        </w:tc>
        <w:tc>
          <w:tcPr>
            <w:tcW w:w="1040" w:type="dxa"/>
            <w:vAlign w:val="bottom"/>
            <w:gridSpan w:val="3"/>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60" w:type="dxa"/>
            <w:vAlign w:val="bottom"/>
            <w:gridSpan w:val="3"/>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0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3,743</w:t>
            </w: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06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3,743</w:t>
            </w:r>
          </w:p>
        </w:tc>
        <w:tc>
          <w:tcPr>
            <w:tcW w:w="180" w:type="dxa"/>
            <w:vAlign w:val="bottom"/>
            <w:shd w:val="clear" w:color="auto" w:fill="E5E5E5"/>
          </w:tcPr>
          <w:p>
            <w:pPr>
              <w:spacing w:after="0"/>
              <w:rPr>
                <w:sz w:val="15"/>
                <w:szCs w:val="15"/>
                <w:color w:val="auto"/>
              </w:rPr>
            </w:pP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securities</w:t>
            </w:r>
          </w:p>
        </w:tc>
        <w:tc>
          <w:tcPr>
            <w:tcW w:w="220" w:type="dxa"/>
            <w:vAlign w:val="bottom"/>
            <w:shd w:val="clear" w:color="auto" w:fill="E5E5E5"/>
          </w:tcPr>
          <w:p>
            <w:pPr>
              <w:spacing w:after="0"/>
              <w:rPr>
                <w:sz w:val="17"/>
                <w:szCs w:val="17"/>
                <w:color w:val="auto"/>
              </w:rPr>
            </w:pPr>
          </w:p>
        </w:tc>
        <w:tc>
          <w:tcPr>
            <w:tcW w:w="1060" w:type="dxa"/>
            <w:vAlign w:val="bottom"/>
            <w:gridSpan w:val="2"/>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40" w:type="dxa"/>
            <w:vAlign w:val="bottom"/>
            <w:gridSpan w:val="3"/>
            <w:vMerge w:val="continue"/>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60" w:type="dxa"/>
            <w:vAlign w:val="bottom"/>
            <w:gridSpan w:val="3"/>
            <w:vMerge w:val="continue"/>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00" w:type="dxa"/>
            <w:vAlign w:val="bottom"/>
            <w:gridSpan w:val="2"/>
            <w:vMerge w:val="continue"/>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40" w:type="dxa"/>
            <w:vAlign w:val="bottom"/>
            <w:vMerge w:val="continue"/>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vMerge w:val="continue"/>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40" w:type="dxa"/>
            <w:vAlign w:val="bottom"/>
            <w:vMerge w:val="continue"/>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6,139</w:t>
            </w:r>
          </w:p>
        </w:tc>
        <w:tc>
          <w:tcPr>
            <w:tcW w:w="240" w:type="dxa"/>
            <w:vAlign w:val="bottom"/>
          </w:tcPr>
          <w:p>
            <w:pPr>
              <w:spacing w:after="0"/>
              <w:rPr>
                <w:sz w:val="16"/>
                <w:szCs w:val="16"/>
                <w:color w:val="auto"/>
              </w:rPr>
            </w:pP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6,123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6,123</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269</w:t>
            </w:r>
          </w:p>
        </w:tc>
        <w:tc>
          <w:tcPr>
            <w:tcW w:w="2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4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41</w:t>
            </w: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309</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309</w:t>
            </w: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Common and preferred stock</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1,324</w:t>
            </w:r>
          </w:p>
        </w:tc>
        <w:tc>
          <w:tcPr>
            <w:tcW w:w="240" w:type="dxa"/>
            <w:vAlign w:val="bottom"/>
          </w:tcPr>
          <w:p>
            <w:pPr>
              <w:spacing w:after="0"/>
              <w:rPr>
                <w:sz w:val="16"/>
                <w:szCs w:val="16"/>
                <w:color w:val="auto"/>
              </w:rPr>
            </w:pP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8"/>
                <w:szCs w:val="18"/>
                <w:b w:val="1"/>
                <w:bCs w:val="1"/>
                <w:color w:val="auto"/>
              </w:rPr>
              <w:t>917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2,237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2,237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investments</w:t>
            </w:r>
          </w:p>
        </w:tc>
        <w:tc>
          <w:tcPr>
            <w:tcW w:w="22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583</w:t>
            </w:r>
          </w:p>
        </w:tc>
        <w:tc>
          <w:tcPr>
            <w:tcW w:w="2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583</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581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135,375</w:t>
            </w:r>
          </w:p>
        </w:tc>
        <w:tc>
          <w:tcPr>
            <w:tcW w:w="24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1,024</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(1,311)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135,088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9,221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123,049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and Cash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78"/>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Basis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55"/>
        </w:trPr>
        <w:tc>
          <w:tcPr>
            <w:tcW w:w="27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94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3,624</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3,624</w:t>
            </w:r>
          </w:p>
        </w:tc>
        <w:tc>
          <w:tcPr>
            <w:tcW w:w="2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3,624</w:t>
            </w: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Mutual funds</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1,478</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1,478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1,478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Commercial paper</w:t>
            </w:r>
          </w:p>
        </w:tc>
        <w:tc>
          <w:tcPr>
            <w:tcW w:w="22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319</w:t>
            </w:r>
          </w:p>
        </w:tc>
        <w:tc>
          <w:tcPr>
            <w:tcW w:w="2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319</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69</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250</w:t>
            </w: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1,358</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1,358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386</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U.S. government and</w:t>
            </w:r>
          </w:p>
        </w:tc>
        <w:tc>
          <w:tcPr>
            <w:tcW w:w="2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agency securities</w:t>
            </w: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112,119</w:t>
            </w:r>
          </w:p>
        </w:tc>
        <w:tc>
          <w:tcPr>
            <w:tcW w:w="2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0"/>
              <w:spacing w:after="0" w:line="203" w:lineRule="exact"/>
              <w:rPr>
                <w:sz w:val="20"/>
                <w:szCs w:val="20"/>
                <w:color w:val="auto"/>
              </w:rPr>
            </w:pPr>
            <w:r>
              <w:rPr>
                <w:rFonts w:ascii="Arial" w:cs="Arial" w:eastAsia="Arial" w:hAnsi="Arial"/>
                <w:sz w:val="18"/>
                <w:szCs w:val="18"/>
                <w:color w:val="auto"/>
              </w:rPr>
              <w:t>85</w:t>
            </w:r>
          </w:p>
        </w:tc>
        <w:tc>
          <w:tcPr>
            <w:tcW w:w="2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60" w:type="dxa"/>
            <w:vAlign w:val="bottom"/>
            <w:gridSpan w:val="3"/>
            <w:shd w:val="clear" w:color="auto" w:fill="E5E5E5"/>
          </w:tcPr>
          <w:p>
            <w:pPr>
              <w:jc w:val="right"/>
              <w:ind w:right="100"/>
              <w:spacing w:after="0" w:line="203" w:lineRule="exact"/>
              <w:rPr>
                <w:sz w:val="20"/>
                <w:szCs w:val="20"/>
                <w:color w:val="auto"/>
              </w:rPr>
            </w:pPr>
            <w:r>
              <w:rPr>
                <w:rFonts w:ascii="Arial" w:cs="Arial" w:eastAsia="Arial" w:hAnsi="Arial"/>
                <w:sz w:val="18"/>
                <w:szCs w:val="18"/>
                <w:color w:val="auto"/>
              </w:rPr>
              <w:t>(360)</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20"/>
              <w:spacing w:after="0" w:line="203" w:lineRule="exact"/>
              <w:rPr>
                <w:sz w:val="20"/>
                <w:szCs w:val="20"/>
                <w:color w:val="auto"/>
              </w:rPr>
            </w:pPr>
            <w:r>
              <w:rPr>
                <w:rFonts w:ascii="Arial" w:cs="Arial" w:eastAsia="Arial" w:hAnsi="Arial"/>
                <w:sz w:val="18"/>
                <w:szCs w:val="18"/>
                <w:color w:val="auto"/>
              </w:rPr>
              <w:t>111,844</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3" w:lineRule="exact"/>
              <w:rPr>
                <w:sz w:val="20"/>
                <w:szCs w:val="20"/>
                <w:color w:val="auto"/>
              </w:rPr>
            </w:pPr>
            <w:r>
              <w:rPr>
                <w:rFonts w:ascii="Arial" w:cs="Arial" w:eastAsia="Arial" w:hAnsi="Arial"/>
                <w:sz w:val="18"/>
                <w:szCs w:val="18"/>
                <w:color w:val="auto"/>
              </w:rPr>
              <w:t>16</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3" w:lineRule="exact"/>
              <w:rPr>
                <w:sz w:val="20"/>
                <w:szCs w:val="20"/>
                <w:color w:val="auto"/>
              </w:rPr>
            </w:pPr>
            <w:r>
              <w:rPr>
                <w:rFonts w:ascii="Arial" w:cs="Arial" w:eastAsia="Arial" w:hAnsi="Arial"/>
                <w:sz w:val="18"/>
                <w:szCs w:val="18"/>
                <w:color w:val="auto"/>
              </w:rPr>
              <w:t>111,828</w:t>
            </w:r>
          </w:p>
        </w:tc>
        <w:tc>
          <w:tcPr>
            <w:tcW w:w="1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5,276</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5,265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3,761</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Mortgage- and asset-backed</w:t>
            </w:r>
          </w:p>
        </w:tc>
        <w:tc>
          <w:tcPr>
            <w:tcW w:w="2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securities</w:t>
            </w:r>
          </w:p>
        </w:tc>
        <w:tc>
          <w:tcPr>
            <w:tcW w:w="2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40"/>
              <w:spacing w:after="0" w:line="203" w:lineRule="exact"/>
              <w:rPr>
                <w:sz w:val="20"/>
                <w:szCs w:val="20"/>
                <w:color w:val="auto"/>
              </w:rPr>
            </w:pPr>
            <w:r>
              <w:rPr>
                <w:rFonts w:ascii="Arial" w:cs="Arial" w:eastAsia="Arial" w:hAnsi="Arial"/>
                <w:sz w:val="18"/>
                <w:szCs w:val="18"/>
                <w:color w:val="auto"/>
              </w:rPr>
              <w:t>3,921</w:t>
            </w:r>
          </w:p>
        </w:tc>
        <w:tc>
          <w:tcPr>
            <w:tcW w:w="24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0"/>
              <w:spacing w:after="0" w:line="203" w:lineRule="exact"/>
              <w:rPr>
                <w:sz w:val="20"/>
                <w:szCs w:val="20"/>
                <w:color w:val="auto"/>
              </w:rPr>
            </w:pPr>
            <w:r>
              <w:rPr>
                <w:rFonts w:ascii="Arial" w:cs="Arial" w:eastAsia="Arial" w:hAnsi="Arial"/>
                <w:sz w:val="18"/>
                <w:szCs w:val="18"/>
                <w:color w:val="auto"/>
              </w:rPr>
              <w:t>14</w:t>
            </w:r>
          </w:p>
        </w:tc>
        <w:tc>
          <w:tcPr>
            <w:tcW w:w="2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60" w:type="dxa"/>
            <w:vAlign w:val="bottom"/>
            <w:gridSpan w:val="3"/>
            <w:shd w:val="clear" w:color="auto" w:fill="E5E5E5"/>
          </w:tcPr>
          <w:p>
            <w:pPr>
              <w:jc w:val="right"/>
              <w:ind w:right="100"/>
              <w:spacing w:after="0" w:line="203" w:lineRule="exact"/>
              <w:rPr>
                <w:sz w:val="20"/>
                <w:szCs w:val="20"/>
                <w:color w:val="auto"/>
              </w:rPr>
            </w:pPr>
            <w:r>
              <w:rPr>
                <w:rFonts w:ascii="Arial" w:cs="Arial" w:eastAsia="Arial" w:hAnsi="Arial"/>
                <w:sz w:val="18"/>
                <w:szCs w:val="18"/>
                <w:color w:val="auto"/>
              </w:rPr>
              <w:t>(4)</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20"/>
              <w:spacing w:after="0" w:line="203" w:lineRule="exact"/>
              <w:rPr>
                <w:sz w:val="20"/>
                <w:szCs w:val="20"/>
                <w:color w:val="auto"/>
              </w:rPr>
            </w:pPr>
            <w:r>
              <w:rPr>
                <w:rFonts w:ascii="Arial" w:cs="Arial" w:eastAsia="Arial" w:hAnsi="Arial"/>
                <w:sz w:val="18"/>
                <w:szCs w:val="18"/>
                <w:color w:val="auto"/>
              </w:rPr>
              <w:t>3,931</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3"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3" w:lineRule="exact"/>
              <w:rPr>
                <w:sz w:val="20"/>
                <w:szCs w:val="20"/>
                <w:color w:val="auto"/>
              </w:rPr>
            </w:pPr>
            <w:r>
              <w:rPr>
                <w:rFonts w:ascii="Arial" w:cs="Arial" w:eastAsia="Arial" w:hAnsi="Arial"/>
                <w:sz w:val="18"/>
                <w:szCs w:val="18"/>
                <w:color w:val="auto"/>
              </w:rPr>
              <w:t>3,931</w:t>
            </w:r>
          </w:p>
        </w:tc>
        <w:tc>
          <w:tcPr>
            <w:tcW w:w="1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4,786</w:t>
            </w:r>
          </w:p>
        </w:tc>
        <w:tc>
          <w:tcPr>
            <w:tcW w:w="24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4,835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4,835</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284</w:t>
            </w:r>
          </w:p>
        </w:tc>
        <w:tc>
          <w:tcPr>
            <w:tcW w:w="2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43</w:t>
            </w: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327</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327</w:t>
            </w: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Common and preferred stock</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2,472</w:t>
            </w:r>
          </w:p>
        </w:tc>
        <w:tc>
          <w:tcPr>
            <w:tcW w:w="24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3,062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investments</w:t>
            </w:r>
          </w:p>
        </w:tc>
        <w:tc>
          <w:tcPr>
            <w:tcW w:w="22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523</w:t>
            </w:r>
          </w:p>
        </w:tc>
        <w:tc>
          <w:tcPr>
            <w:tcW w:w="2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523</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136,160</w:t>
            </w:r>
          </w:p>
        </w:tc>
        <w:tc>
          <w:tcPr>
            <w:tcW w:w="24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3,267</w:t>
            </w:r>
          </w:p>
        </w:tc>
        <w:tc>
          <w:tcPr>
            <w:tcW w:w="220" w:type="dxa"/>
            <w:vAlign w:val="bottom"/>
          </w:tcPr>
          <w:p>
            <w:pPr>
              <w:spacing w:after="0"/>
              <w:rPr>
                <w:sz w:val="22"/>
                <w:szCs w:val="2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(423)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139,004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7,663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125,318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March 31, 2018 and June 30, 2017, the recorded bases of common and preferred stock that are restricted for more than one year or are not publicly traded were $1.0 billion and $1.1 billion, respectively. These investments are carried at cost and are reviewed quarterly for indicators of other-than-temporary impairment. It is not practicable for us to reliably estimate the fair value of these investments.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We lend certain fixed-income and equity securities to increase investment returns. These transactions are accounted for as secured borrowings and the loaned securities continue to be carried as investments on our consolidated balance sheets. Cash and/or security interests are received as collateral for the loaned securities with the amount determined based upon the underlying security lent and the creditworthiness of the borrower. Cash received is recorded as an asset with a corresponding liability. As of March 31, 2018 and June 30, 2017, collateral received under agreements for loaned securities was $3.0 billion and $3.7 billion, respectively, and primarily comprised U.S. government and agency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Investments with continuous unrealized losses for less than 12 months and 12 months or greater and their related fair values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12 Months or Greater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78"/>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55"/>
        </w:trPr>
        <w:tc>
          <w:tcPr>
            <w:tcW w:w="358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March 31, 2018</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95,908</w:t>
            </w:r>
          </w:p>
        </w:tc>
        <w:tc>
          <w:tcPr>
            <w:tcW w:w="3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(1,169)</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2,031</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(70)</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97,939</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(1,239)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1,261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1,287</w:t>
            </w:r>
          </w:p>
        </w:tc>
        <w:tc>
          <w:tcPr>
            <w:tcW w:w="22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1,614</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147</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1,761</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2,463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2,893</w:t>
            </w:r>
          </w:p>
        </w:tc>
        <w:tc>
          <w:tcPr>
            <w:tcW w:w="22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Common and preferred stock</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101,301</w:t>
            </w:r>
          </w:p>
        </w:tc>
        <w:tc>
          <w:tcPr>
            <w:tcW w:w="3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(1,210)</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2,657</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(101)</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103,958</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(1,311)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40" w:type="dxa"/>
            <w:vAlign w:val="bottom"/>
            <w:gridSpan w:val="2"/>
          </w:tcPr>
          <w:p>
            <w:pPr>
              <w:spacing w:after="0"/>
              <w:rPr>
                <w:sz w:val="6"/>
                <w:szCs w:val="6"/>
                <w:color w:val="auto"/>
              </w:rPr>
            </w:pPr>
          </w:p>
        </w:tc>
        <w:tc>
          <w:tcPr>
            <w:tcW w:w="1040" w:type="dxa"/>
            <w:vAlign w:val="bottom"/>
            <w:tcBorders>
              <w:bottom w:val="single" w:sz="8" w:color="auto"/>
            </w:tcBorders>
            <w:gridSpan w:val="2"/>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gridSpan w:val="2"/>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12 Months or Greater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78"/>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55"/>
        </w:trPr>
        <w:tc>
          <w:tcPr>
            <w:tcW w:w="358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920" w:type="dxa"/>
            <w:vAlign w:val="bottom"/>
            <w:gridSpan w:val="2"/>
          </w:tcPr>
          <w:p>
            <w:pPr>
              <w:spacing w:after="0"/>
              <w:rPr>
                <w:sz w:val="4"/>
                <w:szCs w:val="4"/>
                <w:color w:val="auto"/>
              </w:rPr>
            </w:pPr>
          </w:p>
        </w:tc>
        <w:tc>
          <w:tcPr>
            <w:tcW w:w="36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34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320" w:type="dxa"/>
            <w:vAlign w:val="bottom"/>
            <w:gridSpan w:val="2"/>
          </w:tcPr>
          <w:p>
            <w:pPr>
              <w:spacing w:after="0"/>
              <w:rPr>
                <w:sz w:val="4"/>
                <w:szCs w:val="4"/>
                <w:color w:val="auto"/>
              </w:rPr>
            </w:pPr>
          </w:p>
        </w:tc>
        <w:tc>
          <w:tcPr>
            <w:tcW w:w="940" w:type="dxa"/>
            <w:vAlign w:val="bottom"/>
            <w:gridSpan w:val="2"/>
          </w:tcPr>
          <w:p>
            <w:pPr>
              <w:spacing w:after="0"/>
              <w:rPr>
                <w:sz w:val="4"/>
                <w:szCs w:val="4"/>
                <w:color w:val="auto"/>
              </w:rPr>
            </w:pPr>
          </w:p>
        </w:tc>
        <w:tc>
          <w:tcPr>
            <w:tcW w:w="300" w:type="dxa"/>
            <w:vAlign w:val="bottom"/>
            <w:gridSpan w:val="2"/>
          </w:tcPr>
          <w:p>
            <w:pPr>
              <w:spacing w:after="0"/>
              <w:rPr>
                <w:sz w:val="4"/>
                <w:szCs w:val="4"/>
                <w:color w:val="auto"/>
              </w:rPr>
            </w:pPr>
          </w:p>
        </w:tc>
        <w:tc>
          <w:tcPr>
            <w:tcW w:w="10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87,558</w:t>
            </w:r>
          </w:p>
        </w:tc>
        <w:tc>
          <w:tcPr>
            <w:tcW w:w="3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(348)</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371</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(12)</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87,929</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4,006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4,029</w:t>
            </w:r>
          </w:p>
        </w:tc>
        <w:tc>
          <w:tcPr>
            <w:tcW w:w="22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1,068</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198</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1,266</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846</w:t>
            </w:r>
          </w:p>
        </w:tc>
        <w:tc>
          <w:tcPr>
            <w:tcW w:w="22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and preferred stock</w:t>
            </w:r>
          </w:p>
        </w:tc>
        <w:tc>
          <w:tcPr>
            <w:tcW w:w="4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69</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148</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(28)</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217</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93,370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94,287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Unrealized losses from fixed-income securities are primarily attributable to changes in interest rates. Unrealized losses from domestic and international equities are due to market price movements. Management does not believe any remaining unrealized losses represent other-than-temporary impairments based on our evaluation of available evidence.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Cost Basis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300" w:type="dxa"/>
            <w:vAlign w:val="bottom"/>
            <w:tcBorders>
              <w:bottom w:val="single" w:sz="8" w:color="auto"/>
            </w:tcBorders>
            <w:gridSpan w:val="2"/>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March 31, 2018</w:t>
            </w:r>
          </w:p>
        </w:tc>
        <w:tc>
          <w:tcPr>
            <w:tcW w:w="4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80" w:type="dxa"/>
            <w:vAlign w:val="bottom"/>
          </w:tcPr>
          <w:p>
            <w:pPr>
              <w:spacing w:after="0"/>
              <w:rPr>
                <w:sz w:val="4"/>
                <w:szCs w:val="4"/>
                <w:color w:val="auto"/>
              </w:rPr>
            </w:pPr>
          </w:p>
        </w:tc>
        <w:tc>
          <w:tcPr>
            <w:tcW w:w="4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47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16,698</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16,670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94,607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93,722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45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16,427</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16,133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Due after 10 years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28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w:t>
            </w:r>
          </w:p>
        </w:tc>
        <w:tc>
          <w:tcPr>
            <w:tcW w:w="47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128,681</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127,481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4520" w:type="dxa"/>
            <w:vAlign w:val="bottom"/>
            <w:vMerge w:val="restart"/>
          </w:tcPr>
          <w:p>
            <w:pPr>
              <w:jc w:val="right"/>
              <w:ind w:right="2936"/>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17" w:name="page18"/>
    <w:bookmarkEnd w:id="17"/>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to enhance investment returns; and to facilitate portfolio diversification. Our objectives for holding derivatives include reducing, eliminating, and efficiently managing the economic impact of these exposures as effectively as possible.</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derivative programs include strategies that both qualify and do not qualify for hedge accounting treatment. All notional amounts presented below are measured in U.S. dollar equivalents.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 Option and forward contracts are used to hedge a portion of forecasted international revenue for up to three years in the future and are designated as cash flow hedging instruments. Principal currencies hedged include the euro, Japanese yen, British pound, Canadian dollar, and Australian dollar. As of March 31, 2018 and June 30, 2017, the total notional amounts of these foreign exchange contracts sold were $7.5 billion and $8.9 billion, respectively.</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Foreign currency risks related to certain non-U.S. dollar denominated securities are hedged using foreign exchange forward contracts that are designated as fair value hedging instruments. As of March 31, 2018 and June 30, 2017, the total notional amounts of these foreign exchange contracts sold were $4.5 billion and $5.1 billion, respectively.</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 As of March 31, 2018, the total notional amounts of these foreign exchange contracts purchased and sold were $9.1 billion and $9.7 billion, respectively. As of June 30, 2017, the total notional amounts of these foreign exchange contracts purchased and sold were $8.8 billion and $10.6 billion,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Securities held in our equity and other investments portfolio are subject to market price risk. Market price risk is managed relative to broad-based global and domestic equity indices using certain convertible preferred investments, options, futures, and swap contracts not designated as hedging instruments. From time to time, to hedge our price risk, we may use and designate equity derivatives as hedging instruments, including puts, calls, swaps, and forwards. As of March 31, 2018, the total notional amounts of equity contracts purchased and sold for managing market price risk were $ 801 million and $820 million, respectively, of which $731 million and $815 million, respectively, were designated as hedging instruments. As of June 30, 2017, the total notional amounts of equity contracts purchased and sold for managing market price risk were $1.9 billion and $2.4 billion, respectively, of which $1.6 billion and $1.8 billion, respectively, were designated as hedging instruments.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over-the-counter swap and option contracts, none of which are designated as hedging instruments. As of March 31, 2018, the total notional amounts of fixed-interest rate contracts purchased and sold were $620 million and $424 million, respectively. As of June 30, 2017, the total notional amounts of fixed-interest rate contracts purchased and sold were $233 million and $352 million, respectively.</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 use “To Be Announced” forward purchase commitments of mortgage-backed assets to gain exposure to agency mortgage-backed securities. These meet the definition of a derivative instrument in cases where physical delivery of the assets is not taken at the earliest available delivery date. As of March 31, 2018 and June 30, 2017, the total notional derivative amounts of mortgage contracts purchased were $563 million and $567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not designated as hedging instruments, to manage credit exposures relative to broad-based indices and to facilitate portfolio diversification. We use credit default swaps as they are a low-cost method of managing exposure to individual credit risks or groups of credit risks. As of March 31, 2018, the total notional amounts of credit contracts purchased and sold were $238 million and $31 million, respectively. As of June 30, 2017, the total notional amounts of credit contracts purchased and sold were $267 million and $63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March 31, 2018, our long-term unsecured debt rating was AAA, and cash investments were in excess of $1.0 billion. As a result, no collateral was required to be posted.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Derivative instruments are recognized as either assets or liabilities and are measured at fair value. The accounting for changes in the fair value of a derivative depends on the intended use of the derivative and the resulting designation.</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fair value hedges, the gains (losses) are recognized in earnings in the periods of change together with the offsetting (losses) gains on the hedged items attributed to the risk being hedged. For options designated as fair value hedges, changes in the time value are excluded from the assessment of hedge effectiveness and are recognized in earnings.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derivative instruments designated as cash flow hedges, the effective portion of the gains (losses) on the derivatives is initially reported as a component of OCI and is subsequently recognized in earnings when the hedged exposure is recognized in earnings. For options designated as cash flow hedges, changes in the time value are excluded from the assessment of hedge effectiveness and are recognized in earnings. Gains (losses) on derivatives representing either hedge components excluded from the assessment of effectiveness or hedge ineffectiveness are recognized in earnings.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derivative instruments that are not designated as hedges, gains (losses) from changes in fair values are primarily recognized in other income (expense), net. Other than those derivatives entered into for investment purposes, the gains (losses) are generally economically offset by unrealized gains (losses) in the underlying available-for-sale securities, which are recorded as a component of OCI until the securities are sold or other-than-temporarily impaired, at which time the amounts are reclassified from AOCI into other income (expense), net.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 w:name="page20"/>
    <w:bookmarkEnd w:id="19"/>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following table presents the fair values of derivative instruments designated as hedging instruments (“designated hedge derivatives”) and not designated as hedging instruments (“non-designated hedge derivatives”). The fair values exclude the impact of netting derivative assets and liabilities when a legally enforceable master netting agreement exists and fair value adjustments related to our own credit risk and counterparty credit risk: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Equity and</w:t>
            </w:r>
          </w:p>
        </w:tc>
        <w:tc>
          <w:tcPr>
            <w:tcW w:w="2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Short-term</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Long-term</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Non-designated Hedge Derivatives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67</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59</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(142)</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line="189" w:lineRule="exact"/>
              <w:rPr>
                <w:sz w:val="20"/>
                <w:szCs w:val="20"/>
                <w:color w:val="auto"/>
              </w:rPr>
            </w:pPr>
            <w:r>
              <w:rPr>
                <w:rFonts w:ascii="Arial" w:cs="Arial" w:eastAsia="Arial" w:hAnsi="Arial"/>
                <w:sz w:val="18"/>
                <w:szCs w:val="18"/>
                <w:color w:val="auto"/>
              </w:rPr>
              <w:t>Equity contracts</w:t>
            </w: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Credit contracts</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26</w:t>
            </w: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67</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59</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(148)</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Designated Hedge Derivatives</w:t>
            </w: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71</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Equity contracts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71</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(165)</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Total gross amounts of derivatives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(313)</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98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Gross derivatives either offset or subject to an</w:t>
            </w: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shd w:val="clear" w:color="auto" w:fill="E5E5E5"/>
          </w:tcPr>
          <w:p>
            <w:pPr>
              <w:spacing w:after="0"/>
              <w:rPr>
                <w:sz w:val="15"/>
                <w:szCs w:val="15"/>
                <w:color w:val="auto"/>
              </w:rPr>
            </w:pPr>
          </w:p>
        </w:tc>
        <w:tc>
          <w:tcPr>
            <w:tcW w:w="32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138</w:t>
            </w:r>
          </w:p>
        </w:tc>
        <w:tc>
          <w:tcPr>
            <w:tcW w:w="220" w:type="dxa"/>
            <w:vAlign w:val="bottom"/>
            <w:shd w:val="clear" w:color="auto" w:fill="E5E5E5"/>
          </w:tcPr>
          <w:p>
            <w:pPr>
              <w:spacing w:after="0"/>
              <w:rPr>
                <w:sz w:val="15"/>
                <w:szCs w:val="15"/>
                <w:color w:val="auto"/>
              </w:rPr>
            </w:pP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shd w:val="clear" w:color="auto" w:fill="E5E5E5"/>
          </w:tcPr>
          <w:p>
            <w:pPr>
              <w:spacing w:after="0"/>
              <w:rPr>
                <w:sz w:val="15"/>
                <w:szCs w:val="15"/>
                <w:color w:val="auto"/>
              </w:rPr>
            </w:pPr>
          </w:p>
        </w:tc>
        <w:tc>
          <w:tcPr>
            <w:tcW w:w="260" w:type="dxa"/>
            <w:vAlign w:val="bottom"/>
            <w:vMerge w:val="restart"/>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shd w:val="clear" w:color="auto" w:fill="E5E5E5"/>
          </w:tcPr>
          <w:p>
            <w:pPr>
              <w:spacing w:after="0"/>
              <w:rPr>
                <w:sz w:val="15"/>
                <w:szCs w:val="15"/>
                <w:color w:val="auto"/>
              </w:rPr>
            </w:pPr>
          </w:p>
        </w:tc>
        <w:tc>
          <w:tcPr>
            <w:tcW w:w="260" w:type="dxa"/>
            <w:vAlign w:val="bottom"/>
            <w:vMerge w:val="restart"/>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(313)</w:t>
            </w:r>
          </w:p>
        </w:tc>
        <w:tc>
          <w:tcPr>
            <w:tcW w:w="220" w:type="dxa"/>
            <w:vAlign w:val="bottom"/>
            <w:vMerge w:val="restart"/>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enforceable master netting agreement</w:t>
            </w:r>
          </w:p>
        </w:tc>
        <w:tc>
          <w:tcPr>
            <w:tcW w:w="180" w:type="dxa"/>
            <w:vAlign w:val="bottom"/>
            <w:vMerge w:val="continue"/>
            <w:shd w:val="clear" w:color="auto" w:fill="E5E5E5"/>
          </w:tcPr>
          <w:p>
            <w:pPr>
              <w:spacing w:after="0"/>
              <w:rPr>
                <w:sz w:val="17"/>
                <w:szCs w:val="17"/>
                <w:color w:val="auto"/>
              </w:rPr>
            </w:pPr>
          </w:p>
        </w:tc>
        <w:tc>
          <w:tcPr>
            <w:tcW w:w="860" w:type="dxa"/>
            <w:vAlign w:val="bottom"/>
            <w:vMerge w:val="continue"/>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20" w:type="dxa"/>
            <w:vAlign w:val="bottom"/>
            <w:gridSpan w:val="2"/>
            <w:vMerge w:val="continue"/>
            <w:shd w:val="clear" w:color="auto" w:fill="E5E5E5"/>
          </w:tcPr>
          <w:p>
            <w:pPr>
              <w:spacing w:after="0"/>
              <w:rPr>
                <w:sz w:val="17"/>
                <w:szCs w:val="17"/>
                <w:color w:val="auto"/>
              </w:rPr>
            </w:pPr>
          </w:p>
        </w:tc>
        <w:tc>
          <w:tcPr>
            <w:tcW w:w="780" w:type="dxa"/>
            <w:vAlign w:val="bottom"/>
            <w:vMerge w:val="continue"/>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vMerge w:val="continue"/>
            <w:shd w:val="clear" w:color="auto" w:fill="E5E5E5"/>
          </w:tcPr>
          <w:p>
            <w:pPr>
              <w:spacing w:after="0"/>
              <w:rPr>
                <w:sz w:val="17"/>
                <w:szCs w:val="17"/>
                <w:color w:val="auto"/>
              </w:rPr>
            </w:pPr>
          </w:p>
        </w:tc>
        <w:tc>
          <w:tcPr>
            <w:tcW w:w="860" w:type="dxa"/>
            <w:vAlign w:val="bottom"/>
            <w:vMerge w:val="continue"/>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60" w:type="dxa"/>
            <w:vAlign w:val="bottom"/>
            <w:vMerge w:val="continue"/>
            <w:shd w:val="clear" w:color="auto" w:fill="E5E5E5"/>
          </w:tcPr>
          <w:p>
            <w:pPr>
              <w:spacing w:after="0"/>
              <w:rPr>
                <w:sz w:val="17"/>
                <w:szCs w:val="17"/>
                <w:color w:val="auto"/>
              </w:rPr>
            </w:pPr>
          </w:p>
        </w:tc>
        <w:tc>
          <w:tcPr>
            <w:tcW w:w="780" w:type="dxa"/>
            <w:vAlign w:val="bottom"/>
            <w:vMerge w:val="continue"/>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60" w:type="dxa"/>
            <w:vAlign w:val="bottom"/>
            <w:vMerge w:val="continue"/>
            <w:shd w:val="clear" w:color="auto" w:fill="E5E5E5"/>
          </w:tcPr>
          <w:p>
            <w:pPr>
              <w:spacing w:after="0"/>
              <w:rPr>
                <w:sz w:val="17"/>
                <w:szCs w:val="17"/>
                <w:color w:val="auto"/>
              </w:rPr>
            </w:pPr>
          </w:p>
        </w:tc>
        <w:tc>
          <w:tcPr>
            <w:tcW w:w="1000" w:type="dxa"/>
            <w:vAlign w:val="bottom"/>
            <w:gridSpan w:val="2"/>
            <w:vMerge w:val="continue"/>
            <w:shd w:val="clear" w:color="auto" w:fill="E5E5E5"/>
          </w:tcPr>
          <w:p>
            <w:pPr>
              <w:spacing w:after="0"/>
              <w:rPr>
                <w:sz w:val="17"/>
                <w:szCs w:val="17"/>
                <w:color w:val="auto"/>
              </w:rPr>
            </w:pPr>
          </w:p>
        </w:tc>
        <w:tc>
          <w:tcPr>
            <w:tcW w:w="220" w:type="dxa"/>
            <w:vAlign w:val="bottom"/>
            <w:vMerge w:val="continue"/>
            <w:shd w:val="clear" w:color="auto" w:fill="E5E5E5"/>
          </w:tcPr>
          <w:p>
            <w:pPr>
              <w:spacing w:after="0"/>
              <w:rPr>
                <w:sz w:val="17"/>
                <w:szCs w:val="17"/>
                <w:color w:val="auto"/>
              </w:rPr>
            </w:pPr>
          </w:p>
        </w:tc>
        <w:tc>
          <w:tcPr>
            <w:tcW w:w="940" w:type="dxa"/>
            <w:vAlign w:val="bottom"/>
            <w:gridSpan w:val="2"/>
            <w:vMerge w:val="continue"/>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tcPr>
          <w:p>
            <w:pPr>
              <w:spacing w:after="0" w:line="175" w:lineRule="exact"/>
              <w:rPr>
                <w:sz w:val="20"/>
                <w:szCs w:val="20"/>
                <w:color w:val="auto"/>
              </w:rPr>
            </w:pPr>
            <w:r>
              <w:rPr>
                <w:rFonts w:ascii="Arial" w:cs="Arial" w:eastAsia="Arial" w:hAnsi="Arial"/>
                <w:sz w:val="18"/>
                <w:szCs w:val="18"/>
                <w:color w:val="auto"/>
              </w:rPr>
              <w:t>Gross amounts of derivatives offset on the</w:t>
            </w:r>
          </w:p>
        </w:tc>
        <w:tc>
          <w:tcPr>
            <w:tcW w:w="180" w:type="dxa"/>
            <w:vAlign w:val="bottom"/>
          </w:tcPr>
          <w:p>
            <w:pPr>
              <w:spacing w:after="0"/>
              <w:rPr>
                <w:sz w:val="15"/>
                <w:szCs w:val="15"/>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(34)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(102)</w:t>
            </w:r>
          </w:p>
        </w:tc>
        <w:tc>
          <w:tcPr>
            <w:tcW w:w="18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Net amounts presented on the balance sheet</w:t>
            </w: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56</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(163)</w:t>
            </w: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tcPr>
          <w:p>
            <w:pPr>
              <w:ind w:left="260"/>
              <w:spacing w:after="0" w:line="175" w:lineRule="exact"/>
              <w:rPr>
                <w:sz w:val="20"/>
                <w:szCs w:val="20"/>
                <w:color w:val="auto"/>
              </w:rPr>
            </w:pPr>
            <w:r>
              <w:rPr>
                <w:rFonts w:ascii="Arial" w:cs="Arial" w:eastAsia="Arial" w:hAnsi="Arial"/>
                <w:sz w:val="18"/>
                <w:szCs w:val="18"/>
                <w:color w:val="auto"/>
              </w:rPr>
              <w:t>Gross amounts of derivatives not offset on the</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480"/>
              <w:spacing w:after="0" w:line="203" w:lineRule="exact"/>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Cash collateral received</w:t>
            </w: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(61)</w:t>
            </w:r>
          </w:p>
        </w:tc>
        <w:tc>
          <w:tcPr>
            <w:tcW w:w="2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Net amount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(224)</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94"/>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20" w:name="page21"/>
    <w:bookmarkEnd w:id="20"/>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Equity and</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Short-term</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8"/>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Investments</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Investments</w:t>
            </w:r>
          </w:p>
        </w:tc>
        <w:tc>
          <w:tcPr>
            <w:tcW w:w="13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Long-term Assets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55"/>
        </w:trPr>
        <w:tc>
          <w:tcPr>
            <w:tcW w:w="39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Non-designated Hedge Derivatives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w:t>
            </w:r>
          </w:p>
        </w:tc>
        <w:tc>
          <w:tcPr>
            <w:tcW w:w="160" w:type="dxa"/>
            <w:vAlign w:val="bottom"/>
            <w:shd w:val="clear" w:color="auto" w:fill="E5E5E5"/>
          </w:tcPr>
          <w:p>
            <w:pPr>
              <w:spacing w:after="0"/>
              <w:rPr>
                <w:sz w:val="16"/>
                <w:szCs w:val="16"/>
                <w:color w:val="auto"/>
              </w:rPr>
            </w:pP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203</w:t>
            </w:r>
          </w:p>
        </w:tc>
        <w:tc>
          <w:tcPr>
            <w:tcW w:w="160" w:type="dxa"/>
            <w:vAlign w:val="bottom"/>
            <w:shd w:val="clear" w:color="auto" w:fill="E5E5E5"/>
          </w:tcPr>
          <w:p>
            <w:pPr>
              <w:spacing w:after="0"/>
              <w:rPr>
                <w:sz w:val="16"/>
                <w:szCs w:val="16"/>
                <w:color w:val="auto"/>
              </w:rPr>
            </w:pP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4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(134)</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8"/>
                <w:szCs w:val="18"/>
                <w:color w:val="auto"/>
              </w:rPr>
              <w:t>Equity contracts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w:t>
            </w: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w:t>
            </w: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(7)</w:t>
            </w:r>
          </w:p>
        </w:tc>
        <w:tc>
          <w:tcPr>
            <w:tcW w:w="20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Credit contracts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w:t>
            </w:r>
          </w:p>
        </w:tc>
        <w:tc>
          <w:tcPr>
            <w:tcW w:w="160" w:type="dxa"/>
            <w:vAlign w:val="bottom"/>
            <w:shd w:val="clear" w:color="auto" w:fill="E5E5E5"/>
          </w:tcPr>
          <w:p>
            <w:pPr>
              <w:spacing w:after="0"/>
              <w:rPr>
                <w:sz w:val="16"/>
                <w:szCs w:val="16"/>
                <w:color w:val="auto"/>
              </w:rPr>
            </w:pP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203</w:t>
            </w:r>
          </w:p>
        </w:tc>
        <w:tc>
          <w:tcPr>
            <w:tcW w:w="160" w:type="dxa"/>
            <w:vAlign w:val="bottom"/>
            <w:shd w:val="clear" w:color="auto" w:fill="E5E5E5"/>
          </w:tcPr>
          <w:p>
            <w:pPr>
              <w:spacing w:after="0"/>
              <w:rPr>
                <w:sz w:val="16"/>
                <w:szCs w:val="16"/>
                <w:color w:val="auto"/>
              </w:rPr>
            </w:pP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4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(148)</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75"/>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Designated Hedge Derivatives</w:t>
            </w: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9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80</w:t>
            </w:r>
          </w:p>
        </w:tc>
        <w:tc>
          <w:tcPr>
            <w:tcW w:w="160" w:type="dxa"/>
            <w:vAlign w:val="bottom"/>
            <w:shd w:val="clear" w:color="auto" w:fill="E5E5E5"/>
          </w:tcPr>
          <w:p>
            <w:pPr>
              <w:spacing w:after="0"/>
              <w:rPr>
                <w:sz w:val="16"/>
                <w:szCs w:val="16"/>
                <w:color w:val="auto"/>
              </w:rPr>
            </w:pP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133</w:t>
            </w:r>
          </w:p>
        </w:tc>
        <w:tc>
          <w:tcPr>
            <w:tcW w:w="160" w:type="dxa"/>
            <w:vAlign w:val="bottom"/>
            <w:shd w:val="clear" w:color="auto" w:fill="E5E5E5"/>
          </w:tcPr>
          <w:p>
            <w:pPr>
              <w:spacing w:after="0"/>
              <w:rPr>
                <w:sz w:val="16"/>
                <w:szCs w:val="16"/>
                <w:color w:val="auto"/>
              </w:rPr>
            </w:pP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4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Equity contracts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80</w:t>
            </w:r>
          </w:p>
        </w:tc>
        <w:tc>
          <w:tcPr>
            <w:tcW w:w="160" w:type="dxa"/>
            <w:vAlign w:val="bottom"/>
            <w:shd w:val="clear" w:color="auto" w:fill="E5E5E5"/>
          </w:tcPr>
          <w:p>
            <w:pPr>
              <w:spacing w:after="0"/>
              <w:rPr>
                <w:sz w:val="16"/>
                <w:szCs w:val="16"/>
                <w:color w:val="auto"/>
              </w:rPr>
            </w:pP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133</w:t>
            </w:r>
          </w:p>
        </w:tc>
        <w:tc>
          <w:tcPr>
            <w:tcW w:w="160" w:type="dxa"/>
            <w:vAlign w:val="bottom"/>
            <w:shd w:val="clear" w:color="auto" w:fill="E5E5E5"/>
          </w:tcPr>
          <w:p>
            <w:pPr>
              <w:spacing w:after="0"/>
              <w:rPr>
                <w:sz w:val="16"/>
                <w:szCs w:val="16"/>
                <w:color w:val="auto"/>
              </w:rPr>
            </w:pP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67</w:t>
            </w:r>
          </w:p>
        </w:tc>
        <w:tc>
          <w:tcPr>
            <w:tcW w:w="80" w:type="dxa"/>
            <w:vAlign w:val="bottom"/>
            <w:shd w:val="clear" w:color="auto" w:fill="E5E5E5"/>
          </w:tcPr>
          <w:p>
            <w:pPr>
              <w:spacing w:after="0"/>
              <w:rPr>
                <w:sz w:val="16"/>
                <w:szCs w:val="16"/>
                <w:color w:val="auto"/>
              </w:rPr>
            </w:pPr>
          </w:p>
        </w:tc>
        <w:tc>
          <w:tcPr>
            <w:tcW w:w="4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(189)</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gridSpan w:val="2"/>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Total gross amounts of derivatives</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94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Gross derivatives either offset or subject to an</w:t>
            </w:r>
          </w:p>
        </w:tc>
        <w:tc>
          <w:tcPr>
            <w:tcW w:w="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enforceable master netting agreement</w:t>
            </w:r>
          </w:p>
        </w:tc>
        <w:tc>
          <w:tcPr>
            <w:tcW w:w="240" w:type="dxa"/>
            <w:vAlign w:val="bottom"/>
            <w:gridSpan w:val="2"/>
            <w:shd w:val="clear" w:color="auto" w:fill="E5E5E5"/>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100</w:t>
            </w:r>
          </w:p>
        </w:tc>
        <w:tc>
          <w:tcPr>
            <w:tcW w:w="16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336</w:t>
            </w:r>
          </w:p>
        </w:tc>
        <w:tc>
          <w:tcPr>
            <w:tcW w:w="16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67</w:t>
            </w:r>
          </w:p>
        </w:tc>
        <w:tc>
          <w:tcPr>
            <w:tcW w:w="80" w:type="dxa"/>
            <w:vAlign w:val="bottom"/>
            <w:shd w:val="clear" w:color="auto" w:fill="E5E5E5"/>
          </w:tcPr>
          <w:p>
            <w:pPr>
              <w:spacing w:after="0"/>
              <w:rPr>
                <w:sz w:val="17"/>
                <w:szCs w:val="17"/>
                <w:color w:val="auto"/>
              </w:rPr>
            </w:pPr>
          </w:p>
        </w:tc>
        <w:tc>
          <w:tcPr>
            <w:tcW w:w="460" w:type="dxa"/>
            <w:vAlign w:val="bottom"/>
            <w:gridSpan w:val="2"/>
            <w:shd w:val="clear" w:color="auto" w:fill="E5E5E5"/>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17"/>
                <w:szCs w:val="17"/>
                <w:color w:val="auto"/>
              </w:rPr>
            </w:pPr>
          </w:p>
        </w:tc>
        <w:tc>
          <w:tcPr>
            <w:tcW w:w="320" w:type="dxa"/>
            <w:vAlign w:val="bottom"/>
            <w:gridSpan w:val="2"/>
            <w:shd w:val="clear" w:color="auto" w:fill="E5E5E5"/>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(334)</w:t>
            </w:r>
          </w:p>
        </w:tc>
        <w:tc>
          <w:tcPr>
            <w:tcW w:w="200" w:type="dxa"/>
            <w:vAlign w:val="bottom"/>
            <w:shd w:val="clear" w:color="auto" w:fill="E5E5E5"/>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8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40" w:type="dxa"/>
            <w:vAlign w:val="bottom"/>
          </w:tcPr>
          <w:p>
            <w:pPr>
              <w:spacing w:after="0" w:line="175" w:lineRule="exact"/>
              <w:rPr>
                <w:sz w:val="20"/>
                <w:szCs w:val="20"/>
                <w:color w:val="auto"/>
              </w:rPr>
            </w:pPr>
            <w:r>
              <w:rPr>
                <w:rFonts w:ascii="Arial" w:cs="Arial" w:eastAsia="Arial" w:hAnsi="Arial"/>
                <w:sz w:val="18"/>
                <w:szCs w:val="18"/>
                <w:color w:val="auto"/>
              </w:rPr>
              <w:t>Gross amounts of derivatives offset on the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balance sheet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Net amounts presented on the balance sheet</w:t>
            </w: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80</w:t>
            </w: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204</w:t>
            </w: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(113)</w:t>
            </w:r>
          </w:p>
        </w:tc>
        <w:tc>
          <w:tcPr>
            <w:tcW w:w="2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40" w:type="dxa"/>
            <w:vAlign w:val="bottom"/>
          </w:tcPr>
          <w:p>
            <w:pPr>
              <w:ind w:left="200"/>
              <w:spacing w:after="0" w:line="175" w:lineRule="exact"/>
              <w:rPr>
                <w:sz w:val="20"/>
                <w:szCs w:val="20"/>
                <w:color w:val="auto"/>
              </w:rPr>
            </w:pPr>
            <w:r>
              <w:rPr>
                <w:rFonts w:ascii="Arial" w:cs="Arial" w:eastAsia="Arial" w:hAnsi="Arial"/>
                <w:sz w:val="18"/>
                <w:szCs w:val="18"/>
                <w:color w:val="auto"/>
              </w:rPr>
              <w:t>Gross amounts of derivatives not offset on the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420"/>
              <w:spacing w:after="0" w:line="203" w:lineRule="exact"/>
              <w:rPr>
                <w:sz w:val="20"/>
                <w:szCs w:val="20"/>
                <w:color w:val="auto"/>
              </w:rPr>
            </w:pPr>
            <w:r>
              <w:rPr>
                <w:rFonts w:ascii="Arial" w:cs="Arial" w:eastAsia="Arial" w:hAnsi="Arial"/>
                <w:sz w:val="18"/>
                <w:szCs w:val="18"/>
                <w:color w:val="auto"/>
              </w:rPr>
              <w:t>balance sheet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Cash collateral received</w:t>
            </w: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(228)</w:t>
            </w:r>
          </w:p>
        </w:tc>
        <w:tc>
          <w:tcPr>
            <w:tcW w:w="20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gridSpan w:val="2"/>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rPr>
              <w:t>Net amount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 Investments and Note 6 – Fair Value Measurements for further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 Gains (Losses)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recognized in other income (expense), net the following gains (losses) on contracts designated as fair value hedges and their related hedged items: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Foreign Exchange Contracts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w:t>
            </w:r>
          </w:p>
        </w:tc>
        <w:tc>
          <w:tcPr>
            <w:tcW w:w="15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(260)</w:t>
            </w: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(248)</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(224)</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389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Hedged items</w:t>
            </w: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56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amount of ineffectiveness</w:t>
            </w:r>
          </w:p>
        </w:tc>
        <w:tc>
          <w:tcPr>
            <w:tcW w:w="15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28</w:t>
            </w: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74</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40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Equity Contracts</w:t>
            </w:r>
          </w:p>
        </w:tc>
        <w:tc>
          <w:tcPr>
            <w:tcW w:w="12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58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w:t>
            </w:r>
          </w:p>
        </w:tc>
        <w:tc>
          <w:tcPr>
            <w:tcW w:w="15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126</w:t>
            </w:r>
          </w:p>
        </w:tc>
        <w:tc>
          <w:tcPr>
            <w:tcW w:w="14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(19)</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(181)</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Hedged items</w:t>
            </w: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56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amount of ineffectiveness</w:t>
            </w:r>
          </w:p>
        </w:tc>
        <w:tc>
          <w:tcPr>
            <w:tcW w:w="15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w w:val="98"/>
              </w:rPr>
              <w:t>Amount of equity contracts excluded from effectiveness assessment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200" w:type="dxa"/>
            <w:vAlign w:val="bottom"/>
          </w:tcPr>
          <w:p>
            <w:pPr>
              <w:jc w:val="right"/>
              <w:ind w:right="893"/>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5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21" w:name="page22"/>
    <w:bookmarkEnd w:id="21"/>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 Gains (Losses)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gains (losses) on foreign exchange contracts designated as cash flow hedges: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8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Effective Portion</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40" w:type="dxa"/>
            <w:vAlign w:val="bottom"/>
            <w:shd w:val="clear" w:color="auto" w:fill="E5E5E5"/>
          </w:tcPr>
          <w:p>
            <w:pPr>
              <w:spacing w:after="0" w:line="153" w:lineRule="exact"/>
              <w:rPr>
                <w:sz w:val="20"/>
                <w:szCs w:val="20"/>
                <w:color w:val="auto"/>
              </w:rPr>
            </w:pPr>
            <w:r>
              <w:rPr>
                <w:rFonts w:ascii="Arial" w:cs="Arial" w:eastAsia="Arial" w:hAnsi="Arial"/>
                <w:sz w:val="17"/>
                <w:szCs w:val="17"/>
                <w:color w:val="auto"/>
              </w:rPr>
              <w:t xml:space="preserve">Gains (losses) recognized in other comprehensive income (loss) (net of tax of </w:t>
            </w:r>
            <w:r>
              <w:rPr>
                <w:rFonts w:ascii="Arial" w:cs="Arial" w:eastAsia="Arial" w:hAnsi="Arial"/>
                <w:sz w:val="17"/>
                <w:szCs w:val="17"/>
                <w:b w:val="1"/>
                <w:bCs w:val="1"/>
                <w:color w:val="auto"/>
              </w:rPr>
              <w:t>$7,</w:t>
            </w:r>
            <w:r>
              <w:rPr>
                <w:rFonts w:ascii="Arial" w:cs="Arial" w:eastAsia="Arial" w:hAnsi="Arial"/>
                <w:sz w:val="17"/>
                <w:szCs w:val="17"/>
                <w:color w:val="auto"/>
              </w:rPr>
              <w:t xml:space="preserve"> $3</w:t>
            </w:r>
            <w:r>
              <w:rPr>
                <w:rFonts w:ascii="Arial" w:cs="Arial" w:eastAsia="Arial" w:hAnsi="Arial"/>
                <w:sz w:val="17"/>
                <w:szCs w:val="17"/>
                <w:b w:val="1"/>
                <w:bCs w:val="1"/>
                <w:color w:val="auto"/>
              </w:rPr>
              <w:t>,</w:t>
            </w:r>
          </w:p>
        </w:tc>
        <w:tc>
          <w:tcPr>
            <w:tcW w:w="380" w:type="dxa"/>
            <w:vAlign w:val="bottom"/>
            <w:vMerge w:val="restart"/>
            <w:shd w:val="clear" w:color="auto" w:fill="E5E5E5"/>
          </w:tcPr>
          <w:p>
            <w:pPr>
              <w:jc w:val="right"/>
              <w:ind w:right="15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E5E5E5"/>
          </w:tcPr>
          <w:p>
            <w:pPr>
              <w:jc w:val="right"/>
              <w:ind w:right="59"/>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400" w:type="dxa"/>
            <w:vAlign w:val="bottom"/>
            <w:vMerge w:val="restart"/>
            <w:shd w:val="clear" w:color="auto" w:fill="E5E5E5"/>
          </w:tcPr>
          <w:p>
            <w:pPr>
              <w:jc w:val="right"/>
              <w:ind w:right="13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E5E5E5"/>
          </w:tcPr>
          <w:p>
            <w:pPr>
              <w:jc w:val="right"/>
              <w:ind w:right="59"/>
              <w:spacing w:after="0"/>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4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color w:val="auto"/>
              </w:rPr>
              <w:t>and $7)</w:t>
            </w:r>
          </w:p>
        </w:tc>
        <w:tc>
          <w:tcPr>
            <w:tcW w:w="380" w:type="dxa"/>
            <w:vAlign w:val="bottom"/>
            <w:vMerge w:val="continue"/>
            <w:shd w:val="clear" w:color="auto" w:fill="E5E5E5"/>
          </w:tcPr>
          <w:p>
            <w:pPr>
              <w:spacing w:after="0"/>
              <w:rPr>
                <w:sz w:val="19"/>
                <w:szCs w:val="19"/>
                <w:color w:val="auto"/>
              </w:rPr>
            </w:pPr>
          </w:p>
        </w:tc>
        <w:tc>
          <w:tcPr>
            <w:tcW w:w="700" w:type="dxa"/>
            <w:vAlign w:val="bottom"/>
            <w:vMerge w:val="continue"/>
            <w:shd w:val="clear" w:color="auto" w:fill="E5E5E5"/>
          </w:tcPr>
          <w:p>
            <w:pPr>
              <w:spacing w:after="0"/>
              <w:rPr>
                <w:sz w:val="19"/>
                <w:szCs w:val="19"/>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w:t>
            </w:r>
          </w:p>
        </w:tc>
        <w:tc>
          <w:tcPr>
            <w:tcW w:w="400" w:type="dxa"/>
            <w:vAlign w:val="bottom"/>
            <w:vMerge w:val="continue"/>
            <w:shd w:val="clear" w:color="auto" w:fill="E5E5E5"/>
          </w:tcPr>
          <w:p>
            <w:pPr>
              <w:spacing w:after="0"/>
              <w:rPr>
                <w:sz w:val="19"/>
                <w:szCs w:val="19"/>
                <w:color w:val="auto"/>
              </w:rPr>
            </w:pPr>
          </w:p>
        </w:tc>
        <w:tc>
          <w:tcPr>
            <w:tcW w:w="720" w:type="dxa"/>
            <w:vAlign w:val="bottom"/>
            <w:vMerge w:val="continue"/>
            <w:shd w:val="clear" w:color="auto" w:fill="E5E5E5"/>
          </w:tcPr>
          <w:p>
            <w:pPr>
              <w:spacing w:after="0"/>
              <w:rPr>
                <w:sz w:val="19"/>
                <w:szCs w:val="19"/>
                <w:color w:val="auto"/>
              </w:rPr>
            </w:pP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Gains reclassified from accumulated other comprehensive income (loss) into revenue</w:t>
            </w:r>
          </w:p>
        </w:tc>
        <w:tc>
          <w:tcPr>
            <w:tcW w:w="38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8"/>
                <w:szCs w:val="18"/>
                <w:b w:val="1"/>
                <w:bCs w:val="1"/>
                <w:color w:val="auto"/>
              </w:rPr>
              <w:t>138</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Amount Excluded from Effectiveness Assessment and Ineffective Portion</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Losses recognized in other income (expense), net</w:t>
            </w:r>
          </w:p>
        </w:tc>
        <w:tc>
          <w:tcPr>
            <w:tcW w:w="38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(62)</w:t>
            </w:r>
          </w:p>
        </w:tc>
        <w:tc>
          <w:tcPr>
            <w:tcW w:w="26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(121)</w:t>
            </w:r>
          </w:p>
        </w:tc>
        <w:tc>
          <w:tcPr>
            <w:tcW w:w="4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(226)</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estimate that $34 million of net derivative gains included in AOCI as of March 31, 2018 will be reclassified into earnings within the following 12 months. No significant amounts of gains (losses) were reclassified from AOCI into earnings as a result of forecasted transactions that failed to occur during the three and nine months ended March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Derivative Gains (Losses)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Gains (losses) from changes in fair values of derivatives that are not designated as hedges are primarily recognized in other income (expense), net. These amounts are shown in the table below, with the exception of gains (losses) on derivatives presented in income statement line items other than other income (expense), net, which were immaterial for the periods presented. Other than those derivatives entered into for investment purposes, the gains (losses) below are generally economically offset by unrealized gains (losses) in the underlying available-for-sale securities and gains (losses) from foreign exchange rate changes on certain balance sheet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8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7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(64)</w:t>
            </w:r>
          </w:p>
        </w:tc>
        <w:tc>
          <w:tcPr>
            <w:tcW w:w="2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(115)</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(248)</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Equity contracts</w:t>
            </w:r>
          </w:p>
        </w:tc>
        <w:tc>
          <w:tcPr>
            <w:tcW w:w="2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w:t>
            </w:r>
          </w:p>
        </w:tc>
        <w:tc>
          <w:tcPr>
            <w:tcW w:w="3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(89)</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Interest-rate contracts</w:t>
            </w:r>
          </w:p>
        </w:tc>
        <w:tc>
          <w:tcPr>
            <w:tcW w:w="24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w:t>
            </w:r>
          </w:p>
        </w:tc>
        <w:tc>
          <w:tcPr>
            <w:tcW w:w="3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Credit contracts</w:t>
            </w:r>
          </w:p>
        </w:tc>
        <w:tc>
          <w:tcPr>
            <w:tcW w:w="2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w:t>
            </w:r>
          </w:p>
        </w:tc>
        <w:tc>
          <w:tcPr>
            <w:tcW w:w="24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(18)</w:t>
            </w:r>
          </w:p>
        </w:tc>
        <w:tc>
          <w:tcPr>
            <w:tcW w:w="3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Total</w:t>
            </w:r>
          </w:p>
        </w:tc>
        <w:tc>
          <w:tcPr>
            <w:tcW w:w="2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6 — FAIR VALUE MEASUREMENTS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6" w:lineRule="exact"/>
        <w:rPr>
          <w:sz w:val="20"/>
          <w:szCs w:val="20"/>
          <w:color w:val="auto"/>
        </w:rPr>
      </w:pPr>
    </w:p>
    <w:p>
      <w:pPr>
        <w:jc w:val="both"/>
        <w:ind w:left="1060" w:hanging="390"/>
        <w:spacing w:after="0" w:line="251"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non-derivative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primarily include U.S. government securities, domestic and international equities, and mutual funds. Our Level 1 derivative assets and liabilities include those actively traded on exchanges.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2" w:name="page23"/>
    <w:bookmarkEnd w:id="22"/>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239" w:lineRule="exact"/>
        <w:rPr>
          <w:sz w:val="20"/>
          <w:szCs w:val="20"/>
          <w:color w:val="auto"/>
        </w:rPr>
      </w:pPr>
    </w:p>
    <w:p>
      <w:pPr>
        <w:jc w:val="both"/>
        <w:ind w:left="1060" w:right="20" w:hanging="390"/>
        <w:spacing w:after="0" w:line="23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non-derivative investments consist primarily of corporate notes and bonds, foreign government bonds, commercial paper, mortgage- and asset-backed securities, and certificates of deposit. Our Level 2 derivative assets and liabilities primarily include certain over-the-counter option and swap contracts.</w:t>
      </w:r>
    </w:p>
    <w:p>
      <w:pPr>
        <w:spacing w:after="0" w:line="39" w:lineRule="exact"/>
        <w:rPr>
          <w:rFonts w:ascii="Arial" w:cs="Arial" w:eastAsia="Arial" w:hAnsi="Arial"/>
          <w:sz w:val="18"/>
          <w:szCs w:val="18"/>
          <w:color w:val="auto"/>
        </w:rPr>
      </w:pPr>
    </w:p>
    <w:p>
      <w:pPr>
        <w:jc w:val="both"/>
        <w:ind w:left="1060" w:right="20" w:hanging="390"/>
        <w:spacing w:after="0" w:line="242"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pricing the asset or liability. The fair values are therefore determined using model-based techniques, including option pricing models and discounted cash flow models. Our Level 3 non-derivative assets and liabilities primarily comprise investments in common and preferred stock, and goodwill and intangible assets, when they are recorded at fair value due to an impairment charge. Unobservable inputs used in the models are significant to the fair values of the assets and liabilities.</w:t>
      </w:r>
    </w:p>
    <w:p>
      <w:pPr>
        <w:spacing w:after="0" w:line="14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measure certain assets, including our cost and equity method investments, at fair value on a nonrecurring basis when they are deemed to be other-than-temporarily impaired. The fair values of these investments are determined based on valuation techniques using the best information available, and may include quoted market prices, market comparables, and discounted cash flow projections. An impairment charge is recorded when the cost of the investment exceeds its fair value and this condition is determined to be other-than-temporary.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Measured at Fair Value on a Recurring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our financial instruments that are measured at fair value on a recurring 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Gross Fair</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Netting</w:t>
            </w:r>
            <w:r>
              <w:rPr>
                <w:rFonts w:ascii="Arial" w:cs="Arial" w:eastAsia="Arial" w:hAnsi="Arial"/>
                <w:sz w:val="22"/>
                <w:szCs w:val="22"/>
                <w:b w:val="1"/>
                <w:bCs w:val="1"/>
                <w:color w:val="auto"/>
                <w:vertAlign w:val="superscript"/>
              </w:rPr>
              <w:t>(a)</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Net 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0"/>
                <w:szCs w:val="20"/>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0"/>
                <w:szCs w:val="20"/>
                <w:color w:val="auto"/>
              </w:rPr>
            </w:pPr>
          </w:p>
        </w:tc>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Mutual funds</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683</w:t>
            </w:r>
          </w:p>
        </w:tc>
        <w:tc>
          <w:tcPr>
            <w:tcW w:w="26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683</w:t>
            </w:r>
          </w:p>
        </w:tc>
        <w:tc>
          <w:tcPr>
            <w:tcW w:w="4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3,774</w:t>
            </w:r>
          </w:p>
        </w:tc>
        <w:tc>
          <w:tcPr>
            <w:tcW w:w="3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3,774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3,774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2,022</w:t>
            </w:r>
          </w:p>
        </w:tc>
        <w:tc>
          <w:tcPr>
            <w:tcW w:w="3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2,022</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106,324</w:t>
            </w:r>
          </w:p>
        </w:tc>
        <w:tc>
          <w:tcPr>
            <w:tcW w:w="1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523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106,847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106,847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government bonds</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20</w:t>
            </w:r>
          </w:p>
        </w:tc>
        <w:tc>
          <w:tcPr>
            <w:tcW w:w="1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4,699</w:t>
            </w:r>
          </w:p>
        </w:tc>
        <w:tc>
          <w:tcPr>
            <w:tcW w:w="3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4,719</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4,719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6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3,738</w:t>
            </w:r>
          </w:p>
        </w:tc>
        <w:tc>
          <w:tcPr>
            <w:tcW w:w="3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3,738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3,738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Corporate notes and bonds</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6,067</w:t>
            </w:r>
          </w:p>
        </w:tc>
        <w:tc>
          <w:tcPr>
            <w:tcW w:w="3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6,074</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6,074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309</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and preferred stock</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1,188</w:t>
            </w:r>
          </w:p>
        </w:tc>
        <w:tc>
          <w:tcPr>
            <w:tcW w:w="1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1,206</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1,206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108,219</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21,378</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26</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129,623</w:t>
            </w:r>
          </w:p>
        </w:tc>
        <w:tc>
          <w:tcPr>
            <w:tcW w:w="4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(157)</w:t>
            </w:r>
          </w:p>
        </w:tc>
        <w:tc>
          <w:tcPr>
            <w:tcW w:w="2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129,466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 and other</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327</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328</w:t>
            </w:r>
          </w:p>
        </w:tc>
        <w:tc>
          <w:tcPr>
            <w:tcW w:w="4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(159)</w:t>
            </w:r>
          </w:p>
        </w:tc>
        <w:tc>
          <w:tcPr>
            <w:tcW w:w="2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573"/>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23" w:name="page24"/>
    <w:bookmarkEnd w:id="23"/>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Gross Fair</w:t>
            </w:r>
          </w:p>
        </w:tc>
        <w:tc>
          <w:tcPr>
            <w:tcW w:w="32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Netting</w:t>
            </w:r>
            <w:r>
              <w:rPr>
                <w:rFonts w:ascii="Arial" w:cs="Arial" w:eastAsia="Arial" w:hAnsi="Arial"/>
                <w:sz w:val="22"/>
                <w:szCs w:val="22"/>
                <w:b w:val="1"/>
                <w:bCs w:val="1"/>
                <w:color w:val="auto"/>
                <w:vertAlign w:val="superscript"/>
              </w:rPr>
              <w:t>(a)</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Net Fair</w:t>
            </w:r>
          </w:p>
        </w:tc>
        <w:tc>
          <w:tcPr>
            <w:tcW w:w="0" w:type="dxa"/>
            <w:vAlign w:val="bottom"/>
          </w:tcPr>
          <w:p>
            <w:pPr>
              <w:spacing w:after="0"/>
              <w:rPr>
                <w:sz w:val="1"/>
                <w:szCs w:val="1"/>
                <w:color w:val="auto"/>
              </w:rPr>
            </w:pPr>
          </w:p>
        </w:tc>
      </w:tr>
      <w:tr>
        <w:trPr>
          <w:trHeight w:val="233"/>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0"/>
                <w:szCs w:val="20"/>
                <w:color w:val="auto"/>
              </w:rPr>
            </w:pPr>
          </w:p>
        </w:tc>
        <w:tc>
          <w:tcPr>
            <w:tcW w:w="100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Mutual funds</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1,478</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1,478</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2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6"/>
                <w:szCs w:val="16"/>
                <w:color w:val="auto"/>
              </w:rPr>
            </w:pPr>
          </w:p>
        </w:tc>
        <w:tc>
          <w:tcPr>
            <w:tcW w:w="780" w:type="dxa"/>
            <w:vAlign w:val="bottom"/>
          </w:tcPr>
          <w:p>
            <w:pPr>
              <w:jc w:val="center"/>
              <w:ind w:left="393"/>
              <w:spacing w:after="0" w:line="189" w:lineRule="exact"/>
              <w:rPr>
                <w:sz w:val="20"/>
                <w:szCs w:val="20"/>
                <w:color w:val="auto"/>
              </w:rPr>
            </w:pPr>
            <w:r>
              <w:rPr>
                <w:rFonts w:ascii="Arial" w:cs="Arial" w:eastAsia="Arial" w:hAnsi="Arial"/>
                <w:sz w:val="18"/>
                <w:szCs w:val="18"/>
                <w:color w:val="auto"/>
                <w:w w:val="99"/>
              </w:rPr>
              <w:t>319</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1,358</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1,358</w:t>
            </w:r>
          </w:p>
        </w:tc>
        <w:tc>
          <w:tcPr>
            <w:tcW w:w="3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109,228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2,616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111,844</w:t>
            </w:r>
          </w:p>
        </w:tc>
        <w:tc>
          <w:tcPr>
            <w:tcW w:w="32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111,844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government bonds</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5,187</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5,187</w:t>
            </w:r>
          </w:p>
        </w:tc>
        <w:tc>
          <w:tcPr>
            <w:tcW w:w="3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3,934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3,934</w:t>
            </w:r>
          </w:p>
        </w:tc>
        <w:tc>
          <w:tcPr>
            <w:tcW w:w="32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Corporate notes and bonds</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4,829</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4,830</w:t>
            </w:r>
          </w:p>
        </w:tc>
        <w:tc>
          <w:tcPr>
            <w:tcW w:w="3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6"/>
                <w:szCs w:val="16"/>
                <w:color w:val="auto"/>
              </w:rPr>
            </w:pPr>
          </w:p>
        </w:tc>
        <w:tc>
          <w:tcPr>
            <w:tcW w:w="780" w:type="dxa"/>
            <w:vAlign w:val="bottom"/>
          </w:tcPr>
          <w:p>
            <w:pPr>
              <w:jc w:val="center"/>
              <w:ind w:left="393"/>
              <w:spacing w:after="0" w:line="189" w:lineRule="exact"/>
              <w:rPr>
                <w:sz w:val="20"/>
                <w:szCs w:val="20"/>
                <w:color w:val="auto"/>
              </w:rPr>
            </w:pPr>
            <w:r>
              <w:rPr>
                <w:rFonts w:ascii="Arial" w:cs="Arial" w:eastAsia="Arial" w:hAnsi="Arial"/>
                <w:sz w:val="18"/>
                <w:szCs w:val="18"/>
                <w:color w:val="auto"/>
                <w:w w:val="99"/>
              </w:rPr>
              <w:t>327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and preferred stock</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2,414</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1,994</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4,426</w:t>
            </w:r>
          </w:p>
        </w:tc>
        <w:tc>
          <w:tcPr>
            <w:tcW w:w="3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780" w:type="dxa"/>
            <w:vAlign w:val="bottom"/>
          </w:tcPr>
          <w:p>
            <w:pPr>
              <w:jc w:val="center"/>
              <w:ind w:left="393"/>
              <w:spacing w:after="0"/>
              <w:rPr>
                <w:sz w:val="20"/>
                <w:szCs w:val="20"/>
                <w:color w:val="auto"/>
              </w:rPr>
            </w:pPr>
            <w:r>
              <w:rPr>
                <w:rFonts w:ascii="Arial" w:cs="Arial" w:eastAsia="Arial" w:hAnsi="Arial"/>
                <w:sz w:val="18"/>
                <w:szCs w:val="18"/>
                <w:color w:val="auto"/>
                <w:w w:val="99"/>
              </w:rPr>
              <w:t>509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113,121</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21,072</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134,212</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(227)</w:t>
            </w:r>
          </w:p>
        </w:tc>
        <w:tc>
          <w:tcPr>
            <w:tcW w:w="2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133,985</w:t>
            </w:r>
          </w:p>
        </w:tc>
        <w:tc>
          <w:tcPr>
            <w:tcW w:w="0" w:type="dxa"/>
            <w:vAlign w:val="bottom"/>
          </w:tcPr>
          <w:p>
            <w:pPr>
              <w:spacing w:after="0"/>
              <w:rPr>
                <w:sz w:val="1"/>
                <w:szCs w:val="1"/>
                <w:color w:val="auto"/>
              </w:rPr>
            </w:pPr>
          </w:p>
        </w:tc>
      </w:tr>
      <w:tr>
        <w:trPr>
          <w:trHeight w:val="75"/>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 and other</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345</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39</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center"/>
              <w:ind w:left="393"/>
              <w:spacing w:after="0" w:line="189" w:lineRule="exact"/>
              <w:rPr>
                <w:sz w:val="20"/>
                <w:szCs w:val="20"/>
                <w:color w:val="auto"/>
              </w:rPr>
            </w:pPr>
            <w:r>
              <w:rPr>
                <w:rFonts w:ascii="Arial" w:cs="Arial" w:eastAsia="Arial" w:hAnsi="Arial"/>
                <w:sz w:val="18"/>
                <w:szCs w:val="18"/>
                <w:color w:val="auto"/>
                <w:w w:val="99"/>
              </w:rPr>
              <w:t>384</w:t>
            </w:r>
          </w:p>
        </w:tc>
        <w:tc>
          <w:tcPr>
            <w:tcW w:w="220" w:type="dxa"/>
            <w:vAlign w:val="bottom"/>
            <w:shd w:val="clear" w:color="auto" w:fill="E5E5E5"/>
          </w:tcPr>
          <w:p>
            <w:pPr>
              <w:spacing w:after="0"/>
              <w:rPr>
                <w:sz w:val="16"/>
                <w:szCs w:val="16"/>
                <w:color w:val="auto"/>
              </w:rPr>
            </w:pP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(228)</w:t>
            </w:r>
          </w:p>
        </w:tc>
        <w:tc>
          <w:tcPr>
            <w:tcW w:w="2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540" w:hanging="532"/>
        <w:spacing w:after="0" w:line="26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These amounts represent the impact of netting derivative assets and derivative liabilities when a legally enforceable master netting agreement exists and fair value adjustments related to our own credit risk and counterparty credit risk.</w:t>
      </w:r>
    </w:p>
    <w:p>
      <w:pPr>
        <w:spacing w:after="0" w:line="12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changes in our Level 3 financial instruments that are measured at fair value on a recurring basis were immaterial during the periods presented.</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reconciles the total “Net Fair Value” of assets above to the balance sheet presentation of these same assets in Note 4 –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fair value of assets measured at fair value on a recurring basis</w:t>
            </w:r>
          </w:p>
        </w:tc>
        <w:tc>
          <w:tcPr>
            <w:tcW w:w="16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129,466</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133,985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line="189" w:lineRule="exact"/>
              <w:rPr>
                <w:sz w:val="20"/>
                <w:szCs w:val="20"/>
                <w:color w:val="auto"/>
              </w:rPr>
            </w:pPr>
            <w:r>
              <w:rPr>
                <w:rFonts w:ascii="Arial" w:cs="Arial" w:eastAsia="Arial" w:hAnsi="Arial"/>
                <w:sz w:val="18"/>
                <w:szCs w:val="18"/>
                <w:color w:val="auto"/>
              </w:rPr>
              <w:t>Cash</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4,104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and preferred stock measured at fair value on a nonrecurring basis</w:t>
            </w:r>
          </w:p>
        </w:tc>
        <w:tc>
          <w:tcPr>
            <w:tcW w:w="13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1,030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line="189" w:lineRule="exact"/>
              <w:rPr>
                <w:sz w:val="20"/>
                <w:szCs w:val="20"/>
                <w:color w:val="auto"/>
              </w:rPr>
            </w:pPr>
            <w:r>
              <w:rPr>
                <w:rFonts w:ascii="Arial" w:cs="Arial" w:eastAsia="Arial" w:hAnsi="Arial"/>
                <w:sz w:val="18"/>
                <w:szCs w:val="18"/>
                <w:color w:val="auto"/>
              </w:rPr>
              <w:t>Other investments measured at fair value on a nonrecurring basis</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581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Less derivative net assets classified as other current and long-term assets</w:t>
            </w:r>
          </w:p>
        </w:tc>
        <w:tc>
          <w:tcPr>
            <w:tcW w:w="13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(92)</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4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Recorded basis of investment components</w:t>
            </w:r>
          </w:p>
        </w:tc>
        <w:tc>
          <w:tcPr>
            <w:tcW w:w="16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135,088</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139,004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Measured at Fair Value on a Nonrecurring Basis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three and nine months ended March 31, 2018 and 2017, we did not record any material other-than-temporary impairments on financial assets required to be measured at fair value on a nonrecurring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4" w:name="page25"/>
    <w:bookmarkEnd w:id="24"/>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INVENTORIES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04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40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627</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797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3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67</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37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1,390</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1,239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Total</w:t>
            </w:r>
          </w:p>
        </w:tc>
        <w:tc>
          <w:tcPr>
            <w:tcW w:w="4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2,084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8 — BUSINESS COMBINATIONS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December 8, 2016, we completed our acquisition of all issued and outstanding shares of LinkedIn Corporation, the world’s largest professional network on the Internet, for a total purchase price of $27.0 billion. The purchase price consisted primarily of cash of $ 26.9 billion. The acquisition is expected to accelerate the growth of LinkedIn, Office 365, and Dynamics 365. The financial results of LinkedIn have been included in our consolidated financial statements since the date of the acquisition.</w:t>
      </w:r>
    </w:p>
    <w:p>
      <w:pPr>
        <w:spacing w:after="0" w:line="229"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NOTE 9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8"/>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Acquisitions</w:t>
            </w:r>
          </w:p>
        </w:tc>
        <w:tc>
          <w:tcPr>
            <w:tcW w:w="4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19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23,739</w:t>
            </w:r>
          </w:p>
        </w:tc>
        <w:tc>
          <w:tcPr>
            <w:tcW w:w="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0</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85</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23,824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5,555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164</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5,723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5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5,828</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111</w:t>
            </w:r>
          </w:p>
        </w:tc>
        <w:tc>
          <w:tcPr>
            <w:tcW w:w="2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96</w:t>
            </w: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6,035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Total</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35,122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2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185</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35,582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above table. Also included in “Other” are business dispositions and transfers between segments due to reorganizations, as applicable.</w:t>
      </w:r>
    </w:p>
    <w:p>
      <w:pPr>
        <w:spacing w:after="0" w:line="270" w:lineRule="exact"/>
        <w:rPr>
          <w:sz w:val="20"/>
          <w:szCs w:val="20"/>
          <w:color w:val="auto"/>
        </w:rPr>
      </w:pPr>
    </w:p>
    <w:p>
      <w:pPr>
        <w:ind w:left="4300"/>
        <w:spacing w:after="0"/>
        <w:rPr>
          <w:sz w:val="20"/>
          <w:szCs w:val="20"/>
          <w:color w:val="auto"/>
        </w:rPr>
      </w:pPr>
      <w:r>
        <w:rPr>
          <w:rFonts w:ascii="Arial" w:cs="Arial" w:eastAsia="Arial" w:hAnsi="Arial"/>
          <w:sz w:val="18"/>
          <w:szCs w:val="18"/>
          <w:u w:val="single" w:color="auto"/>
          <w:color w:val="auto"/>
        </w:rPr>
        <w:t>NOTE 10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8"/>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Technology-based </w:t>
            </w:r>
            <w:r>
              <w:rPr>
                <w:rFonts w:ascii="Arial" w:cs="Arial" w:eastAsia="Arial" w:hAnsi="Arial"/>
                <w:sz w:val="15"/>
                <w:szCs w:val="15"/>
                <w:color w:val="auto"/>
              </w:rPr>
              <w:t>(a)</w:t>
            </w:r>
          </w:p>
        </w:tc>
        <w:tc>
          <w:tcPr>
            <w:tcW w:w="14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7,183</w:t>
            </w: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(4,690)</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2,493</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7,765</w:t>
            </w:r>
          </w:p>
        </w:tc>
        <w:tc>
          <w:tcPr>
            <w:tcW w:w="2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(4,318)</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4,035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2,962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4,045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(692)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1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4,031</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(1,025)</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3,006</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4,016</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(829)</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Contract-based</w:t>
            </w: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40" w:type="dxa"/>
            <w:vAlign w:val="bottom"/>
            <w:tcBorders>
              <w:top w:val="single" w:sz="8" w:color="auto"/>
            </w:tcBorders>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15,916</w:t>
            </w: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(7,372)</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8,544</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16,667</w:t>
            </w:r>
          </w:p>
        </w:tc>
        <w:tc>
          <w:tcPr>
            <w:tcW w:w="2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(6,561)</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540" w:right="20" w:hanging="532"/>
        <w:spacing w:after="0" w:line="26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Technology-based intangible assets included $19 million and $59 million of net carrying amount of software to be sold, leased, or otherwise marketed as of March 31, 2018 and June 30, 2017,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5" w:name="page26"/>
    <w:bookmarkEnd w:id="25"/>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Intangible assets amortization expense was $560 million and $1.7 billion for the three and nine months ended March 31, 2018, respectively, and $560 million and $1.1 billion for the three and nine months ended March 31,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March 31, 2018:</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2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2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2018 (excluding the nine months ended March 31, 2018)</w:t>
            </w:r>
          </w:p>
        </w:tc>
        <w:tc>
          <w:tcPr>
            <w:tcW w:w="322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line="189" w:lineRule="exact"/>
              <w:rPr>
                <w:sz w:val="20"/>
                <w:szCs w:val="20"/>
                <w:color w:val="auto"/>
              </w:rPr>
            </w:pPr>
            <w:r>
              <w:rPr>
                <w:rFonts w:ascii="Arial" w:cs="Arial" w:eastAsia="Arial" w:hAnsi="Arial"/>
                <w:sz w:val="18"/>
                <w:szCs w:val="18"/>
                <w:color w:val="auto"/>
              </w:rPr>
              <w:t>2019</w:t>
            </w:r>
          </w:p>
        </w:tc>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2020</w:t>
            </w:r>
          </w:p>
        </w:tc>
        <w:tc>
          <w:tcPr>
            <w:tcW w:w="27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line="189" w:lineRule="exact"/>
              <w:rPr>
                <w:sz w:val="20"/>
                <w:szCs w:val="20"/>
                <w:color w:val="auto"/>
              </w:rPr>
            </w:pPr>
            <w:r>
              <w:rPr>
                <w:rFonts w:ascii="Arial" w:cs="Arial" w:eastAsia="Arial" w:hAnsi="Arial"/>
                <w:sz w:val="18"/>
                <w:szCs w:val="18"/>
                <w:color w:val="auto"/>
              </w:rPr>
              <w:t>2021</w:t>
            </w:r>
          </w:p>
        </w:tc>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w:t>
            </w:r>
          </w:p>
        </w:tc>
        <w:tc>
          <w:tcPr>
            <w:tcW w:w="27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Thereafter</w:t>
            </w:r>
          </w:p>
        </w:tc>
        <w:tc>
          <w:tcPr>
            <w:tcW w:w="2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8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DEBT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March 31, 2018, we had $231 million of commercial paper issued and outstanding, with a weighted average interest rate of 1.43% and maturities ranging from 139 days to 196 days. As of June 30, 2017, we had $9.1 billion of commercial paper issued and outstanding, with a weighted average interest rate of 1.01% and maturities ranging from 25 days to 264 days. The estimated fair value of this commercial paper approximates its carrying value.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2017, we entered into two new $5.0 billion credit facilities that expire on October 30, 2018 and October 31, 2022, respectively, which replaced our previous credit facilities. These credit facilities serve as a back-up for our commercial paper program. As of March 31, 2018, we were in compliance with the only financial covenant in both credit agreements, which requires us to maintain a coverage ratio of at least three times earnings before interest, taxes, depreciation, and amortization to interest expense, as defined in the credit agreements. No amounts were drawn against these credit facilities during any of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March 31, 2018, the total carrying value and estimated fair value of our long-term debt, including the current portion, were $ 76.9 billion and $78.9 billion, respectively. As of June 30, 2017, the total carrying value and estimated fair value of our long-term debt, including the current portion, were $77.1 billion and $80.3 billion, respectively. These estimated fair values are based on Level 2 inputs.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6" w:name="page27"/>
    <w:bookmarkEnd w:id="26"/>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long-term debt, including the current portion, and the associated interest rates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Face Value</w:t>
            </w: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Stated</w:t>
            </w:r>
          </w:p>
        </w:tc>
        <w:tc>
          <w:tcPr>
            <w:tcW w:w="1040" w:type="dxa"/>
            <w:vAlign w:val="bottom"/>
            <w:gridSpan w:val="2"/>
          </w:tcPr>
          <w:p>
            <w:pPr>
              <w:jc w:val="center"/>
              <w:ind w:left="271"/>
              <w:spacing w:after="0"/>
              <w:rPr>
                <w:sz w:val="20"/>
                <w:szCs w:val="20"/>
                <w:color w:val="auto"/>
              </w:rPr>
            </w:pPr>
            <w:r>
              <w:rPr>
                <w:rFonts w:ascii="Arial" w:cs="Arial" w:eastAsia="Arial" w:hAnsi="Arial"/>
                <w:sz w:val="14"/>
                <w:szCs w:val="14"/>
                <w:b w:val="1"/>
                <w:bCs w:val="1"/>
                <w:color w:val="auto"/>
                <w:w w:val="95"/>
              </w:rPr>
              <w:t>Effective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June 30,</w:t>
            </w:r>
          </w:p>
        </w:tc>
        <w:tc>
          <w:tcPr>
            <w:tcW w:w="1340" w:type="dxa"/>
            <w:vAlign w:val="bottom"/>
          </w:tcPr>
          <w:p>
            <w:pPr>
              <w:jc w:val="right"/>
              <w:ind w:right="291"/>
              <w:spacing w:after="0" w:line="149" w:lineRule="exact"/>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78"/>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interest rates)</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5"/>
                <w:szCs w:val="15"/>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Rate</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55"/>
        </w:trPr>
        <w:tc>
          <w:tcPr>
            <w:tcW w:w="61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15, 2017</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600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0.875%</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1.084%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May 1, 2018</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450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1.000%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2018</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1,750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1.300%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1.396%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December 6, 2018</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1,250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1,250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1.625%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1.824%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2019</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4.200%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4.379%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August 8, 2019</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2,500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1.100%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1.203%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1, 2019</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18</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0.500%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0.500%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6, 2020</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1.850%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1.952%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2020</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1.850%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1.935%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October 1, 2020</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3.000%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3.137%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2020</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2.000%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2.093%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8, 2021</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4.000%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4.082%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2021</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2,750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1.550%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1.642%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 xml:space="preserve">December 6, 2021 </w:t>
            </w:r>
            <w:r>
              <w:rPr>
                <w:rFonts w:ascii="Arial" w:cs="Arial" w:eastAsia="Arial" w:hAnsi="Arial"/>
                <w:sz w:val="15"/>
                <w:szCs w:val="15"/>
                <w:color w:val="auto"/>
              </w:rPr>
              <w:t>(a)</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2,153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1,996</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2.125%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2.233%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6, 2022</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1,750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2.400%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2.520%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12, 2022</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2.375%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2.466%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2022</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2.650%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2.717%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15, 2022</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750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2.125%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2.239%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May 1, 2023</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2.375%</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2.465%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August 8, 2023</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2.000%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2.101%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15, 2023</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3.625%</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3.726%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6, 2024</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2.875%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3.041%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2025</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2.700%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2.772%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3, 2025</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3,000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3.125%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3.176%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2026</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4,000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4,000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2.400%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2.464%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6, 2027</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4,000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3.300%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3.383%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December 6, 2028 </w:t>
            </w:r>
            <w:r>
              <w:rPr>
                <w:rFonts w:ascii="Arial" w:cs="Arial" w:eastAsia="Arial" w:hAnsi="Arial"/>
                <w:sz w:val="15"/>
                <w:szCs w:val="15"/>
                <w:color w:val="auto"/>
              </w:rPr>
              <w:t>(a)</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2,153</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1,996</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3.125%</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 xml:space="preserve">May 2, 2033 </w:t>
            </w:r>
            <w:r>
              <w:rPr>
                <w:rFonts w:ascii="Arial" w:cs="Arial" w:eastAsia="Arial" w:hAnsi="Arial"/>
                <w:sz w:val="15"/>
                <w:szCs w:val="15"/>
                <w:color w:val="auto"/>
              </w:rPr>
              <w:t>(a)</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627</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2.625%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2.690%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2035</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3.500%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3.604%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3, 2035</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4.200%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4.260%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2036</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3.450%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6, 2037</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2,500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4.100%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2039</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750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5.200%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5.240%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October 1, 2040</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4.500%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4.567%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8, 2041</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5.300%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5.361%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15, 2042</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900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900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3.500%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May 1, 2043</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500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3.750%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3.829%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December 15, 2043</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4.875%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4.918%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2045</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1,750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3.750%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3.800%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3, 2045</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3,000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4.450%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2046</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4,500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4,500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3.700%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6, 2047</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3,000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4.250%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4.287%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2055</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4.000%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4.063%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3, 2055</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4.750%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4.782%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2056</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3.950%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4.033%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February 6, 2057</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2,000</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4.500%</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4.528%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1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77,600</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77,837</w:t>
            </w:r>
          </w:p>
        </w:tc>
        <w:tc>
          <w:tcPr>
            <w:tcW w:w="13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1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Euro-denominated debt securities.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 w:name="page28"/>
    <w:bookmarkEnd w:id="27"/>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notes in the table above are senior unsecured obligations and rank equally with our other senior unsecured debt outstanding. Interest on these notes is paid semi-annually, except for the euro-denominated debt securities on which interest is paid annually. As of March 31, 2018 and June 30, 2017, the aggregate debt issuance costs and unamortized discount associated with our long-term debt, including the current portion, were $673 million and $715 million, respectively.</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INCOME TAXES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Income tax expense includes U.S. and international income taxes, and interest and penalties on uncertain tax positions. Certain income and expenses are not reported in tax returns and financial statements in the same year. The tax effect of such temporary differences is reported as deferred income taxes. Deferred tax assets are reported net of a valuation allowance when it is more likely than not that a tax benefit will not be realized. All deferred income taxes are classified as long-term on our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was 14% and 23% for the three months ended March 31, 2018 and 2017, respectively, and 70% and 21% for the nine months ended March 31, 2018 and 2017, respectively. The decrease in our effective tax rate for the current quarter compared to the prior year was primarily due to the reduction of the U.S. federal statutory tax rate as a result of the TCJA. The increase in our effective tax rate for the year-to-date compared to the prior year was primarily due to the net charge related to the enactment of the TCJA in the second quarter of fiscal year 2018.</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effective tax rate for the three months ended March 31, 2018 was lower than the U.S. federal statutory rate, primarily due to earnings taxed at lower rates in foreign jurisdictions resulting from producing and distributing our products and services through our foreign regional operations centers in Ireland, Singapore, and Puerto Rico. Our effective tax rate for the nine months ended March 31, 2018 was higher than the U.S. federal statutory rate, primarily due to the net charge related to the enactment of the TCJA in the second quarter of fiscal year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December 22, 2017, the TCJA was enacted into law, which significantly changes existing U.S. tax law and includes numerous provisions that affect our business, such as imposing a one-time transition tax on deemed repatriation of deferred foreign income, reducing the U.S. federal statutory tax rate, and adopting a territorial tax system. The TCJA required us to incur a one-time transition tax on deferred foreign income not previously subject to U.S. income tax at a rate of 15.5% for foreign cash and certain other net current assets, and 8% on the remaining income. The TCJA also reduced the U.S. federal statutory tax rate from 35% to 21% effective January 1, 2018. For fiscal year 2018, our blended U.S. federal statutory tax rate is 28%. This is the result of using the tax rate of 35% for the first and second quarter of fiscal year 2018 and the reduced tax rate of 21% for the third and fourth quarter of fiscal year 2018. The TCJA includes a provision to tax global intangible low-taxed income (“GILTI”) of foreign subsidiaries and a base erosion anti-abuse tax (“BEAT”) measure that taxes certain payments between a U.S. corporation and its subsidiaries. The GILTI and BEAT provisions of the TCJA will be effective for us beginning July 1, 2018.</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TCJA was effective in the second quarter of fiscal year 2018. As of March 31, 2018, we have not completed our accounting for the tax effects of the TCJA. During the second quarter of fiscal year 2018, we recorded a provisional net charge based on reasonable estimates for those tax effects. We have not recorded any adjustments to our provisional net charge in the third quarter of fiscal year 2018. Due to the timing of the enactment and the complexity in applying the provisions of the TCJA, the provisional net charge is subject to revisions as we continue to complete our analysis of the TCJA, collect and prepare necessary data, and interpret any additional guidance issued by the U.S. Treasury Department, Internal Revenue Service (“IRS”), FASB, and other standard-setting and regulatory bodies. Adjustments may materially impact our provision for income taxes and effective tax rate in the period in which the adjustments are made. Our accounting for the tax effects of the TCJA will be completed during the measurement period, which should not extend beyond one year from the enactment date. The impacts of our estimates are described further below.</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second quarter of fiscal year 2018, we recorded an estimated net charge of $13.8 billion related to the TCJA, due to the impact of the one-time transition tax on the deemed repatriation of deferred foreign income of $17.8 billion, offset in part by the impact of changes in the tax rate of $4.0 billion, primarily on deferred tax assets and liabilities.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8" w:name="page29"/>
    <w:bookmarkEnd w:id="28"/>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recorded an estimated $17.8 billion charge in the second quarter of fiscal year 2018 related to the transition tax, which was included in provision for income taxes on our consolidated income statements and income taxes on our consolidated balance sheets. We have not yet completed our accounting for the transition tax as our analysis of deferred foreign income is not complete. To calculate the transition tax, we estimated our deferred foreign income for fiscal year 2017 and for the first and second quarter of fiscal year 2018 because these tax returns are not complete or due. The fiscal year 2017 and fiscal year 2018 taxable income will be known once the respective tax returns are completed and filed. In addition, U.S. and foreign audit settlements may significantly impact the estimated transition tax. The impact of the U.S. and foreign audits on the transition tax will be known as the audits are concluded.</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we recorded an estimated $4.0 billion benefit in the second quarter of fiscal year 2018 from the impact of changes in the tax rate, primarily on deferred tax assets and liabilities, which was included in provision for income taxes on our consolidated income statements and deferred income taxes on our consolidated balance sheets. We remeasured our deferred taxes to reflect the reduced rate that will apply when these deferred taxes are settled or realized in future periods. We have not yet completed our accounting for the measurement of deferred taxes. To calculate the remeasurement of deferred taxes, we estimated when the existing deferred taxes will be settled or realized. The remeasurement of deferred taxes included in our financial statements will be subject to further revisions if our current estimates are different from our actual future operating results.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TCJA subjects a U.S. corporation to tax on its GILTI. Due to the complexity of the new GILTI tax rules, we are continuing to evaluate this provision of the TCJA and the application of GAAP. Under GAAP, we can make an accounting policy election to either treat taxes due on the GILTI inclusion as a current period expense, or factor such amounts into our measurement of deferred taxes. We elected the deferred method and recorded an estimated $454 million benefit in the second quarter of fiscal year 2018 related to GILTI, which is included in the net charge related to the TCJA.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we settled a portion of the IRS audit for tax years 2004 to 2006 during the third quarter of fiscal year 2011, and a portion of the IRS audit for tax years 2007 to 2009 during the first quarter of fiscal year 2016, we remain under audit for those years. In the second quarter of fiscal year 2018, we settled a portion of the IRS audit for tax years 2010 to 2013. We continue to be subject to examination by the IRS for tax years 2010 to 2016. In February 2012, the IRS withdrew its 2011 Revenue Agents Report for tax years 2004 to 2006 and reopened the audit phase of the examination. As of March 31, 2018, the primary unresolved issue relates to transfer pricing, which could have a significant impact on our consolidated financial statements if not resolved favorably. We believe our allowances for income tax contingencies are adequate.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2017, some of which are currently under audit by local tax authorities. The resolutions of these audits are not expected to be material to our consolidated financial statements.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Tax contingencies and other income tax liabilities were $14.5 billion and $13.5 billion as of March 31, 2018 and June 30, 2017, respectively, and are included in long-term income taxes on our consolidated balance sheets. This increase relates primarily to current period intercompany transfer pricing.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 w:name="page30"/>
    <w:bookmarkEnd w:id="29"/>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RESTRUCTURING CHARGES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June 2017, management approved a sales and marketing restructuring plan. In fiscal year 2017, we recorded employee severance expenses of $306 million primarily related to this sales and marketing restructuring plan. We do not expect to incur additional charges for this restructuring plan in subsequent years. The actions associated with this restructuring plan are expected to be completed by the end of fiscal year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liability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1"/>
                <w:szCs w:val="11"/>
                <w:b w:val="1"/>
                <w:bCs w:val="1"/>
                <w:color w:val="auto"/>
              </w:rPr>
              <w:t>(a)</w:t>
            </w:r>
          </w:p>
        </w:tc>
        <w:tc>
          <w:tcPr>
            <w:tcW w:w="5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716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March 31, 2018</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373</w:t>
            </w:r>
          </w:p>
        </w:tc>
        <w:tc>
          <w:tcPr>
            <w:tcW w:w="56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59</w:t>
            </w:r>
          </w:p>
        </w:tc>
        <w:tc>
          <w:tcPr>
            <w:tcW w:w="50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432</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tcPr>
          <w:p>
            <w:pPr>
              <w:ind w:left="200"/>
              <w:spacing w:after="0" w:line="189" w:lineRule="exact"/>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Cash paid</w:t>
            </w:r>
          </w:p>
        </w:tc>
        <w:tc>
          <w:tcPr>
            <w:tcW w:w="3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(373)</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(24)</w:t>
            </w:r>
          </w:p>
        </w:tc>
        <w:tc>
          <w:tcPr>
            <w:tcW w:w="5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5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14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56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28</w:t>
            </w:r>
          </w:p>
        </w:tc>
        <w:tc>
          <w:tcPr>
            <w:tcW w:w="50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hanging="532"/>
        <w:spacing w:after="0" w:line="26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Primarily reflects activities associated with the consolidation of our phone facilities, manufacturing operations, and contract termination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11,185</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12,692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9,987</w:t>
            </w: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11,152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2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2,783</w:t>
            </w: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2,812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23,955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26,656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The opening balance of unearned revenue was $22.2 billion as of July 1, 2016.</w:t>
            </w:r>
          </w:p>
        </w:tc>
        <w:tc>
          <w:tcPr>
            <w:tcW w:w="1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756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560" w:type="dxa"/>
            <w:vAlign w:val="bottom"/>
            <w:gridSpan w:val="2"/>
          </w:tcPr>
          <w:p>
            <w:pPr>
              <w:spacing w:after="0"/>
              <w:rPr>
                <w:sz w:val="20"/>
                <w:szCs w:val="20"/>
                <w:color w:val="auto"/>
              </w:rPr>
            </w:pPr>
            <w:r>
              <w:rPr>
                <w:rFonts w:ascii="Arial" w:cs="Arial" w:eastAsia="Arial" w:hAnsi="Arial"/>
                <w:sz w:val="18"/>
                <w:szCs w:val="18"/>
                <w:color w:val="auto"/>
              </w:rPr>
              <w:t>Changes in unearned revenue were as follows: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756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March 31, 2018</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2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26,656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ind w:left="200"/>
              <w:spacing w:after="0" w:line="189" w:lineRule="exact"/>
              <w:rPr>
                <w:sz w:val="20"/>
                <w:szCs w:val="20"/>
                <w:color w:val="auto"/>
              </w:rPr>
            </w:pPr>
            <w:r>
              <w:rPr>
                <w:rFonts w:ascii="Arial" w:cs="Arial" w:eastAsia="Arial" w:hAnsi="Arial"/>
                <w:sz w:val="18"/>
                <w:szCs w:val="18"/>
                <w:color w:val="auto"/>
              </w:rPr>
              <w:t>Deferral of revenue</w:t>
            </w: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37,217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Recognition of unearned revenue</w:t>
            </w:r>
          </w:p>
        </w:tc>
        <w:tc>
          <w:tcPr>
            <w:tcW w:w="12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(39,918)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56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23,955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allocated to remaining performance obligations represents contracted revenue that has not yet been recognized (“contracted not recognized revenue”), which includes unearned revenue and amounts that will be invoiced and recognized as revenue in future periods. Contracted not recognized revenue was $61 billion as of March 31, 2018, of which we expect to recognize approximately 60% of the revenue over the next 12 months and the remainder thereafter.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LEASES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operating and finance leases for datacenters, corporate offices, research and development facilities, retail stores, and certain equipment. Our leases have remaining lease terms of 1 year to 20 years, some of which include options to extend the leases for up to 5 years, and some of which include options to terminate the leases within 1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0" w:name="page31"/>
    <w:bookmarkEnd w:id="30"/>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395</w:t>
            </w:r>
          </w:p>
        </w:tc>
        <w:tc>
          <w:tcPr>
            <w:tcW w:w="100" w:type="dxa"/>
            <w:vAlign w:val="bottom"/>
            <w:shd w:val="clear" w:color="auto" w:fill="E5E5E5"/>
          </w:tcPr>
          <w:p>
            <w:pPr>
              <w:spacing w:after="0"/>
              <w:rPr>
                <w:sz w:val="16"/>
                <w:szCs w:val="16"/>
                <w:color w:val="auto"/>
              </w:rPr>
            </w:pPr>
          </w:p>
        </w:tc>
        <w:tc>
          <w:tcPr>
            <w:tcW w:w="5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321</w:t>
            </w:r>
          </w:p>
        </w:tc>
        <w:tc>
          <w:tcPr>
            <w:tcW w:w="56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1,182</w:t>
            </w:r>
          </w:p>
        </w:tc>
        <w:tc>
          <w:tcPr>
            <w:tcW w:w="4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1,015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Finance lease cost:</w:t>
            </w:r>
          </w:p>
        </w:tc>
        <w:tc>
          <w:tcPr>
            <w:tcW w:w="5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62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Amortization of right-of-use assets</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70</w:t>
            </w:r>
          </w:p>
        </w:tc>
        <w:tc>
          <w:tcPr>
            <w:tcW w:w="5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5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175</w:t>
            </w:r>
          </w:p>
        </w:tc>
        <w:tc>
          <w:tcPr>
            <w:tcW w:w="4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5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 finance lease cost</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E5E5E5"/>
          </w:tcPr>
          <w:p>
            <w:pPr>
              <w:spacing w:after="0"/>
              <w:rPr>
                <w:sz w:val="16"/>
                <w:szCs w:val="16"/>
                <w:color w:val="auto"/>
              </w:rPr>
            </w:pPr>
          </w:p>
        </w:tc>
        <w:tc>
          <w:tcPr>
            <w:tcW w:w="5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48</w:t>
            </w:r>
          </w:p>
        </w:tc>
        <w:tc>
          <w:tcPr>
            <w:tcW w:w="56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296</w:t>
            </w:r>
          </w:p>
        </w:tc>
        <w:tc>
          <w:tcPr>
            <w:tcW w:w="4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6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16"/>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0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Cash paid for amounts included in the measurement of lease</w:t>
            </w:r>
          </w:p>
        </w:tc>
        <w:tc>
          <w:tcPr>
            <w:tcW w:w="8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liabilities:</w:t>
            </w:r>
          </w:p>
        </w:tc>
        <w:tc>
          <w:tcPr>
            <w:tcW w:w="8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24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820" w:type="dxa"/>
            <w:vAlign w:val="bottom"/>
          </w:tcPr>
          <w:p>
            <w:pPr>
              <w:jc w:val="right"/>
              <w:ind w:right="33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line="189" w:lineRule="exact"/>
              <w:rPr>
                <w:sz w:val="20"/>
                <w:szCs w:val="20"/>
                <w:color w:val="auto"/>
              </w:rPr>
            </w:pPr>
            <w:r>
              <w:rPr>
                <w:rFonts w:ascii="Arial" w:cs="Arial" w:eastAsia="Arial" w:hAnsi="Arial"/>
                <w:sz w:val="18"/>
                <w:szCs w:val="18"/>
                <w:b w:val="1"/>
                <w:bCs w:val="1"/>
                <w:color w:val="auto"/>
              </w:rPr>
              <w:t>388</w:t>
            </w:r>
          </w:p>
        </w:tc>
        <w:tc>
          <w:tcPr>
            <w:tcW w:w="520" w:type="dxa"/>
            <w:vAlign w:val="bottom"/>
          </w:tcPr>
          <w:p>
            <w:pPr>
              <w:jc w:val="right"/>
              <w:ind w:right="201"/>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line="189" w:lineRule="exact"/>
              <w:rPr>
                <w:sz w:val="20"/>
                <w:szCs w:val="20"/>
                <w:color w:val="auto"/>
              </w:rPr>
            </w:pPr>
            <w:r>
              <w:rPr>
                <w:rFonts w:ascii="Arial" w:cs="Arial" w:eastAsia="Arial" w:hAnsi="Arial"/>
                <w:sz w:val="18"/>
                <w:szCs w:val="18"/>
                <w:color w:val="auto"/>
              </w:rPr>
              <w:t>331</w:t>
            </w:r>
          </w:p>
        </w:tc>
        <w:tc>
          <w:tcPr>
            <w:tcW w:w="560" w:type="dxa"/>
            <w:vAlign w:val="bottom"/>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line="189" w:lineRule="exact"/>
              <w:rPr>
                <w:sz w:val="20"/>
                <w:szCs w:val="20"/>
                <w:color w:val="auto"/>
              </w:rPr>
            </w:pPr>
            <w:r>
              <w:rPr>
                <w:rFonts w:ascii="Arial" w:cs="Arial" w:eastAsia="Arial" w:hAnsi="Arial"/>
                <w:sz w:val="18"/>
                <w:szCs w:val="18"/>
                <w:b w:val="1"/>
                <w:bCs w:val="1"/>
                <w:color w:val="auto"/>
              </w:rPr>
              <w:t>1,132</w:t>
            </w:r>
          </w:p>
        </w:tc>
        <w:tc>
          <w:tcPr>
            <w:tcW w:w="460" w:type="dxa"/>
            <w:vAlign w:val="bottom"/>
          </w:tcPr>
          <w:p>
            <w:pPr>
              <w:jc w:val="right"/>
              <w:ind w:right="181"/>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912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E5E5E5"/>
          </w:tcPr>
          <w:p>
            <w:pPr>
              <w:ind w:left="240"/>
              <w:spacing w:after="0" w:line="189" w:lineRule="exact"/>
              <w:rPr>
                <w:sz w:val="20"/>
                <w:szCs w:val="20"/>
                <w:color w:val="auto"/>
              </w:rPr>
            </w:pPr>
            <w:r>
              <w:rPr>
                <w:rFonts w:ascii="Arial" w:cs="Arial" w:eastAsia="Arial" w:hAnsi="Arial"/>
                <w:sz w:val="18"/>
                <w:szCs w:val="18"/>
                <w:color w:val="auto"/>
              </w:rPr>
              <w:t>Operating cash flows from finance leases</w:t>
            </w:r>
          </w:p>
        </w:tc>
        <w:tc>
          <w:tcPr>
            <w:tcW w:w="82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b w:val="1"/>
                <w:bCs w:val="1"/>
                <w:color w:val="auto"/>
              </w:rPr>
              <w:t>46</w:t>
            </w:r>
          </w:p>
        </w:tc>
        <w:tc>
          <w:tcPr>
            <w:tcW w:w="52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19</w:t>
            </w:r>
          </w:p>
        </w:tc>
        <w:tc>
          <w:tcPr>
            <w:tcW w:w="56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b w:val="1"/>
                <w:bCs w:val="1"/>
                <w:color w:val="auto"/>
              </w:rPr>
              <w:t>121</w:t>
            </w:r>
          </w:p>
        </w:tc>
        <w:tc>
          <w:tcPr>
            <w:tcW w:w="46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82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37</w:t>
            </w:r>
          </w:p>
        </w:tc>
        <w:tc>
          <w:tcPr>
            <w:tcW w:w="52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93</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shd w:val="clear" w:color="auto" w:fill="E5E5E5"/>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8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240"/>
              <w:spacing w:after="0" w:line="189" w:lineRule="exact"/>
              <w:rPr>
                <w:sz w:val="20"/>
                <w:szCs w:val="20"/>
                <w:color w:val="auto"/>
              </w:rPr>
            </w:pPr>
            <w:r>
              <w:rPr>
                <w:rFonts w:ascii="Arial" w:cs="Arial" w:eastAsia="Arial" w:hAnsi="Arial"/>
                <w:sz w:val="18"/>
                <w:szCs w:val="18"/>
                <w:color w:val="auto"/>
              </w:rPr>
              <w:t>Operating leases</w:t>
            </w:r>
          </w:p>
        </w:tc>
        <w:tc>
          <w:tcPr>
            <w:tcW w:w="820" w:type="dxa"/>
            <w:vAlign w:val="bottom"/>
          </w:tcPr>
          <w:p>
            <w:pPr>
              <w:spacing w:after="0"/>
              <w:rPr>
                <w:sz w:val="16"/>
                <w:szCs w:val="16"/>
                <w:color w:val="auto"/>
              </w:rPr>
            </w:pPr>
          </w:p>
        </w:tc>
        <w:tc>
          <w:tcPr>
            <w:tcW w:w="840" w:type="dxa"/>
            <w:vAlign w:val="bottom"/>
          </w:tcPr>
          <w:p>
            <w:pPr>
              <w:jc w:val="right"/>
              <w:ind w:right="14"/>
              <w:spacing w:after="0" w:line="189" w:lineRule="exact"/>
              <w:rPr>
                <w:sz w:val="20"/>
                <w:szCs w:val="20"/>
                <w:color w:val="auto"/>
              </w:rPr>
            </w:pPr>
            <w:r>
              <w:rPr>
                <w:rFonts w:ascii="Arial" w:cs="Arial" w:eastAsia="Arial" w:hAnsi="Arial"/>
                <w:sz w:val="18"/>
                <w:szCs w:val="18"/>
                <w:b w:val="1"/>
                <w:bCs w:val="1"/>
                <w:color w:val="auto"/>
              </w:rPr>
              <w:t>570</w:t>
            </w:r>
          </w:p>
        </w:tc>
        <w:tc>
          <w:tcPr>
            <w:tcW w:w="520" w:type="dxa"/>
            <w:vAlign w:val="bottom"/>
          </w:tcPr>
          <w:p>
            <w:pPr>
              <w:spacing w:after="0"/>
              <w:rPr>
                <w:sz w:val="16"/>
                <w:szCs w:val="16"/>
                <w:color w:val="auto"/>
              </w:rPr>
            </w:pPr>
          </w:p>
        </w:tc>
        <w:tc>
          <w:tcPr>
            <w:tcW w:w="1000" w:type="dxa"/>
            <w:vAlign w:val="bottom"/>
          </w:tcPr>
          <w:p>
            <w:pPr>
              <w:jc w:val="right"/>
              <w:ind w:right="16"/>
              <w:spacing w:after="0" w:line="189" w:lineRule="exact"/>
              <w:rPr>
                <w:sz w:val="20"/>
                <w:szCs w:val="20"/>
                <w:color w:val="auto"/>
              </w:rPr>
            </w:pPr>
            <w:r>
              <w:rPr>
                <w:rFonts w:ascii="Arial" w:cs="Arial" w:eastAsia="Arial" w:hAnsi="Arial"/>
                <w:sz w:val="18"/>
                <w:szCs w:val="18"/>
                <w:color w:val="auto"/>
              </w:rPr>
              <w:t>130</w:t>
            </w:r>
          </w:p>
        </w:tc>
        <w:tc>
          <w:tcPr>
            <w:tcW w:w="560" w:type="dxa"/>
            <w:vAlign w:val="bottom"/>
          </w:tcPr>
          <w:p>
            <w:pPr>
              <w:spacing w:after="0"/>
              <w:rPr>
                <w:sz w:val="16"/>
                <w:szCs w:val="16"/>
                <w:color w:val="auto"/>
              </w:rPr>
            </w:pPr>
          </w:p>
        </w:tc>
        <w:tc>
          <w:tcPr>
            <w:tcW w:w="900" w:type="dxa"/>
            <w:vAlign w:val="bottom"/>
          </w:tcPr>
          <w:p>
            <w:pPr>
              <w:jc w:val="right"/>
              <w:ind w:right="14"/>
              <w:spacing w:after="0" w:line="189" w:lineRule="exact"/>
              <w:rPr>
                <w:sz w:val="20"/>
                <w:szCs w:val="20"/>
                <w:color w:val="auto"/>
              </w:rPr>
            </w:pPr>
            <w:r>
              <w:rPr>
                <w:rFonts w:ascii="Arial" w:cs="Arial" w:eastAsia="Arial" w:hAnsi="Arial"/>
                <w:sz w:val="18"/>
                <w:szCs w:val="18"/>
                <w:b w:val="1"/>
                <w:bCs w:val="1"/>
                <w:color w:val="auto"/>
              </w:rPr>
              <w:t>1,269</w:t>
            </w: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E5E5E5"/>
          </w:tcPr>
          <w:p>
            <w:pPr>
              <w:ind w:left="240"/>
              <w:spacing w:after="0" w:line="189" w:lineRule="exact"/>
              <w:rPr>
                <w:sz w:val="20"/>
                <w:szCs w:val="20"/>
                <w:color w:val="auto"/>
              </w:rPr>
            </w:pPr>
            <w:r>
              <w:rPr>
                <w:rFonts w:ascii="Arial" w:cs="Arial" w:eastAsia="Arial" w:hAnsi="Arial"/>
                <w:sz w:val="18"/>
                <w:szCs w:val="18"/>
                <w:color w:val="auto"/>
              </w:rPr>
              <w:t>Finance leases</w:t>
            </w:r>
          </w:p>
        </w:tc>
        <w:tc>
          <w:tcPr>
            <w:tcW w:w="82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b w:val="1"/>
                <w:bCs w:val="1"/>
                <w:color w:val="auto"/>
              </w:rPr>
              <w:t>412</w:t>
            </w:r>
          </w:p>
        </w:tc>
        <w:tc>
          <w:tcPr>
            <w:tcW w:w="52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296</w:t>
            </w:r>
          </w:p>
        </w:tc>
        <w:tc>
          <w:tcPr>
            <w:tcW w:w="56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b w:val="1"/>
                <w:bCs w:val="1"/>
                <w:color w:val="auto"/>
              </w:rPr>
              <w:t>1,790</w:t>
            </w:r>
          </w:p>
        </w:tc>
        <w:tc>
          <w:tcPr>
            <w:tcW w:w="46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1,061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3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00" w:type="dxa"/>
            <w:vAlign w:val="bottom"/>
          </w:tcPr>
          <w:p>
            <w:pPr>
              <w:spacing w:after="0"/>
              <w:rPr>
                <w:sz w:val="4"/>
                <w:szCs w:val="4"/>
                <w:color w:val="auto"/>
              </w:rPr>
            </w:pPr>
          </w:p>
        </w:tc>
        <w:tc>
          <w:tcPr>
            <w:tcW w:w="3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3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6,859</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6,555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220" w:type="dxa"/>
            <w:vAlign w:val="bottom"/>
            <w:gridSpan w:val="2"/>
          </w:tcPr>
          <w:p>
            <w:pPr>
              <w:spacing w:after="0"/>
              <w:rPr>
                <w:sz w:val="6"/>
                <w:szCs w:val="6"/>
                <w:color w:val="auto"/>
              </w:rPr>
            </w:pPr>
          </w:p>
        </w:tc>
        <w:tc>
          <w:tcPr>
            <w:tcW w:w="39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4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1,382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39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5,751</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5,372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4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7,133</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Leases</w:t>
            </w:r>
          </w:p>
        </w:tc>
        <w:tc>
          <w:tcPr>
            <w:tcW w:w="39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220" w:type="dxa"/>
            <w:vAlign w:val="bottom"/>
            <w:gridSpan w:val="2"/>
            <w:vMerge w:val="continue"/>
          </w:tcPr>
          <w:p>
            <w:pPr>
              <w:spacing w:after="0"/>
              <w:rPr>
                <w:sz w:val="19"/>
                <w:szCs w:val="19"/>
                <w:color w:val="auto"/>
              </w:rPr>
            </w:pPr>
          </w:p>
        </w:tc>
        <w:tc>
          <w:tcPr>
            <w:tcW w:w="3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00" w:type="dxa"/>
            <w:vAlign w:val="bottom"/>
          </w:tcPr>
          <w:p>
            <w:pPr>
              <w:spacing w:after="0"/>
              <w:rPr>
                <w:sz w:val="4"/>
                <w:szCs w:val="4"/>
                <w:color w:val="auto"/>
              </w:rPr>
            </w:pPr>
          </w:p>
        </w:tc>
        <w:tc>
          <w:tcPr>
            <w:tcW w:w="3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gross</w:t>
            </w:r>
          </w:p>
        </w:tc>
        <w:tc>
          <w:tcPr>
            <w:tcW w:w="43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4,507</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00" w:type="dxa"/>
            <w:vAlign w:val="bottom"/>
            <w:tcBorders>
              <w:top w:val="single" w:sz="8" w:color="auto"/>
            </w:tcBorders>
          </w:tcPr>
          <w:p>
            <w:pPr>
              <w:spacing w:after="0"/>
              <w:rPr>
                <w:sz w:val="5"/>
                <w:szCs w:val="5"/>
                <w:color w:val="auto"/>
              </w:rPr>
            </w:pPr>
          </w:p>
        </w:tc>
        <w:tc>
          <w:tcPr>
            <w:tcW w:w="39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Property and equipment, net</w:t>
            </w:r>
          </w:p>
        </w:tc>
        <w:tc>
          <w:tcPr>
            <w:tcW w:w="43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4,171</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220" w:type="dxa"/>
            <w:vAlign w:val="bottom"/>
            <w:gridSpan w:val="2"/>
          </w:tcPr>
          <w:p>
            <w:pPr>
              <w:spacing w:after="0"/>
              <w:rPr>
                <w:sz w:val="6"/>
                <w:szCs w:val="6"/>
                <w:color w:val="auto"/>
              </w:rPr>
            </w:pPr>
          </w:p>
        </w:tc>
        <w:tc>
          <w:tcPr>
            <w:tcW w:w="39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4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181</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39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4,150</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Total finance lease liabilities</w:t>
            </w:r>
          </w:p>
        </w:tc>
        <w:tc>
          <w:tcPr>
            <w:tcW w:w="4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4,331</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 Remaining Lease Term</w:t>
            </w:r>
          </w:p>
        </w:tc>
        <w:tc>
          <w:tcPr>
            <w:tcW w:w="39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220" w:type="dxa"/>
            <w:vAlign w:val="bottom"/>
            <w:gridSpan w:val="2"/>
            <w:vMerge w:val="continue"/>
          </w:tcPr>
          <w:p>
            <w:pPr>
              <w:spacing w:after="0"/>
              <w:rPr>
                <w:sz w:val="19"/>
                <w:szCs w:val="19"/>
                <w:color w:val="auto"/>
              </w:rPr>
            </w:pPr>
          </w:p>
        </w:tc>
        <w:tc>
          <w:tcPr>
            <w:tcW w:w="3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3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39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 years</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 years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Weighted Average Discount Rate</w:t>
            </w:r>
          </w:p>
        </w:tc>
        <w:tc>
          <w:tcPr>
            <w:tcW w:w="3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3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39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3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200" w:type="dxa"/>
            <w:vAlign w:val="bottom"/>
            <w:tcBorders>
              <w:top w:val="single" w:sz="8" w:color="auto"/>
            </w:tcBorders>
          </w:tcPr>
          <w:p>
            <w:pPr>
              <w:spacing w:after="0"/>
              <w:rPr>
                <w:sz w:val="24"/>
                <w:szCs w:val="24"/>
                <w:color w:val="auto"/>
              </w:rPr>
            </w:pPr>
          </w:p>
        </w:tc>
        <w:tc>
          <w:tcPr>
            <w:tcW w:w="3900" w:type="dxa"/>
            <w:vAlign w:val="bottom"/>
            <w:tcBorders>
              <w:top w:val="single" w:sz="8" w:color="auto"/>
            </w:tcBorders>
          </w:tcPr>
          <w:p>
            <w:pPr>
              <w:jc w:val="right"/>
              <w:ind w:right="2232"/>
              <w:spacing w:after="0"/>
              <w:rPr>
                <w:sz w:val="20"/>
                <w:szCs w:val="20"/>
                <w:color w:val="auto"/>
              </w:rPr>
            </w:pPr>
            <w:r>
              <w:rPr>
                <w:rFonts w:ascii="Arial" w:cs="Arial" w:eastAsia="Arial" w:hAnsi="Arial"/>
                <w:sz w:val="14"/>
                <w:szCs w:val="14"/>
                <w:color w:val="auto"/>
              </w:rPr>
              <w:t>31</w:t>
            </w:r>
          </w:p>
        </w:tc>
        <w:tc>
          <w:tcPr>
            <w:tcW w:w="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39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31" w:name="page32"/>
    <w:bookmarkEnd w:id="31"/>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Operating</w:t>
            </w:r>
          </w:p>
        </w:tc>
        <w:tc>
          <w:tcPr>
            <w:tcW w:w="5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78"/>
        </w:trPr>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4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Leases</w:t>
            </w:r>
          </w:p>
        </w:tc>
        <w:tc>
          <w:tcPr>
            <w:tcW w:w="5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8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2018 (excluding the nine months ended March 31, 2018)</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388</w:t>
            </w:r>
          </w:p>
        </w:tc>
        <w:tc>
          <w:tcPr>
            <w:tcW w:w="200" w:type="dxa"/>
            <w:vAlign w:val="bottom"/>
            <w:shd w:val="clear" w:color="auto" w:fill="E5E5E5"/>
          </w:tcPr>
          <w:p>
            <w:pPr>
              <w:spacing w:after="0"/>
              <w:rPr>
                <w:sz w:val="16"/>
                <w:szCs w:val="16"/>
                <w:color w:val="auto"/>
              </w:rPr>
            </w:pP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tcPr>
          <w:p>
            <w:pPr>
              <w:spacing w:after="0" w:line="189" w:lineRule="exact"/>
              <w:rPr>
                <w:sz w:val="20"/>
                <w:szCs w:val="20"/>
                <w:color w:val="auto"/>
              </w:rPr>
            </w:pPr>
            <w:r>
              <w:rPr>
                <w:rFonts w:ascii="Arial" w:cs="Arial" w:eastAsia="Arial" w:hAnsi="Arial"/>
                <w:sz w:val="18"/>
                <w:szCs w:val="18"/>
                <w:color w:val="auto"/>
              </w:rPr>
              <w:t>2019</w:t>
            </w:r>
          </w:p>
        </w:tc>
        <w:tc>
          <w:tcPr>
            <w:tcW w:w="460" w:type="dxa"/>
            <w:vAlign w:val="bottom"/>
          </w:tcPr>
          <w:p>
            <w:pPr>
              <w:spacing w:after="0"/>
              <w:rPr>
                <w:sz w:val="16"/>
                <w:szCs w:val="16"/>
                <w:color w:val="auto"/>
              </w:rPr>
            </w:pP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1,472</w:t>
            </w:r>
          </w:p>
        </w:tc>
        <w:tc>
          <w:tcPr>
            <w:tcW w:w="54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2020</w:t>
            </w:r>
          </w:p>
        </w:tc>
        <w:tc>
          <w:tcPr>
            <w:tcW w:w="46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1,340</w:t>
            </w:r>
          </w:p>
        </w:tc>
        <w:tc>
          <w:tcPr>
            <w:tcW w:w="54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tcPr>
          <w:p>
            <w:pPr>
              <w:spacing w:after="0" w:line="189" w:lineRule="exact"/>
              <w:rPr>
                <w:sz w:val="20"/>
                <w:szCs w:val="20"/>
                <w:color w:val="auto"/>
              </w:rPr>
            </w:pPr>
            <w:r>
              <w:rPr>
                <w:rFonts w:ascii="Arial" w:cs="Arial" w:eastAsia="Arial" w:hAnsi="Arial"/>
                <w:sz w:val="18"/>
                <w:szCs w:val="18"/>
                <w:color w:val="auto"/>
              </w:rPr>
              <w:t>2021</w:t>
            </w:r>
          </w:p>
        </w:tc>
        <w:tc>
          <w:tcPr>
            <w:tcW w:w="460" w:type="dxa"/>
            <w:vAlign w:val="bottom"/>
          </w:tcPr>
          <w:p>
            <w:pPr>
              <w:spacing w:after="0"/>
              <w:rPr>
                <w:sz w:val="16"/>
                <w:szCs w:val="16"/>
                <w:color w:val="auto"/>
              </w:rPr>
            </w:pP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1,076</w:t>
            </w:r>
          </w:p>
        </w:tc>
        <w:tc>
          <w:tcPr>
            <w:tcW w:w="54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w:t>
            </w:r>
          </w:p>
        </w:tc>
        <w:tc>
          <w:tcPr>
            <w:tcW w:w="4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887</w:t>
            </w:r>
          </w:p>
        </w:tc>
        <w:tc>
          <w:tcPr>
            <w:tcW w:w="2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2,790</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7,953</w:t>
            </w:r>
          </w:p>
        </w:tc>
        <w:tc>
          <w:tcPr>
            <w:tcW w:w="54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6,126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Less imputed interest</w:t>
            </w:r>
          </w:p>
        </w:tc>
        <w:tc>
          <w:tcPr>
            <w:tcW w:w="4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(820)</w:t>
            </w: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7,133</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1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we have additional operating and finance leases, primarily for datacenters, that have not yet commenced of $845 million and $ 1.5 billion, respectively. These operating and finance leases will commence between fiscal year 2018 and fiscal year 2020 with lease terms of 1 year to 20 years.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16 —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IPCom Patent Litigation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IPCom GmbH &amp; Co. (“IPCom”) is a German company that holds a large portfolio of mobile technology-related patents addressing a broad range of cellular technologies. IPCom has asserted 19 of these patents in litigation against Nokia Corporation (“Nokia”) and many of the leading cellular phone companies and operators. In April 2018, Microsoft and IPCom entered into a settlement agreement resolving all claims against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Patent and Intellectual Property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IPCom cases, there were 34 other patent infringement cases pending against Microsoft as of March 31,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All three have been certified on behalf of Canadian indirect purchasers who acquired licenses for Microsoft operating system software and/or productivity application software between 1998 and 2010.</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trial of the British Columbia action commenced in May 2016. The plaintiffs filed their case in chief in August 2016, setting out claims made, authorities, and evidence in support of their claims. A six-month oral hearing is expected to begin in summer 2018, consisting of cross examination on witness affidavits. The Ontario and Quebec cases are inactive.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Industry and Commerce Investigation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2014, Microsoft was informed that China’s State Administration for Industry and Commerce (“SAIC”) had begun a formal investigation relating to China’s Anti-Monopoly Law, and the SAIC conducted onsite inspections of Microsoft offices in Beijing, Shanghai, Guangzhou, and Chengdu. SAIC has stated the investigation relates to compatibility, bundle sales, file verification issues related to Windows and Office software, and potentially other issues.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2" w:name="page33"/>
    <w:bookmarkEnd w:id="32"/>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35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In 2013, defendants in the consolidated cases moved to exclude plaintiffs’ expert evidence of general causation on the basis of flawed scientific methodologies. In 2014, the trial court granted in part and denied in part defendants’ motion to exclude plaintiffs’ general causation experts. The defendants filed an interlocutory appeal challenging the standard for evaluating expert scientific evidence, which the District of Columbia Court of Appeals heard </w:t>
      </w:r>
      <w:r>
        <w:rPr>
          <w:rFonts w:ascii="Arial" w:cs="Arial" w:eastAsia="Arial" w:hAnsi="Arial"/>
          <w:sz w:val="18"/>
          <w:szCs w:val="18"/>
          <w:i w:val="1"/>
          <w:iCs w:val="1"/>
          <w:color w:val="auto"/>
        </w:rPr>
        <w:t>en banc</w:t>
      </w:r>
      <w:r>
        <w:rPr>
          <w:rFonts w:ascii="Arial" w:cs="Arial" w:eastAsia="Arial" w:hAnsi="Arial"/>
          <w:sz w:val="18"/>
          <w:szCs w:val="18"/>
          <w:color w:val="auto"/>
        </w:rPr>
        <w:t>. In October 2016, the Court of Appeals issued its decision adopting the standard advocated by defendants and remanding the cases to the trial court for further proceedings under that standard. Plaintiffs have filed supplemental expert evidence, portions of which defendants have moved to strike.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Cell Phone Class Action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Mobile Oy, along with other handset manufacturers and network operators, is a defendant in a 2013 class action lawsuit filed in the Supreme Court of British Columbia by a purported class of Canadians who have used cellular phones for at least 1,600 hours, including a subclass of users with brain tumors, alleging adverse health effects from cellular phone use. Microsoft was served with the complaint in June 2014 and has been substituted for the Nokia defendants. The litigation has been dormant for more than three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Employment-Related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Moussouris v. Microsoft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Current and former female Microsoft employees in certain engineering and information technology roles brought this class action in federal court in Seattle in 2015, alleging systemic gender discrimination in pay and promotions. The plaintiffs moved to certify the class in October 2017. Microsoft filed an opposition in January 2018, attaching an expert report showing no statistically significant disparity in pay and promotions between similarly situated men and women. Microsoft filed a motion for summary judgment with respect to the named plaintiffs in March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on our consolidated financial statements, these matters are subject to inherent uncertainties and management’s view of these matters may change in the future.</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March 31, 2018, we accrued aggregate legal liabilities of $371 million. While we intend to defend these matters vigorously, adverse outcomes that we estimate could reach approximately $1.3 billion in aggregate beyond recorded amounts are reasonably possible. Were unfavorable final outcomes to occur, there exists the possibility of a material adverse impact on our consolidated financial statements for the period in which the effects become reasonably estimable.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3" w:name="page34"/>
    <w:bookmarkEnd w:id="33"/>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16, 2013, our Board of Directors approved a share repurchase program authorizing up to $40.0 billion in share repurchases.</w:t>
      </w:r>
    </w:p>
    <w:p>
      <w:pPr>
        <w:spacing w:after="0"/>
        <w:rPr>
          <w:sz w:val="20"/>
          <w:szCs w:val="20"/>
          <w:color w:val="auto"/>
        </w:rPr>
      </w:pPr>
      <w:r>
        <w:rPr>
          <w:rFonts w:ascii="Arial" w:cs="Arial" w:eastAsia="Arial" w:hAnsi="Arial"/>
          <w:sz w:val="18"/>
          <w:szCs w:val="18"/>
          <w:color w:val="auto"/>
        </w:rPr>
        <w:t>This share repurchase program became effective on October 1, 2013, and was completed on December 22, 2016.</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September 20, 2016, our Board of Directors approved a share repurchase program authorizing up to an additional $40.0 billion in share repurchases. This share repurchase program commenced on December 22, 2016 following completion of the prior program approved on September 16, 2013, has no expiration date, and may be suspended or discontinued at any time without notice. As of March 31, 2018, $30.3 billion remained of this $40.0 billion share repurchase program.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55"/>
        </w:trPr>
        <w:tc>
          <w:tcPr>
            <w:tcW w:w="656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w:t>
            </w:r>
          </w:p>
        </w:tc>
        <w:tc>
          <w:tcPr>
            <w:tcW w:w="4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1,600</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63</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3,550</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spacing w:after="0" w:line="189" w:lineRule="exact"/>
              <w:rPr>
                <w:sz w:val="20"/>
                <w:szCs w:val="20"/>
                <w:color w:val="auto"/>
              </w:rPr>
            </w:pPr>
            <w:r>
              <w:rPr>
                <w:rFonts w:ascii="Arial" w:cs="Arial" w:eastAsia="Arial" w:hAnsi="Arial"/>
                <w:sz w:val="18"/>
                <w:szCs w:val="18"/>
                <w:color w:val="auto"/>
              </w:rPr>
              <w:t>Second Quarter</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1,800</w:t>
            </w:r>
          </w:p>
        </w:tc>
        <w:tc>
          <w:tcPr>
            <w:tcW w:w="12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59</w:t>
            </w:r>
          </w:p>
        </w:tc>
        <w:tc>
          <w:tcPr>
            <w:tcW w:w="3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3,533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Third Quarter</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3,100</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w:t>
            </w:r>
          </w:p>
        </w:tc>
        <w:tc>
          <w:tcPr>
            <w:tcW w:w="3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1,600</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6,500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8,683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Shares repurchased beginning in the third quarter of fiscal year 2017 were under the share repurchase program approved September 20, 2016. Shares repurchased during the first and second quarter of fiscal year 2017 were under the share repurchase program approved September 16, 2013. The above table excludes shares repurchased to settle employee tax withholding related to the vesting of stock awards. All repurchases were made using cash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jc w:val="right"/>
              <w:ind w:right="356"/>
              <w:spacing w:after="0"/>
              <w:rPr>
                <w:sz w:val="20"/>
                <w:szCs w:val="20"/>
                <w:color w:val="auto"/>
              </w:rPr>
            </w:pPr>
            <w:r>
              <w:rPr>
                <w:rFonts w:ascii="Arial" w:cs="Arial" w:eastAsia="Arial" w:hAnsi="Arial"/>
                <w:sz w:val="14"/>
                <w:szCs w:val="14"/>
                <w:b w:val="1"/>
                <w:bCs w:val="1"/>
                <w:color w:val="auto"/>
              </w:rPr>
              <w:t>Dividend</w:t>
            </w:r>
          </w:p>
        </w:tc>
        <w:tc>
          <w:tcPr>
            <w:tcW w:w="2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Declaration Date</w:t>
            </w:r>
          </w:p>
        </w:tc>
        <w:tc>
          <w:tcPr>
            <w:tcW w:w="1460" w:type="dxa"/>
            <w:vAlign w:val="bottom"/>
          </w:tcPr>
          <w:p>
            <w:pPr>
              <w:spacing w:after="0"/>
              <w:rPr>
                <w:sz w:val="15"/>
                <w:szCs w:val="15"/>
                <w:color w:val="auto"/>
              </w:rPr>
            </w:pPr>
          </w:p>
        </w:tc>
        <w:tc>
          <w:tcPr>
            <w:tcW w:w="1260" w:type="dxa"/>
            <w:vAlign w:val="bottom"/>
          </w:tcPr>
          <w:p>
            <w:pPr>
              <w:jc w:val="right"/>
              <w:ind w:right="356"/>
              <w:spacing w:after="0"/>
              <w:rPr>
                <w:sz w:val="20"/>
                <w:szCs w:val="20"/>
                <w:color w:val="auto"/>
              </w:rPr>
            </w:pPr>
            <w:r>
              <w:rPr>
                <w:rFonts w:ascii="Arial" w:cs="Arial" w:eastAsia="Arial" w:hAnsi="Arial"/>
                <w:sz w:val="14"/>
                <w:szCs w:val="14"/>
                <w:b w:val="1"/>
                <w:bCs w:val="1"/>
                <w:color w:val="auto"/>
              </w:rPr>
              <w:t>Per Share</w:t>
            </w:r>
          </w:p>
        </w:tc>
        <w:tc>
          <w:tcPr>
            <w:tcW w:w="2180" w:type="dxa"/>
            <w:vAlign w:val="bottom"/>
          </w:tcPr>
          <w:p>
            <w:pPr>
              <w:jc w:val="right"/>
              <w:ind w:right="33"/>
              <w:spacing w:after="0"/>
              <w:rPr>
                <w:sz w:val="20"/>
                <w:szCs w:val="20"/>
                <w:color w:val="auto"/>
              </w:rPr>
            </w:pPr>
            <w:r>
              <w:rPr>
                <w:rFonts w:ascii="Arial" w:cs="Arial" w:eastAsia="Arial" w:hAnsi="Arial"/>
                <w:sz w:val="14"/>
                <w:szCs w:val="14"/>
                <w:b w:val="1"/>
                <w:bCs w:val="1"/>
                <w:color w:val="auto"/>
              </w:rPr>
              <w:t>Record Date</w:t>
            </w:r>
          </w:p>
        </w:tc>
        <w:tc>
          <w:tcPr>
            <w:tcW w:w="320" w:type="dxa"/>
            <w:vAlign w:val="bottom"/>
          </w:tcPr>
          <w:p>
            <w:pPr>
              <w:spacing w:after="0"/>
              <w:rPr>
                <w:sz w:val="15"/>
                <w:szCs w:val="15"/>
                <w:color w:val="auto"/>
              </w:rPr>
            </w:pPr>
          </w:p>
        </w:tc>
        <w:tc>
          <w:tcPr>
            <w:tcW w:w="1280" w:type="dxa"/>
            <w:vAlign w:val="bottom"/>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2080" w:type="dxa"/>
            <w:vAlign w:val="bottom"/>
            <w:gridSpan w:val="2"/>
          </w:tcPr>
          <w:p>
            <w:pPr>
              <w:ind w:left="11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55"/>
        </w:trPr>
        <w:tc>
          <w:tcPr>
            <w:tcW w:w="2840" w:type="dxa"/>
            <w:vAlign w:val="bottom"/>
            <w:tcBorders>
              <w:bottom w:val="single" w:sz="8" w:color="auto"/>
            </w:tcBorders>
            <w:gridSpan w:val="2"/>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Fiscal Year 2018</w:t>
            </w: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296"/>
              <w:spacing w:after="0"/>
              <w:rPr>
                <w:sz w:val="20"/>
                <w:szCs w:val="20"/>
                <w:color w:val="auto"/>
              </w:rPr>
            </w:pPr>
            <w:r>
              <w:rPr>
                <w:rFonts w:ascii="Arial" w:cs="Arial" w:eastAsia="Arial" w:hAnsi="Arial"/>
                <w:sz w:val="14"/>
                <w:szCs w:val="14"/>
                <w:b w:val="1"/>
                <w:bCs w:val="1"/>
                <w:color w:val="auto"/>
              </w:rPr>
              <w:t>(in millions)</w:t>
            </w: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8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19, 2017</w:t>
            </w:r>
          </w:p>
        </w:tc>
        <w:tc>
          <w:tcPr>
            <w:tcW w:w="146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5E5E5"/>
          </w:tcPr>
          <w:p>
            <w:pPr>
              <w:jc w:val="right"/>
              <w:ind w:right="356"/>
              <w:spacing w:after="0" w:line="189" w:lineRule="exact"/>
              <w:rPr>
                <w:sz w:val="20"/>
                <w:szCs w:val="20"/>
                <w:color w:val="auto"/>
              </w:rPr>
            </w:pPr>
            <w:r>
              <w:rPr>
                <w:rFonts w:ascii="Arial" w:cs="Arial" w:eastAsia="Arial" w:hAnsi="Arial"/>
                <w:sz w:val="18"/>
                <w:szCs w:val="18"/>
                <w:b w:val="1"/>
                <w:bCs w:val="1"/>
                <w:color w:val="auto"/>
              </w:rPr>
              <w:t>0.42</w:t>
            </w:r>
          </w:p>
        </w:tc>
        <w:tc>
          <w:tcPr>
            <w:tcW w:w="2180" w:type="dxa"/>
            <w:vAlign w:val="bottom"/>
            <w:shd w:val="clear" w:color="auto" w:fill="E5E5E5"/>
          </w:tcPr>
          <w:p>
            <w:pPr>
              <w:jc w:val="right"/>
              <w:ind w:right="33"/>
              <w:spacing w:after="0" w:line="189" w:lineRule="exact"/>
              <w:rPr>
                <w:sz w:val="20"/>
                <w:szCs w:val="20"/>
                <w:color w:val="auto"/>
              </w:rPr>
            </w:pPr>
            <w:r>
              <w:rPr>
                <w:rFonts w:ascii="Arial" w:cs="Arial" w:eastAsia="Arial" w:hAnsi="Arial"/>
                <w:sz w:val="18"/>
                <w:szCs w:val="18"/>
                <w:b w:val="1"/>
                <w:bCs w:val="1"/>
                <w:color w:val="auto"/>
              </w:rPr>
              <w:t>November 16, 2017</w:t>
            </w:r>
          </w:p>
        </w:tc>
        <w:tc>
          <w:tcPr>
            <w:tcW w:w="3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b w:val="1"/>
                <w:bCs w:val="1"/>
                <w:color w:val="auto"/>
              </w:rPr>
              <w:t>3,238</w:t>
            </w:r>
          </w:p>
        </w:tc>
        <w:tc>
          <w:tcPr>
            <w:tcW w:w="2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December 14, 2017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tcPr>
          <w:p>
            <w:pPr>
              <w:spacing w:after="0" w:line="189" w:lineRule="exact"/>
              <w:rPr>
                <w:sz w:val="20"/>
                <w:szCs w:val="20"/>
                <w:color w:val="auto"/>
              </w:rPr>
            </w:pPr>
            <w:r>
              <w:rPr>
                <w:rFonts w:ascii="Arial" w:cs="Arial" w:eastAsia="Arial" w:hAnsi="Arial"/>
                <w:sz w:val="18"/>
                <w:szCs w:val="18"/>
                <w:b w:val="1"/>
                <w:bCs w:val="1"/>
                <w:color w:val="auto"/>
              </w:rPr>
              <w:t>November 29, 2017</w:t>
            </w:r>
          </w:p>
        </w:tc>
        <w:tc>
          <w:tcPr>
            <w:tcW w:w="1460" w:type="dxa"/>
            <w:vAlign w:val="bottom"/>
          </w:tcPr>
          <w:p>
            <w:pPr>
              <w:spacing w:after="0"/>
              <w:rPr>
                <w:sz w:val="16"/>
                <w:szCs w:val="16"/>
                <w:color w:val="auto"/>
              </w:rPr>
            </w:pPr>
          </w:p>
        </w:tc>
        <w:tc>
          <w:tcPr>
            <w:tcW w:w="1260" w:type="dxa"/>
            <w:vAlign w:val="bottom"/>
          </w:tcPr>
          <w:p>
            <w:pPr>
              <w:jc w:val="right"/>
              <w:ind w:right="356"/>
              <w:spacing w:after="0" w:line="189" w:lineRule="exact"/>
              <w:rPr>
                <w:sz w:val="20"/>
                <w:szCs w:val="20"/>
                <w:color w:val="auto"/>
              </w:rPr>
            </w:pPr>
            <w:r>
              <w:rPr>
                <w:rFonts w:ascii="Arial" w:cs="Arial" w:eastAsia="Arial" w:hAnsi="Arial"/>
                <w:sz w:val="18"/>
                <w:szCs w:val="18"/>
                <w:b w:val="1"/>
                <w:bCs w:val="1"/>
                <w:color w:val="auto"/>
              </w:rPr>
              <w:t>0.42</w:t>
            </w:r>
          </w:p>
        </w:tc>
        <w:tc>
          <w:tcPr>
            <w:tcW w:w="2180" w:type="dxa"/>
            <w:vAlign w:val="bottom"/>
          </w:tcPr>
          <w:p>
            <w:pPr>
              <w:jc w:val="right"/>
              <w:ind w:right="33"/>
              <w:spacing w:after="0" w:line="189" w:lineRule="exact"/>
              <w:rPr>
                <w:sz w:val="20"/>
                <w:szCs w:val="20"/>
                <w:color w:val="auto"/>
              </w:rPr>
            </w:pPr>
            <w:r>
              <w:rPr>
                <w:rFonts w:ascii="Arial" w:cs="Arial" w:eastAsia="Arial" w:hAnsi="Arial"/>
                <w:sz w:val="18"/>
                <w:szCs w:val="18"/>
                <w:b w:val="1"/>
                <w:bCs w:val="1"/>
                <w:color w:val="auto"/>
              </w:rPr>
              <w:t>February 15, 2018</w:t>
            </w:r>
          </w:p>
        </w:tc>
        <w:tc>
          <w:tcPr>
            <w:tcW w:w="320" w:type="dxa"/>
            <w:vAlign w:val="bottom"/>
          </w:tcPr>
          <w:p>
            <w:pPr>
              <w:spacing w:after="0"/>
              <w:rPr>
                <w:sz w:val="16"/>
                <w:szCs w:val="16"/>
                <w:color w:val="auto"/>
              </w:rPr>
            </w:pPr>
          </w:p>
        </w:tc>
        <w:tc>
          <w:tcPr>
            <w:tcW w:w="1280" w:type="dxa"/>
            <w:vAlign w:val="bottom"/>
          </w:tcPr>
          <w:p>
            <w:pPr>
              <w:jc w:val="right"/>
              <w:ind w:right="296"/>
              <w:spacing w:after="0" w:line="189" w:lineRule="exact"/>
              <w:rPr>
                <w:sz w:val="20"/>
                <w:szCs w:val="20"/>
                <w:color w:val="auto"/>
              </w:rPr>
            </w:pPr>
            <w:r>
              <w:rPr>
                <w:rFonts w:ascii="Arial" w:cs="Arial" w:eastAsia="Arial" w:hAnsi="Arial"/>
                <w:sz w:val="18"/>
                <w:szCs w:val="18"/>
                <w:b w:val="1"/>
                <w:bCs w:val="1"/>
                <w:color w:val="auto"/>
              </w:rPr>
              <w:t>3,232</w:t>
            </w:r>
          </w:p>
        </w:tc>
        <w:tc>
          <w:tcPr>
            <w:tcW w:w="20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March 8,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March 12, 2018</w:t>
            </w:r>
          </w:p>
        </w:tc>
        <w:tc>
          <w:tcPr>
            <w:tcW w:w="1460" w:type="dxa"/>
            <w:vAlign w:val="bottom"/>
            <w:shd w:val="clear" w:color="auto" w:fill="E5E5E5"/>
          </w:tcPr>
          <w:p>
            <w:pPr>
              <w:spacing w:after="0"/>
              <w:rPr>
                <w:sz w:val="16"/>
                <w:szCs w:val="16"/>
                <w:color w:val="auto"/>
              </w:rPr>
            </w:pPr>
          </w:p>
        </w:tc>
        <w:tc>
          <w:tcPr>
            <w:tcW w:w="1260" w:type="dxa"/>
            <w:vAlign w:val="bottom"/>
            <w:shd w:val="clear" w:color="auto" w:fill="E5E5E5"/>
          </w:tcPr>
          <w:p>
            <w:pPr>
              <w:jc w:val="right"/>
              <w:ind w:right="356"/>
              <w:spacing w:after="0" w:line="189" w:lineRule="exact"/>
              <w:rPr>
                <w:sz w:val="20"/>
                <w:szCs w:val="20"/>
                <w:color w:val="auto"/>
              </w:rPr>
            </w:pPr>
            <w:r>
              <w:rPr>
                <w:rFonts w:ascii="Arial" w:cs="Arial" w:eastAsia="Arial" w:hAnsi="Arial"/>
                <w:sz w:val="18"/>
                <w:szCs w:val="18"/>
                <w:b w:val="1"/>
                <w:bCs w:val="1"/>
                <w:color w:val="auto"/>
              </w:rPr>
              <w:t>0.42</w:t>
            </w:r>
          </w:p>
        </w:tc>
        <w:tc>
          <w:tcPr>
            <w:tcW w:w="2180" w:type="dxa"/>
            <w:vAlign w:val="bottom"/>
            <w:shd w:val="clear" w:color="auto" w:fill="E5E5E5"/>
          </w:tcPr>
          <w:p>
            <w:pPr>
              <w:jc w:val="right"/>
              <w:ind w:right="33"/>
              <w:spacing w:after="0" w:line="189" w:lineRule="exact"/>
              <w:rPr>
                <w:sz w:val="20"/>
                <w:szCs w:val="20"/>
                <w:color w:val="auto"/>
              </w:rPr>
            </w:pPr>
            <w:r>
              <w:rPr>
                <w:rFonts w:ascii="Arial" w:cs="Arial" w:eastAsia="Arial" w:hAnsi="Arial"/>
                <w:sz w:val="18"/>
                <w:szCs w:val="18"/>
                <w:b w:val="1"/>
                <w:bCs w:val="1"/>
                <w:color w:val="auto"/>
              </w:rPr>
              <w:t>May 17, 2018</w:t>
            </w:r>
          </w:p>
        </w:tc>
        <w:tc>
          <w:tcPr>
            <w:tcW w:w="320" w:type="dxa"/>
            <w:vAlign w:val="bottom"/>
            <w:shd w:val="clear" w:color="auto" w:fill="E5E5E5"/>
          </w:tcPr>
          <w:p>
            <w:pPr>
              <w:spacing w:after="0"/>
              <w:rPr>
                <w:sz w:val="16"/>
                <w:szCs w:val="16"/>
                <w:color w:val="auto"/>
              </w:rPr>
            </w:pPr>
          </w:p>
        </w:tc>
        <w:tc>
          <w:tcPr>
            <w:tcW w:w="12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b w:val="1"/>
                <w:bCs w:val="1"/>
                <w:color w:val="auto"/>
              </w:rPr>
              <w:t>3,230</w:t>
            </w:r>
          </w:p>
        </w:tc>
        <w:tc>
          <w:tcPr>
            <w:tcW w:w="2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June 14, 2018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Fiscal Year 2017</w:t>
            </w: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8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20, 2016</w:t>
            </w:r>
          </w:p>
        </w:tc>
        <w:tc>
          <w:tcPr>
            <w:tcW w:w="146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356"/>
              <w:spacing w:after="0" w:line="189" w:lineRule="exact"/>
              <w:rPr>
                <w:sz w:val="20"/>
                <w:szCs w:val="20"/>
                <w:color w:val="auto"/>
              </w:rPr>
            </w:pPr>
            <w:r>
              <w:rPr>
                <w:rFonts w:ascii="Arial" w:cs="Arial" w:eastAsia="Arial" w:hAnsi="Arial"/>
                <w:sz w:val="18"/>
                <w:szCs w:val="18"/>
                <w:color w:val="auto"/>
              </w:rPr>
              <w:t>0.39</w:t>
            </w:r>
          </w:p>
        </w:tc>
        <w:tc>
          <w:tcPr>
            <w:tcW w:w="2180" w:type="dxa"/>
            <w:vAlign w:val="bottom"/>
            <w:shd w:val="clear" w:color="auto" w:fill="E5E5E5"/>
          </w:tcPr>
          <w:p>
            <w:pPr>
              <w:jc w:val="right"/>
              <w:ind w:right="33"/>
              <w:spacing w:after="0" w:line="189" w:lineRule="exact"/>
              <w:rPr>
                <w:sz w:val="20"/>
                <w:szCs w:val="20"/>
                <w:color w:val="auto"/>
              </w:rPr>
            </w:pPr>
            <w:r>
              <w:rPr>
                <w:rFonts w:ascii="Arial" w:cs="Arial" w:eastAsia="Arial" w:hAnsi="Arial"/>
                <w:sz w:val="18"/>
                <w:szCs w:val="18"/>
                <w:color w:val="auto"/>
              </w:rPr>
              <w:t>November 17, 2016</w:t>
            </w:r>
          </w:p>
        </w:tc>
        <w:tc>
          <w:tcPr>
            <w:tcW w:w="3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3,024</w:t>
            </w:r>
          </w:p>
        </w:tc>
        <w:tc>
          <w:tcPr>
            <w:tcW w:w="2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December 8, 2016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tcPr>
          <w:p>
            <w:pPr>
              <w:spacing w:after="0" w:line="189" w:lineRule="exact"/>
              <w:rPr>
                <w:sz w:val="20"/>
                <w:szCs w:val="20"/>
                <w:color w:val="auto"/>
              </w:rPr>
            </w:pPr>
            <w:r>
              <w:rPr>
                <w:rFonts w:ascii="Arial" w:cs="Arial" w:eastAsia="Arial" w:hAnsi="Arial"/>
                <w:sz w:val="18"/>
                <w:szCs w:val="18"/>
                <w:color w:val="auto"/>
              </w:rPr>
              <w:t>November 30, 2016</w:t>
            </w:r>
          </w:p>
        </w:tc>
        <w:tc>
          <w:tcPr>
            <w:tcW w:w="1460" w:type="dxa"/>
            <w:vAlign w:val="bottom"/>
          </w:tcPr>
          <w:p>
            <w:pPr>
              <w:spacing w:after="0"/>
              <w:rPr>
                <w:sz w:val="16"/>
                <w:szCs w:val="16"/>
                <w:color w:val="auto"/>
              </w:rPr>
            </w:pPr>
          </w:p>
        </w:tc>
        <w:tc>
          <w:tcPr>
            <w:tcW w:w="1260" w:type="dxa"/>
            <w:vAlign w:val="bottom"/>
          </w:tcPr>
          <w:p>
            <w:pPr>
              <w:jc w:val="right"/>
              <w:ind w:right="356"/>
              <w:spacing w:after="0" w:line="189" w:lineRule="exact"/>
              <w:rPr>
                <w:sz w:val="20"/>
                <w:szCs w:val="20"/>
                <w:color w:val="auto"/>
              </w:rPr>
            </w:pPr>
            <w:r>
              <w:rPr>
                <w:rFonts w:ascii="Arial" w:cs="Arial" w:eastAsia="Arial" w:hAnsi="Arial"/>
                <w:sz w:val="18"/>
                <w:szCs w:val="18"/>
                <w:color w:val="auto"/>
              </w:rPr>
              <w:t>0.39</w:t>
            </w:r>
          </w:p>
        </w:tc>
        <w:tc>
          <w:tcPr>
            <w:tcW w:w="2180" w:type="dxa"/>
            <w:vAlign w:val="bottom"/>
          </w:tcPr>
          <w:p>
            <w:pPr>
              <w:jc w:val="right"/>
              <w:ind w:right="33"/>
              <w:spacing w:after="0" w:line="189" w:lineRule="exact"/>
              <w:rPr>
                <w:sz w:val="20"/>
                <w:szCs w:val="20"/>
                <w:color w:val="auto"/>
              </w:rPr>
            </w:pPr>
            <w:r>
              <w:rPr>
                <w:rFonts w:ascii="Arial" w:cs="Arial" w:eastAsia="Arial" w:hAnsi="Arial"/>
                <w:sz w:val="18"/>
                <w:szCs w:val="18"/>
                <w:color w:val="auto"/>
              </w:rPr>
              <w:t>February 16, 2017</w:t>
            </w:r>
          </w:p>
        </w:tc>
        <w:tc>
          <w:tcPr>
            <w:tcW w:w="320" w:type="dxa"/>
            <w:vAlign w:val="bottom"/>
          </w:tcPr>
          <w:p>
            <w:pPr>
              <w:spacing w:after="0"/>
              <w:rPr>
                <w:sz w:val="16"/>
                <w:szCs w:val="16"/>
                <w:color w:val="auto"/>
              </w:rPr>
            </w:pPr>
          </w:p>
        </w:tc>
        <w:tc>
          <w:tcPr>
            <w:tcW w:w="1280" w:type="dxa"/>
            <w:vAlign w:val="bottom"/>
          </w:tcPr>
          <w:p>
            <w:pPr>
              <w:jc w:val="right"/>
              <w:ind w:right="296"/>
              <w:spacing w:after="0" w:line="189" w:lineRule="exact"/>
              <w:rPr>
                <w:sz w:val="20"/>
                <w:szCs w:val="20"/>
                <w:color w:val="auto"/>
              </w:rPr>
            </w:pPr>
            <w:r>
              <w:rPr>
                <w:rFonts w:ascii="Arial" w:cs="Arial" w:eastAsia="Arial" w:hAnsi="Arial"/>
                <w:sz w:val="18"/>
                <w:szCs w:val="18"/>
                <w:color w:val="auto"/>
              </w:rPr>
              <w:t>3,012</w:t>
            </w:r>
          </w:p>
        </w:tc>
        <w:tc>
          <w:tcPr>
            <w:tcW w:w="20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March 9, 2017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14, 2017</w:t>
            </w:r>
          </w:p>
        </w:tc>
        <w:tc>
          <w:tcPr>
            <w:tcW w:w="1460" w:type="dxa"/>
            <w:vAlign w:val="bottom"/>
            <w:shd w:val="clear" w:color="auto" w:fill="E5E5E5"/>
          </w:tcPr>
          <w:p>
            <w:pPr>
              <w:spacing w:after="0"/>
              <w:rPr>
                <w:sz w:val="16"/>
                <w:szCs w:val="16"/>
                <w:color w:val="auto"/>
              </w:rPr>
            </w:pPr>
          </w:p>
        </w:tc>
        <w:tc>
          <w:tcPr>
            <w:tcW w:w="1260" w:type="dxa"/>
            <w:vAlign w:val="bottom"/>
            <w:shd w:val="clear" w:color="auto" w:fill="E5E5E5"/>
          </w:tcPr>
          <w:p>
            <w:pPr>
              <w:jc w:val="right"/>
              <w:ind w:right="356"/>
              <w:spacing w:after="0" w:line="189" w:lineRule="exact"/>
              <w:rPr>
                <w:sz w:val="20"/>
                <w:szCs w:val="20"/>
                <w:color w:val="auto"/>
              </w:rPr>
            </w:pPr>
            <w:r>
              <w:rPr>
                <w:rFonts w:ascii="Arial" w:cs="Arial" w:eastAsia="Arial" w:hAnsi="Arial"/>
                <w:sz w:val="18"/>
                <w:szCs w:val="18"/>
                <w:color w:val="auto"/>
              </w:rPr>
              <w:t>0.39</w:t>
            </w:r>
          </w:p>
        </w:tc>
        <w:tc>
          <w:tcPr>
            <w:tcW w:w="2180" w:type="dxa"/>
            <w:vAlign w:val="bottom"/>
            <w:shd w:val="clear" w:color="auto" w:fill="E5E5E5"/>
          </w:tcPr>
          <w:p>
            <w:pPr>
              <w:jc w:val="right"/>
              <w:ind w:right="33"/>
              <w:spacing w:after="0" w:line="189" w:lineRule="exact"/>
              <w:rPr>
                <w:sz w:val="20"/>
                <w:szCs w:val="20"/>
                <w:color w:val="auto"/>
              </w:rPr>
            </w:pPr>
            <w:r>
              <w:rPr>
                <w:rFonts w:ascii="Arial" w:cs="Arial" w:eastAsia="Arial" w:hAnsi="Arial"/>
                <w:sz w:val="18"/>
                <w:szCs w:val="18"/>
                <w:color w:val="auto"/>
              </w:rPr>
              <w:t>May 18, 2017</w:t>
            </w:r>
          </w:p>
        </w:tc>
        <w:tc>
          <w:tcPr>
            <w:tcW w:w="320" w:type="dxa"/>
            <w:vAlign w:val="bottom"/>
            <w:shd w:val="clear" w:color="auto" w:fill="E5E5E5"/>
          </w:tcPr>
          <w:p>
            <w:pPr>
              <w:spacing w:after="0"/>
              <w:rPr>
                <w:sz w:val="16"/>
                <w:szCs w:val="16"/>
                <w:color w:val="auto"/>
              </w:rPr>
            </w:pPr>
          </w:p>
        </w:tc>
        <w:tc>
          <w:tcPr>
            <w:tcW w:w="12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3,009</w:t>
            </w:r>
          </w:p>
        </w:tc>
        <w:tc>
          <w:tcPr>
            <w:tcW w:w="2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June 8, 2017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March 12, 2018 was included in other current liabilities as of March 31, 2018.</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4" w:name="page35"/>
    <w:bookmarkEnd w:id="34"/>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90" w:lineRule="exact"/>
        <w:rPr>
          <w:sz w:val="20"/>
          <w:szCs w:val="20"/>
          <w:color w:val="auto"/>
        </w:rPr>
      </w:pPr>
    </w:p>
    <w:p>
      <w:pPr>
        <w:ind w:left="2660"/>
        <w:spacing w:after="0"/>
        <w:rPr>
          <w:sz w:val="20"/>
          <w:szCs w:val="20"/>
          <w:color w:val="auto"/>
        </w:rPr>
      </w:pPr>
      <w:r>
        <w:rPr>
          <w:rFonts w:ascii="Arial" w:cs="Arial" w:eastAsia="Arial" w:hAnsi="Arial"/>
          <w:sz w:val="18"/>
          <w:szCs w:val="18"/>
          <w:u w:val="single" w:color="auto"/>
          <w:color w:val="auto"/>
        </w:rPr>
        <w:t>NOTE 18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21</w:t>
            </w:r>
          </w:p>
        </w:tc>
        <w:tc>
          <w:tcPr>
            <w:tcW w:w="6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595</w:t>
            </w:r>
          </w:p>
        </w:tc>
        <w:tc>
          <w:tcPr>
            <w:tcW w:w="24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134</w:t>
            </w:r>
          </w:p>
        </w:tc>
        <w:tc>
          <w:tcPr>
            <w:tcW w:w="180" w:type="dxa"/>
            <w:vAlign w:val="bottom"/>
            <w:shd w:val="clear" w:color="auto" w:fill="E5E5E5"/>
          </w:tcPr>
          <w:p>
            <w:pPr>
              <w:spacing w:after="0"/>
              <w:rPr>
                <w:sz w:val="16"/>
                <w:szCs w:val="16"/>
                <w:color w:val="auto"/>
              </w:rPr>
            </w:pPr>
          </w:p>
        </w:tc>
        <w:tc>
          <w:tcPr>
            <w:tcW w:w="56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352</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$7</w:t>
            </w:r>
            <w:r>
              <w:rPr>
                <w:rFonts w:ascii="Arial" w:cs="Arial" w:eastAsia="Arial" w:hAnsi="Arial"/>
                <w:sz w:val="18"/>
                <w:szCs w:val="18"/>
                <w:color w:val="auto"/>
              </w:rPr>
              <w:t xml:space="preserve">, $3, </w:t>
            </w:r>
            <w:r>
              <w:rPr>
                <w:rFonts w:ascii="Arial" w:cs="Arial" w:eastAsia="Arial" w:hAnsi="Arial"/>
                <w:sz w:val="18"/>
                <w:szCs w:val="18"/>
                <w:b w:val="1"/>
                <w:bCs w:val="1"/>
                <w:color w:val="auto"/>
              </w:rPr>
              <w:t>$8</w:t>
            </w:r>
            <w:r>
              <w:rPr>
                <w:rFonts w:ascii="Arial" w:cs="Arial" w:eastAsia="Arial" w:hAnsi="Arial"/>
                <w:sz w:val="18"/>
                <w:szCs w:val="18"/>
                <w:color w:val="auto"/>
              </w:rPr>
              <w:t>, and $7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Reclassification adjustments for gains included in revenue</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(138)</w:t>
            </w:r>
          </w:p>
        </w:tc>
        <w:tc>
          <w:tcPr>
            <w:tcW w:w="2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0" w:type="dxa"/>
            <w:vAlign w:val="bottom"/>
            <w:shd w:val="clear" w:color="auto" w:fill="E5E5E5"/>
          </w:tcPr>
          <w:p>
            <w:pPr>
              <w:ind w:left="200"/>
              <w:spacing w:after="0" w:line="175" w:lineRule="exact"/>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92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96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(136)</w:t>
            </w:r>
          </w:p>
        </w:tc>
        <w:tc>
          <w:tcPr>
            <w:tcW w:w="24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E5E5"/>
          </w:tcPr>
          <w:p>
            <w:pPr>
              <w:ind w:left="420"/>
              <w:spacing w:after="0" w:line="203" w:lineRule="exact"/>
              <w:rPr>
                <w:sz w:val="20"/>
                <w:szCs w:val="20"/>
                <w:color w:val="auto"/>
              </w:rPr>
            </w:pPr>
            <w:r>
              <w:rPr>
                <w:rFonts w:ascii="Arial" w:cs="Arial" w:eastAsia="Arial" w:hAnsi="Arial"/>
                <w:sz w:val="18"/>
                <w:szCs w:val="18"/>
                <w:color w:val="auto"/>
              </w:rPr>
              <w:t>income</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vMerge w:val="continue"/>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80"/>
              <w:spacing w:after="0" w:line="203" w:lineRule="exact"/>
              <w:rPr>
                <w:sz w:val="20"/>
                <w:szCs w:val="20"/>
                <w:color w:val="auto"/>
              </w:rPr>
            </w:pPr>
            <w:r>
              <w:rPr>
                <w:rFonts w:ascii="Arial" w:cs="Arial" w:eastAsia="Arial" w:hAnsi="Arial"/>
                <w:sz w:val="18"/>
                <w:szCs w:val="18"/>
                <w:color w:val="auto"/>
              </w:rPr>
              <w:t>(165)</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5220" w:type="dxa"/>
            <w:vAlign w:val="bottom"/>
            <w:gridSpan w:val="2"/>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$7</w:t>
            </w:r>
            <w:r>
              <w:rPr>
                <w:rFonts w:ascii="Arial" w:cs="Arial" w:eastAsia="Arial" w:hAnsi="Arial"/>
                <w:sz w:val="18"/>
                <w:szCs w:val="18"/>
                <w:color w:val="auto"/>
              </w:rPr>
              <w:t>, $1</w:t>
            </w:r>
            <w:r>
              <w:rPr>
                <w:rFonts w:ascii="Arial" w:cs="Arial" w:eastAsia="Arial" w:hAnsi="Arial"/>
                <w:sz w:val="18"/>
                <w:szCs w:val="18"/>
                <w:b w:val="1"/>
                <w:bCs w:val="1"/>
                <w:color w:val="auto"/>
              </w:rPr>
              <w:t>, $6</w:t>
            </w:r>
            <w:r>
              <w:rPr>
                <w:rFonts w:ascii="Arial" w:cs="Arial" w:eastAsia="Arial" w:hAnsi="Arial"/>
                <w:sz w:val="18"/>
                <w:szCs w:val="18"/>
                <w:color w:val="auto"/>
              </w:rPr>
              <w:t>, and</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4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28</w:t>
            </w:r>
          </w:p>
        </w:tc>
        <w:tc>
          <w:tcPr>
            <w:tcW w:w="6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370</w:t>
            </w:r>
          </w:p>
        </w:tc>
        <w:tc>
          <w:tcPr>
            <w:tcW w:w="24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28</w:t>
            </w:r>
          </w:p>
        </w:tc>
        <w:tc>
          <w:tcPr>
            <w:tcW w:w="56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370</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659</w:t>
            </w:r>
          </w:p>
        </w:tc>
        <w:tc>
          <w:tcPr>
            <w:tcW w:w="14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2,030</w:t>
            </w:r>
          </w:p>
        </w:tc>
        <w:tc>
          <w:tcPr>
            <w:tcW w:w="5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1,825</w:t>
            </w:r>
          </w:p>
        </w:tc>
        <w:tc>
          <w:tcPr>
            <w:tcW w:w="56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2,941</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0" w:type="dxa"/>
            <w:vAlign w:val="bottom"/>
          </w:tcPr>
          <w:p>
            <w:pPr>
              <w:spacing w:after="0" w:line="175"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$(186)</w:t>
            </w:r>
            <w:r>
              <w:rPr>
                <w:rFonts w:ascii="Arial" w:cs="Arial" w:eastAsia="Arial" w:hAnsi="Arial"/>
                <w:sz w:val="18"/>
                <w:szCs w:val="18"/>
                <w:color w:val="auto"/>
              </w:rPr>
              <w:t xml:space="preserve">, $307, </w:t>
            </w:r>
            <w:r>
              <w:rPr>
                <w:rFonts w:ascii="Arial" w:cs="Arial" w:eastAsia="Arial" w:hAnsi="Arial"/>
                <w:sz w:val="18"/>
                <w:szCs w:val="18"/>
                <w:b w:val="1"/>
                <w:bCs w:val="1"/>
                <w:color w:val="auto"/>
              </w:rPr>
              <w:t>$(347)</w:t>
            </w: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(644)</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(961)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and $197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20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Reclassification adjustments for gains included in other income</w:t>
            </w: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92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(517)</w:t>
            </w:r>
          </w:p>
        </w:tc>
        <w:tc>
          <w:tcPr>
            <w:tcW w:w="2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96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(1,823)</w:t>
            </w:r>
          </w:p>
        </w:tc>
        <w:tc>
          <w:tcPr>
            <w:tcW w:w="24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(expense), net</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vMerge w:val="continue"/>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80"/>
              <w:spacing w:after="0" w:line="203" w:lineRule="exact"/>
              <w:rPr>
                <w:sz w:val="20"/>
                <w:szCs w:val="20"/>
                <w:color w:val="auto"/>
              </w:rPr>
            </w:pPr>
            <w:r>
              <w:rPr>
                <w:rFonts w:ascii="Arial" w:cs="Arial" w:eastAsia="Arial" w:hAnsi="Arial"/>
                <w:sz w:val="18"/>
                <w:szCs w:val="18"/>
                <w:color w:val="auto"/>
              </w:rPr>
              <w:t>(779)</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expense included in provision for income taxes</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0" w:type="dxa"/>
            <w:vAlign w:val="bottom"/>
            <w:shd w:val="clear" w:color="auto" w:fill="E5E5E5"/>
          </w:tcPr>
          <w:p>
            <w:pPr>
              <w:ind w:left="200"/>
              <w:spacing w:after="0" w:line="175" w:lineRule="exact"/>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92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(372)</w:t>
            </w:r>
          </w:p>
        </w:tc>
        <w:tc>
          <w:tcPr>
            <w:tcW w:w="2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96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(1,221)</w:t>
            </w:r>
          </w:p>
        </w:tc>
        <w:tc>
          <w:tcPr>
            <w:tcW w:w="24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E5E5"/>
          </w:tcPr>
          <w:p>
            <w:pPr>
              <w:ind w:left="420"/>
              <w:spacing w:after="0" w:line="203" w:lineRule="exact"/>
              <w:rPr>
                <w:sz w:val="20"/>
                <w:szCs w:val="20"/>
                <w:color w:val="auto"/>
              </w:rPr>
            </w:pPr>
            <w:r>
              <w:rPr>
                <w:rFonts w:ascii="Arial" w:cs="Arial" w:eastAsia="Arial" w:hAnsi="Arial"/>
                <w:sz w:val="18"/>
                <w:szCs w:val="18"/>
                <w:color w:val="auto"/>
              </w:rPr>
              <w:t>income</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vMerge w:val="continue"/>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80"/>
              <w:spacing w:after="0" w:line="203" w:lineRule="exact"/>
              <w:rPr>
                <w:sz w:val="20"/>
                <w:szCs w:val="20"/>
                <w:color w:val="auto"/>
              </w:rPr>
            </w:pPr>
            <w:r>
              <w:rPr>
                <w:rFonts w:ascii="Arial" w:cs="Arial" w:eastAsia="Arial" w:hAnsi="Arial"/>
                <w:sz w:val="18"/>
                <w:szCs w:val="18"/>
                <w:color w:val="auto"/>
              </w:rPr>
              <w:t>(506)</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$(331)</w:t>
            </w:r>
            <w:r>
              <w:rPr>
                <w:rFonts w:ascii="Arial" w:cs="Arial" w:eastAsia="Arial" w:hAnsi="Arial"/>
                <w:sz w:val="18"/>
                <w:szCs w:val="18"/>
                <w:color w:val="auto"/>
              </w:rPr>
              <w:t>, $34,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(1,016)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(2,182)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$(949)</w:t>
            </w:r>
            <w:r>
              <w:rPr>
                <w:rFonts w:ascii="Arial" w:cs="Arial" w:eastAsia="Arial" w:hAnsi="Arial"/>
                <w:sz w:val="18"/>
                <w:szCs w:val="18"/>
                <w:color w:val="auto"/>
              </w:rPr>
              <w:t>, and $(457)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4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(357)</w:t>
            </w:r>
          </w:p>
        </w:tc>
        <w:tc>
          <w:tcPr>
            <w:tcW w:w="6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2,095</w:t>
            </w:r>
          </w:p>
        </w:tc>
        <w:tc>
          <w:tcPr>
            <w:tcW w:w="5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(357)</w:t>
            </w:r>
          </w:p>
        </w:tc>
        <w:tc>
          <w:tcPr>
            <w:tcW w:w="56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2,095</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Translation Adjustments and Other</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(1,079)</w:t>
            </w:r>
          </w:p>
        </w:tc>
        <w:tc>
          <w:tcPr>
            <w:tcW w:w="6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(1,973)</w:t>
            </w:r>
          </w:p>
        </w:tc>
        <w:tc>
          <w:tcPr>
            <w:tcW w:w="5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(1,332)</w:t>
            </w:r>
          </w:p>
        </w:tc>
        <w:tc>
          <w:tcPr>
            <w:tcW w:w="56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0" w:type="dxa"/>
            <w:vAlign w:val="bottom"/>
          </w:tcPr>
          <w:p>
            <w:pPr>
              <w:spacing w:after="0" w:line="175" w:lineRule="exact"/>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$0, </w:t>
            </w:r>
            <w:r>
              <w:rPr>
                <w:rFonts w:ascii="Arial" w:cs="Arial" w:eastAsia="Arial" w:hAnsi="Arial"/>
                <w:sz w:val="18"/>
                <w:szCs w:val="18"/>
                <w:b w:val="1"/>
                <w:bCs w:val="1"/>
                <w:color w:val="auto"/>
              </w:rPr>
              <w:t>$(1)</w:t>
            </w:r>
            <w:r>
              <w:rPr>
                <w:rFonts w:ascii="Arial" w:cs="Arial" w:eastAsia="Arial" w:hAnsi="Arial"/>
                <w:sz w:val="18"/>
                <w:szCs w:val="18"/>
                <w:color w:val="auto"/>
              </w:rPr>
              <w:t>, and</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4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(824)</w:t>
            </w:r>
          </w:p>
        </w:tc>
        <w:tc>
          <w:tcPr>
            <w:tcW w:w="6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(1,624)</w:t>
            </w:r>
          </w:p>
        </w:tc>
        <w:tc>
          <w:tcPr>
            <w:tcW w:w="5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(824)</w:t>
            </w:r>
          </w:p>
        </w:tc>
        <w:tc>
          <w:tcPr>
            <w:tcW w:w="56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2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 end of period</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(1,153)</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22"/>
                <w:szCs w:val="22"/>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(1,153)</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19 — SEGMENT INFORMATION AND GEOGRAPHIC DATA</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5" w:name="page36"/>
    <w:bookmarkEnd w:id="35"/>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62" w:lineRule="exact"/>
        <w:rPr>
          <w:sz w:val="20"/>
          <w:szCs w:val="20"/>
          <w:color w:val="auto"/>
        </w:rPr>
      </w:pPr>
    </w:p>
    <w:p>
      <w:pPr>
        <w:ind w:left="1060" w:hanging="390"/>
        <w:spacing w:after="0" w:line="24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Office Commercial, including Office 365 subscriptions and Office licensed on-premises, comprising Office, Exchange, SharePoint, Skype for Business, and Microsoft Teams, and related Client Access Licenses (“CALs”).</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Office Consumer, including Office 365 subscriptions and Office licensed on-premises, and Office Consumer Services, including Skype, Outlook.com, and OneDrive.</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and Premium Subscriptions.</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Dynamics business solutions, including Dynamics ERP on-premises, Dynamics CRM on-premises, and Dynamics 365, a set of cloud-based applications across ERP and CRM.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w:t>
      </w:r>
    </w:p>
    <w:p>
      <w:pPr>
        <w:spacing w:after="0"/>
        <w:rPr>
          <w:sz w:val="20"/>
          <w:szCs w:val="20"/>
          <w:color w:val="auto"/>
        </w:rPr>
      </w:pPr>
      <w:r>
        <w:rPr>
          <w:rFonts w:ascii="Arial" w:cs="Arial" w:eastAsia="Arial" w:hAnsi="Arial"/>
          <w:sz w:val="18"/>
          <w:szCs w:val="18"/>
          <w:color w:val="auto"/>
        </w:rPr>
        <w:t>This segment primarily comprises:</w:t>
      </w:r>
    </w:p>
    <w:p>
      <w:pPr>
        <w:spacing w:after="0" w:line="63" w:lineRule="exact"/>
        <w:rPr>
          <w:sz w:val="20"/>
          <w:szCs w:val="20"/>
          <w:color w:val="auto"/>
        </w:rPr>
      </w:pPr>
    </w:p>
    <w:p>
      <w:pPr>
        <w:ind w:left="1060" w:right="20" w:hanging="390"/>
        <w:spacing w:after="0" w:line="246"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Server products and cloud services, including Microsoft SQL Server, Windows Server, Visual Studio, System Center, and related CALs, and Azure.</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More Personal Computing segment consists of products and services geared towards harmonizing the interests of end users, developers, and IT professionals across all devices. This segment primarily comprises:</w:t>
      </w:r>
    </w:p>
    <w:p>
      <w:pPr>
        <w:spacing w:after="0" w:line="48" w:lineRule="exact"/>
        <w:rPr>
          <w:sz w:val="20"/>
          <w:szCs w:val="20"/>
          <w:color w:val="auto"/>
        </w:rPr>
      </w:pPr>
    </w:p>
    <w:p>
      <w:pPr>
        <w:jc w:val="both"/>
        <w:ind w:left="1060" w:hanging="3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Windows, including Windows original equipment manufacturer licensing and other non-volume licensing of the Windows operating system; Windows Commercial, comprising volume licensing of the Windows operating system, Windows cloud services, and other Windows commercial offerings; patent licensing; Windows Internet of Things (“IoT”); and MSN display advertising.</w:t>
      </w:r>
    </w:p>
    <w:p>
      <w:pPr>
        <w:spacing w:after="0" w:line="54" w:lineRule="exact"/>
        <w:rPr>
          <w:rFonts w:ascii="Arial" w:cs="Arial" w:eastAsia="Arial" w:hAnsi="Arial"/>
          <w:sz w:val="18"/>
          <w:szCs w:val="18"/>
          <w:color w:val="auto"/>
        </w:rPr>
      </w:pPr>
    </w:p>
    <w:p>
      <w:pPr>
        <w:ind w:left="1060" w:hanging="3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Devices, including Microsoft Surface, PC accessories, and other intelligent devices.</w:t>
      </w:r>
    </w:p>
    <w:p>
      <w:pPr>
        <w:spacing w:after="0" w:line="63"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Gaming, including Xbox hardware and Xbox software and services, comprising Xbox Live transactions, subscriptions, and advertising (“Xbox Live”), video games, and third-party video game royalties.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Search advertising.</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costs of: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 including impairment, integration, and restructuring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6" w:name="page37"/>
    <w:bookmarkEnd w:id="36"/>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8"/>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8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9,006</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7,707</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26,197</w:t>
            </w:r>
          </w:p>
        </w:tc>
        <w:tc>
          <w:tcPr>
            <w:tcW w:w="48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21,322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7,896</w:t>
            </w:r>
          </w:p>
        </w:tc>
        <w:tc>
          <w:tcPr>
            <w:tcW w:w="300" w:type="dxa"/>
            <w:vAlign w:val="bottom"/>
          </w:tcPr>
          <w:p>
            <w:pPr>
              <w:spacing w:after="0"/>
              <w:rPr>
                <w:sz w:val="16"/>
                <w:szCs w:val="16"/>
                <w:color w:val="auto"/>
              </w:rPr>
            </w:pPr>
          </w:p>
        </w:tc>
        <w:tc>
          <w:tcPr>
            <w:tcW w:w="116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6,730</w:t>
            </w:r>
          </w:p>
        </w:tc>
        <w:tc>
          <w:tcPr>
            <w:tcW w:w="3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22,613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19,585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5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9,917</w:t>
            </w:r>
          </w:p>
        </w:tc>
        <w:tc>
          <w:tcPr>
            <w:tcW w:w="3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8,775</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31,465</w:t>
            </w:r>
          </w:p>
        </w:tc>
        <w:tc>
          <w:tcPr>
            <w:tcW w:w="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30,059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26,819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23,212</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80,275</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70,966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15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50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8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3,115</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2,540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9,458</w:t>
            </w:r>
          </w:p>
        </w:tc>
        <w:tc>
          <w:tcPr>
            <w:tcW w:w="4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8,498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2,654</w:t>
            </w:r>
          </w:p>
        </w:tc>
        <w:tc>
          <w:tcPr>
            <w:tcW w:w="300" w:type="dxa"/>
            <w:vAlign w:val="bottom"/>
          </w:tcPr>
          <w:p>
            <w:pPr>
              <w:spacing w:after="0"/>
              <w:rPr>
                <w:sz w:val="16"/>
                <w:szCs w:val="16"/>
                <w:color w:val="auto"/>
              </w:rPr>
            </w:pPr>
          </w:p>
        </w:tc>
        <w:tc>
          <w:tcPr>
            <w:tcW w:w="116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2,148</w:t>
            </w:r>
          </w:p>
        </w:tc>
        <w:tc>
          <w:tcPr>
            <w:tcW w:w="3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7,623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6,216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5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2,523</w:t>
            </w:r>
          </w:p>
        </w:tc>
        <w:tc>
          <w:tcPr>
            <w:tcW w:w="3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2,035</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7,598</w:t>
            </w:r>
          </w:p>
        </w:tc>
        <w:tc>
          <w:tcPr>
            <w:tcW w:w="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6,629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8,292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6,723</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24,679</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21,343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or nine months ended March 31, 2018 or 2017. Revenue, classified by the major geographic areas in which our customers are located,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8"/>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13,457</w:t>
            </w:r>
          </w:p>
        </w:tc>
        <w:tc>
          <w:tcPr>
            <w:tcW w:w="5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12,298</w:t>
            </w:r>
          </w:p>
        </w:tc>
        <w:tc>
          <w:tcPr>
            <w:tcW w:w="4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41,094</w:t>
            </w:r>
          </w:p>
        </w:tc>
        <w:tc>
          <w:tcPr>
            <w:tcW w:w="4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37,628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countries</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13,362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39,181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33,338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26,819</w:t>
            </w:r>
          </w:p>
        </w:tc>
        <w:tc>
          <w:tcPr>
            <w:tcW w:w="5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23,212</w:t>
            </w:r>
          </w:p>
        </w:tc>
        <w:tc>
          <w:tcPr>
            <w:tcW w:w="4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80,275</w:t>
            </w:r>
          </w:p>
        </w:tc>
        <w:tc>
          <w:tcPr>
            <w:tcW w:w="4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70,966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hanging="532"/>
        <w:spacing w:after="0" w:line="26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Includes billings to original equipment manufacturers and certain multinational organizations because of the nature of these businesses and the impracticability of determining the geographic source of the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7"/>
              </w:rPr>
              <w:t>Nine Months Ended</w:t>
            </w:r>
          </w:p>
        </w:tc>
      </w:tr>
      <w:tr>
        <w:trPr>
          <w:trHeight w:val="178"/>
        </w:trPr>
        <w:tc>
          <w:tcPr>
            <w:tcW w:w="60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March 31,</w:t>
            </w:r>
          </w:p>
        </w:tc>
      </w:tr>
      <w:tr>
        <w:trPr>
          <w:trHeight w:val="55"/>
        </w:trPr>
        <w:tc>
          <w:tcPr>
            <w:tcW w:w="60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23"/>
        </w:trPr>
        <w:tc>
          <w:tcPr>
            <w:tcW w:w="6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r>
      <w:tr>
        <w:trPr>
          <w:trHeight w:val="55"/>
        </w:trPr>
        <w:tc>
          <w:tcPr>
            <w:tcW w:w="6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7,088</w:t>
            </w:r>
          </w:p>
        </w:tc>
        <w:tc>
          <w:tcPr>
            <w:tcW w:w="5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6,234</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20,739</w:t>
            </w:r>
          </w:p>
        </w:tc>
        <w:tc>
          <w:tcPr>
            <w:tcW w:w="4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18,655</w:t>
            </w:r>
          </w:p>
        </w:tc>
        <w:tc>
          <w:tcPr>
            <w:tcW w:w="80" w:type="dxa"/>
            <w:vAlign w:val="bottom"/>
            <w:shd w:val="clear" w:color="auto" w:fill="E5E5E5"/>
          </w:tcPr>
          <w:p>
            <w:pPr>
              <w:spacing w:after="0"/>
              <w:rPr>
                <w:sz w:val="16"/>
                <w:szCs w:val="16"/>
                <w:color w:val="auto"/>
              </w:rPr>
            </w:pPr>
          </w:p>
        </w:tc>
      </w:tr>
      <w:tr>
        <w:trPr>
          <w:trHeight w:val="189"/>
        </w:trPr>
        <w:tc>
          <w:tcPr>
            <w:tcW w:w="6060" w:type="dxa"/>
            <w:vAlign w:val="bottom"/>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36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6,343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5,297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18,139</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15,319</w:t>
            </w:r>
          </w:p>
        </w:tc>
        <w:tc>
          <w:tcPr>
            <w:tcW w:w="80" w:type="dxa"/>
            <w:vAlign w:val="bottom"/>
          </w:tcPr>
          <w:p>
            <w:pPr>
              <w:spacing w:after="0"/>
              <w:rPr>
                <w:sz w:val="16"/>
                <w:szCs w:val="16"/>
                <w:color w:val="auto"/>
              </w:rPr>
            </w:pPr>
          </w:p>
        </w:tc>
      </w:tr>
      <w:tr>
        <w:trPr>
          <w:trHeight w:val="189"/>
        </w:trPr>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3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4,612</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4,253</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14,094</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13,701</w:t>
            </w:r>
          </w:p>
        </w:tc>
        <w:tc>
          <w:tcPr>
            <w:tcW w:w="80" w:type="dxa"/>
            <w:vAlign w:val="bottom"/>
            <w:shd w:val="clear" w:color="auto" w:fill="E5E5E5"/>
          </w:tcPr>
          <w:p>
            <w:pPr>
              <w:spacing w:after="0"/>
              <w:rPr>
                <w:sz w:val="16"/>
                <w:szCs w:val="16"/>
                <w:color w:val="auto"/>
              </w:rPr>
            </w:pPr>
          </w:p>
        </w:tc>
      </w:tr>
      <w:tr>
        <w:trPr>
          <w:trHeight w:val="189"/>
        </w:trPr>
        <w:tc>
          <w:tcPr>
            <w:tcW w:w="606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36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2,251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1,906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8,067</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7,409</w:t>
            </w:r>
          </w:p>
        </w:tc>
        <w:tc>
          <w:tcPr>
            <w:tcW w:w="80" w:type="dxa"/>
            <w:vAlign w:val="bottom"/>
          </w:tcPr>
          <w:p>
            <w:pPr>
              <w:spacing w:after="0"/>
              <w:rPr>
                <w:sz w:val="16"/>
                <w:szCs w:val="16"/>
                <w:color w:val="auto"/>
              </w:rPr>
            </w:pPr>
          </w:p>
        </w:tc>
      </w:tr>
      <w:tr>
        <w:trPr>
          <w:trHeight w:val="189"/>
        </w:trPr>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Search advertising</w:t>
            </w:r>
          </w:p>
        </w:tc>
        <w:tc>
          <w:tcPr>
            <w:tcW w:w="3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1,784</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1,599</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5,243</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4,633</w:t>
            </w:r>
          </w:p>
        </w:tc>
        <w:tc>
          <w:tcPr>
            <w:tcW w:w="80" w:type="dxa"/>
            <w:vAlign w:val="bottom"/>
            <w:shd w:val="clear" w:color="auto" w:fill="E5E5E5"/>
          </w:tcPr>
          <w:p>
            <w:pPr>
              <w:spacing w:after="0"/>
              <w:rPr>
                <w:sz w:val="16"/>
                <w:szCs w:val="16"/>
                <w:color w:val="auto"/>
              </w:rPr>
            </w:pPr>
          </w:p>
        </w:tc>
      </w:tr>
      <w:tr>
        <w:trPr>
          <w:trHeight w:val="189"/>
        </w:trPr>
        <w:tc>
          <w:tcPr>
            <w:tcW w:w="6060" w:type="dxa"/>
            <w:vAlign w:val="bottom"/>
          </w:tcPr>
          <w:p>
            <w:pPr>
              <w:spacing w:after="0" w:line="189" w:lineRule="exact"/>
              <w:rPr>
                <w:sz w:val="20"/>
                <w:szCs w:val="20"/>
                <w:color w:val="auto"/>
              </w:rPr>
            </w:pPr>
            <w:r>
              <w:rPr>
                <w:rFonts w:ascii="Arial" w:cs="Arial" w:eastAsia="Arial" w:hAnsi="Arial"/>
                <w:sz w:val="18"/>
                <w:szCs w:val="18"/>
                <w:color w:val="auto"/>
              </w:rPr>
              <w:t>Enterprise Services</w:t>
            </w:r>
          </w:p>
        </w:tc>
        <w:tc>
          <w:tcPr>
            <w:tcW w:w="36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1,489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1,383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4,295</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4,109</w:t>
            </w:r>
          </w:p>
        </w:tc>
        <w:tc>
          <w:tcPr>
            <w:tcW w:w="80" w:type="dxa"/>
            <w:vAlign w:val="bottom"/>
          </w:tcPr>
          <w:p>
            <w:pPr>
              <w:spacing w:after="0"/>
              <w:rPr>
                <w:sz w:val="16"/>
                <w:szCs w:val="16"/>
                <w:color w:val="auto"/>
              </w:rPr>
            </w:pPr>
          </w:p>
        </w:tc>
      </w:tr>
      <w:tr>
        <w:trPr>
          <w:trHeight w:val="189"/>
        </w:trPr>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Devices</w:t>
            </w:r>
          </w:p>
        </w:tc>
        <w:tc>
          <w:tcPr>
            <w:tcW w:w="3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1,219</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958</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3,851</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4,017</w:t>
            </w:r>
          </w:p>
        </w:tc>
        <w:tc>
          <w:tcPr>
            <w:tcW w:w="80" w:type="dxa"/>
            <w:vAlign w:val="bottom"/>
            <w:shd w:val="clear" w:color="auto" w:fill="E5E5E5"/>
          </w:tcPr>
          <w:p>
            <w:pPr>
              <w:spacing w:after="0"/>
              <w:rPr>
                <w:sz w:val="16"/>
                <w:szCs w:val="16"/>
                <w:color w:val="auto"/>
              </w:rPr>
            </w:pPr>
          </w:p>
        </w:tc>
      </w:tr>
      <w:tr>
        <w:trPr>
          <w:trHeight w:val="189"/>
        </w:trPr>
        <w:tc>
          <w:tcPr>
            <w:tcW w:w="6060" w:type="dxa"/>
            <w:vAlign w:val="bottom"/>
          </w:tcPr>
          <w:p>
            <w:pPr>
              <w:spacing w:after="0" w:line="189" w:lineRule="exact"/>
              <w:rPr>
                <w:sz w:val="20"/>
                <w:szCs w:val="20"/>
                <w:color w:val="auto"/>
              </w:rPr>
            </w:pPr>
            <w:r>
              <w:rPr>
                <w:rFonts w:ascii="Arial" w:cs="Arial" w:eastAsia="Arial" w:hAnsi="Arial"/>
                <w:sz w:val="18"/>
                <w:szCs w:val="18"/>
                <w:color w:val="auto"/>
              </w:rPr>
              <w:t>LinkedIn</w:t>
            </w:r>
          </w:p>
        </w:tc>
        <w:tc>
          <w:tcPr>
            <w:tcW w:w="36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1,335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976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3,795</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1,204</w:t>
            </w:r>
          </w:p>
        </w:tc>
        <w:tc>
          <w:tcPr>
            <w:tcW w:w="80" w:type="dxa"/>
            <w:vAlign w:val="bottom"/>
          </w:tcPr>
          <w:p>
            <w:pPr>
              <w:spacing w:after="0"/>
              <w:rPr>
                <w:sz w:val="16"/>
                <w:szCs w:val="16"/>
                <w:color w:val="auto"/>
              </w:rPr>
            </w:pPr>
          </w:p>
        </w:tc>
      </w:tr>
      <w:tr>
        <w:trPr>
          <w:trHeight w:val="189"/>
        </w:trPr>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36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698</w:t>
            </w: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606</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2,052</w:t>
            </w:r>
          </w:p>
        </w:tc>
        <w:tc>
          <w:tcPr>
            <w:tcW w:w="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1,919</w:t>
            </w:r>
          </w:p>
        </w:tc>
        <w:tc>
          <w:tcPr>
            <w:tcW w:w="80" w:type="dxa"/>
            <w:vAlign w:val="bottom"/>
            <w:shd w:val="clear" w:color="auto" w:fill="E5E5E5"/>
          </w:tcPr>
          <w:p>
            <w:pPr>
              <w:spacing w:after="0"/>
              <w:rPr>
                <w:sz w:val="16"/>
                <w:szCs w:val="16"/>
                <w:color w:val="auto"/>
              </w:rPr>
            </w:pPr>
          </w:p>
        </w:tc>
      </w:tr>
      <w:tr>
        <w:trPr>
          <w:trHeight w:val="68"/>
        </w:trPr>
        <w:tc>
          <w:tcPr>
            <w:tcW w:w="60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64"/>
        </w:trPr>
        <w:tc>
          <w:tcPr>
            <w:tcW w:w="606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26,819</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23,212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80,275</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70,966</w:t>
            </w:r>
          </w:p>
        </w:tc>
        <w:tc>
          <w:tcPr>
            <w:tcW w:w="80" w:type="dxa"/>
            <w:vAlign w:val="bottom"/>
          </w:tcPr>
          <w:p>
            <w:pPr>
              <w:spacing w:after="0"/>
              <w:rPr>
                <w:sz w:val="22"/>
                <w:szCs w:val="22"/>
                <w:color w:val="auto"/>
              </w:rPr>
            </w:pPr>
          </w:p>
        </w:tc>
      </w:tr>
      <w:tr>
        <w:trPr>
          <w:trHeight w:val="61"/>
        </w:trPr>
        <w:tc>
          <w:tcPr>
            <w:tcW w:w="60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commercial cloud revenue, which primarily comprises Office 365 commercial, Azure, Dynamics 365, and other cloud properties, was $6.0 billion and $16.3 billion for the three and nine months ended March 31, 2018, respectively, and $3.8 billion and $10.4 billion for the three and nine months ended March 31, 2017, respectively. These amounts are primarily included in Office products and cloud services and server products and cloud services in the table above.</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7" w:name="page38"/>
    <w:bookmarkEnd w:id="37"/>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Microsoft Corporation</w:t>
      </w:r>
    </w:p>
    <w:p>
      <w:pPr>
        <w:spacing w:after="0"/>
        <w:rPr>
          <w:sz w:val="20"/>
          <w:szCs w:val="20"/>
          <w:color w:val="auto"/>
        </w:rPr>
      </w:pPr>
      <w:r>
        <w:rPr>
          <w:rFonts w:ascii="Arial" w:cs="Arial" w:eastAsia="Arial" w:hAnsi="Arial"/>
          <w:sz w:val="18"/>
          <w:szCs w:val="18"/>
          <w:color w:val="auto"/>
        </w:rPr>
        <w:t>Redmond, Washington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March 31, 2018, and the related consolidated statements of income, comprehensive income, cash flows, and stockholders’ equity for the three-month and nine-month periods ended March 31, 2018 and 2017. These interim financial statements are the responsibility of the Company’s management.</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consolidated interim financial statements for them to be in conformity with accounting principles generally accepted in the United States of America.</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the consolidated balance sheet of the Company as of June 30, 2017, and the related consolidated statements of income, comprehensive income, cash flows, and stockholders’ equity for the year then ended prior to retrospective adjustment for the changes in the Company's method of accounting for revenue from contracts with customers and for leases, (not presented herein); and in our report dated August 2, 2017, we expressed an unqualified opinion on those consolidated financial statements. We also audited the adjustments described in Note 1 that were applied to retrospectively adjust the June 30, 2017 consolidated balance sheet of Microsoft Corporation and subsidiaries. In our opinion, such adjustments are appropriate and have been properly applied to the previously issued consolidated balance sheet in deriving the accompanying retrospectively adjusted consolidated balance sheet as of June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April 26,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8" w:name="page39"/>
    <w:bookmarkEnd w:id="38"/>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158"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(Part II, Item 1A of this Form 10-Q). We undertake no obligation to update or revise publicly any forward-looking statements, whether because of new information, future events, or otherwise.</w:t>
      </w:r>
    </w:p>
    <w:p>
      <w:pPr>
        <w:spacing w:after="0" w:line="1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2017, and our financial statements and the accompanying Notes to Financial Statements (Part I, Item 1 of this Form 10-Q).</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strategy is to build best-in-class platforms and productivity services for an intelligent cloud and an intelligent edge infused with artificial intelligence (“AI”). We develop, license, and support a wide range of software products, services, and devices that deliver new opportunities, greater convenience, and enhanced value to people’s lives. Our platforms and tools help drive small business productivity, large business competitiveness, and public-sector efficiency. They also support new startups, improve educational and health outcomes, and empower human ingenuity.</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generate revenue by licensing and supporting an array of software products, by offering a wide range of cloud-based and other services to consumers and businesses, by designing, manufacturing, and selling devices that integrate with our cloud-based services, and by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third quarter of fiscal year 2018 compared with the third quarter of fiscal year 2017 included:</w:t>
      </w:r>
    </w:p>
    <w:p>
      <w:pPr>
        <w:spacing w:after="0" w:line="77" w:lineRule="exact"/>
        <w:rPr>
          <w:sz w:val="20"/>
          <w:szCs w:val="20"/>
          <w:color w:val="auto"/>
        </w:rPr>
      </w:pPr>
    </w:p>
    <w:p>
      <w:pPr>
        <w:ind w:left="1060" w:hanging="390"/>
        <w:spacing w:after="0" w:line="24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cloud revenue, which primarily comprises Microsoft Office 365 commercial, Microsoft Azure, Microsoft Dynamics 365, and other cloud properties, increased 58% to $6.0 billion.</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Office Commercial revenue increased 14%, driven by Office 365 commercial revenue growth of 42%.</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Office Consumer revenue increased 12% and Office 365 consumer subscribers increased to 30.6 million.</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LinkedIn revenue increased 37%, driven by strong momentum across all business lines.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Dynamics revenue increased 17%, driven by Dynamics 365 revenue growth of 65%.</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20%, driven by Azure revenue growth of 93%.</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Enterprise Services revenue increased 8%.</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4%, driven by OEM Pro revenue growth of 11%.</w:t>
      </w:r>
    </w:p>
    <w:p>
      <w:pPr>
        <w:spacing w:after="0" w:line="48"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Windows Commercial revenue increased 21%, driven by an increased volume of multi-year agreements and the mix of products that carry higher in-quarter revenue recognition.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9" w:name="page40"/>
    <w:bookmarkEnd w:id="39"/>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257" w:lineRule="exact"/>
        <w:rPr>
          <w:sz w:val="20"/>
          <w:szCs w:val="20"/>
          <w:color w:val="auto"/>
        </w:rPr>
      </w:pPr>
    </w:p>
    <w:p>
      <w:pPr>
        <w:ind w:left="1060" w:hanging="390"/>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Gaming revenue increased 18%, driven by Xbox software and services revenue growth of 24%, mainly from third-party title strength.</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Microsoft Surface revenue increased 32% against a prior year comparable impacted by product end-of-life-cycle dynamics.</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Search advertising revenue, excluding traffic acquisition costs, increased 16%, driven by higher revenue per search and search volume.</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December 22, 2017, the Tax Cuts and Jobs Act (“TCJA”) was enacted into law, which significantly changes existing U.S. tax law and includes numerous provisions that affect our business. During the second quarter of fiscal year 2018, we recorded a net charge of $ 13.8 billion related to the TCJA. Refer to Note 12 – Income Taxes of the Notes to Financial Statements (Part I, Item 1 of this Form 10-Q) for further discussion.</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adopted the new accounting standards for revenue recognition and leases effective July 1, 2017. These new standards had a material impact on our consolidated financial statements. Beginning in fiscal year 2018, our financial results reflect adoption of the standards with prior periods restated accordingly. Refer to Note 1 – Accounting Policies of the Notes to Financial Statements (Part I, Item 1 of this Form 10-Q) for further discussion.</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December 8, 2016, we completed our acquisition of LinkedIn Corporation for a total purchase price of $27.0 billion. LinkedIn has been included in our consolidated results of operations since the date of acquisition. Refer to Note 8 – Business Combinations of the Notes to Financial Statements (Part I, Item 1 of this Form 10-Q)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Strengthening of the U.S. dollar relative to certain foreign currencies throughout fiscal year 2017 negatively impacted reported revenue and reduced reported expenses from our international operations. This trend has reversed in fiscal year 2018. Strengthening of foreign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currencies relative to the U.S. dollar positively impacted reported revenue and increased reported expenses from our international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0" w:name="page41"/>
    <w:bookmarkEnd w:id="40"/>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our revenue to fluctuate quarterly and to be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(“GAAP”), along with certain corporate-level and other activity, are included in Corporate and Other. We have recast certain previously reported amounts to conform to the way we internally manage and monitor segment performance.</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 information on our reportable segments is contained in Note 19 – Segment Information and Geographic Data of the Notes to Financial Statements (Part I, Item 1 of this Form 10-Q).</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gridSpan w:val="3"/>
          </w:tcPr>
          <w:p>
            <w:pPr>
              <w:jc w:val="right"/>
              <w:ind w:right="155"/>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jc w:val="right"/>
              <w:ind w:right="15"/>
              <w:spacing w:after="0"/>
              <w:rPr>
                <w:sz w:val="20"/>
                <w:szCs w:val="20"/>
                <w:color w:val="auto"/>
              </w:rPr>
            </w:pPr>
            <w:r>
              <w:rPr>
                <w:rFonts w:ascii="Arial" w:cs="Arial" w:eastAsia="Arial" w:hAnsi="Arial"/>
                <w:sz w:val="14"/>
                <w:szCs w:val="14"/>
                <w:b w:val="1"/>
                <w:bCs w:val="1"/>
                <w:color w:val="auto"/>
              </w:rPr>
              <w:t>Percentage</w:t>
            </w:r>
          </w:p>
        </w:tc>
        <w:tc>
          <w:tcPr>
            <w:tcW w:w="380" w:type="dxa"/>
            <w:vAlign w:val="bottom"/>
          </w:tcPr>
          <w:p>
            <w:pPr>
              <w:spacing w:after="0"/>
              <w:rPr>
                <w:sz w:val="14"/>
                <w:szCs w:val="14"/>
                <w:color w:val="auto"/>
              </w:rPr>
            </w:pPr>
          </w:p>
        </w:tc>
        <w:tc>
          <w:tcPr>
            <w:tcW w:w="212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155"/>
              <w:spacing w:after="0"/>
              <w:rPr>
                <w:sz w:val="20"/>
                <w:szCs w:val="20"/>
                <w:color w:val="auto"/>
              </w:rPr>
            </w:pPr>
            <w:r>
              <w:rPr>
                <w:rFonts w:ascii="Arial" w:cs="Arial" w:eastAsia="Arial" w:hAnsi="Arial"/>
                <w:sz w:val="14"/>
                <w:szCs w:val="14"/>
                <w:b w:val="1"/>
                <w:bCs w:val="1"/>
                <w:color w:val="auto"/>
              </w:rPr>
              <w:t>March 31,</w:t>
            </w:r>
          </w:p>
        </w:tc>
        <w:tc>
          <w:tcPr>
            <w:tcW w:w="1080" w:type="dxa"/>
            <w:vAlign w:val="bottom"/>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10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72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26,819</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23,212</w:t>
            </w:r>
          </w:p>
        </w:tc>
        <w:tc>
          <w:tcPr>
            <w:tcW w:w="10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16%</w:t>
            </w:r>
          </w:p>
        </w:tc>
        <w:tc>
          <w:tcPr>
            <w:tcW w:w="38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80,275</w:t>
            </w:r>
          </w:p>
        </w:tc>
        <w:tc>
          <w:tcPr>
            <w:tcW w:w="3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70,966</w:t>
            </w: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720" w:type="dxa"/>
            <w:vAlign w:val="bottom"/>
          </w:tcPr>
          <w:p>
            <w:pPr>
              <w:spacing w:after="0"/>
              <w:rPr>
                <w:sz w:val="16"/>
                <w:szCs w:val="16"/>
                <w:color w:val="auto"/>
              </w:rPr>
            </w:pPr>
          </w:p>
        </w:tc>
        <w:tc>
          <w:tcPr>
            <w:tcW w:w="84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17,550</w:t>
            </w:r>
          </w:p>
        </w:tc>
        <w:tc>
          <w:tcPr>
            <w:tcW w:w="360" w:type="dxa"/>
            <w:vAlign w:val="bottom"/>
          </w:tcPr>
          <w:p>
            <w:pPr>
              <w:spacing w:after="0"/>
              <w:rPr>
                <w:sz w:val="16"/>
                <w:szCs w:val="16"/>
                <w:color w:val="auto"/>
              </w:rPr>
            </w:pPr>
          </w:p>
        </w:tc>
        <w:tc>
          <w:tcPr>
            <w:tcW w:w="1000" w:type="dxa"/>
            <w:vAlign w:val="bottom"/>
          </w:tcPr>
          <w:p>
            <w:pPr>
              <w:jc w:val="right"/>
              <w:ind w:right="155"/>
              <w:spacing w:after="0" w:line="189" w:lineRule="exact"/>
              <w:rPr>
                <w:sz w:val="20"/>
                <w:szCs w:val="20"/>
                <w:color w:val="auto"/>
              </w:rPr>
            </w:pPr>
            <w:r>
              <w:rPr>
                <w:rFonts w:ascii="Arial" w:cs="Arial" w:eastAsia="Arial" w:hAnsi="Arial"/>
                <w:sz w:val="18"/>
                <w:szCs w:val="18"/>
                <w:color w:val="auto"/>
              </w:rPr>
              <w:t>15,152</w:t>
            </w:r>
          </w:p>
        </w:tc>
        <w:tc>
          <w:tcPr>
            <w:tcW w:w="1080" w:type="dxa"/>
            <w:vAlign w:val="bottom"/>
          </w:tcPr>
          <w:p>
            <w:pPr>
              <w:jc w:val="right"/>
              <w:ind w:right="15"/>
              <w:spacing w:after="0" w:line="189" w:lineRule="exact"/>
              <w:rPr>
                <w:sz w:val="20"/>
                <w:szCs w:val="20"/>
                <w:color w:val="auto"/>
              </w:rPr>
            </w:pPr>
            <w:r>
              <w:rPr>
                <w:rFonts w:ascii="Arial" w:cs="Arial" w:eastAsia="Arial" w:hAnsi="Arial"/>
                <w:sz w:val="18"/>
                <w:szCs w:val="18"/>
                <w:color w:val="auto"/>
              </w:rPr>
              <w:t>16%</w:t>
            </w:r>
          </w:p>
        </w:tc>
        <w:tc>
          <w:tcPr>
            <w:tcW w:w="380" w:type="dxa"/>
            <w:vAlign w:val="bottom"/>
          </w:tcPr>
          <w:p>
            <w:pPr>
              <w:spacing w:after="0"/>
              <w:rPr>
                <w:sz w:val="16"/>
                <w:szCs w:val="16"/>
                <w:color w:val="auto"/>
              </w:rPr>
            </w:pPr>
          </w:p>
        </w:tc>
        <w:tc>
          <w:tcPr>
            <w:tcW w:w="82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51,664</w:t>
            </w:r>
          </w:p>
        </w:tc>
        <w:tc>
          <w:tcPr>
            <w:tcW w:w="320" w:type="dxa"/>
            <w:vAlign w:val="bottom"/>
          </w:tcPr>
          <w:p>
            <w:pPr>
              <w:spacing w:after="0"/>
              <w:rPr>
                <w:sz w:val="16"/>
                <w:szCs w:val="16"/>
                <w:color w:val="auto"/>
              </w:rPr>
            </w:pPr>
          </w:p>
        </w:tc>
        <w:tc>
          <w:tcPr>
            <w:tcW w:w="980" w:type="dxa"/>
            <w:vAlign w:val="bottom"/>
          </w:tcPr>
          <w:p>
            <w:pPr>
              <w:jc w:val="right"/>
              <w:ind w:right="135"/>
              <w:spacing w:after="0" w:line="189" w:lineRule="exact"/>
              <w:rPr>
                <w:sz w:val="20"/>
                <w:szCs w:val="20"/>
                <w:color w:val="auto"/>
              </w:rPr>
            </w:pPr>
            <w:r>
              <w:rPr>
                <w:rFonts w:ascii="Arial" w:cs="Arial" w:eastAsia="Arial" w:hAnsi="Arial"/>
                <w:sz w:val="18"/>
                <w:szCs w:val="18"/>
                <w:color w:val="auto"/>
              </w:rPr>
              <w:t>45,161</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72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8,292</w:t>
            </w:r>
          </w:p>
        </w:tc>
        <w:tc>
          <w:tcPr>
            <w:tcW w:w="36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6,723</w:t>
            </w:r>
          </w:p>
        </w:tc>
        <w:tc>
          <w:tcPr>
            <w:tcW w:w="10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23%</w:t>
            </w:r>
          </w:p>
        </w:tc>
        <w:tc>
          <w:tcPr>
            <w:tcW w:w="38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24,679</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21,343</w:t>
            </w: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6"/>
                <w:szCs w:val="16"/>
                <w:color w:val="auto"/>
              </w:rPr>
            </w:pPr>
          </w:p>
        </w:tc>
        <w:tc>
          <w:tcPr>
            <w:tcW w:w="84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7,424</w:t>
            </w:r>
          </w:p>
        </w:tc>
        <w:tc>
          <w:tcPr>
            <w:tcW w:w="360" w:type="dxa"/>
            <w:vAlign w:val="bottom"/>
          </w:tcPr>
          <w:p>
            <w:pPr>
              <w:spacing w:after="0"/>
              <w:rPr>
                <w:sz w:val="16"/>
                <w:szCs w:val="16"/>
                <w:color w:val="auto"/>
              </w:rPr>
            </w:pPr>
          </w:p>
        </w:tc>
        <w:tc>
          <w:tcPr>
            <w:tcW w:w="1000" w:type="dxa"/>
            <w:vAlign w:val="bottom"/>
          </w:tcPr>
          <w:p>
            <w:pPr>
              <w:jc w:val="right"/>
              <w:ind w:right="155"/>
              <w:spacing w:after="0" w:line="189" w:lineRule="exact"/>
              <w:rPr>
                <w:sz w:val="20"/>
                <w:szCs w:val="20"/>
                <w:color w:val="auto"/>
              </w:rPr>
            </w:pPr>
            <w:r>
              <w:rPr>
                <w:rFonts w:ascii="Arial" w:cs="Arial" w:eastAsia="Arial" w:hAnsi="Arial"/>
                <w:sz w:val="18"/>
                <w:szCs w:val="18"/>
                <w:color w:val="auto"/>
              </w:rPr>
              <w:t>5,486</w:t>
            </w:r>
          </w:p>
        </w:tc>
        <w:tc>
          <w:tcPr>
            <w:tcW w:w="1080" w:type="dxa"/>
            <w:vAlign w:val="bottom"/>
          </w:tcPr>
          <w:p>
            <w:pPr>
              <w:jc w:val="right"/>
              <w:ind w:right="15"/>
              <w:spacing w:after="0" w:line="189" w:lineRule="exact"/>
              <w:rPr>
                <w:sz w:val="20"/>
                <w:szCs w:val="20"/>
                <w:color w:val="auto"/>
              </w:rPr>
            </w:pPr>
            <w:r>
              <w:rPr>
                <w:rFonts w:ascii="Arial" w:cs="Arial" w:eastAsia="Arial" w:hAnsi="Arial"/>
                <w:sz w:val="18"/>
                <w:szCs w:val="18"/>
                <w:color w:val="auto"/>
              </w:rPr>
              <w:t>35%</w:t>
            </w:r>
          </w:p>
        </w:tc>
        <w:tc>
          <w:tcPr>
            <w:tcW w:w="380" w:type="dxa"/>
            <w:vAlign w:val="bottom"/>
          </w:tcPr>
          <w:p>
            <w:pPr>
              <w:spacing w:after="0"/>
              <w:rPr>
                <w:sz w:val="16"/>
                <w:szCs w:val="16"/>
                <w:color w:val="auto"/>
              </w:rPr>
            </w:pPr>
          </w:p>
        </w:tc>
        <w:tc>
          <w:tcPr>
            <w:tcW w:w="82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7,698</w:t>
            </w:r>
          </w:p>
        </w:tc>
        <w:tc>
          <w:tcPr>
            <w:tcW w:w="320" w:type="dxa"/>
            <w:vAlign w:val="bottom"/>
          </w:tcPr>
          <w:p>
            <w:pPr>
              <w:spacing w:after="0"/>
              <w:rPr>
                <w:sz w:val="16"/>
                <w:szCs w:val="16"/>
                <w:color w:val="auto"/>
              </w:rPr>
            </w:pPr>
          </w:p>
        </w:tc>
        <w:tc>
          <w:tcPr>
            <w:tcW w:w="980" w:type="dxa"/>
            <w:vAlign w:val="bottom"/>
          </w:tcPr>
          <w:p>
            <w:pPr>
              <w:jc w:val="right"/>
              <w:ind w:right="135"/>
              <w:spacing w:after="0" w:line="189" w:lineRule="exact"/>
              <w:rPr>
                <w:sz w:val="20"/>
                <w:szCs w:val="20"/>
                <w:color w:val="auto"/>
              </w:rPr>
            </w:pPr>
            <w:r>
              <w:rPr>
                <w:rFonts w:ascii="Arial" w:cs="Arial" w:eastAsia="Arial" w:hAnsi="Arial"/>
                <w:sz w:val="18"/>
                <w:szCs w:val="18"/>
                <w:color w:val="auto"/>
              </w:rPr>
              <w:t>17,420</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0.95</w:t>
            </w:r>
          </w:p>
        </w:tc>
        <w:tc>
          <w:tcPr>
            <w:tcW w:w="36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0.70</w:t>
            </w:r>
          </w:p>
        </w:tc>
        <w:tc>
          <w:tcPr>
            <w:tcW w:w="10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36%</w:t>
            </w:r>
          </w:p>
        </w:tc>
        <w:tc>
          <w:tcPr>
            <w:tcW w:w="38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0.99</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2.22</w:t>
            </w: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720" w:type="dxa"/>
            <w:vAlign w:val="bottom"/>
          </w:tcPr>
          <w:p>
            <w:pPr>
              <w:spacing w:after="0"/>
              <w:rPr>
                <w:sz w:val="22"/>
                <w:szCs w:val="22"/>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7,424</w:t>
            </w:r>
          </w:p>
        </w:tc>
        <w:tc>
          <w:tcPr>
            <w:tcW w:w="360" w:type="dxa"/>
            <w:vAlign w:val="bottom"/>
          </w:tcPr>
          <w:p>
            <w:pPr>
              <w:spacing w:after="0"/>
              <w:rPr>
                <w:sz w:val="22"/>
                <w:szCs w:val="22"/>
                <w:color w:val="auto"/>
              </w:rPr>
            </w:pP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5,486</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b w:val="1"/>
                <w:bCs w:val="1"/>
                <w:color w:val="auto"/>
              </w:rPr>
              <w:t>21,498</w:t>
            </w:r>
          </w:p>
        </w:tc>
        <w:tc>
          <w:tcPr>
            <w:tcW w:w="32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8"/>
                <w:szCs w:val="18"/>
                <w:color w:val="auto"/>
              </w:rPr>
              <w:t>17,420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Adjusted diluted earnings per share</w:t>
            </w:r>
          </w:p>
        </w:tc>
        <w:tc>
          <w:tcPr>
            <w:tcW w:w="72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0.95</w:t>
            </w:r>
          </w:p>
        </w:tc>
        <w:tc>
          <w:tcPr>
            <w:tcW w:w="36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0.70</w:t>
            </w:r>
          </w:p>
        </w:tc>
        <w:tc>
          <w:tcPr>
            <w:tcW w:w="10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36%</w:t>
            </w:r>
          </w:p>
        </w:tc>
        <w:tc>
          <w:tcPr>
            <w:tcW w:w="38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2.76</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2.22</w:t>
            </w: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Consolidated results of operations include LinkedIn results since the date of acquisition on December 8, 2016. The nine months ended March 31, 2018 includes a full period of LinkedIn results, whereas the nine months ended March 31, 2017 only includes 113 days of LinkedIn results.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Adjusted net income and adjusted diluted earnings per share exclude the net charge related to the TCJA. Refer to the Non-GAAP Financial Measures section below for a reconciliation of our financial results reported in accordance with GAAP to non-GAAP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with Three Months Ended March 31, 2017</w:t>
      </w:r>
    </w:p>
    <w:p>
      <w:pPr>
        <w:spacing w:after="0" w:line="18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Revenue increased $3.6 billion or 16%, driven by growth across each of our segments. Productivity and Business Processes revenue increased, driven by higher revenue from Office and LinkedIn. Intelligent Cloud revenue increased, primarily due to higher revenue from server products and cloud services. More Personal Computing revenue increased, driven by higher revenue from Windows, Gaming, Surface,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Search advertising. Revenue included a favorable foreign currency impact of 3%.</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margin increased $2.4 billion or 16%, due to growth across each of our segments. Gross margin included a favorable foreign currency impact of 3%. Gross margin percentage increased slightly, driven by gross margin percentage improvement in Productivity and Business Processes and favorable segment sales mix, offset in part by gross margin percentage decline in Intelligent Cloud. Gross margin included a 6-percentage point improvement in commercial cloud gross margin percentage, primarily across Azure and Office 365, offset in part by increased Azure sales mix.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1" w:name="page42"/>
    <w:bookmarkEnd w:id="41"/>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5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Operating income increased $1.6 billion or 23%, driven by growth across each of our segments. Operating income included a favorable foreign currency impact of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expenses were:</w:t>
      </w:r>
    </w:p>
    <w:p>
      <w:pPr>
        <w:spacing w:after="0" w:line="63" w:lineRule="exact"/>
        <w:rPr>
          <w:sz w:val="20"/>
          <w:szCs w:val="20"/>
          <w:color w:val="auto"/>
        </w:rPr>
      </w:pPr>
    </w:p>
    <w:p>
      <w:pPr>
        <w:ind w:left="1060" w:hanging="390"/>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revenue increased $1.2 billion or 15%, mainly due to growth in our commercial cloud and Gaming.</w:t>
      </w:r>
    </w:p>
    <w:p>
      <w:pPr>
        <w:spacing w:after="0" w:line="63"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and marketing expenses increased $463 million or 12%, primarily due to investments in commercial sales capacity and LinkedIn. Sales and marketing included an unfavorable foreign currency impact of 3%.</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expenses increased $360 million or 11%, primarily due to investments in cloud engineering and LinkedIn.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2018 Compared with Nine Months Ended March 31, 2017</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Revenue increased $9.3 billion or 13%, driven by growth across each of our segments. Productivity and Business Processes revenue increased, driven by LinkedIn and higher revenue from Office. Intelligent Cloud revenue increased, primarily due to higher revenue from server products and cloud services. More Personal Computing revenue increased, driven by higher revenue from Gaming, Search advertising, Windows, and Surface, offset in part by lower revenue from Phones.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margin increased $6.5 billion or 14%, due to growth across each of our segments. Gross margin percentage increased slightly, driven by gross margin percentage improvement in More Personal Computing and favorable segment sales mix, offset in part by gross margin percentage decline in Intelligent Cloud. Gross margin included a 7-percentage point improvement in commercial cloud gross margin percentage, primarily across Azure and Office 365, offset in part by increased Azure sales mix.</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Operating income increased $ 3.3 billion or 16%, driven by growth across each of our segments. LinkedIn operating loss increased $234 million to $805 million, including $1.1 billion of amortization of intangible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expenses were:</w:t>
      </w:r>
    </w:p>
    <w:p>
      <w:pPr>
        <w:spacing w:after="0" w:line="77" w:lineRule="exact"/>
        <w:rPr>
          <w:sz w:val="20"/>
          <w:szCs w:val="20"/>
          <w:color w:val="auto"/>
        </w:rPr>
      </w:pPr>
    </w:p>
    <w:p>
      <w:pPr>
        <w:ind w:left="1060" w:right="20" w:hanging="390"/>
        <w:spacing w:after="0" w:line="24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revenue increased $2.8 billion or 11%, mainly due to growth in our commercial cloud, LinkedIn, Gaming, and Search advertising, offset in part by a reduction in Phone cost of revenue.</w:t>
      </w:r>
    </w:p>
    <w:p>
      <w:pPr>
        <w:spacing w:after="0" w:line="48" w:lineRule="exact"/>
        <w:rPr>
          <w:rFonts w:ascii="Arial" w:cs="Arial" w:eastAsia="Arial" w:hAnsi="Arial"/>
          <w:sz w:val="18"/>
          <w:szCs w:val="18"/>
          <w:color w:val="auto"/>
        </w:rPr>
      </w:pPr>
    </w:p>
    <w:p>
      <w:pPr>
        <w:jc w:val="both"/>
        <w:ind w:left="1060" w:right="20" w:hanging="390"/>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and marketing expenses increased $1.5 billion or 14%, primarily due to LinkedIn expenses and investments in commercial sales capacity, offset in part by a decrease in Windows marketing expenses. Sales and marketing included an unfavorable foreign currency impact of 2%.</w:t>
      </w:r>
    </w:p>
    <w:p>
      <w:pPr>
        <w:spacing w:after="0" w:line="54"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expenses increased $1.3 billion or 13%, primarily due to LinkedIn expenses and investments in cloud engineering.</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and administrative expenses increased $357 million or 11%, primarily due to LinkedIn expenses and the benefit of a legal settlement in the prior year.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2" w:name="page43"/>
    <w:bookmarkEnd w:id="42"/>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5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Current year net income and diluted earnings per share were negatively impacted by the net charge related to TCJA, which resulted in a decrease to net income and diluted earnings per share of $13.8 billion and $1.77,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1220" w:type="dxa"/>
            <w:vAlign w:val="bottom"/>
          </w:tcPr>
          <w:p>
            <w:pPr>
              <w:jc w:val="right"/>
              <w:ind w:right="154"/>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9,006</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7,707</w:t>
            </w:r>
          </w:p>
        </w:tc>
        <w:tc>
          <w:tcPr>
            <w:tcW w:w="12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17%</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26,197</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21,322</w:t>
            </w:r>
          </w:p>
        </w:tc>
        <w:tc>
          <w:tcPr>
            <w:tcW w:w="1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23%</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28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7,896</w:t>
            </w:r>
          </w:p>
        </w:tc>
        <w:tc>
          <w:tcPr>
            <w:tcW w:w="24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6,730</w:t>
            </w:r>
          </w:p>
        </w:tc>
        <w:tc>
          <w:tcPr>
            <w:tcW w:w="1220" w:type="dxa"/>
            <w:vAlign w:val="bottom"/>
          </w:tcPr>
          <w:p>
            <w:pPr>
              <w:jc w:val="right"/>
              <w:ind w:right="154"/>
              <w:spacing w:after="0" w:line="189"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6"/>
                <w:szCs w:val="16"/>
                <w:color w:val="auto"/>
              </w:rPr>
            </w:pP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22,613</w:t>
            </w:r>
          </w:p>
        </w:tc>
        <w:tc>
          <w:tcPr>
            <w:tcW w:w="2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19,585</w:t>
            </w: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9,917</w:t>
            </w: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8,775</w:t>
            </w:r>
          </w:p>
        </w:tc>
        <w:tc>
          <w:tcPr>
            <w:tcW w:w="12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13%</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31,465</w:t>
            </w:r>
          </w:p>
        </w:tc>
        <w:tc>
          <w:tcPr>
            <w:tcW w:w="2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30,059</w:t>
            </w:r>
          </w:p>
        </w:tc>
        <w:tc>
          <w:tcPr>
            <w:tcW w:w="12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26,819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23,212</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80,275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70,966</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3,115</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2,540</w:t>
            </w:r>
          </w:p>
        </w:tc>
        <w:tc>
          <w:tcPr>
            <w:tcW w:w="12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23%</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9,458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8,498</w:t>
            </w:r>
          </w:p>
        </w:tc>
        <w:tc>
          <w:tcPr>
            <w:tcW w:w="1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28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2,654</w:t>
            </w:r>
          </w:p>
        </w:tc>
        <w:tc>
          <w:tcPr>
            <w:tcW w:w="24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2,148</w:t>
            </w:r>
          </w:p>
        </w:tc>
        <w:tc>
          <w:tcPr>
            <w:tcW w:w="1220" w:type="dxa"/>
            <w:vAlign w:val="bottom"/>
          </w:tcPr>
          <w:p>
            <w:pPr>
              <w:jc w:val="right"/>
              <w:ind w:right="154"/>
              <w:spacing w:after="0" w:line="189"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6"/>
                <w:szCs w:val="16"/>
                <w:color w:val="auto"/>
              </w:rPr>
            </w:pP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7,623</w:t>
            </w:r>
          </w:p>
        </w:tc>
        <w:tc>
          <w:tcPr>
            <w:tcW w:w="2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6,216</w:t>
            </w: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2,523</w:t>
            </w: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2,035</w:t>
            </w:r>
          </w:p>
        </w:tc>
        <w:tc>
          <w:tcPr>
            <w:tcW w:w="12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24%</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7,598</w:t>
            </w:r>
          </w:p>
        </w:tc>
        <w:tc>
          <w:tcPr>
            <w:tcW w:w="2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6,629</w:t>
            </w:r>
          </w:p>
        </w:tc>
        <w:tc>
          <w:tcPr>
            <w:tcW w:w="1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6,723</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23%</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24,679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21,343</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with Three Months Ended March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$1.3 billion or 17%, including a favorable foreign currency impact of 3%.</w:t>
      </w:r>
    </w:p>
    <w:p>
      <w:pPr>
        <w:spacing w:after="0" w:line="90" w:lineRule="exact"/>
        <w:rPr>
          <w:sz w:val="20"/>
          <w:szCs w:val="20"/>
          <w:color w:val="auto"/>
        </w:rPr>
      </w:pPr>
    </w:p>
    <w:p>
      <w:pPr>
        <w:jc w:val="both"/>
        <w:ind w:left="1060" w:hanging="390"/>
        <w:spacing w:after="0" w:line="248"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Office Commercial revenue increased $754 million or 14%, driven by Office 365 commercial revenue growth, mainly due to growth in subscribers, offset in part by lower revenue from products licensed on-premises, reflecting a continued shift to Office 365 commercial.</w:t>
      </w:r>
    </w:p>
    <w:p>
      <w:pPr>
        <w:spacing w:after="0" w:line="74" w:lineRule="exact"/>
        <w:rPr>
          <w:rFonts w:ascii="Arial" w:cs="Arial" w:eastAsia="Arial" w:hAnsi="Arial"/>
          <w:sz w:val="18"/>
          <w:szCs w:val="18"/>
          <w:color w:val="auto"/>
        </w:rPr>
      </w:pPr>
    </w:p>
    <w:p>
      <w:pPr>
        <w:ind w:left="1060" w:hanging="390"/>
        <w:spacing w:after="0" w:line="262"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Office Consumer revenue increased $108 million or 12%, driven by Office 365 consumer revenue growth, mainly due to growth in subscribers.</w:t>
      </w:r>
    </w:p>
    <w:p>
      <w:pPr>
        <w:spacing w:after="0" w:line="34" w:lineRule="exact"/>
        <w:rPr>
          <w:rFonts w:ascii="Arial" w:cs="Arial" w:eastAsia="Arial" w:hAnsi="Arial"/>
          <w:sz w:val="18"/>
          <w:szCs w:val="18"/>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LinkedIn revenue increased $359 million or 37%, driven by strong momentum across all businesses.</w:t>
      </w:r>
    </w:p>
    <w:p>
      <w:pPr>
        <w:spacing w:after="0" w:line="90" w:lineRule="exact"/>
        <w:rPr>
          <w:rFonts w:ascii="Arial" w:cs="Arial" w:eastAsia="Arial" w:hAnsi="Arial"/>
          <w:sz w:val="18"/>
          <w:szCs w:val="18"/>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Dynamics revenue increased 17%, driven by Dynamics 365 revenue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$575 million or 23%, including a favorable foreign currency impact of 4%.</w:t>
      </w:r>
    </w:p>
    <w:p>
      <w:pPr>
        <w:spacing w:after="0" w:line="63" w:lineRule="exact"/>
        <w:rPr>
          <w:sz w:val="20"/>
          <w:szCs w:val="20"/>
          <w:color w:val="auto"/>
        </w:rPr>
      </w:pPr>
    </w:p>
    <w:p>
      <w:pPr>
        <w:jc w:val="both"/>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margin increased $1.0 billion or 18%, driven by growth in Office and LinkedIn. Gross margin percentage increased slightly, primarily due to gross margin percentage improvement in Office 365 commercial and LinkedIn, offset in part by an increased mix of cloud offerings. Gross margin included a favorable foreign currency impact of 3%.</w:t>
      </w:r>
    </w:p>
    <w:p>
      <w:pPr>
        <w:spacing w:after="0" w:line="54"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expenses increased $468 million or 14%, driven by investments in LinkedIn, commercial sales capacity, and cloud engineering. Operating expenses included an unfavorable foreign currency impact of 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$1.2 billion or 17%, including a favorable foreign currency impact of 2%.</w:t>
      </w:r>
    </w:p>
    <w:p>
      <w:pPr>
        <w:spacing w:after="0" w:line="63" w:lineRule="exact"/>
        <w:rPr>
          <w:sz w:val="20"/>
          <w:szCs w:val="20"/>
          <w:color w:val="auto"/>
        </w:rPr>
      </w:pPr>
    </w:p>
    <w:p>
      <w:pPr>
        <w:ind w:left="1060" w:hanging="390"/>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$1.0 billion or 20%, driven by Azure revenue growth of 93% and server products licensed on-premises revenue growth of 3%.</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Enterprise Services revenue increased $106 million or 8%, driven by higher revenue from Premier Support Services and Microsoft Consulting Services, offset in part by a decline in revenue from custom support agreements.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3" w:name="page44"/>
    <w:bookmarkEnd w:id="43"/>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$506 million or 24%, including a favorable foreign currency impact of 3%.</w:t>
      </w:r>
    </w:p>
    <w:p>
      <w:pPr>
        <w:spacing w:after="0" w:line="63" w:lineRule="exact"/>
        <w:rPr>
          <w:sz w:val="20"/>
          <w:szCs w:val="20"/>
          <w:color w:val="auto"/>
        </w:rPr>
      </w:pPr>
    </w:p>
    <w:p>
      <w:pPr>
        <w:jc w:val="both"/>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increased $739 million or 16%, driven by growth in server products and cloud services revenue and cloud services scale and efficiencies. Gross margin percentage decreased, primarily due to an increased mix of cloud offerings, offset in part by gross margin percentage improvement in Azure. Gross margin included a favorable foreign currency impact of 2%.</w:t>
      </w:r>
    </w:p>
    <w:p>
      <w:pPr>
        <w:spacing w:after="0" w:line="54"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increased $233 million or 9%, driven by investments in commercial sales capacity and cloud engineering. Operating expenses included an unfavorable foreign currency impact of 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$1.1 billion or 13%.</w:t>
      </w:r>
    </w:p>
    <w:p>
      <w:pPr>
        <w:spacing w:after="0" w:line="77" w:lineRule="exact"/>
        <w:rPr>
          <w:sz w:val="20"/>
          <w:szCs w:val="20"/>
          <w:color w:val="auto"/>
        </w:rPr>
      </w:pPr>
    </w:p>
    <w:p>
      <w:pPr>
        <w:jc w:val="both"/>
        <w:ind w:left="1060" w:hanging="390"/>
        <w:spacing w:after="0" w:line="23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Windows revenue increased $359 million or 8%, driven by Windows Commercial and Windows OEM revenue growth. Windows Commercial revenue increased 21%, driven by an increased volume of multi-year agreements and the mix of products that carry higher in-quarter revenue recognition. Windows OEM revenue increased 4%. Windows OEM Pro revenue grew 11%, in line with a strengthening commercial PC market. Windows OEM non-Pro revenue declined 8%, below the consumer PC market, driven by a higher mix of lower priced licenses and continued pressure in the entry-level price category.</w:t>
      </w:r>
    </w:p>
    <w:p>
      <w:pPr>
        <w:spacing w:after="0" w:line="54"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Gaming revenue increased $345 million or 18%, driven by Xbox software and services revenue growth of 24%, mainly from third-party title strength.</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Surface revenue increased $263 million or 32% against a prior year comparable impacted by product end-of-life-cycle dynamics.</w:t>
      </w:r>
    </w:p>
    <w:p>
      <w:pPr>
        <w:spacing w:after="0" w:line="63"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Search advertising revenue increased $185 million or 12%. Search advertising revenue, excluding traffic acquisition costs, increased 16%, driven by growth in Bing, primarily due to higher revenue per search and search volume.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$488 million or 24%, including a favorable foreign currency impact of 4%.</w:t>
      </w:r>
    </w:p>
    <w:p>
      <w:pPr>
        <w:spacing w:after="0" w:line="77" w:lineRule="exact"/>
        <w:rPr>
          <w:sz w:val="20"/>
          <w:szCs w:val="20"/>
          <w:color w:val="auto"/>
        </w:rPr>
      </w:pPr>
    </w:p>
    <w:p>
      <w:pPr>
        <w:ind w:left="1060" w:hanging="390"/>
        <w:spacing w:after="0" w:line="246"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increased $616 million or 13%, driven by growth in Windows and Surface. Gross margin percentage was relatively unchanged. Gross margin included a favorable foreign currency impact of 2%.</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increased $128 million or 5%, driven by investments in Gaming, Search advertising, and AI engineering.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2018 Compared with Nine Months Ended March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$4.9 billion or 23%.</w:t>
      </w:r>
    </w:p>
    <w:p>
      <w:pPr>
        <w:spacing w:after="0" w:line="63" w:lineRule="exact"/>
        <w:rPr>
          <w:sz w:val="20"/>
          <w:szCs w:val="20"/>
          <w:color w:val="auto"/>
        </w:rPr>
      </w:pPr>
    </w:p>
    <w:p>
      <w:pPr>
        <w:ind w:left="1060" w:hanging="39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LinkedIn revenue increased $2.6 billion to $3.8 billion. LinkedIn revenue primarily consisted of revenue from Talent Solutions.</w:t>
      </w:r>
    </w:p>
    <w:p>
      <w:pPr>
        <w:spacing w:after="0" w:line="63" w:lineRule="exact"/>
        <w:rPr>
          <w:rFonts w:ascii="Arial" w:cs="Arial" w:eastAsia="Arial" w:hAnsi="Arial"/>
          <w:sz w:val="18"/>
          <w:szCs w:val="18"/>
          <w:color w:val="auto"/>
        </w:rPr>
      </w:pPr>
    </w:p>
    <w:p>
      <w:pPr>
        <w:jc w:val="both"/>
        <w:ind w:left="1060" w:hanging="39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Office Commercial revenue increased $1.8 billion or 12%, driven by Office 365 commercial revenue growth, mainly due to growth in subscribers, offset in part by lower revenue from products licensed on-premises, reflecting a continued shift to Office 365 commercial.</w:t>
      </w:r>
    </w:p>
    <w:p>
      <w:pPr>
        <w:spacing w:after="0" w:line="54"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Office Consumer revenue increased $307 million or 12%, driven by Office 365 consumer revenue growth, mainly due to growth in subscribers.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Dynamics revenue increased 14%, driven by Dynamics 365 revenue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$960 million or 11%.</w:t>
      </w:r>
    </w:p>
    <w:p>
      <w:pPr>
        <w:spacing w:after="0" w:line="63" w:lineRule="exact"/>
        <w:rPr>
          <w:sz w:val="20"/>
          <w:szCs w:val="20"/>
          <w:color w:val="auto"/>
        </w:rPr>
      </w:pPr>
    </w:p>
    <w:p>
      <w:pPr>
        <w:jc w:val="both"/>
        <w:ind w:left="1060" w:hanging="390"/>
        <w:spacing w:after="0" w:line="239"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margin increased $3.6 billion or 22%, driven by LinkedIn and growth in Office. Gross margin percentage decreased, due to an increased mix of cloud offerings and LinkedIn, offset in part by gross margin percentage improvement in Office 365 commercial. LinkedIn cost of revenue increased $768 million to $1.3 billion, including $664 million of amortization for acquired intangible assets.</w:t>
      </w:r>
    </w:p>
    <w:p>
      <w:pPr>
        <w:spacing w:after="0" w:line="53" w:lineRule="exact"/>
        <w:rPr>
          <w:rFonts w:ascii="Arial" w:cs="Arial" w:eastAsia="Arial" w:hAnsi="Arial"/>
          <w:sz w:val="18"/>
          <w:szCs w:val="18"/>
          <w:color w:val="auto"/>
        </w:rPr>
      </w:pPr>
    </w:p>
    <w:p>
      <w:pPr>
        <w:jc w:val="both"/>
        <w:ind w:left="1060" w:hanging="390"/>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expenses increased $2.6 billion or 34%, driven by LinkedIn expenses and investments in commercial sales capacity and cloud engineering. LinkedIn operating expenses increased $2.1 billion to $3.3 billion, including $463 million of amortization of acquired intangible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4" w:name="page45"/>
    <w:bookmarkEnd w:id="44"/>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$3.0 billion or 15%.</w:t>
      </w:r>
    </w:p>
    <w:p>
      <w:pPr>
        <w:spacing w:after="0" w:line="77" w:lineRule="exact"/>
        <w:rPr>
          <w:sz w:val="20"/>
          <w:szCs w:val="20"/>
          <w:color w:val="auto"/>
        </w:rPr>
      </w:pPr>
    </w:p>
    <w:p>
      <w:pPr>
        <w:ind w:left="1060" w:right="20" w:hanging="390"/>
        <w:spacing w:after="0" w:line="24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$2.8 billion or 18%, driven by Azure revenue growth of 94% and server products licensed on-premises revenue growth of 3%.</w:t>
      </w:r>
    </w:p>
    <w:p>
      <w:pPr>
        <w:spacing w:after="0" w:line="48"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Enterprise Services revenue increased $186 million or 5%, driven by higher revenue from Premier Support Services and Microsoft Consulting Services, offset in part by a decline in revenue from custom support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$1.4 billion or 23%.</w:t>
      </w:r>
    </w:p>
    <w:p>
      <w:pPr>
        <w:spacing w:after="0" w:line="77" w:lineRule="exact"/>
        <w:rPr>
          <w:sz w:val="20"/>
          <w:szCs w:val="20"/>
          <w:color w:val="auto"/>
        </w:rPr>
      </w:pPr>
    </w:p>
    <w:p>
      <w:pPr>
        <w:jc w:val="both"/>
        <w:ind w:left="1060" w:right="20" w:hanging="390"/>
        <w:spacing w:after="0" w:line="25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increased $1.8 billion or 13%, driven by growth in server products and cloud services revenue and cloud services scale and efficiencies. Gross margin percentage decreased, due to an increased mix of cloud offerings, offset in part by gross margin percentage improvement in Azure.</w:t>
      </w:r>
    </w:p>
    <w:p>
      <w:pPr>
        <w:spacing w:after="0" w:line="53" w:lineRule="exact"/>
        <w:rPr>
          <w:rFonts w:ascii="Arial" w:cs="Arial" w:eastAsia="Arial" w:hAnsi="Arial"/>
          <w:sz w:val="18"/>
          <w:szCs w:val="18"/>
          <w:color w:val="auto"/>
        </w:rPr>
      </w:pPr>
    </w:p>
    <w:p>
      <w:pPr>
        <w:ind w:left="1060" w:hanging="39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increased $391 million or 5%, driven by investments in commercial sales capacity and cloud engineering.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$1.4 billion or 5%.</w:t>
      </w:r>
    </w:p>
    <w:p>
      <w:pPr>
        <w:spacing w:after="0" w:line="63" w:lineRule="exact"/>
        <w:rPr>
          <w:sz w:val="20"/>
          <w:szCs w:val="20"/>
          <w:color w:val="auto"/>
        </w:rPr>
      </w:pPr>
    </w:p>
    <w:p>
      <w:pPr>
        <w:jc w:val="both"/>
        <w:ind w:left="1060" w:right="20" w:hanging="390"/>
        <w:spacing w:after="0" w:line="238"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Windows revenue increased $393 million or 3%, driven by growth in Windows OEM and Windows Commercial, offset by a decline in patent licensing revenue. Windows OEM revenue increased 4%. Windows OEM Pro revenue grew 10%, slightly ahead of a strengthening commercial PC market. Windows OEM non-Pro revenue declined 4%, below the consumer PC market, driven by a higher mix of lower priced licenses and continued pressure in the entry-level price category. Windows Commercial revenue increased 8%, driven by multi-year agreement revenue growth.</w:t>
      </w:r>
    </w:p>
    <w:p>
      <w:pPr>
        <w:spacing w:after="0" w:line="54"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Gaming revenue increased $658 million or 9%, driven by Xbox software and services revenue growth of 15%, mainly from third-party title strength.</w:t>
      </w:r>
    </w:p>
    <w:p>
      <w:pPr>
        <w:spacing w:after="0" w:line="48" w:lineRule="exact"/>
        <w:rPr>
          <w:rFonts w:ascii="Arial" w:cs="Arial" w:eastAsia="Arial" w:hAnsi="Arial"/>
          <w:sz w:val="18"/>
          <w:szCs w:val="18"/>
          <w:color w:val="auto"/>
        </w:rPr>
      </w:pPr>
    </w:p>
    <w:p>
      <w:pPr>
        <w:ind w:left="1060" w:right="40" w:hanging="390"/>
        <w:spacing w:after="0" w:line="24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Search advertising revenue increased $610 million or 13%. Search advertising revenue, excluding traffic acquisition costs, increased 15%, driven by growth in Bing, due to higher revenue per search and search volume.</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Surface revenue increased $389 million or 13% against a prior year comparable impacted by product end-of-life-cycle dynamics.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Phone revenue decreased $524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$969 million or 15%.</w:t>
      </w:r>
    </w:p>
    <w:p>
      <w:pPr>
        <w:spacing w:after="0" w:line="63" w:lineRule="exact"/>
        <w:rPr>
          <w:sz w:val="20"/>
          <w:szCs w:val="20"/>
          <w:color w:val="auto"/>
        </w:rPr>
      </w:pPr>
    </w:p>
    <w:p>
      <w:pPr>
        <w:ind w:left="1060" w:right="20" w:hanging="390"/>
        <w:spacing w:after="0" w:line="246"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increased $1.1 billion or 7%, driven by growth in Windows, Surface, and Search advertising. Gross margin percentage increased, due to gross margin percentage improvement in Surface and a favorable sales mix.</w:t>
      </w:r>
    </w:p>
    <w:p>
      <w:pPr>
        <w:spacing w:after="0" w:line="75" w:lineRule="exact"/>
        <w:rPr>
          <w:rFonts w:ascii="Arial" w:cs="Arial" w:eastAsia="Arial" w:hAnsi="Arial"/>
          <w:sz w:val="18"/>
          <w:szCs w:val="18"/>
          <w:color w:val="auto"/>
        </w:rPr>
      </w:pPr>
    </w:p>
    <w:p>
      <w:pPr>
        <w:ind w:left="1060" w:right="20" w:hanging="390"/>
        <w:spacing w:after="0" w:line="262"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increased $139 million or 2%, driven by investments in Search advertising, AI, and Gaming engineering, offset in part by a decrease in Windows marketing expenses and Phone expenses.</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OPERATING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6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4"/>
                <w:szCs w:val="14"/>
                <w:color w:val="auto"/>
              </w:rPr>
            </w:pPr>
          </w:p>
        </w:tc>
        <w:tc>
          <w:tcPr>
            <w:tcW w:w="208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181"/>
              <w:spacing w:after="0"/>
              <w:rPr>
                <w:sz w:val="20"/>
                <w:szCs w:val="20"/>
                <w:color w:val="auto"/>
              </w:rPr>
            </w:pPr>
            <w:r>
              <w:rPr>
                <w:rFonts w:ascii="Arial" w:cs="Arial" w:eastAsia="Arial" w:hAnsi="Arial"/>
                <w:sz w:val="14"/>
                <w:szCs w:val="14"/>
                <w:b w:val="1"/>
                <w:bCs w:val="1"/>
                <w:color w:val="auto"/>
              </w:rPr>
              <w:t>March 31,</w:t>
            </w: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141"/>
              <w:spacing w:after="0"/>
              <w:rPr>
                <w:sz w:val="20"/>
                <w:szCs w:val="20"/>
                <w:color w:val="auto"/>
              </w:rPr>
            </w:pPr>
            <w:r>
              <w:rPr>
                <w:rFonts w:ascii="Arial" w:cs="Arial" w:eastAsia="Arial" w:hAnsi="Arial"/>
                <w:sz w:val="14"/>
                <w:szCs w:val="14"/>
                <w:b w:val="1"/>
                <w:bCs w:val="1"/>
                <w:color w:val="auto"/>
              </w:rPr>
              <w:t>March 31,</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9"/>
                <w:szCs w:val="19"/>
                <w:color w:val="auto"/>
              </w:rPr>
            </w:pPr>
          </w:p>
        </w:tc>
        <w:tc>
          <w:tcPr>
            <w:tcW w:w="960" w:type="dxa"/>
            <w:vAlign w:val="bottom"/>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9"/>
                <w:szCs w:val="19"/>
                <w:color w:val="auto"/>
              </w:rPr>
            </w:pPr>
          </w:p>
        </w:tc>
        <w:tc>
          <w:tcPr>
            <w:tcW w:w="960" w:type="dxa"/>
            <w:vAlign w:val="bottom"/>
          </w:tcPr>
          <w:p>
            <w:pPr>
              <w:jc w:val="right"/>
              <w:ind w:right="141"/>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3,715</w:t>
            </w:r>
          </w:p>
        </w:tc>
        <w:tc>
          <w:tcPr>
            <w:tcW w:w="420" w:type="dxa"/>
            <w:vAlign w:val="bottom"/>
            <w:shd w:val="clear" w:color="auto" w:fill="E5E5E5"/>
          </w:tcPr>
          <w:p>
            <w:pPr>
              <w:jc w:val="right"/>
              <w:ind w:right="119"/>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81"/>
              <w:spacing w:after="0" w:line="189" w:lineRule="exact"/>
              <w:rPr>
                <w:sz w:val="20"/>
                <w:szCs w:val="20"/>
                <w:color w:val="auto"/>
              </w:rPr>
            </w:pPr>
            <w:r>
              <w:rPr>
                <w:rFonts w:ascii="Arial" w:cs="Arial" w:eastAsia="Arial" w:hAnsi="Arial"/>
                <w:sz w:val="18"/>
                <w:szCs w:val="18"/>
                <w:color w:val="auto"/>
              </w:rPr>
              <w:t>3,355</w:t>
            </w:r>
          </w:p>
        </w:tc>
        <w:tc>
          <w:tcPr>
            <w:tcW w:w="110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color w:val="auto"/>
              </w:rPr>
              <w:t>11%</w:t>
            </w:r>
          </w:p>
        </w:tc>
        <w:tc>
          <w:tcPr>
            <w:tcW w:w="40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10,793</w:t>
            </w:r>
          </w:p>
        </w:tc>
        <w:tc>
          <w:tcPr>
            <w:tcW w:w="32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41"/>
              <w:spacing w:after="0" w:line="189" w:lineRule="exact"/>
              <w:rPr>
                <w:sz w:val="20"/>
                <w:szCs w:val="20"/>
                <w:color w:val="auto"/>
              </w:rPr>
            </w:pPr>
            <w:r>
              <w:rPr>
                <w:rFonts w:ascii="Arial" w:cs="Arial" w:eastAsia="Arial" w:hAnsi="Arial"/>
                <w:sz w:val="18"/>
                <w:szCs w:val="18"/>
                <w:color w:val="auto"/>
              </w:rPr>
              <w:t>9,523</w:t>
            </w:r>
          </w:p>
        </w:tc>
        <w:tc>
          <w:tcPr>
            <w:tcW w:w="100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1400" w:type="dxa"/>
            <w:vAlign w:val="bottom"/>
          </w:tcPr>
          <w:p>
            <w:pPr>
              <w:spacing w:after="0"/>
              <w:rPr>
                <w:sz w:val="21"/>
                <w:szCs w:val="21"/>
                <w:color w:val="auto"/>
              </w:rPr>
            </w:pPr>
          </w:p>
        </w:tc>
        <w:tc>
          <w:tcPr>
            <w:tcW w:w="780" w:type="dxa"/>
            <w:vAlign w:val="bottom"/>
          </w:tcPr>
          <w:p>
            <w:pPr>
              <w:jc w:val="right"/>
              <w:ind w:right="21"/>
              <w:spacing w:after="0"/>
              <w:rPr>
                <w:sz w:val="20"/>
                <w:szCs w:val="20"/>
                <w:color w:val="auto"/>
              </w:rPr>
            </w:pPr>
            <w:r>
              <w:rPr>
                <w:rFonts w:ascii="Arial" w:cs="Arial" w:eastAsia="Arial" w:hAnsi="Arial"/>
                <w:sz w:val="18"/>
                <w:szCs w:val="18"/>
                <w:b w:val="1"/>
                <w:bCs w:val="1"/>
                <w:color w:val="auto"/>
              </w:rPr>
              <w:t>14%</w:t>
            </w:r>
          </w:p>
        </w:tc>
        <w:tc>
          <w:tcPr>
            <w:tcW w:w="420" w:type="dxa"/>
            <w:vAlign w:val="bottom"/>
          </w:tcPr>
          <w:p>
            <w:pPr>
              <w:spacing w:after="0"/>
              <w:rPr>
                <w:sz w:val="21"/>
                <w:szCs w:val="21"/>
                <w:color w:val="auto"/>
              </w:rPr>
            </w:pPr>
          </w:p>
        </w:tc>
        <w:tc>
          <w:tcPr>
            <w:tcW w:w="960" w:type="dxa"/>
            <w:vAlign w:val="bottom"/>
          </w:tcPr>
          <w:p>
            <w:pPr>
              <w:jc w:val="right"/>
              <w:ind w:right="181"/>
              <w:spacing w:after="0"/>
              <w:rPr>
                <w:sz w:val="20"/>
                <w:szCs w:val="20"/>
                <w:color w:val="auto"/>
              </w:rPr>
            </w:pPr>
            <w:r>
              <w:rPr>
                <w:rFonts w:ascii="Arial" w:cs="Arial" w:eastAsia="Arial" w:hAnsi="Arial"/>
                <w:sz w:val="18"/>
                <w:szCs w:val="18"/>
                <w:color w:val="auto"/>
              </w:rPr>
              <w:t>14%</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0ppt</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21"/>
                <w:szCs w:val="21"/>
                <w:color w:val="auto"/>
              </w:rPr>
            </w:pPr>
          </w:p>
        </w:tc>
        <w:tc>
          <w:tcPr>
            <w:tcW w:w="960" w:type="dxa"/>
            <w:vAlign w:val="bottom"/>
          </w:tcPr>
          <w:p>
            <w:pPr>
              <w:jc w:val="right"/>
              <w:ind w:right="141"/>
              <w:spacing w:after="0"/>
              <w:rPr>
                <w:sz w:val="20"/>
                <w:szCs w:val="20"/>
                <w:color w:val="auto"/>
              </w:rPr>
            </w:pPr>
            <w:r>
              <w:rPr>
                <w:rFonts w:ascii="Arial" w:cs="Arial" w:eastAsia="Arial" w:hAnsi="Arial"/>
                <w:sz w:val="18"/>
                <w:szCs w:val="18"/>
                <w:color w:val="auto"/>
              </w:rPr>
              <w:t>13%</w:t>
            </w:r>
          </w:p>
        </w:tc>
        <w:tc>
          <w:tcPr>
            <w:tcW w:w="1000" w:type="dxa"/>
            <w:vAlign w:val="bottom"/>
          </w:tcPr>
          <w:p>
            <w:pPr>
              <w:jc w:val="right"/>
              <w:spacing w:after="0"/>
              <w:rPr>
                <w:sz w:val="20"/>
                <w:szCs w:val="20"/>
                <w:color w:val="auto"/>
              </w:rPr>
            </w:pPr>
            <w:r>
              <w:rPr>
                <w:rFonts w:ascii="Arial" w:cs="Arial" w:eastAsia="Arial" w:hAnsi="Arial"/>
                <w:sz w:val="18"/>
                <w:szCs w:val="18"/>
                <w:color w:val="auto"/>
              </w:rPr>
              <w:t>0ppt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9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45" w:name="page46"/>
    <w:bookmarkEnd w:id="45"/>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with Three Months Ended March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$360 million or 11%, primarily due to investments in cloud engineering and LinkedIn.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2018 Compared with Nine Months Ended March 31,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$1.3 billion or 13%, primarily due to LinkedIn expenses and investments in cloud engineering.</w:t>
      </w:r>
    </w:p>
    <w:p>
      <w:pPr>
        <w:spacing w:after="0"/>
        <w:rPr>
          <w:sz w:val="20"/>
          <w:szCs w:val="20"/>
          <w:color w:val="auto"/>
        </w:rPr>
      </w:pPr>
      <w:r>
        <w:rPr>
          <w:rFonts w:ascii="Arial" w:cs="Arial" w:eastAsia="Arial" w:hAnsi="Arial"/>
          <w:sz w:val="18"/>
          <w:szCs w:val="18"/>
          <w:color w:val="auto"/>
        </w:rPr>
        <w:t>LinkedIn expenses increased $697 million to $1.1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6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4"/>
                <w:szCs w:val="14"/>
                <w:color w:val="auto"/>
              </w:rPr>
            </w:pPr>
          </w:p>
        </w:tc>
        <w:tc>
          <w:tcPr>
            <w:tcW w:w="208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Arial" w:cs="Arial" w:eastAsia="Arial" w:hAnsi="Arial"/>
                <w:sz w:val="14"/>
                <w:szCs w:val="14"/>
                <w:b w:val="1"/>
                <w:bCs w:val="1"/>
                <w:color w:val="auto"/>
              </w:rPr>
              <w:t>March 31,</w:t>
            </w: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141"/>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9"/>
                <w:szCs w:val="19"/>
                <w:color w:val="auto"/>
              </w:rPr>
            </w:pPr>
          </w:p>
        </w:tc>
        <w:tc>
          <w:tcPr>
            <w:tcW w:w="960" w:type="dxa"/>
            <w:vAlign w:val="bottom"/>
          </w:tcPr>
          <w:p>
            <w:pPr>
              <w:jc w:val="right"/>
              <w:ind w:right="141"/>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46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4,335</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81"/>
              <w:spacing w:after="0" w:line="189" w:lineRule="exact"/>
              <w:rPr>
                <w:sz w:val="20"/>
                <w:szCs w:val="20"/>
                <w:color w:val="auto"/>
              </w:rPr>
            </w:pPr>
            <w:r>
              <w:rPr>
                <w:rFonts w:ascii="Arial" w:cs="Arial" w:eastAsia="Arial" w:hAnsi="Arial"/>
                <w:sz w:val="18"/>
                <w:szCs w:val="18"/>
                <w:color w:val="auto"/>
              </w:rPr>
              <w:t>3,872</w:t>
            </w:r>
          </w:p>
        </w:tc>
        <w:tc>
          <w:tcPr>
            <w:tcW w:w="110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color w:val="auto"/>
              </w:rPr>
              <w:t>12%</w:t>
            </w:r>
          </w:p>
        </w:tc>
        <w:tc>
          <w:tcPr>
            <w:tcW w:w="40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12,709</w:t>
            </w:r>
          </w:p>
        </w:tc>
        <w:tc>
          <w:tcPr>
            <w:tcW w:w="32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41"/>
              <w:spacing w:after="0" w:line="189" w:lineRule="exact"/>
              <w:rPr>
                <w:sz w:val="20"/>
                <w:szCs w:val="20"/>
                <w:color w:val="auto"/>
              </w:rPr>
            </w:pPr>
            <w:r>
              <w:rPr>
                <w:rFonts w:ascii="Arial" w:cs="Arial" w:eastAsia="Arial" w:hAnsi="Arial"/>
                <w:sz w:val="18"/>
                <w:szCs w:val="18"/>
                <w:color w:val="auto"/>
              </w:rPr>
              <w:t>11,169</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16%</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17%</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(1)ppt</w:t>
            </w: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rPr>
              <w:t>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with Three Months Ended March 31, 2017</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Sales and marketing expenses increased $463 million or 12%, primarily due to investments in commercial sales capacity and LinkedIn. Sales and marketing included an unfavorable foreign currency impact of 3%</w:t>
      </w:r>
      <w:r>
        <w:rPr>
          <w:rFonts w:ascii="Arial" w:cs="Arial" w:eastAsia="Arial" w:hAnsi="Arial"/>
          <w:sz w:val="18"/>
          <w:szCs w:val="18"/>
          <w:i w:val="1"/>
          <w:iCs w:val="1"/>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2018 Compared with Nine Months Ended March 31, 2017</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Sales and marketing expenses increased $1.5 billion or 14%, primarily due to LinkedIn expenses and investments in commercial sales capacity, offset in part by a decrease in Windows marketing expenses. LinkedIn expenses increased $1.1 billion to $1.8 billion, including $463 million of amortization of acquired intangible assets. Sales and marketing included an unfavorable foreign currency impact of 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Percentage</w:t>
            </w:r>
          </w:p>
        </w:tc>
        <w:tc>
          <w:tcPr>
            <w:tcW w:w="440" w:type="dxa"/>
            <w:vAlign w:val="bottom"/>
          </w:tcPr>
          <w:p>
            <w:pPr>
              <w:spacing w:after="0"/>
              <w:rPr>
                <w:sz w:val="14"/>
                <w:szCs w:val="14"/>
                <w:color w:val="auto"/>
              </w:rPr>
            </w:pPr>
          </w:p>
        </w:tc>
        <w:tc>
          <w:tcPr>
            <w:tcW w:w="204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Arial" w:cs="Arial" w:eastAsia="Arial" w:hAnsi="Arial"/>
                <w:sz w:val="14"/>
                <w:szCs w:val="14"/>
                <w:b w:val="1"/>
                <w:bCs w:val="1"/>
                <w:color w:val="auto"/>
              </w:rPr>
              <w:t>March 31,</w:t>
            </w: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141"/>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9"/>
                <w:szCs w:val="19"/>
                <w:color w:val="auto"/>
              </w:rPr>
            </w:pPr>
          </w:p>
        </w:tc>
        <w:tc>
          <w:tcPr>
            <w:tcW w:w="960" w:type="dxa"/>
            <w:vAlign w:val="bottom"/>
          </w:tcPr>
          <w:p>
            <w:pPr>
              <w:jc w:val="right"/>
              <w:ind w:right="141"/>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1,208</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81"/>
              <w:spacing w:after="0" w:line="189" w:lineRule="exact"/>
              <w:rPr>
                <w:sz w:val="20"/>
                <w:szCs w:val="20"/>
                <w:color w:val="auto"/>
              </w:rPr>
            </w:pPr>
            <w:r>
              <w:rPr>
                <w:rFonts w:ascii="Arial" w:cs="Arial" w:eastAsia="Arial" w:hAnsi="Arial"/>
                <w:sz w:val="18"/>
                <w:szCs w:val="18"/>
                <w:color w:val="auto"/>
              </w:rPr>
              <w:t>1,202</w:t>
            </w:r>
          </w:p>
        </w:tc>
        <w:tc>
          <w:tcPr>
            <w:tcW w:w="110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color w:val="auto"/>
              </w:rPr>
              <w:t>0%</w:t>
            </w:r>
          </w:p>
        </w:tc>
        <w:tc>
          <w:tcPr>
            <w:tcW w:w="44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3,483</w:t>
            </w:r>
          </w:p>
        </w:tc>
        <w:tc>
          <w:tcPr>
            <w:tcW w:w="32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41"/>
              <w:spacing w:after="0" w:line="189" w:lineRule="exact"/>
              <w:rPr>
                <w:sz w:val="20"/>
                <w:szCs w:val="20"/>
                <w:color w:val="auto"/>
              </w:rPr>
            </w:pPr>
            <w:r>
              <w:rPr>
                <w:rFonts w:ascii="Arial" w:cs="Arial" w:eastAsia="Arial" w:hAnsi="Arial"/>
                <w:sz w:val="18"/>
                <w:szCs w:val="18"/>
                <w:color w:val="auto"/>
              </w:rPr>
              <w:t>3,126</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5%</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5%</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0ppt</w:t>
            </w: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rPr>
              <w:t>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194" w:lineRule="exact"/>
        <w:rPr>
          <w:sz w:val="20"/>
          <w:szCs w:val="20"/>
          <w:color w:val="auto"/>
        </w:rPr>
      </w:pPr>
    </w:p>
    <w:p>
      <w:pPr>
        <w:ind w:right="3800"/>
        <w:spacing w:after="0" w:line="459" w:lineRule="auto"/>
        <w:rPr>
          <w:sz w:val="20"/>
          <w:szCs w:val="20"/>
          <w:color w:val="auto"/>
        </w:rPr>
      </w:pPr>
      <w:r>
        <w:rPr>
          <w:rFonts w:ascii="Arial" w:cs="Arial" w:eastAsia="Arial" w:hAnsi="Arial"/>
          <w:sz w:val="18"/>
          <w:szCs w:val="18"/>
          <w:b w:val="1"/>
          <w:bCs w:val="1"/>
          <w:i w:val="1"/>
          <w:iCs w:val="1"/>
          <w:color w:val="auto"/>
        </w:rPr>
        <w:t xml:space="preserve">Three Months Ended March 31, 2018 Compared with Three Months Ended March 31, 2017 </w:t>
      </w:r>
      <w:r>
        <w:rPr>
          <w:rFonts w:ascii="Arial" w:cs="Arial" w:eastAsia="Arial" w:hAnsi="Arial"/>
          <w:sz w:val="18"/>
          <w:szCs w:val="18"/>
          <w:color w:val="auto"/>
        </w:rPr>
        <w:t>General and administrative expenses increased slightly.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6" w:name="page47"/>
    <w:bookmarkEnd w:id="46"/>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2018 Compared with Nine Months Ended March 31, 2017</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General and administrative expenses increased $ 357 million or 11%, primarily due to LinkedIn expenses and the benefit of a legal settlement in the prior year. LinkedIn expenses increased $233 million to $393 million.</w:t>
      </w:r>
    </w:p>
    <w:p>
      <w:pPr>
        <w:spacing w:after="0" w:line="224"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8"/>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Dividends and interest income</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575</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380</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1,578</w:t>
            </w:r>
          </w:p>
        </w:tc>
        <w:tc>
          <w:tcPr>
            <w:tcW w:w="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984</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6"/>
                <w:szCs w:val="16"/>
                <w:color w:val="auto"/>
              </w:rPr>
            </w:pPr>
          </w:p>
        </w:tc>
        <w:tc>
          <w:tcPr>
            <w:tcW w:w="920" w:type="dxa"/>
            <w:vAlign w:val="bottom"/>
            <w:gridSpan w:val="2"/>
          </w:tcPr>
          <w:p>
            <w:pPr>
              <w:jc w:val="right"/>
              <w:ind w:right="92"/>
              <w:spacing w:after="0" w:line="189" w:lineRule="exact"/>
              <w:rPr>
                <w:sz w:val="20"/>
                <w:szCs w:val="20"/>
                <w:color w:val="auto"/>
              </w:rPr>
            </w:pPr>
            <w:r>
              <w:rPr>
                <w:rFonts w:ascii="Arial" w:cs="Arial" w:eastAsia="Arial" w:hAnsi="Arial"/>
                <w:sz w:val="18"/>
                <w:szCs w:val="18"/>
                <w:b w:val="1"/>
                <w:bCs w:val="1"/>
                <w:color w:val="auto"/>
              </w:rPr>
              <w:t>(691)</w:t>
            </w:r>
          </w:p>
        </w:tc>
        <w:tc>
          <w:tcPr>
            <w:tcW w:w="30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(609)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(2,061)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44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510</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790</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1,851</w:t>
            </w:r>
          </w:p>
        </w:tc>
        <w:tc>
          <w:tcPr>
            <w:tcW w:w="1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line="189" w:lineRule="exact"/>
              <w:rPr>
                <w:sz w:val="20"/>
                <w:szCs w:val="20"/>
                <w:color w:val="auto"/>
              </w:rPr>
            </w:pPr>
            <w:r>
              <w:rPr>
                <w:rFonts w:ascii="Arial" w:cs="Arial" w:eastAsia="Arial" w:hAnsi="Arial"/>
                <w:sz w:val="18"/>
                <w:szCs w:val="18"/>
                <w:color w:val="auto"/>
              </w:rPr>
              <w:t>Net losses on derivatives</w:t>
            </w:r>
          </w:p>
        </w:tc>
        <w:tc>
          <w:tcPr>
            <w:tcW w:w="440" w:type="dxa"/>
            <w:vAlign w:val="bottom"/>
          </w:tcPr>
          <w:p>
            <w:pPr>
              <w:spacing w:after="0"/>
              <w:rPr>
                <w:sz w:val="16"/>
                <w:szCs w:val="16"/>
                <w:color w:val="auto"/>
              </w:rPr>
            </w:pPr>
          </w:p>
        </w:tc>
        <w:tc>
          <w:tcPr>
            <w:tcW w:w="920" w:type="dxa"/>
            <w:vAlign w:val="bottom"/>
            <w:gridSpan w:val="2"/>
          </w:tcPr>
          <w:p>
            <w:pPr>
              <w:jc w:val="right"/>
              <w:ind w:right="92"/>
              <w:spacing w:after="0" w:line="189" w:lineRule="exact"/>
              <w:rPr>
                <w:sz w:val="20"/>
                <w:szCs w:val="20"/>
                <w:color w:val="auto"/>
              </w:rPr>
            </w:pPr>
            <w:r>
              <w:rPr>
                <w:rFonts w:ascii="Arial" w:cs="Arial" w:eastAsia="Arial" w:hAnsi="Arial"/>
                <w:sz w:val="18"/>
                <w:szCs w:val="18"/>
                <w:b w:val="1"/>
                <w:bCs w:val="1"/>
                <w:color w:val="auto"/>
              </w:rPr>
              <w:t>(72)</w:t>
            </w:r>
          </w:p>
        </w:tc>
        <w:tc>
          <w:tcPr>
            <w:tcW w:w="30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(200)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(206)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4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52"/>
              <w:spacing w:after="0" w:line="189" w:lineRule="exact"/>
              <w:rPr>
                <w:sz w:val="20"/>
                <w:szCs w:val="20"/>
                <w:color w:val="auto"/>
              </w:rPr>
            </w:pPr>
            <w:r>
              <w:rPr>
                <w:rFonts w:ascii="Arial" w:cs="Arial" w:eastAsia="Arial" w:hAnsi="Arial"/>
                <w:sz w:val="18"/>
                <w:szCs w:val="18"/>
                <w:b w:val="1"/>
                <w:bCs w:val="1"/>
                <w:color w:val="auto"/>
              </w:rPr>
              <w:t>20</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50</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(49)</w:t>
            </w:r>
          </w:p>
        </w:tc>
        <w:tc>
          <w:tcPr>
            <w:tcW w:w="1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7</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0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349</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371</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1,115</w:t>
            </w:r>
          </w:p>
        </w:tc>
        <w:tc>
          <w:tcPr>
            <w:tcW w:w="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600</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0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hedges are primarily recognized in other income (expense), net. Other than those derivatives entered into for investment purposes, the gains (losses) are generally economically offset by unrealized (losses) gains in the underlying available-for-sale securities and (losses) gains on certain balance sheet amounts from foreign exchange rate changes.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with Three Months Ended March 31, 2017</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Dividends and interest income increased primarily due to higher portfolio balances and yields on fixed-income securities. Interest expense increased primarily due to higher outstanding long-term debt and higher finance lease expense. Net recognized gains on investments decreased primarily due to higher losses on sales of fixed-income securities. Net losses on derivatives decreased primarily due to lower losses on foreign currency, equity, and other derivatives.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2018 Compared with Nine Months Ended March 31, 2017</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Dividends and interest income increased primarily due to higher portfolio balances and yields on fixed-income securities. Interest expense increased primarily due to higher outstanding long-term debt. Net recognized gains on investments decreased primarily due to higher losses on sales of fixed-income securities, offset in part by higher gains on equity securities. Net losses on derivatives decreased primarily due to lower</w:t>
      </w:r>
    </w:p>
    <w:p>
      <w:pPr>
        <w:spacing w:after="0" w:line="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losses on equity, foreign currency, and other derivatives. Other, net reflects recognized losses from certain joint ventures and divestitures in the prior period.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was 14% and 23% for the three months ended March 31, 2018 and 2017, respectively, and 70% and 21% for the nine months ended March 31, 2018 and 2017, respectively. The decrease in our effective tax rate for the current quarter compared to the prior year was primarily due to the reduction of the U.S. federal statutory tax rate as a result of the TCJA. The increase in our effective tax rate for the year-to-date compared to the prior year was primarily due to the net charge related to the enactment of the TCJA in the second quarter of fiscal year 2018.</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effective tax rate for the three months ended March 31, 2018 was lower than the U.S. federal statutory rate, primarily due to earnings taxed at lower rates in foreign jurisdictions resulting from producing and distributing our products and services through our foreign regional operations centers in Ireland, Singapore, and Puerto Rico. Our effective tax rate for the nine months ended March 31, 2018 was higher than the U.S. federal statutory rate, primarily due to the net charge related to the enactment of the TCJA in the second quarter of fiscal year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7" w:name="page48"/>
    <w:bookmarkEnd w:id="47"/>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December 22, 2017, the TCJA was enacted into law, which significantly changes existing U.S. tax law and includes numerous provisions that affect our business, such as imposing a one-time transition tax on deemed repatriation of deferred foreign income, reducing the U.S. federal statutory tax rate, and adopting a territorial tax system. The TCJA required us to incur a one-time transition tax on deferred foreign income not previously subject to U.S. income tax at a rate of 15.5% for foreign cash and certain other net current assets, and 8% on the remaining income. The TCJA also reduced the U.S. federal statutory tax rate from 35% to 21% effective January 1, 2018. For fiscal year 2018, our blended U.S. federal statutory tax rate is 28%. This is the result of using the tax rate of 35% for the first and second quarter of fiscal year 2018 and the reduced tax rate of 21% for the third and fourth quarter of fiscal year 2018. The TCJA includes a provision to tax global intangible low-taxed income (“GILTI”) of foreign subsidiaries and a base erosion anti-abuse tax (“BEAT”) measure that taxes certain payments between a U.S. corporation and its subsidiaries. The GILTI and BEAT provisions of the TCJA will be effective for us beginning July 1, 2018.</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TCJA was effective in the second quarter of fiscal year 2018. As of March 31, 2018, we have not completed our accounting for the tax effects of the TCJA. During the second quarter of fiscal year 2018, we recorded a provisional net charge based on reasonable estimates for those tax effects. We have not recorded any adjustments to our provisional net charge in the third quarter of fiscal year 2018. Due to the timing of the enactment and the complexity in applying the provisions of the TCJA, the provisional net charge is subject to revisions as we continue to complete our analysis of the TCJA, collect and prepare necessary data, and interpret any additional guidance issued by the U.S. Treasury Department, Internal Revenue Service (“IRS”), FASB, and other standard-setting and regulatory bodies. Adjustments may materially impact our provision for income taxes and effective tax rate in the period in which the adjustments are made. Our accounting for the tax effects of the TCJA will be completed during the measurement period, which should not extend beyond one year from the enactment date.</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second quarter of fiscal year 2018, we recorded an estimated net charge of $13.8 billion related to the TCJA, due to the impact of the one-time transition tax on the deemed repatriation of deferred foreign income of $17.8 billion, offset in part by the impact of changes in the tax rate of $4.0 billion, primarily on deferred tax assets and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we settled a portion of the IRS audit for tax years 2004 to 2006 during the third quarter of fiscal year 2011, and a portion of the IRS audit for tax years 2007 to 2009 during the first quarter of fiscal year 2016, we remain under audit for those years. In the second quarter of fiscal year 2018, we settled a portion of the IRS audit for tax years 2010 to 2013. We continue to be subject to examination by the IRS for tax years 2010 to 2016. In February 2012, the IRS withdrew its 2011 Revenue Agents Report for tax years 2004 to 2006 and reopened the audit phase of the examination. As of March 31, 2018, the primary unresolved issue relates to transfer pricing, which could have a significant impact on our consolidated financial statements if not resolved favorably. We believe our allowances for income tax contingencies are adequate.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2017, some of which are currently under audit by local tax authorities. The resolutions of these audits are not expected to be material to our consolidated financial statements.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Tax contingencies and other income tax liabilities were $14.5 billion and $13.5 billion as of March 31, 2018 and June 30, 2017, respectively, and are included in long-term income taxes on our consolidated balance sheets. This increase relates primarily to current period intercompany transfer pricing.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net income and diluted earnings per share are non-GAAP financial measures which exclude the net charge related to the TCJA.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8" w:name="page49"/>
    <w:bookmarkEnd w:id="48"/>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jc w:val="right"/>
              <w:ind w:right="137"/>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4"/>
                <w:szCs w:val="14"/>
                <w:color w:val="auto"/>
              </w:rPr>
            </w:pPr>
          </w:p>
        </w:tc>
        <w:tc>
          <w:tcPr>
            <w:tcW w:w="20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1200" w:type="dxa"/>
            <w:vAlign w:val="bottom"/>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7,424</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5,486</w:t>
            </w:r>
          </w:p>
        </w:tc>
        <w:tc>
          <w:tcPr>
            <w:tcW w:w="1200" w:type="dxa"/>
            <w:vAlign w:val="bottom"/>
            <w:shd w:val="clear" w:color="auto" w:fill="E5E5E5"/>
          </w:tcPr>
          <w:p>
            <w:pPr>
              <w:jc w:val="right"/>
              <w:ind w:right="137"/>
              <w:spacing w:after="0" w:line="189" w:lineRule="exact"/>
              <w:rPr>
                <w:sz w:val="20"/>
                <w:szCs w:val="20"/>
                <w:color w:val="auto"/>
              </w:rPr>
            </w:pPr>
            <w:r>
              <w:rPr>
                <w:rFonts w:ascii="Arial" w:cs="Arial" w:eastAsia="Arial" w:hAnsi="Arial"/>
                <w:sz w:val="18"/>
                <w:szCs w:val="18"/>
                <w:color w:val="auto"/>
              </w:rPr>
              <w:t>35%</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7,698</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17,420</w:t>
            </w:r>
          </w:p>
        </w:tc>
        <w:tc>
          <w:tcPr>
            <w:tcW w:w="1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charge related to the TCJA</w:t>
            </w:r>
          </w:p>
        </w:tc>
        <w:tc>
          <w:tcPr>
            <w:tcW w:w="3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13,800</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5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Adjusted net income</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7,424</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5,486</w:t>
            </w:r>
          </w:p>
        </w:tc>
        <w:tc>
          <w:tcPr>
            <w:tcW w:w="1200" w:type="dxa"/>
            <w:vAlign w:val="bottom"/>
            <w:shd w:val="clear" w:color="auto" w:fill="E5E5E5"/>
          </w:tcPr>
          <w:p>
            <w:pPr>
              <w:jc w:val="right"/>
              <w:ind w:right="137"/>
              <w:spacing w:after="0" w:line="189" w:lineRule="exact"/>
              <w:rPr>
                <w:sz w:val="20"/>
                <w:szCs w:val="20"/>
                <w:color w:val="auto"/>
              </w:rPr>
            </w:pPr>
            <w:r>
              <w:rPr>
                <w:rFonts w:ascii="Arial" w:cs="Arial" w:eastAsia="Arial" w:hAnsi="Arial"/>
                <w:sz w:val="18"/>
                <w:szCs w:val="18"/>
                <w:color w:val="auto"/>
              </w:rPr>
              <w:t>35%</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21,498</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17,420</w:t>
            </w:r>
          </w:p>
        </w:tc>
        <w:tc>
          <w:tcPr>
            <w:tcW w:w="1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75"/>
        </w:trPr>
        <w:tc>
          <w:tcPr>
            <w:tcW w:w="458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0.70</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36%</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0.99</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charge related to the TCJA</w:t>
            </w:r>
          </w:p>
        </w:tc>
        <w:tc>
          <w:tcPr>
            <w:tcW w:w="30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0</w:t>
            </w:r>
          </w:p>
        </w:tc>
        <w:tc>
          <w:tcPr>
            <w:tcW w:w="1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1.77</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580" w:type="dxa"/>
            <w:vAlign w:val="bottom"/>
            <w:gridSpan w:val="2"/>
          </w:tcPr>
          <w:p>
            <w:pPr>
              <w:spacing w:after="0"/>
              <w:rPr>
                <w:sz w:val="20"/>
                <w:szCs w:val="20"/>
                <w:color w:val="auto"/>
              </w:rPr>
            </w:pPr>
            <w:r>
              <w:rPr>
                <w:rFonts w:ascii="Arial" w:cs="Arial" w:eastAsia="Arial" w:hAnsi="Arial"/>
                <w:sz w:val="18"/>
                <w:szCs w:val="18"/>
                <w:color w:val="auto"/>
              </w:rPr>
              <w:t>Adjusted diluted earnings per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0.70</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36%</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cash equivalents, and short-term investments totaled $ 132.3 billion and $133.0 billion as of March 31, 2018 and June 30, 2017, respectively. Equity and other investments were $2.8 billion and $6.0 billion as of March 31, 2018 and June 30, 2017,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the TCJA, our cash, cash equivalents, and short-term investments held by foreign subsidiaries are no longer subject to U.S. tax on repatriation into the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lend certain fixed-income and equity securities to increase investment returns. The loaned securities continue to be carried as investments on our consolidated balance sheets. Cash and/or security interests are received as collateral for the loaned securities with the amount determined based upon the underlying security lent and the creditworthiness of the borrower. Cash collateral received is recorded as an asset</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with a corresponding liability. Our average and maximum securities lending payable balances were $21 million and $71 million, respectively, for the three months ended March 31, 2018. Our average and maximum securities lending payable balances were $150 million and $600 million, respectively, for the nine months ended March 31, 2018. Intra-year variances in the amount of securities loaned are mainly due to fluctuations in the demand for the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domestic and international equities,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corporate notes and bonds, foreign government bonds, commercial paper, mortgage- and asset-backed securities, and certificates of deposit. Level 3 investments are valued using internally developed models with unobservable inputs. Assets and liabilities measured at fair value on a recurring basis using unobservable inputs are an immaterial portion of our portfolio.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9" w:name="page50"/>
    <w:bookmarkEnd w:id="49"/>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from operations increased $ 4.0 billion to $32.5 billion for the nine months ended March 31, 2018, mainly due to an increase in cash received from customers, offset in part by an increase in cash paid to employees, net cash paid for income taxes, cash paid for interest on debt, and cash paid to suppliers. Cash used in financing was $27.6 billion for the nine months ended March 31, 2018, compared to cash from financing of $11.1 billion for the nine months ended March 31, 2017. The change was mainly due to a $39.1 billion decrease in proceeds from issuance of debt, net of repayments, offset in part by a $1.7 billion decrease in cash used for common stock repurchases. Cash used in investing decreased $36.0 billion to $3.4 billion for the nine months ended March 31, 2018, mainly due to a $25.1 billion decrease in cash used for acquisitions of companies, net of cash acquired, and purchases of intangible and other assets, and a $12.7 billion increase in cash from net investment purchases, sales, and maturities.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issued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Refer to Note 11 – Debt of the Notes to Financial Statements (Part I, Item 1 of this Form 10-Q) for further discussion.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Unearned revenue comprises mainly unearned revenue related to volume licensing programs and includes Software Assurance (“SA”) and cloud services. Unearned revenue is generally billed upfront at the beginning of each annual coverage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 Item 1 of this Form 10-Q) for further discussion.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March 31, 2018:</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Ending,</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0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30, 2018</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10,087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60" w:type="dxa"/>
            <w:vAlign w:val="bottom"/>
          </w:tcPr>
          <w:p>
            <w:pPr>
              <w:spacing w:after="0" w:line="189" w:lineRule="exact"/>
              <w:rPr>
                <w:sz w:val="20"/>
                <w:szCs w:val="20"/>
                <w:color w:val="auto"/>
              </w:rPr>
            </w:pPr>
            <w:r>
              <w:rPr>
                <w:rFonts w:ascii="Arial" w:cs="Arial" w:eastAsia="Arial" w:hAnsi="Arial"/>
                <w:sz w:val="18"/>
                <w:szCs w:val="18"/>
                <w:color w:val="auto"/>
              </w:rPr>
              <w:t>September 30, 2018</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5,573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31, 2018</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4,049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60" w:type="dxa"/>
            <w:vAlign w:val="bottom"/>
          </w:tcPr>
          <w:p>
            <w:pPr>
              <w:spacing w:after="0" w:line="189" w:lineRule="exact"/>
              <w:rPr>
                <w:sz w:val="20"/>
                <w:szCs w:val="20"/>
                <w:color w:val="auto"/>
              </w:rPr>
            </w:pPr>
            <w:r>
              <w:rPr>
                <w:rFonts w:ascii="Arial" w:cs="Arial" w:eastAsia="Arial" w:hAnsi="Arial"/>
                <w:sz w:val="18"/>
                <w:szCs w:val="18"/>
                <w:color w:val="auto"/>
              </w:rPr>
              <w:t>March 31, 2019</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1,661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2,585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1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0" w:name="page51"/>
    <w:bookmarkEnd w:id="50"/>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March 31, 2018, we repurchased 78 million shares of our common stock for $6.5 billion through our share repurchase programs. All repurchases were made using cash resources. Refer to Note 17 – Stockholders’ Equity of the Notes to Financial Statements (Part I, Item 1 of this Form 10-Q) for further discussion.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 Stockholders’ Equity of the Notes to Financial Statements (Part I, Item 1 of this Form 10-Q)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on our consolidated financial statements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retail stores, and certain equipment. We have not engaged in any related party transactions or arrangements with unconsolidated entities or other persons that are reasonably likely to materially affect liquidity or the availability of capital resources.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result of the TCJA, we are required to pay a one-time transition tax of $17.8 billion on deferred foreign income not previously subject to U.S. income tax. Under the TCJA, the transition tax is payable beginning in fiscal year 2019 interest-free over eight years, with 8% due in each of the first five years, 15% in year six, 20% in year seven, and 25% in year eight.</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Critical accounting policies for us include revenue recognition, impairment of investment securities, goodwill, research and development costs, contingencies, income taxes, and inventories.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1" w:name="page52"/>
    <w:bookmarkEnd w:id="51"/>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products are generally sold with a right of return and we may provide other credits or incentives, which are accounted for as variable consideration when estimating the amount of revenue to recognize.</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new standard related to revenue recognition had a material impact on our consolidated financial statements. Refer to Note 1 – Accounting Policies of the Notes to Financial Statements (Part I, Item 1 of this Form 10-Q) for further discussion.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investments quarterly for indicators of other-than-temporary impairment. This determination requires significant judgment. In making this judgment, we employ a systematic methodology quarterly that considers available quantitative and qualitative evidence in evaluating potential impairment of our investments. If the cost of an investment exceeds its fair value, we evaluate, among other factors, general market conditions, credit quality of debt instrument issuers, the duration and extent to which the fair value is less than cost, and for equity securities, our intent and ability to hold, or plans to sell, the investment. For fixed -income securities, we also evaluate whether we have plans to sell the security or it is more likely than not that we will be required to sell the security before recovery. We also consider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net and a new cost basis in the investment is established. If market, industry, and/or investee conditions deteriorate, we may incur future impairments.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2" w:name="page53"/>
    <w:bookmarkEnd w:id="52"/>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2</w:t>
      </w:r>
    </w:p>
    <w:p>
      <w:pPr>
        <w:spacing w:after="0" w:line="3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all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on our consolidated financial statements or tax returns. Variations in the actual outcome of these future tax consequences could materially impact our consolidated financial statements.</w:t>
      </w:r>
    </w:p>
    <w:p>
      <w:pPr>
        <w:spacing w:after="0" w:line="15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TCJA significantly changes existing U.S. tax law and includes numerous provisions that affect our business. Refer to Note 12 – Income Taxes of the Notes to Financial Statements (Part I, Item 1 of this Form 10-Q)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Inventories are stated at average cost, subject to the lower of cost or market. Cost includes materials, labor, and manufacturing overhead related to the purchase and production of inventories.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3" w:name="page54"/>
    <w:bookmarkEnd w:id="53"/>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A portion of these risks is hedged, but they may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and use hedges where practicable to offset the risks and maximize the economic effectiveness of our foreign currency positions. Principal currencies hedged include the euro, Japanese yen, British pound, Canadian dollar, and Australian dollar.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fixed-income portfolio is diversified across credit sectors and maturities, consisting primarily of investment-grade securities. The credit risk and average maturity of the fixed-income portfolio is managed to achieve economic returns that correlate to certain global and domestic fixed-income indices. In addition, we use “To Be Announced” forward purchase commitments of mortgage-backed assets to gain exposure to agency mortgage-backed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equity portfolio consists of global, developed, and emerging market securities that are subject to market price risk. We manage the securities relative to certain global and domestic indices and expect their economic risk and return to correlate with these indices.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VALUE-AT-RISK</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 a value-at-risk (“VaR”) model to estimate and quantify our market risks. VaR is the expected loss, for a given confidence level, in the fair value of our portfolio due to adverse market movements over a defined time horizon. The VaR model is not intended to represent actual losses in fair value, including determinations of other-than-temporary losses in fair value in accordance with accounting principles generally accepted in the United States of America (“GAAP”), but is used as a risk estimation and management tool. The distribution of the potential changes in total market value of all holdings is computed based on the historical volatilities and correlations among foreign exchange rates, interest rates, and equity prices, assuming normal market conditions.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VaR is calculated as the total loss that will not be exceeded at the 97.5 percentile confidence level or, alternatively stated, the losses could exceed the VaR in 25 out of 1,000 cases. Several risk factors are not captured in the model, including liquidity risk, operational risk, and legal risk.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one-day VaR for substantially all of our positions: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40" w:type="dxa"/>
            <w:vAlign w:val="bottom"/>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40" w:type="dxa"/>
            <w:vAlign w:val="bottom"/>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5"/>
                <w:szCs w:val="15"/>
                <w:color w:val="auto"/>
              </w:rPr>
            </w:pPr>
          </w:p>
        </w:tc>
        <w:tc>
          <w:tcPr>
            <w:tcW w:w="860" w:type="dxa"/>
            <w:vAlign w:val="bottom"/>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55"/>
        </w:trPr>
        <w:tc>
          <w:tcPr>
            <w:tcW w:w="3580" w:type="dxa"/>
            <w:vAlign w:val="bottom"/>
            <w:gridSpan w:val="2"/>
          </w:tcPr>
          <w:p>
            <w:pPr>
              <w:spacing w:after="0"/>
              <w:rPr>
                <w:sz w:val="4"/>
                <w:szCs w:val="4"/>
                <w:color w:val="auto"/>
              </w:rPr>
            </w:pPr>
          </w:p>
        </w:tc>
        <w:tc>
          <w:tcPr>
            <w:tcW w:w="2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Risk Categories</w:t>
            </w:r>
          </w:p>
        </w:tc>
        <w:tc>
          <w:tcPr>
            <w:tcW w:w="2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currency</w:t>
            </w:r>
          </w:p>
        </w:tc>
        <w:tc>
          <w:tcPr>
            <w:tcW w:w="25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19"/>
              <w:spacing w:after="0" w:line="189" w:lineRule="exact"/>
              <w:rPr>
                <w:sz w:val="20"/>
                <w:szCs w:val="20"/>
                <w:color w:val="auto"/>
              </w:rPr>
            </w:pPr>
            <w:r>
              <w:rPr>
                <w:rFonts w:ascii="Arial" w:cs="Arial" w:eastAsia="Arial" w:hAnsi="Arial"/>
                <w:sz w:val="18"/>
                <w:szCs w:val="18"/>
                <w:b w:val="1"/>
                <w:bCs w:val="1"/>
                <w:color w:val="auto"/>
              </w:rPr>
              <w:t>178</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line="189" w:lineRule="exact"/>
              <w:rPr>
                <w:sz w:val="20"/>
                <w:szCs w:val="20"/>
                <w:color w:val="auto"/>
              </w:rPr>
            </w:pPr>
            <w:r>
              <w:rPr>
                <w:rFonts w:ascii="Arial" w:cs="Arial" w:eastAsia="Arial" w:hAnsi="Arial"/>
                <w:sz w:val="18"/>
                <w:szCs w:val="18"/>
                <w:color w:val="auto"/>
              </w:rPr>
              <w:t>114</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181</w:t>
            </w:r>
          </w:p>
        </w:tc>
        <w:tc>
          <w:tcPr>
            <w:tcW w:w="4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197</w:t>
            </w:r>
          </w:p>
        </w:tc>
        <w:tc>
          <w:tcPr>
            <w:tcW w:w="480" w:type="dxa"/>
            <w:vAlign w:val="bottom"/>
            <w:shd w:val="clear" w:color="auto" w:fill="E5E5E5"/>
          </w:tcPr>
          <w:p>
            <w:pPr>
              <w:jc w:val="right"/>
              <w:ind w:right="201"/>
              <w:spacing w:after="0" w:line="189" w:lineRule="exact"/>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Interest rate</w:t>
            </w:r>
          </w:p>
        </w:tc>
        <w:tc>
          <w:tcPr>
            <w:tcW w:w="2520" w:type="dxa"/>
            <w:vAlign w:val="bottom"/>
          </w:tcPr>
          <w:p>
            <w:pPr>
              <w:spacing w:after="0"/>
              <w:rPr>
                <w:sz w:val="16"/>
                <w:szCs w:val="16"/>
                <w:color w:val="auto"/>
              </w:rPr>
            </w:pPr>
          </w:p>
        </w:tc>
        <w:tc>
          <w:tcPr>
            <w:tcW w:w="940" w:type="dxa"/>
            <w:vAlign w:val="bottom"/>
          </w:tcPr>
          <w:p>
            <w:pPr>
              <w:jc w:val="right"/>
              <w:ind w:right="19"/>
              <w:spacing w:after="0" w:line="189" w:lineRule="exact"/>
              <w:rPr>
                <w:sz w:val="20"/>
                <w:szCs w:val="20"/>
                <w:color w:val="auto"/>
              </w:rPr>
            </w:pPr>
            <w:r>
              <w:rPr>
                <w:rFonts w:ascii="Arial" w:cs="Arial" w:eastAsia="Arial" w:hAnsi="Arial"/>
                <w:sz w:val="18"/>
                <w:szCs w:val="18"/>
                <w:b w:val="1"/>
                <w:bCs w:val="1"/>
                <w:color w:val="auto"/>
              </w:rPr>
              <w:t>163</w:t>
            </w:r>
          </w:p>
        </w:tc>
        <w:tc>
          <w:tcPr>
            <w:tcW w:w="360" w:type="dxa"/>
            <w:vAlign w:val="bottom"/>
          </w:tcPr>
          <w:p>
            <w:pPr>
              <w:spacing w:after="0"/>
              <w:rPr>
                <w:sz w:val="16"/>
                <w:szCs w:val="16"/>
                <w:color w:val="auto"/>
              </w:rPr>
            </w:pPr>
          </w:p>
        </w:tc>
        <w:tc>
          <w:tcPr>
            <w:tcW w:w="860" w:type="dxa"/>
            <w:vAlign w:val="bottom"/>
          </w:tcPr>
          <w:p>
            <w:pPr>
              <w:jc w:val="right"/>
              <w:ind w:right="99"/>
              <w:spacing w:after="0" w:line="189" w:lineRule="exact"/>
              <w:rPr>
                <w:sz w:val="20"/>
                <w:szCs w:val="20"/>
                <w:color w:val="auto"/>
              </w:rPr>
            </w:pPr>
            <w:r>
              <w:rPr>
                <w:rFonts w:ascii="Arial" w:cs="Arial" w:eastAsia="Arial" w:hAnsi="Arial"/>
                <w:sz w:val="18"/>
                <w:szCs w:val="18"/>
                <w:color w:val="auto"/>
              </w:rPr>
              <w:t>152</w:t>
            </w:r>
          </w:p>
        </w:tc>
        <w:tc>
          <w:tcPr>
            <w:tcW w:w="2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173</w:t>
            </w:r>
          </w:p>
        </w:tc>
        <w:tc>
          <w:tcPr>
            <w:tcW w:w="4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179</w:t>
            </w:r>
          </w:p>
        </w:tc>
        <w:tc>
          <w:tcPr>
            <w:tcW w:w="480" w:type="dxa"/>
            <w:vAlign w:val="bottom"/>
          </w:tcPr>
          <w:p>
            <w:pPr>
              <w:spacing w:after="0"/>
              <w:rPr>
                <w:sz w:val="16"/>
                <w:szCs w:val="16"/>
                <w:color w:val="auto"/>
              </w:rPr>
            </w:pPr>
          </w:p>
        </w:tc>
        <w:tc>
          <w:tcPr>
            <w:tcW w:w="6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252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9"/>
              <w:spacing w:after="0" w:line="189" w:lineRule="exact"/>
              <w:rPr>
                <w:sz w:val="20"/>
                <w:szCs w:val="20"/>
                <w:color w:val="auto"/>
              </w:rPr>
            </w:pPr>
            <w:r>
              <w:rPr>
                <w:rFonts w:ascii="Arial" w:cs="Arial" w:eastAsia="Arial" w:hAnsi="Arial"/>
                <w:sz w:val="18"/>
                <w:szCs w:val="18"/>
                <w:b w:val="1"/>
                <w:bCs w:val="1"/>
                <w:color w:val="auto"/>
              </w:rPr>
              <w:t>30</w:t>
            </w: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99"/>
              <w:spacing w:after="0" w:line="189" w:lineRule="exact"/>
              <w:rPr>
                <w:sz w:val="20"/>
                <w:szCs w:val="20"/>
                <w:color w:val="auto"/>
              </w:rPr>
            </w:pPr>
            <w:r>
              <w:rPr>
                <w:rFonts w:ascii="Arial" w:cs="Arial" w:eastAsia="Arial" w:hAnsi="Arial"/>
                <w:sz w:val="18"/>
                <w:szCs w:val="18"/>
                <w:color w:val="auto"/>
              </w:rPr>
              <w:t>54</w:t>
            </w:r>
          </w:p>
        </w:tc>
        <w:tc>
          <w:tcPr>
            <w:tcW w:w="2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26</w:t>
            </w:r>
          </w:p>
        </w:tc>
        <w:tc>
          <w:tcPr>
            <w:tcW w:w="440" w:type="dxa"/>
            <w:vAlign w:val="bottom"/>
            <w:shd w:val="clear" w:color="auto" w:fill="E5E5E5"/>
          </w:tcPr>
          <w:p>
            <w:pPr>
              <w:spacing w:after="0"/>
              <w:rPr>
                <w:sz w:val="16"/>
                <w:szCs w:val="16"/>
                <w:color w:val="auto"/>
              </w:rPr>
            </w:pPr>
          </w:p>
        </w:tc>
        <w:tc>
          <w:tcPr>
            <w:tcW w:w="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30</w:t>
            </w:r>
          </w:p>
        </w:tc>
        <w:tc>
          <w:tcPr>
            <w:tcW w:w="480" w:type="dxa"/>
            <w:vAlign w:val="bottom"/>
            <w:shd w:val="clear" w:color="auto" w:fill="E5E5E5"/>
          </w:tcPr>
          <w:p>
            <w:pPr>
              <w:spacing w:after="0"/>
              <w:rPr>
                <w:sz w:val="16"/>
                <w:szCs w:val="16"/>
                <w:color w:val="auto"/>
              </w:rPr>
            </w:pPr>
          </w:p>
        </w:tc>
        <w:tc>
          <w:tcPr>
            <w:tcW w:w="6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one-day VaR for the combined risk categories was $ 254 million and $207 million as of March 31, 2018 and June 30, 2017, respectively. The total VaR is 31% and 35% less as of March 31, 2018 and June 30, 2017, respectively, than the sum of the separate risk categories in the table above due to the diversification benefit of the combination of risks.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4" w:name="page55"/>
    <w:bookmarkEnd w:id="54"/>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2018 that have materially affected, or are reasonably likely to materially affect, our internal control over financial reporting. We implemented internal controls to ensure we adequately evaluated our contracts and properly assessed the impact of the new accounting standards related to revenue recognition and leases on our financial statements to facilitate their adoption on July 1, 2017. There were no significant changes to our internal control over financial reporting due to the adoption of the new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u w:val="single" w:color="auto"/>
          <w:color w:val="auto"/>
        </w:rPr>
        <w:t>PART II</w:t>
      </w:r>
    </w:p>
    <w:p>
      <w:pPr>
        <w:jc w:val="center"/>
        <w:spacing w:after="0"/>
        <w:rPr>
          <w:sz w:val="20"/>
          <w:szCs w:val="20"/>
          <w:color w:val="auto"/>
        </w:rPr>
      </w:pPr>
      <w:r>
        <w:rPr>
          <w:rFonts w:ascii="Arial" w:cs="Arial" w:eastAsia="Arial" w:hAnsi="Arial"/>
          <w:sz w:val="14"/>
          <w:szCs w:val="14"/>
          <w:color w:val="auto"/>
        </w:rPr>
        <w:t>Item 1, 1A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16 – Contingencies of the Notes to Financial Statements (Part I, Item 1 of this Form 10-Q) for information regarding legal proceedings in which we are involved.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platforms, ecosystems, and devices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 applications, and services.</w:t>
      </w:r>
    </w:p>
    <w:p>
      <w:pPr>
        <w:spacing w:after="0" w:line="53" w:lineRule="exact"/>
        <w:rPr>
          <w:sz w:val="20"/>
          <w:szCs w:val="20"/>
          <w:color w:val="auto"/>
        </w:rPr>
      </w:pPr>
    </w:p>
    <w:p>
      <w:pPr>
        <w:jc w:val="both"/>
        <w:ind w:left="1060" w:hanging="390"/>
        <w:spacing w:after="0" w:line="238"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and wearables. Competitors pursuing this model also earn revenue from services integrated with the hardware and software platform. We also offer some vertically-integrated hardware and software products and services. To the extent we shift a portion of our business to a vertically integrated model we increase our cost of revenue and reduce our operating margins.</w:t>
      </w:r>
    </w:p>
    <w:p>
      <w:pPr>
        <w:spacing w:after="0" w:line="54" w:lineRule="exact"/>
        <w:rPr>
          <w:rFonts w:ascii="Arial" w:cs="Arial" w:eastAsia="Arial" w:hAnsi="Arial"/>
          <w:sz w:val="18"/>
          <w:szCs w:val="18"/>
          <w:color w:val="auto"/>
        </w:rPr>
      </w:pPr>
    </w:p>
    <w:p>
      <w:pPr>
        <w:jc w:val="both"/>
        <w:ind w:left="1060" w:hanging="390"/>
        <w:spacing w:after="0" w:line="236"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personal computers.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In addition, some of our devices compete with products made by our original equipment manufacturer (“OEM”) partners, which may affect their commitment to our platform.</w:t>
      </w:r>
    </w:p>
    <w:p>
      <w:pPr>
        <w:spacing w:after="0" w:line="59" w:lineRule="exact"/>
        <w:rPr>
          <w:rFonts w:ascii="Arial" w:cs="Arial" w:eastAsia="Arial" w:hAnsi="Arial"/>
          <w:sz w:val="18"/>
          <w:szCs w:val="18"/>
          <w:color w:val="auto"/>
        </w:rPr>
      </w:pPr>
    </w:p>
    <w:p>
      <w:pPr>
        <w:jc w:val="both"/>
        <w:ind w:left="1060" w:hanging="390"/>
        <w:spacing w:after="0" w:line="23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sometimes incur costs to move data and buy new content and applications when switching platforms. To compete, we must successfully enlist developers to write applications for our marketplace and ensure that these applications have high quality, customer appeal, and value. Efforts to compete with competitors’ content and application marketplaces may increase our cost of revenue and lower our operating margins.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6" w:name="page57"/>
    <w:bookmarkEnd w:id="56"/>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1A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0"/>
        <w:spacing w:after="0" w:line="23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Even as we transition more of our business to a services and subscription business model, the license-based proprietary software model generates most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53" w:lineRule="exact"/>
        <w:rPr>
          <w:rFonts w:ascii="Arial" w:cs="Arial" w:eastAsia="Arial" w:hAnsi="Arial"/>
          <w:sz w:val="18"/>
          <w:szCs w:val="18"/>
          <w:color w:val="auto"/>
        </w:rPr>
      </w:pPr>
    </w:p>
    <w:p>
      <w:pPr>
        <w:jc w:val="both"/>
        <w:ind w:left="1060" w:hanging="390"/>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54" w:lineRule="exact"/>
        <w:rPr>
          <w:rFonts w:ascii="Arial" w:cs="Arial" w:eastAsia="Arial" w:hAnsi="Arial"/>
          <w:sz w:val="18"/>
          <w:szCs w:val="18"/>
          <w:color w:val="auto"/>
        </w:rPr>
      </w:pPr>
    </w:p>
    <w:p>
      <w:pPr>
        <w:jc w:val="both"/>
        <w:ind w:left="1060" w:hanging="390"/>
        <w:spacing w:after="0" w:line="23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Some companies compete with us using an open source business model by modifying and then distributing open source software at nominal cost to end-users, and earning revenue on advertising or complementary services and products. These firms do not bear the full costs of research and development for the software. Some open source software vendors develop software that mimics the features and functionality of our products.</w:t>
      </w:r>
    </w:p>
    <w:p>
      <w:pPr>
        <w:spacing w:after="0" w:line="1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increasing focus on services presents execution and competitive risks. </w:t>
      </w:r>
      <w:r>
        <w:rPr>
          <w:rFonts w:ascii="Arial" w:cs="Arial" w:eastAsia="Arial" w:hAnsi="Arial"/>
          <w:sz w:val="18"/>
          <w:szCs w:val="18"/>
          <w:color w:val="auto"/>
        </w:rPr>
        <w:t>A growing part of our business involves cloud-based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across the spectrum of computing devices. Our strategic vision is to compete and grow by building best-in-class platforms and productivity services for an intelligent cloud and an intelligent edge infused with artificial intelligence.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suite of cloud-based services to use. We are devoting significant resources to develop and deploy our cloud-based strategies. The Windows ecosystem must continue to evolve with this changing environment. We are undertaking cultural and organizational changes to drive accountability and eliminate obstacles to innovation. The Company’s investment in gaining insights from data is becoming central to the value of the services we deliver to customers, to our operational efficiency and key opportunities in monetization, customer perceptions of quality, and operational</w:t>
      </w:r>
    </w:p>
    <w:p>
      <w:pPr>
        <w:spacing w:after="0" w:line="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efficiency. Our ability to use data in this way may be constrained by regulatory developments that impede realizing the expected return from this investment.</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68" w:lineRule="exact"/>
        <w:rPr>
          <w:sz w:val="20"/>
          <w:szCs w:val="20"/>
          <w:color w:val="auto"/>
        </w:rPr>
      </w:pPr>
    </w:p>
    <w:p>
      <w:pPr>
        <w:ind w:left="1060" w:hanging="39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television-related devices.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w:t>
      </w:r>
    </w:p>
    <w:p>
      <w:pPr>
        <w:spacing w:after="0" w:line="63"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7" w:name="page58"/>
    <w:bookmarkEnd w:id="57"/>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make significant investments in new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Office, Bing, SQL Server, Windows Server, the Windows Store, Microsoft Azure, Office 365, other cloud-based offerings, Xbox Live, and LinkedIn.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did extensive preparation and ongoing compatibility testing for applications and devices to help ensure a positive experience for our users installing Windows 10. However, negative upgrade experiences could adversely affect the reception of Windows 10 in the marketplace and could lead to litigation or regulatory actions by customers and government agencies. In addition, we anticipate that Windows 10 will enable new post-license monetization opportunities beyond initial license revenues. Our inability to realize these opportunities to the extent we expect could have an adverse impact on our revenues. Finally, our practices for data collection, use, and management in Windows 10 are subject to regulatory review, and may result in decisions directing us to change these practices and imposing fines. If so, we could face negative public reaction, degraded user experiences, and reduced flexibility in product design.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In December 2016, we completed our acquisition of LinkedIn for $ 27.0 billion. The LinkedIn acquisition and other transactions and arrangements involve significant challenges and risks, including that they do not advance our business strategy, that we get an unsatisfactory return on our investment, that we have difficulty integrating and retaining new employees, business systems, and technology, or that they distract management from our other businesses.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enhanced efficiencies, or increased market share, or the benefits may ultimately be smaller than we expected. These events could adversely affect our operating results or financial condition.</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may be required to record a significant charge on our consolidated financial statements during the period in which any impairment of our goodwill or amortizable intangible assets is determined, negatively affecting our results of operations. For example, in the fourth quarter of fiscal year 2015, we recorded a $5.1 billion charge for the impairment of goodwill and a $2.2 billion charge for the impairment of intangible assets, and in the fourth quarter of fiscal year 2016 we recorded a $480 million charge for the impairment of intangible assets. The impairment charges for both periods related to our phone business. Our acquisition of LinkedIn resulted in a significant increase in our goodwill and intangible asset balances.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8" w:name="page59"/>
    <w:bookmarkEnd w:id="58"/>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1A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earn the revenues we expect from our intellectual property rights.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in countries where laws are less protective of intellectual property rights. Our revenue in these markets may grow slower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expected royalties from our patent licenses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our patents to others in return for a royalty. Changes in the law may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Finally, the royalties we can obtain to monetize our intellectual property may decline because of the evolution of technology, selling price changes in products using licensed patents, or the difficulty of discovering infringements.</w:t>
      </w:r>
    </w:p>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1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of source code. </w:t>
      </w:r>
      <w:r>
        <w:rPr>
          <w:rFonts w:ascii="Arial" w:cs="Arial" w:eastAsia="Arial" w:hAnsi="Arial"/>
          <w:sz w:val="18"/>
          <w:szCs w:val="18"/>
          <w:color w:val="auto"/>
        </w:rPr>
        <w:t>Source code, the</w:t>
      </w:r>
      <w:r>
        <w:rPr>
          <w:rFonts w:ascii="Arial" w:cs="Arial" w:eastAsia="Arial" w:hAnsi="Arial"/>
          <w:sz w:val="18"/>
          <w:szCs w:val="18"/>
          <w:b w:val="1"/>
          <w:bCs w:val="1"/>
          <w:color w:val="auto"/>
        </w:rPr>
        <w:t xml:space="preserve"> </w:t>
      </w:r>
      <w:r>
        <w:rPr>
          <w:rFonts w:ascii="Arial" w:cs="Arial" w:eastAsia="Arial" w:hAnsi="Arial"/>
          <w:sz w:val="18"/>
          <w:szCs w:val="18"/>
          <w:color w:val="auto"/>
        </w:rPr>
        <w:t>detailed 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a significant portion of our source code leaks, we might lose future trade secret protection for that source code. It may become easier for third parties to compete with our products by copying functionality, which could adversely affect our revenue and operating margins. Unauthorized disclosure of source code also could increase the security risks described in the next paragraph.</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on our products and services from use by others</w:t>
      </w:r>
      <w:r>
        <w:rPr>
          <w:rFonts w:ascii="Arial" w:cs="Arial" w:eastAsia="Arial" w:hAnsi="Arial"/>
          <w:sz w:val="18"/>
          <w:szCs w:val="18"/>
          <w:color w:val="auto"/>
        </w:rPr>
        <w:t>. LinkedIn and other Microsoft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9" w:name="page60"/>
    <w:bookmarkEnd w:id="59"/>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1A</w:t>
      </w:r>
    </w:p>
    <w:p>
      <w:pPr>
        <w:spacing w:after="0" w:line="3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Inadequate account security practices may also result in unauthorized access to confidential data. For example, system</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administrators may fail to timely remove employee account access when no longer appropriate. Cyberthreats are constantly evolving, increasing the difficulty of detecting and successfully defending against them. Cyberthreats can have cascading impacts that unfold with increasing speed across our internal networks and systems and those of our partners and customers. Breaches of our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improved technologies, or otherwise adversely affect our business.</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Hackers tend to focus their efforts on the most popular operating systems, programs, and services, including many of ours, and we expect that to continue. Hackers that acquire user account information at other companies can use that information to compromise our users’ accounts where accounts share the same attributes like passwords. Inadequate account security practices may also result in unauthorized access. We are also increasingly incorporating open source software into our products. There may be vulnerabilities in open source software that may make our products susceptible to cyberattacks.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customers security tools such as firewalls and anti-virus software and information about the need to deploy security measures and the impact of doing so.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0" w:name="page61"/>
    <w:bookmarkEnd w:id="60"/>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1A</w:t>
      </w:r>
    </w:p>
    <w:p>
      <w:pPr>
        <w:spacing w:after="0" w:line="3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of these steps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may fail to update their systems, continue to run software or operating systems we no longer support, or may fail timely to install or enable security patches. Any of these actions by customers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 Legislative or regulatory action in these areas may increase the costs to develop, implement, or secure our products and services.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illustrated by the recent Spectre and Meltdown threats, our products operate in conjunction with and are dependent on products and components across a broad ecosystem. If there is a security vulnerability in one of these components, and if there is a security exploit targeting it, we could face increased costs, liability claims, reduced revenue, or harm to our reputation or competitive position.</w:t>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personally identifiable information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vendors on data security, and other practices we follow may not prevent the improper disclosure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Abuse of our advertising or social platforms may harm our reputation or user engagement. </w:t>
      </w:r>
      <w:r>
        <w:rPr>
          <w:rFonts w:ascii="Arial" w:cs="Arial" w:eastAsia="Arial" w:hAnsi="Arial"/>
          <w:sz w:val="18"/>
          <w:szCs w:val="18"/>
          <w:color w:val="auto"/>
        </w:rPr>
        <w:t>For LinkedIn, Bing Ads, and other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that provide content or host ads that come from or can be influenced by third parties, our reputation or user engagement may be negatively affected by activity that is hostile or inappropriate to other people, by users impersonating other people or organizations, by use of our products or services to disseminate information that may be viewed as misleading or intended to manipulate the opinions of our users, or by the use of our products or services that violates our terms of service or otherwise for objectionable or illegal ends. Preventing these actions may require us to make substantial investments in people and technology and these investments may not be successful, adversely affecting our business and financial results.</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 power.</w:t>
      </w:r>
      <w:r>
        <w:rPr>
          <w:rFonts w:ascii="Arial" w:cs="Arial" w:eastAsia="Arial" w:hAnsi="Arial"/>
          <w:sz w:val="18"/>
          <w:szCs w:val="18"/>
          <w:b w:val="1"/>
          <w:bCs w:val="1"/>
          <w:color w:val="auto"/>
        </w:rPr>
        <w:t xml:space="preserve"> </w:t>
      </w:r>
      <w:r>
        <w:rPr>
          <w:rFonts w:ascii="Arial" w:cs="Arial" w:eastAsia="Arial" w:hAnsi="Arial"/>
          <w:sz w:val="18"/>
          <w:szCs w:val="18"/>
          <w:color w:val="auto"/>
        </w:rPr>
        <w:t>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Exchange Online, Microsoft Azure, Microsoft Account services, Office 365, OneDrive, SharePoint Online, Skype, Xbox Live, Outlook.com, and Windows Stores. We are rapidly growing our business of providing a platform and back-end hosting for services provided by third parties to their end users. Maintaining, securing, and expanding this infrastructure is expensive and complex. It requires that we maintain an Internet connectivity infrastructure that is robust and reliable within competitive and regulatory constraints that continue to evolve. Inefficiencies or operational failures, including temporary or permanent loss of customer data or insufficient Internet connectivity,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harm our operating results and financial condition.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1" w:name="page62"/>
    <w:bookmarkEnd w:id="61"/>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An increasing number of governments are regulating competition law activities and this includes increased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4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10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on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 Because these jurisdictions only recently implemented competition laws, their enforcement activities are unpredictable.</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The outcome of such actions, or steps taken to avoid them, could adversely affect us in a variety of ways, including:</w:t>
      </w:r>
    </w:p>
    <w:p>
      <w:pPr>
        <w:spacing w:after="0" w:line="257" w:lineRule="exact"/>
        <w:rPr>
          <w:sz w:val="20"/>
          <w:szCs w:val="20"/>
          <w:color w:val="auto"/>
        </w:rPr>
      </w:pPr>
    </w:p>
    <w:p>
      <w:pPr>
        <w:jc w:val="both"/>
        <w:ind w:left="1060" w:hanging="39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54"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rulings described above may be precedent in other competition law proceedings.</w:t>
      </w:r>
    </w:p>
    <w:p>
      <w:pPr>
        <w:spacing w:after="0" w:line="63" w:lineRule="exact"/>
        <w:rPr>
          <w:rFonts w:ascii="Arial" w:cs="Arial" w:eastAsia="Arial" w:hAnsi="Arial"/>
          <w:sz w:val="18"/>
          <w:szCs w:val="18"/>
          <w:color w:val="auto"/>
        </w:rPr>
      </w:pPr>
    </w:p>
    <w:p>
      <w:pPr>
        <w:jc w:val="both"/>
        <w:ind w:left="1060" w:hanging="39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54" w:lineRule="exact"/>
        <w:rPr>
          <w:rFonts w:ascii="Arial" w:cs="Arial" w:eastAsia="Arial" w:hAnsi="Arial"/>
          <w:sz w:val="18"/>
          <w:szCs w:val="18"/>
          <w:color w:val="auto"/>
        </w:rPr>
      </w:pPr>
    </w:p>
    <w:p>
      <w:pPr>
        <w:ind w:left="1060" w:hanging="39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realize anticipated Windows 10 post-sale monetization opportunities may be limited.</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operations subject us to potential liability under anti-corruption, trade protection,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and other anti-corruption laws and regulations (“Anti-Corruption Laws”) prohibit corrupt payments by our employees, vendors, or agents. From time to time, we receive inquiries from authorities in the U.S. and elsewhere and reports from employees and others about our business activities outside the U.S. and our compliance with Anti-Corruption Laws. Specifically, we have been cooperating with authorities in the U.S. in connection with reports concerning our compliance with the Foreign Corrupt Practices Act in various countries. While we devote substantial resources to our global compliance programs and have implemented policies, training, and internal controls designed to reduce the risk of corrupt payments, our employees, vendors, or agents may violate our policies. Our failure to comply with Anti-Corruption Laws could result in significant fines and penalties, criminal sanctions against us, our officers, or our employees, prohibitions on the conduct of our business, and damage to our reputation. Operations outside the U.S. may be affected by changes in trade protection laws, policies, and measures, sanctions, and other regulatory requirements affecting trade and investment. We may be subject to legal liability and reputational damage if we sell goods or services in violation of U.S. trade sanctions on countries such as Iran, North Korea, Cuba, Sudan, and Syria.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2" w:name="page63"/>
    <w:bookmarkEnd w:id="62"/>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1A</w:t>
      </w:r>
    </w:p>
    <w:p>
      <w:pPr>
        <w:spacing w:after="0" w:line="3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regulatory areas that may apply to our products and online services offerings include user privacy, telecommunications, data storage and protection, and online content. For example, regulators may take the position that our offerings such as Skype are covered by laws regulating telecommunications services. Data protection authorities may assert that our collection, use, and management of customer data is inconsistent with their laws and regulations.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or fines against us. </w:t>
      </w:r>
      <w:r>
        <w:rPr>
          <w:rFonts w:ascii="Arial" w:cs="Arial" w:eastAsia="Arial" w:hAnsi="Arial"/>
          <w:sz w:val="18"/>
          <w:szCs w:val="18"/>
          <w:color w:val="auto"/>
        </w:rPr>
        <w:t>The growth of our Internet- and cloud-based services internationally relies increasingly on the movement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data across national boundaries. Legal requirements relating to the collection, storage, handling, and transfer of personal data continue to evolve. For example, the EU and the U.S. formally entered into a new framework in July 2016 that provides a mechanism for companies to transfer data from EU member states to the U.S. This framework, called the Privacy Shield, is intended to address shortcomings identified by the European Court of Justice in a predecessor mechanism. The Privacy Shield and other mechanisms are currently subject to challenges in European courts, which may lead to uncertainty about the legal basis for data transfers across the Atlantic. In 2016, the EU adopted a new law governing data practices and privacy called the General Data Protection Regulation (“GDPR”), which becomes effective in May 2018. The law requires firms to meet new requirements regarding the handling of personal data. Engineering efforts to build new capabilities to facilitate compliance with the law may entail substantial expense and the diversion of engineering resources from other projects. If we are unable to engineer products that meet our legal duties or help our customers meet their obligations under the GDPR or other data regulations, we might experience reduced demand for our offerings. Compliance with data regulations might limit our ability to innovate or offer certain features and functionality in some jurisdictions where we operate. Non-compliance with the GDPR may lead to regulatory enforcement actions, which can result in monetary penalties of up to 4% of worldwide revenue, or private lawsuits.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Ongoing legal reviews by regulators may result in burdensome or inconsistent requirements affecting the location and movement of our customer and internal employee data as well as the management of that data. Compliance may require changes in services, business practices, or internal systems that result in increased costs, lower revenue, reduced efficiency, or greater difficulty in competing with foreign-based firms. Failure to comply with existing or new rules may result in significant penalties or orders to stop the alleged noncompliant activity.</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The market for highly skilled workers and leaders in our industry is extremely competitive. We are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key employees,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10,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on our consolidated financial statements could occur for the period in which the effect of an unfavorable outcome becomes probable and reasonably estimable.</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 and Jobs Act (“TCJA”) may require the collection of information not regularly produced within the Company, the use of estimates in our financial statements, and the exercise of significant judgment in accounting for its provisions. As regulations and guidance evolve with respect to TCJA, and as we gather more information and perform more analysis, our results may differ from previous estimates and may materially affect our financial position.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3" w:name="page64"/>
    <w:bookmarkEnd w:id="63"/>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1A</w:t>
      </w:r>
    </w:p>
    <w:p>
      <w:pPr>
        <w:spacing w:after="0" w:line="3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regularly are under audit by tax authorities in different jurisdictions. Economic and political pressures to increase tax revenue in various jurisdictions may make resolving tax disputes favorably more difficult. Although we believe our tax estimates are reasonable, the final determination of tax audits and any related litigation in the jurisdictions where we are subject to taxation could be materially different from our historical income tax provisions and accruals. The results of an audit or litigation could have a material effect on our consolidated financial statements in the period or periods in which that determination is made.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tax expense and cash flows.</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vertically-integrated hardware products such as Xbox consoles, Surface devices,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devices we design, manufacture,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software products also may experience quality or reliability problems. The highly-sophisticated software products we develop may contain bugs and other defects that interfere with their intended operation.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or industry shortages,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vertically-integrated hardware and software products we may offer.</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and customers to make technology more accessible. If our products do not meet customer expectations or emerging global accessibility requirements, we could lose sales opportunities or face regulatory actions.</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in over 200 countries and a significant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our revenue comes from international sales. The global nature of our business creates operational and economic risks. Emerging markets are a significant focus of our international growth strategy. The developing nature of these markets presents several risks, including deterioration of social, political, labor, or economic conditions in a country or region, and difficulties in staffing and managing foreign operations. Although we hedge a portion of our international currency exposure, significant fluctuations in foreign exchange rates between the U.S. dollar and foreign currencies may adversely affect our revenue. Competitive or regulatory pressure to make our pricing structure uniform might require that we reduce the sales price of our software in the U.S. and other countries.</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 earthquake, weather event, cyberattack, terrorist attack,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on our operating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4" w:name="page65"/>
    <w:bookmarkEnd w:id="64"/>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1A</w:t>
      </w:r>
    </w:p>
    <w:p>
      <w:pPr>
        <w:spacing w:after="0" w:line="3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requirements that could impact our operating strategies, access to global markets, hiring, and profitability. Geopolitical instability may lead to sanctions and impact our ability to do business in some markets or with some public-sector customers. Emerging nationalist trends in specific countries may significantly alter the trade environment. Changes to trade policy or agreements may result in higher tariffs, local sourcing initiatives, or other developments that make it more difficult to sell our products in foreign countries. Any of these changes may negatively impact our revenues.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long-term effects of climate change on the global economy or the IT industry in particular are unclear. Environmental regulations or changes in the supply, demand or available sources of energy or other natural resources may affect the availability or cost of goods and services, including natural resources, necessary to run our business. Changes in weather where we operate may increase the costs of powering and cooling computer hardware we use to develop software and provide cloud-based services.</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economic conditions, may cause lower IT spending and adversely affect our revenue. If demand for PCs, servers, and other computing devices declines, or consumer or business spending for those products declines, our revenue will be adversely affected. Substantial revenue comes from our U.S. government contracts. An extended federal government shutdown resulting from failing to pass budget appropriations, adopt continuing funding resolutions or raise the debt ceiling, and other budgetary decisions limiting or delaying federal government spending, could reduce government IT spending on our products and services and adversely affect our revenue.</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unusual events that affect global financial markets. A significant part of our investment portfolio comprises U.S. government securities. If global credit and equity markets decline for long periods, or if there is a downgrade of the U.S. government credit rating due to an actual or threatened default on government debt, our investment portfolio may be adversely affected and we could determine that more of our investments have experienced an other-than-temporary decline in fair value, requiring impairment charges that could adversely affect our financial results.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Changes in our sales organization may impact revenues. </w:t>
      </w:r>
      <w:r>
        <w:rPr>
          <w:rFonts w:ascii="Arial" w:cs="Arial" w:eastAsia="Arial" w:hAnsi="Arial"/>
          <w:sz w:val="18"/>
          <w:szCs w:val="18"/>
          <w:color w:val="auto"/>
        </w:rPr>
        <w:t>In July 2017, we announced plans to reorganize our global sales organization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enable customers’ digital transformation, add greater technical ability to our sales force, and create pooled resources that can be used across countries and industries. The reorganization is the most significant change in our global sales organization in our history, involving employees changing roles, adding additional talent, realigning teams, and onboarding new partners. Successfully executing these changes will be a significant factor in enabling future revenue growth. As we navigate through this transition, sales, profitability, and cash flow could be adversely impacted.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5" w:name="page66"/>
    <w:bookmarkEnd w:id="65"/>
    <w:p>
      <w:pPr>
        <w:ind w:left="5480"/>
        <w:spacing w:after="0"/>
        <w:rPr>
          <w:sz w:val="20"/>
          <w:szCs w:val="20"/>
          <w:color w:val="auto"/>
        </w:rPr>
      </w:pPr>
      <w:r>
        <w:rPr>
          <w:rFonts w:ascii="Arial" w:cs="Arial" w:eastAsia="Arial" w:hAnsi="Arial"/>
          <w:sz w:val="14"/>
          <w:szCs w:val="14"/>
          <w:u w:val="single" w:color="auto"/>
          <w:color w:val="auto"/>
        </w:rPr>
        <w:t>PART II</w:t>
      </w:r>
    </w:p>
    <w:p>
      <w:pPr>
        <w:ind w:left="5460"/>
        <w:spacing w:after="0"/>
        <w:rPr>
          <w:sz w:val="20"/>
          <w:szCs w:val="20"/>
          <w:color w:val="auto"/>
        </w:rPr>
      </w:pPr>
      <w:r>
        <w:rPr>
          <w:rFonts w:ascii="Arial" w:cs="Arial" w:eastAsia="Arial" w:hAnsi="Arial"/>
          <w:sz w:val="14"/>
          <w:szCs w:val="14"/>
          <w:color w:val="auto"/>
        </w:rPr>
        <w:t>Item 2,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DIVIDENDS AND SHARE REPURCHASES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 to Note 17 – Stockholders’ Equity of the Notes to Financial Statements (Part I, Item 1 of this Form 10-Q) for further discussion regarding dividends and share repurchases. Following are our monthly stock repurchases for the third quarter of fiscal year 2018:</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 Number of</w:t>
            </w: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Shares Purchased as</w:t>
            </w:r>
          </w:p>
        </w:tc>
        <w:tc>
          <w:tcPr>
            <w:tcW w:w="40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Total Number</w:t>
            </w:r>
          </w:p>
        </w:tc>
        <w:tc>
          <w:tcPr>
            <w:tcW w:w="340" w:type="dxa"/>
            <w:vAlign w:val="bottom"/>
          </w:tcPr>
          <w:p>
            <w:pPr>
              <w:spacing w:after="0"/>
              <w:rPr>
                <w:sz w:val="12"/>
                <w:szCs w:val="12"/>
                <w:color w:val="auto"/>
              </w:rPr>
            </w:pPr>
          </w:p>
        </w:tc>
        <w:tc>
          <w:tcPr>
            <w:tcW w:w="112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Part of Publicly</w:t>
            </w:r>
          </w:p>
        </w:tc>
        <w:tc>
          <w:tcPr>
            <w:tcW w:w="40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of Shares</w:t>
            </w:r>
          </w:p>
        </w:tc>
        <w:tc>
          <w:tcPr>
            <w:tcW w:w="340" w:type="dxa"/>
            <w:vAlign w:val="bottom"/>
          </w:tcPr>
          <w:p>
            <w:pPr>
              <w:spacing w:after="0"/>
              <w:rPr>
                <w:sz w:val="12"/>
                <w:szCs w:val="12"/>
                <w:color w:val="auto"/>
              </w:rPr>
            </w:pPr>
          </w:p>
        </w:tc>
        <w:tc>
          <w:tcPr>
            <w:tcW w:w="112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auto"/>
              </w:rPr>
              <w:t>Price Paid</w:t>
            </w:r>
          </w:p>
        </w:tc>
        <w:tc>
          <w:tcPr>
            <w:tcW w:w="1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Announced Plans</w:t>
            </w:r>
          </w:p>
        </w:tc>
        <w:tc>
          <w:tcPr>
            <w:tcW w:w="40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7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15"/>
                <w:szCs w:val="15"/>
                <w:color w:val="auto"/>
              </w:rPr>
            </w:pPr>
          </w:p>
        </w:tc>
        <w:tc>
          <w:tcPr>
            <w:tcW w:w="1120" w:type="dxa"/>
            <w:vAlign w:val="bottom"/>
          </w:tcPr>
          <w:p>
            <w:pPr>
              <w:jc w:val="right"/>
              <w:ind w:right="261"/>
              <w:spacing w:after="0"/>
              <w:rPr>
                <w:sz w:val="20"/>
                <w:szCs w:val="20"/>
                <w:color w:val="auto"/>
              </w:rPr>
            </w:pPr>
            <w:r>
              <w:rPr>
                <w:rFonts w:ascii="Arial" w:cs="Arial" w:eastAsia="Arial" w:hAnsi="Arial"/>
                <w:sz w:val="14"/>
                <w:szCs w:val="14"/>
                <w:b w:val="1"/>
                <w:bCs w:val="1"/>
                <w:color w:val="auto"/>
              </w:rPr>
              <w:t>per Share</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or Programs</w:t>
            </w:r>
          </w:p>
        </w:tc>
        <w:tc>
          <w:tcPr>
            <w:tcW w:w="400" w:type="dxa"/>
            <w:vAlign w:val="bottom"/>
          </w:tcPr>
          <w:p>
            <w:pPr>
              <w:spacing w:after="0"/>
              <w:rPr>
                <w:sz w:val="15"/>
                <w:szCs w:val="15"/>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January 1, 2018 – January 31, 2018</w:t>
            </w: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6,838,966</w:t>
            </w:r>
          </w:p>
        </w:tc>
        <w:tc>
          <w:tcPr>
            <w:tcW w:w="34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261"/>
              <w:spacing w:after="0" w:line="189" w:lineRule="exact"/>
              <w:rPr>
                <w:sz w:val="20"/>
                <w:szCs w:val="20"/>
                <w:color w:val="auto"/>
              </w:rPr>
            </w:pPr>
            <w:r>
              <w:rPr>
                <w:rFonts w:ascii="Arial" w:cs="Arial" w:eastAsia="Arial" w:hAnsi="Arial"/>
                <w:sz w:val="18"/>
                <w:szCs w:val="18"/>
                <w:color w:val="auto"/>
              </w:rPr>
              <w:t>89.91</w:t>
            </w:r>
          </w:p>
        </w:tc>
        <w:tc>
          <w:tcPr>
            <w:tcW w:w="17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6,838,966</w:t>
            </w:r>
          </w:p>
        </w:tc>
        <w:tc>
          <w:tcPr>
            <w:tcW w:w="40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32,785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8"/>
                <w:szCs w:val="18"/>
                <w:color w:val="auto"/>
              </w:rPr>
              <w:t>February 1, 2018 – February 28, 2018</w:t>
            </w: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12,389,259</w:t>
            </w:r>
          </w:p>
        </w:tc>
        <w:tc>
          <w:tcPr>
            <w:tcW w:w="340" w:type="dxa"/>
            <w:vAlign w:val="bottom"/>
          </w:tcPr>
          <w:p>
            <w:pPr>
              <w:spacing w:after="0"/>
              <w:rPr>
                <w:sz w:val="16"/>
                <w:szCs w:val="16"/>
                <w:color w:val="auto"/>
              </w:rPr>
            </w:pPr>
          </w:p>
        </w:tc>
        <w:tc>
          <w:tcPr>
            <w:tcW w:w="1120" w:type="dxa"/>
            <w:vAlign w:val="bottom"/>
          </w:tcPr>
          <w:p>
            <w:pPr>
              <w:jc w:val="right"/>
              <w:ind w:right="261"/>
              <w:spacing w:after="0" w:line="189" w:lineRule="exact"/>
              <w:rPr>
                <w:sz w:val="20"/>
                <w:szCs w:val="20"/>
                <w:color w:val="auto"/>
              </w:rPr>
            </w:pPr>
            <w:r>
              <w:rPr>
                <w:rFonts w:ascii="Arial" w:cs="Arial" w:eastAsia="Arial" w:hAnsi="Arial"/>
                <w:sz w:val="18"/>
                <w:szCs w:val="18"/>
                <w:color w:val="auto"/>
              </w:rPr>
              <w:t>91.16</w:t>
            </w: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12,389,259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31,656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1, 2018 – March 31, 2018</w:t>
            </w: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14,573,553</w:t>
            </w:r>
          </w:p>
        </w:tc>
        <w:tc>
          <w:tcPr>
            <w:tcW w:w="340" w:type="dxa"/>
            <w:vAlign w:val="bottom"/>
            <w:shd w:val="clear" w:color="auto" w:fill="E5E5E5"/>
          </w:tcPr>
          <w:p>
            <w:pPr>
              <w:spacing w:after="0"/>
              <w:rPr>
                <w:sz w:val="16"/>
                <w:szCs w:val="16"/>
                <w:color w:val="auto"/>
              </w:rPr>
            </w:pPr>
          </w:p>
        </w:tc>
        <w:tc>
          <w:tcPr>
            <w:tcW w:w="1120" w:type="dxa"/>
            <w:vAlign w:val="bottom"/>
            <w:shd w:val="clear" w:color="auto" w:fill="E5E5E5"/>
          </w:tcPr>
          <w:p>
            <w:pPr>
              <w:jc w:val="right"/>
              <w:ind w:right="261"/>
              <w:spacing w:after="0" w:line="189" w:lineRule="exact"/>
              <w:rPr>
                <w:sz w:val="20"/>
                <w:szCs w:val="20"/>
                <w:color w:val="auto"/>
              </w:rPr>
            </w:pPr>
            <w:r>
              <w:rPr>
                <w:rFonts w:ascii="Arial" w:cs="Arial" w:eastAsia="Arial" w:hAnsi="Arial"/>
                <w:sz w:val="18"/>
                <w:szCs w:val="18"/>
                <w:color w:val="auto"/>
              </w:rPr>
              <w:t>93.02</w:t>
            </w:r>
          </w:p>
        </w:tc>
        <w:tc>
          <w:tcPr>
            <w:tcW w:w="15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14,573,553</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2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30,300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33,801,778</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33,801,778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repurchases were made using cash resources. Our stock repurchases may occur through open market purchases or pursuant to a Rule 10b5-1 trading plan. The above table excludes shares repurchased to settle employee tax withholding related to the vesting of stock awards.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5. OTHER INFORMATION</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Effective April 23, 2018, the Company approved forms of stock award agreement under the Microsoft Corporation 2017 Stock Plan for grants to participants in the Company’s Executive Incentive Plan, including executive officers. The forms of award agreement are for service-based awards and performance-based awards. These award agreements are based on the forms of executive officer award agreement previously used under the Company’s 2001 Stock Plan, which is no longer used for executive officer grants, excluding previous agreement provisions relating to Section 162(m) of the Internal Revenue Code.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summary is qualified by the text of the award agreements, copies of which are filed as exhibits 10.26 and 10.27 to this report.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620" w:type="dxa"/>
            <w:vAlign w:val="bottom"/>
            <w:gridSpan w:val="8"/>
          </w:tcPr>
          <w:p>
            <w:pPr>
              <w:jc w:val="center"/>
              <w:ind w:right="4160"/>
              <w:spacing w:after="0"/>
              <w:rPr>
                <w:sz w:val="20"/>
                <w:szCs w:val="20"/>
                <w:color w:val="auto"/>
              </w:rPr>
            </w:pPr>
            <w:r>
              <w:rPr>
                <w:rFonts w:ascii="Arial" w:cs="Arial" w:eastAsia="Arial" w:hAnsi="Arial"/>
                <w:sz w:val="14"/>
                <w:szCs w:val="14"/>
                <w:color w:val="auto"/>
                <w:w w:val="93"/>
              </w:rPr>
              <w:t>PART II</w:t>
            </w:r>
          </w:p>
        </w:tc>
      </w:tr>
      <w:tr>
        <w:trPr>
          <w:trHeight w:val="156"/>
        </w:trPr>
        <w:tc>
          <w:tcPr>
            <w:tcW w:w="22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4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Item 6</w:t>
            </w:r>
          </w:p>
        </w:tc>
        <w:tc>
          <w:tcPr>
            <w:tcW w:w="6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42"/>
        </w:trPr>
        <w:tc>
          <w:tcPr>
            <w:tcW w:w="2200" w:type="dxa"/>
            <w:vAlign w:val="bottom"/>
          </w:tcPr>
          <w:p>
            <w:pPr>
              <w:spacing w:after="0"/>
              <w:rPr>
                <w:sz w:val="24"/>
                <w:szCs w:val="24"/>
                <w:color w:val="auto"/>
              </w:rPr>
            </w:pPr>
          </w:p>
        </w:tc>
        <w:tc>
          <w:tcPr>
            <w:tcW w:w="7900" w:type="dxa"/>
            <w:vAlign w:val="bottom"/>
            <w:gridSpan w:val="9"/>
          </w:tcPr>
          <w:p>
            <w:pPr>
              <w:jc w:val="center"/>
              <w:ind w:right="880"/>
              <w:spacing w:after="0"/>
              <w:rPr>
                <w:sz w:val="20"/>
                <w:szCs w:val="20"/>
                <w:color w:val="auto"/>
              </w:rPr>
            </w:pPr>
            <w:r>
              <w:rPr>
                <w:rFonts w:ascii="Arial" w:cs="Arial" w:eastAsia="Arial" w:hAnsi="Arial"/>
                <w:sz w:val="22"/>
                <w:szCs w:val="22"/>
                <w:b w:val="1"/>
                <w:bCs w:val="1"/>
                <w:color w:val="auto"/>
                <w:w w:val="98"/>
              </w:rPr>
              <w:t>ITEM 6. EXHIBITS</w:t>
            </w:r>
          </w:p>
        </w:tc>
      </w:tr>
      <w:tr>
        <w:trPr>
          <w:trHeight w:val="355"/>
        </w:trPr>
        <w:tc>
          <w:tcPr>
            <w:tcW w:w="2200" w:type="dxa"/>
            <w:vAlign w:val="bottom"/>
          </w:tcPr>
          <w:p>
            <w:pPr>
              <w:spacing w:after="0"/>
              <w:rPr>
                <w:sz w:val="20"/>
                <w:szCs w:val="20"/>
                <w:color w:val="auto"/>
              </w:rPr>
            </w:pPr>
            <w:r>
              <w:rPr>
                <w:rFonts w:ascii="Arial" w:cs="Arial" w:eastAsia="Arial" w:hAnsi="Arial"/>
                <w:sz w:val="18"/>
                <w:szCs w:val="18"/>
                <w:color w:val="auto"/>
              </w:rPr>
              <w:t>10.26*</w:t>
            </w:r>
          </w:p>
        </w:tc>
        <w:tc>
          <w:tcPr>
            <w:tcW w:w="790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Form of Stock Award Agreement Under the Microsoft Corporation 2017 Stock Plan</w:t>
              </w:r>
            </w:hyperlink>
          </w:p>
        </w:tc>
      </w:tr>
      <w:tr>
        <w:trPr>
          <w:trHeight w:val="20"/>
        </w:trPr>
        <w:tc>
          <w:tcPr>
            <w:tcW w:w="2200" w:type="dxa"/>
            <w:vAlign w:val="bottom"/>
          </w:tcPr>
          <w:p>
            <w:pPr>
              <w:spacing w:after="0" w:line="20" w:lineRule="exact"/>
              <w:rPr>
                <w:sz w:val="1"/>
                <w:szCs w:val="1"/>
                <w:color w:val="auto"/>
              </w:rPr>
            </w:pPr>
          </w:p>
        </w:tc>
        <w:tc>
          <w:tcPr>
            <w:tcW w:w="4360" w:type="dxa"/>
            <w:vAlign w:val="bottom"/>
            <w:gridSpan w:val="3"/>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2200" w:type="dxa"/>
            <w:vAlign w:val="bottom"/>
          </w:tcPr>
          <w:p>
            <w:pPr>
              <w:spacing w:after="0"/>
              <w:rPr>
                <w:sz w:val="20"/>
                <w:szCs w:val="20"/>
                <w:color w:val="auto"/>
              </w:rPr>
            </w:pPr>
            <w:r>
              <w:rPr>
                <w:rFonts w:ascii="Arial" w:cs="Arial" w:eastAsia="Arial" w:hAnsi="Arial"/>
                <w:sz w:val="18"/>
                <w:szCs w:val="18"/>
                <w:color w:val="auto"/>
              </w:rPr>
              <w:t>10.27*</w:t>
            </w:r>
          </w:p>
        </w:tc>
        <w:tc>
          <w:tcPr>
            <w:tcW w:w="7900" w:type="dxa"/>
            <w:vAlign w:val="bottom"/>
            <w:gridSpan w:val="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Form of Performance Stock Award Agreement Under the Microsoft Corporation 2017 Stock Plan</w:t>
              </w:r>
            </w:hyperlink>
          </w:p>
        </w:tc>
      </w:tr>
      <w:tr>
        <w:trPr>
          <w:trHeight w:val="304"/>
        </w:trPr>
        <w:tc>
          <w:tcPr>
            <w:tcW w:w="2200" w:type="dxa"/>
            <w:vAlign w:val="bottom"/>
          </w:tcPr>
          <w:p>
            <w:pPr>
              <w:spacing w:after="0"/>
              <w:rPr>
                <w:sz w:val="20"/>
                <w:szCs w:val="20"/>
                <w:color w:val="auto"/>
              </w:rPr>
            </w:pPr>
            <w:r>
              <w:rPr>
                <w:rFonts w:ascii="Arial" w:cs="Arial" w:eastAsia="Arial" w:hAnsi="Arial"/>
                <w:sz w:val="18"/>
                <w:szCs w:val="18"/>
                <w:color w:val="auto"/>
              </w:rPr>
              <w:t>15.1</w:t>
            </w:r>
          </w:p>
        </w:tc>
        <w:tc>
          <w:tcPr>
            <w:tcW w:w="7660" w:type="dxa"/>
            <w:vAlign w:val="bottom"/>
            <w:tcBorders>
              <w:top w:val="single" w:sz="8" w:color="0000EE"/>
            </w:tcBorders>
            <w:gridSpan w:val="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Letter regarding unaudited interim financial information</w:t>
              </w:r>
            </w:hyperlink>
          </w:p>
        </w:tc>
        <w:tc>
          <w:tcPr>
            <w:tcW w:w="240" w:type="dxa"/>
            <w:vAlign w:val="bottom"/>
            <w:gridSpan w:val="4"/>
          </w:tcPr>
          <w:p>
            <w:pPr>
              <w:spacing w:after="0"/>
              <w:rPr>
                <w:sz w:val="24"/>
                <w:szCs w:val="24"/>
                <w:color w:val="auto"/>
              </w:rPr>
            </w:pPr>
          </w:p>
        </w:tc>
      </w:tr>
      <w:tr>
        <w:trPr>
          <w:trHeight w:val="20"/>
        </w:trPr>
        <w:tc>
          <w:tcPr>
            <w:tcW w:w="2200" w:type="dxa"/>
            <w:vAlign w:val="bottom"/>
          </w:tcPr>
          <w:p>
            <w:pPr>
              <w:spacing w:after="0" w:line="20" w:lineRule="exact"/>
              <w:rPr>
                <w:sz w:val="1"/>
                <w:szCs w:val="1"/>
                <w:color w:val="auto"/>
              </w:rPr>
            </w:pPr>
          </w:p>
        </w:tc>
        <w:tc>
          <w:tcPr>
            <w:tcW w:w="4360" w:type="dxa"/>
            <w:vAlign w:val="bottom"/>
            <w:gridSpan w:val="3"/>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2200" w:type="dxa"/>
            <w:vAlign w:val="bottom"/>
          </w:tcPr>
          <w:p>
            <w:pPr>
              <w:spacing w:after="0"/>
              <w:rPr>
                <w:sz w:val="20"/>
                <w:szCs w:val="20"/>
                <w:color w:val="auto"/>
              </w:rPr>
            </w:pPr>
            <w:r>
              <w:rPr>
                <w:rFonts w:ascii="Arial" w:cs="Arial" w:eastAsia="Arial" w:hAnsi="Arial"/>
                <w:sz w:val="18"/>
                <w:szCs w:val="18"/>
                <w:color w:val="auto"/>
              </w:rPr>
              <w:t>31.1</w:t>
            </w:r>
          </w:p>
        </w:tc>
        <w:tc>
          <w:tcPr>
            <w:tcW w:w="79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Certifications of Chief Executive Officer Pursuant to Section 302 of the Sarbanes-Oxley Act of 2002</w:t>
              </w:r>
            </w:hyperlink>
          </w:p>
        </w:tc>
      </w:tr>
      <w:tr>
        <w:trPr>
          <w:trHeight w:val="304"/>
        </w:trPr>
        <w:tc>
          <w:tcPr>
            <w:tcW w:w="2200" w:type="dxa"/>
            <w:vAlign w:val="bottom"/>
          </w:tcPr>
          <w:p>
            <w:pPr>
              <w:spacing w:after="0"/>
              <w:rPr>
                <w:sz w:val="20"/>
                <w:szCs w:val="20"/>
                <w:color w:val="auto"/>
              </w:rPr>
            </w:pPr>
            <w:r>
              <w:rPr>
                <w:rFonts w:ascii="Arial" w:cs="Arial" w:eastAsia="Arial" w:hAnsi="Arial"/>
                <w:sz w:val="18"/>
                <w:szCs w:val="18"/>
                <w:color w:val="auto"/>
              </w:rPr>
              <w:t>31.2</w:t>
            </w:r>
          </w:p>
        </w:tc>
        <w:tc>
          <w:tcPr>
            <w:tcW w:w="7900" w:type="dxa"/>
            <w:vAlign w:val="bottom"/>
            <w:gridSpan w:val="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Certifications of Chief Financial Officer Pursuant to Section 302 of the Sarbanes-Oxley Act of 2002</w:t>
              </w:r>
            </w:hyperlink>
          </w:p>
        </w:tc>
      </w:tr>
      <w:tr>
        <w:trPr>
          <w:trHeight w:val="304"/>
        </w:trPr>
        <w:tc>
          <w:tcPr>
            <w:tcW w:w="2200" w:type="dxa"/>
            <w:vAlign w:val="bottom"/>
          </w:tcPr>
          <w:p>
            <w:pPr>
              <w:spacing w:after="0"/>
              <w:rPr>
                <w:sz w:val="20"/>
                <w:szCs w:val="20"/>
                <w:color w:val="auto"/>
              </w:rPr>
            </w:pPr>
            <w:r>
              <w:rPr>
                <w:rFonts w:ascii="Arial" w:cs="Arial" w:eastAsia="Arial" w:hAnsi="Arial"/>
                <w:sz w:val="18"/>
                <w:szCs w:val="18"/>
                <w:color w:val="auto"/>
              </w:rPr>
              <w:t>32.1**</w:t>
            </w:r>
          </w:p>
        </w:tc>
        <w:tc>
          <w:tcPr>
            <w:tcW w:w="7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Certification of Chief Executive Officer Pursuant to Section 906 of the Sarbanes-Oxley Act of 2002</w:t>
              </w:r>
            </w:hyperlink>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2200" w:type="dxa"/>
            <w:vAlign w:val="bottom"/>
          </w:tcPr>
          <w:p>
            <w:pPr>
              <w:spacing w:after="0"/>
              <w:rPr>
                <w:sz w:val="20"/>
                <w:szCs w:val="20"/>
                <w:color w:val="auto"/>
              </w:rPr>
            </w:pPr>
            <w:r>
              <w:rPr>
                <w:rFonts w:ascii="Arial" w:cs="Arial" w:eastAsia="Arial" w:hAnsi="Arial"/>
                <w:sz w:val="18"/>
                <w:szCs w:val="18"/>
                <w:color w:val="auto"/>
              </w:rPr>
              <w:t>32.2**</w:t>
            </w:r>
          </w:p>
        </w:tc>
        <w:tc>
          <w:tcPr>
            <w:tcW w:w="7900" w:type="dxa"/>
            <w:vAlign w:val="bottom"/>
            <w:gridSpan w:val="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Certification of Chief Financial Officer Pursuant to Section 906 of the Sarbanes-Oxley Act of 2002</w:t>
              </w:r>
            </w:hyperlink>
          </w:p>
        </w:tc>
      </w:tr>
      <w:tr>
        <w:trPr>
          <w:trHeight w:val="345"/>
        </w:trPr>
        <w:tc>
          <w:tcPr>
            <w:tcW w:w="2200" w:type="dxa"/>
            <w:vAlign w:val="bottom"/>
          </w:tcPr>
          <w:p>
            <w:pPr>
              <w:spacing w:after="0"/>
              <w:rPr>
                <w:sz w:val="20"/>
                <w:szCs w:val="20"/>
                <w:color w:val="auto"/>
              </w:rPr>
            </w:pPr>
            <w:r>
              <w:rPr>
                <w:rFonts w:ascii="Arial" w:cs="Arial" w:eastAsia="Arial" w:hAnsi="Arial"/>
                <w:sz w:val="18"/>
                <w:szCs w:val="18"/>
                <w:color w:val="auto"/>
              </w:rPr>
              <w:t>101.INS</w:t>
            </w:r>
          </w:p>
        </w:tc>
        <w:tc>
          <w:tcPr>
            <w:tcW w:w="77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XBRL Instance Document</w:t>
            </w:r>
          </w:p>
        </w:tc>
        <w:tc>
          <w:tcPr>
            <w:tcW w:w="160" w:type="dxa"/>
            <w:vAlign w:val="bottom"/>
            <w:gridSpan w:val="3"/>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101.SCH</w:t>
            </w:r>
          </w:p>
        </w:tc>
        <w:tc>
          <w:tcPr>
            <w:tcW w:w="790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101.CAL</w:t>
            </w:r>
          </w:p>
        </w:tc>
        <w:tc>
          <w:tcPr>
            <w:tcW w:w="79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101.DEF</w:t>
            </w:r>
          </w:p>
        </w:tc>
        <w:tc>
          <w:tcPr>
            <w:tcW w:w="79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101.LAB</w:t>
            </w:r>
          </w:p>
        </w:tc>
        <w:tc>
          <w:tcPr>
            <w:tcW w:w="79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101.PRE</w:t>
            </w:r>
          </w:p>
        </w:tc>
        <w:tc>
          <w:tcPr>
            <w:tcW w:w="79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5"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Indicates a management contract or compensatory plan or arrangement</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F</w:t>
      </w:r>
      <w:r>
        <w:rPr>
          <w:rFonts w:ascii="Arial" w:cs="Arial" w:eastAsia="Arial" w:hAnsi="Arial"/>
          <w:sz w:val="13"/>
          <w:szCs w:val="13"/>
          <w:color w:val="auto"/>
        </w:rPr>
        <w:t>RANK</w:t>
      </w:r>
      <w:r>
        <w:rPr>
          <w:rFonts w:ascii="Arial" w:cs="Arial" w:eastAsia="Arial" w:hAnsi="Arial"/>
          <w:sz w:val="18"/>
          <w:szCs w:val="18"/>
          <w:color w:val="auto"/>
        </w:rPr>
        <w:t xml:space="preserve"> H. B</w:t>
      </w:r>
      <w:r>
        <w:rPr>
          <w:rFonts w:ascii="Arial" w:cs="Arial" w:eastAsia="Arial" w:hAnsi="Arial"/>
          <w:sz w:val="13"/>
          <w:szCs w:val="13"/>
          <w:color w:val="auto"/>
        </w:rPr>
        <w:t>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04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Frank H. Brod</w:t>
      </w:r>
    </w:p>
    <w:p>
      <w:pPr>
        <w:spacing w:after="0" w:line="234" w:lineRule="auto"/>
        <w:rPr>
          <w:sz w:val="20"/>
          <w:szCs w:val="20"/>
          <w:color w:val="auto"/>
        </w:rPr>
      </w:pPr>
      <w:r>
        <w:rPr>
          <w:rFonts w:ascii="Arial" w:cs="Arial" w:eastAsia="Arial" w:hAnsi="Arial"/>
          <w:sz w:val="18"/>
          <w:szCs w:val="18"/>
          <w:color w:val="auto"/>
        </w:rPr>
        <w:t>Corporate Vice President, Finance and Administration;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 (Duly Authorized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April 26, 2018</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00"/>
          </w:cols>
          <w:pgMar w:left="240" w:top="333"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10.26</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AWARD AGREEMENT UNDER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MICROSOFT CORPORATION 2017 STOCK PLAN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Award Number </w:t>
      </w:r>
      <w:r>
        <w:rPr>
          <w:rFonts w:ascii="Arial" w:cs="Arial" w:eastAsia="Arial" w:hAnsi="Arial"/>
          <w:sz w:val="18"/>
          <w:szCs w:val="18"/>
          <w:b w:val="1"/>
          <w:bCs w:val="1"/>
          <w:color w:val="auto"/>
        </w:rPr>
        <w:t>&lt;&lt;GrantIdentifier&gt;&gt;</w:t>
      </w:r>
    </w:p>
    <w:p>
      <w:pPr>
        <w:spacing w:after="0" w:line="158" w:lineRule="exact"/>
        <w:rPr>
          <w:sz w:val="20"/>
          <w:szCs w:val="20"/>
          <w:color w:val="auto"/>
        </w:rPr>
      </w:pPr>
    </w:p>
    <w:p>
      <w:pPr>
        <w:jc w:val="both"/>
        <w:ind w:firstLine="8"/>
        <w:spacing w:after="0" w:line="247" w:lineRule="auto"/>
        <w:tabs>
          <w:tab w:leader="none" w:pos="2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This Award Agreement sets forth the terms and conditions of an award (the “Award”) of Stock Awards (“SAs”) awarded to </w:t>
      </w:r>
      <w:r>
        <w:rPr>
          <w:rFonts w:ascii="Arial" w:cs="Arial" w:eastAsia="Arial" w:hAnsi="Arial"/>
          <w:sz w:val="18"/>
          <w:szCs w:val="18"/>
          <w:b w:val="1"/>
          <w:bCs w:val="1"/>
          <w:color w:val="auto"/>
        </w:rPr>
        <w:t>&lt;&lt;FullName&gt;&gt;</w:t>
      </w:r>
      <w:r>
        <w:rPr>
          <w:rFonts w:ascii="Arial" w:cs="Arial" w:eastAsia="Arial" w:hAnsi="Arial"/>
          <w:sz w:val="18"/>
          <w:szCs w:val="18"/>
          <w:color w:val="auto"/>
        </w:rPr>
        <w:t xml:space="preserve"> (“Awardee”) by Microsoft Corporation (the “Company”) in the exercise of its sole discretion under the Microsoft Corporation 2017 Stock Plan (the “Plan”) on </w:t>
      </w:r>
      <w:r>
        <w:rPr>
          <w:rFonts w:ascii="Arial" w:cs="Arial" w:eastAsia="Arial" w:hAnsi="Arial"/>
          <w:sz w:val="18"/>
          <w:szCs w:val="18"/>
          <w:b w:val="1"/>
          <w:bCs w:val="1"/>
          <w:color w:val="auto"/>
        </w:rPr>
        <w:t>&lt;&lt;GrantDate&gt;&gt;</w:t>
      </w:r>
      <w:r>
        <w:rPr>
          <w:rFonts w:ascii="Arial" w:cs="Arial" w:eastAsia="Arial" w:hAnsi="Arial"/>
          <w:sz w:val="18"/>
          <w:szCs w:val="18"/>
          <w:color w:val="auto"/>
        </w:rPr>
        <w:t xml:space="preserve"> (the “Award Date”). Capitalized terms used but not defined in this Award Agreement shall have the meanings assigned to them in the Plan.</w:t>
      </w:r>
    </w:p>
    <w:p>
      <w:pPr>
        <w:spacing w:after="0" w:line="142"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w:t>
      </w:r>
    </w:p>
    <w:p>
      <w:pPr>
        <w:spacing w:after="0" w:line="136"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number of SAs subject to the Award (the “SAs”) is </w:t>
      </w:r>
      <w:r>
        <w:rPr>
          <w:rFonts w:ascii="Arial" w:cs="Arial" w:eastAsia="Arial" w:hAnsi="Arial"/>
          <w:sz w:val="18"/>
          <w:szCs w:val="18"/>
          <w:b w:val="1"/>
          <w:bCs w:val="1"/>
          <w:color w:val="auto"/>
        </w:rPr>
        <w:t>&lt;&lt;Granted SAs&gt;&gt;</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firstLine="8"/>
        <w:spacing w:after="0" w:line="246" w:lineRule="auto"/>
        <w:tabs>
          <w:tab w:leader="none" w:pos="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SAs represent the Company’s unfunded and unsecured promise to issue Common Shares at a future date, subject to the terms of this Award Agreement and the Plan. Awardee has no rights under the SAs other than the rights of a general unsecured creditor of the Company.</w:t>
      </w:r>
    </w:p>
    <w:p>
      <w:pPr>
        <w:spacing w:after="0" w:line="143"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Vesting of SAs</w:t>
      </w:r>
      <w:r>
        <w:rPr>
          <w:rFonts w:ascii="Arial" w:cs="Arial" w:eastAsia="Arial" w:hAnsi="Arial"/>
          <w:sz w:val="18"/>
          <w:szCs w:val="18"/>
          <w:color w:val="auto"/>
        </w:rPr>
        <w:t>.</w:t>
      </w:r>
    </w:p>
    <w:p>
      <w:pPr>
        <w:spacing w:after="0" w:line="158" w:lineRule="exact"/>
        <w:rPr>
          <w:sz w:val="20"/>
          <w:szCs w:val="20"/>
          <w:color w:val="auto"/>
        </w:rPr>
      </w:pPr>
    </w:p>
    <w:p>
      <w:pPr>
        <w:ind w:firstLine="8"/>
        <w:spacing w:after="0" w:line="246" w:lineRule="auto"/>
        <w:tabs>
          <w:tab w:leader="none" w:pos="2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the terms of this Award Agreement and the Plan and provided that Awardee remains continuously employed through the vesting dates set out below, the SAs shall vest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[Schedule for Executive Incentive Plan awards]</w:t>
      </w:r>
    </w:p>
    <w:p>
      <w:pPr>
        <w:spacing w:after="0" w:line="179" w:lineRule="exact"/>
        <w:rPr>
          <w:sz w:val="20"/>
          <w:szCs w:val="20"/>
          <w:color w:val="auto"/>
        </w:rPr>
      </w:pPr>
    </w:p>
    <w:tbl>
      <w:tblPr>
        <w:tblLayout w:type="fixed"/>
        <w:tblInd w:w="2590" w:type="dxa"/>
        <w:tblCellMar>
          <w:top w:w="0" w:type="dxa"/>
          <w:left w:w="0" w:type="dxa"/>
          <w:bottom w:w="0" w:type="dxa"/>
          <w:right w:w="0" w:type="dxa"/>
        </w:tblCellMar>
      </w:tblPr>
      <w:tr>
        <w:trPr>
          <w:trHeight w:val="301"/>
        </w:trPr>
        <w:tc>
          <w:tcPr>
            <w:tcW w:w="478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Vesting Date</w:t>
            </w:r>
          </w:p>
        </w:tc>
        <w:tc>
          <w:tcPr>
            <w:tcW w:w="1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Percentage  of</w:t>
            </w:r>
          </w:p>
        </w:tc>
        <w:tc>
          <w:tcPr>
            <w:tcW w:w="0" w:type="dxa"/>
            <w:vAlign w:val="bottom"/>
          </w:tcPr>
          <w:p>
            <w:pPr>
              <w:spacing w:after="0"/>
              <w:rPr>
                <w:sz w:val="1"/>
                <w:szCs w:val="1"/>
                <w:color w:val="auto"/>
              </w:rPr>
            </w:pPr>
          </w:p>
        </w:tc>
      </w:tr>
      <w:tr>
        <w:trPr>
          <w:trHeight w:val="131"/>
        </w:trPr>
        <w:tc>
          <w:tcPr>
            <w:tcW w:w="4780" w:type="dxa"/>
            <w:vAlign w:val="bottom"/>
            <w:tcBorders>
              <w:left w:val="single" w:sz="8" w:color="auto"/>
              <w:right w:val="single" w:sz="8" w:color="auto"/>
            </w:tcBorders>
            <w:vMerge w:val="continue"/>
          </w:tcPr>
          <w:p>
            <w:pPr>
              <w:spacing w:after="0"/>
              <w:rPr>
                <w:sz w:val="11"/>
                <w:szCs w:val="11"/>
                <w:color w:val="auto"/>
              </w:rPr>
            </w:pPr>
          </w:p>
        </w:tc>
        <w:tc>
          <w:tcPr>
            <w:tcW w:w="15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SAs</w:t>
            </w:r>
          </w:p>
        </w:tc>
        <w:tc>
          <w:tcPr>
            <w:tcW w:w="0" w:type="dxa"/>
            <w:vAlign w:val="bottom"/>
          </w:tcPr>
          <w:p>
            <w:pPr>
              <w:spacing w:after="0"/>
              <w:rPr>
                <w:sz w:val="1"/>
                <w:szCs w:val="1"/>
                <w:color w:val="auto"/>
              </w:rPr>
            </w:pPr>
          </w:p>
        </w:tc>
      </w:tr>
      <w:tr>
        <w:trPr>
          <w:trHeight w:val="108"/>
        </w:trPr>
        <w:tc>
          <w:tcPr>
            <w:tcW w:w="4780" w:type="dxa"/>
            <w:vAlign w:val="bottom"/>
            <w:tcBorders>
              <w:left w:val="single" w:sz="8" w:color="auto"/>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780" w:type="dxa"/>
            <w:vAlign w:val="bottom"/>
            <w:tcBorders>
              <w:left w:val="single" w:sz="8" w:color="auto"/>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4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Determination Date, as defined under Section 2(b)</w:t>
            </w: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above  or,  if  later,  the  August  31  following  the</w:t>
            </w:r>
          </w:p>
        </w:tc>
        <w:tc>
          <w:tcPr>
            <w:tcW w:w="1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4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Performance Period</w:t>
            </w:r>
          </w:p>
        </w:tc>
        <w:tc>
          <w:tcPr>
            <w:tcW w:w="1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780" w:type="dxa"/>
            <w:vAlign w:val="bottom"/>
            <w:tcBorders>
              <w:left w:val="single" w:sz="8" w:color="auto"/>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[___________] (“18 month Vest Date”)</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95"/>
        </w:trPr>
        <w:tc>
          <w:tcPr>
            <w:tcW w:w="4780" w:type="dxa"/>
            <w:vAlign w:val="bottom"/>
            <w:tcBorders>
              <w:left w:val="single" w:sz="8" w:color="auto"/>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Each 6-month anniversary of the 18 month Vest Date</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95"/>
        </w:trPr>
        <w:tc>
          <w:tcPr>
            <w:tcW w:w="4780" w:type="dxa"/>
            <w:vAlign w:val="bottom"/>
            <w:tcBorders>
              <w:left w:val="single" w:sz="8" w:color="auto"/>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Vesting will not occur before the first NASDAQ Stock Market regular trading day that is on or after the applicable vesting date.</w:t>
      </w:r>
    </w:p>
    <w:p>
      <w:pPr>
        <w:spacing w:after="0" w:line="158" w:lineRule="exact"/>
        <w:rPr>
          <w:sz w:val="20"/>
          <w:szCs w:val="20"/>
          <w:color w:val="auto"/>
        </w:rPr>
      </w:pPr>
    </w:p>
    <w:p>
      <w:pPr>
        <w:ind w:firstLine="8"/>
        <w:spacing w:after="0" w:line="246" w:lineRule="auto"/>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Awardee agrees that the SAs subject to this Award Agreement, and other incentive or performance-based compensation Awardee receives or has received from the Company, shall be subject to the Company’s executive compensation recovery policy, as amended from time to time.</w:t>
      </w:r>
    </w:p>
    <w:p>
      <w:pPr>
        <w:spacing w:after="0" w:line="142" w:lineRule="exact"/>
        <w:rPr>
          <w:rFonts w:ascii="Arial" w:cs="Arial" w:eastAsia="Arial" w:hAnsi="Arial"/>
          <w:sz w:val="18"/>
          <w:szCs w:val="18"/>
          <w:color w:val="auto"/>
        </w:rPr>
      </w:pPr>
    </w:p>
    <w:p>
      <w:pPr>
        <w:jc w:val="both"/>
        <w:ind w:firstLine="8"/>
        <w:spacing w:after="0" w:line="237" w:lineRule="auto"/>
        <w:tabs>
          <w:tab w:leader="none" w:pos="2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AWARDEE’S RIGHTS IN THE SAs SHALL BE AFFECTED, WITH REGARD TO BOTH VESTING SCHEDULE AND TERMINATION, BY LEAVES OF ABSENCE, CHANGES IN THE NUMBER OF HOURS WORKED, PARTIAL DISABILITY, AND OTHER CHANGES IN AWARDEE’S EMPLOYMENT STATUS AS PROVIDED IN THE COMPANY’S CURRENT POLICIES FOR THESE MATTERS. ACCOMPANYING THIS AWARD AGREEMENT IS A CURRENT COPY OF THESE POLICIES. THESE POLICIES MAY CHANGE FROM TIME TO TIME WITHOUT NOTICE IN THE COMPANY’S SOLE DISCRETION, AND AWARDEE’S RIGHTS WILL BE GOVERNED BY THE POLICIES IN EFFECT AT THE TIME OF ANY EMPLOYMENT STATUS CHANGE. E-MAIL "BENEFITS" FOR A COPY OF THE MOST CURRENT POLICIES.</w:t>
      </w:r>
    </w:p>
    <w:p>
      <w:pPr>
        <w:spacing w:after="0" w:line="149" w:lineRule="exact"/>
        <w:rPr>
          <w:sz w:val="20"/>
          <w:szCs w:val="20"/>
          <w:color w:val="auto"/>
        </w:rPr>
      </w:pPr>
    </w:p>
    <w:p>
      <w:pPr>
        <w:ind w:firstLine="8"/>
        <w:spacing w:after="0" w:line="246"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Unless terminated earlier under Section 4, 5 or 6 below, an Awardee’s rights under this Award Agreement with respect to the SAs under this Award Agreement shall terminate at the time the SAs are converted into Common Shares and distributed to Awardee.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9" w:name="page70"/>
    <w:bookmarkEnd w:id="69"/>
    <w:p>
      <w:pPr>
        <w:jc w:val="both"/>
        <w:ind w:firstLine="8"/>
        <w:spacing w:after="0" w:line="237" w:lineRule="auto"/>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Awardee's Status as a Participant</w:t>
      </w:r>
      <w:r>
        <w:rPr>
          <w:rFonts w:ascii="Arial" w:cs="Arial" w:eastAsia="Arial" w:hAnsi="Arial"/>
          <w:sz w:val="18"/>
          <w:szCs w:val="18"/>
          <w:color w:val="auto"/>
        </w:rPr>
        <w:t>. Except as otherwise specified in Section 5, 6 and 7 below, in the event of termination of Awardee's Continuous Status as a Participant (as that term is defined in Section 2(j) of the Plan), Awardee’s rights under this Award Agreement in any unvested SAs shall terminate. For the avoidance of doubt, an Awardee’s Continuous Status as a Participant terminates at the time Awardee’s actual employer ceases to be the Company or a “Subsidiary” of the Company, as that term is defined in Section 2(y) of the Plan, and except as otherwise specified in Section 5, 6 and 7 below, no person shall have any rights as an Awardee under this Award Agreement unless he or she is in Continuous Status as a Participant on the Award Date.</w:t>
      </w:r>
    </w:p>
    <w:p>
      <w:pPr>
        <w:spacing w:after="0" w:line="151" w:lineRule="exact"/>
        <w:rPr>
          <w:rFonts w:ascii="Arial" w:cs="Arial" w:eastAsia="Arial" w:hAnsi="Arial"/>
          <w:sz w:val="18"/>
          <w:szCs w:val="18"/>
          <w:color w:val="auto"/>
        </w:rPr>
      </w:pPr>
    </w:p>
    <w:p>
      <w:pPr>
        <w:jc w:val="both"/>
        <w:ind w:firstLine="8"/>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Disability of Awardee</w:t>
      </w:r>
      <w:r>
        <w:rPr>
          <w:rFonts w:ascii="Arial" w:cs="Arial" w:eastAsia="Arial" w:hAnsi="Arial"/>
          <w:sz w:val="18"/>
          <w:szCs w:val="18"/>
          <w:color w:val="auto"/>
        </w:rPr>
        <w:t>. Notwithstanding the provisions of Section 5 above, in the event of termination of Awardee's Continuous Status as a Participant as a result of total and permanent disability (as that term is defined in Section 12(c) of the Plan), outstanding unvested SAs under this Award Agreement shall become immediately vested.</w:t>
      </w:r>
    </w:p>
    <w:p>
      <w:pPr>
        <w:spacing w:after="0" w:line="148" w:lineRule="exact"/>
        <w:rPr>
          <w:rFonts w:ascii="Arial" w:cs="Arial" w:eastAsia="Arial" w:hAnsi="Arial"/>
          <w:sz w:val="18"/>
          <w:szCs w:val="18"/>
          <w:color w:val="auto"/>
        </w:rPr>
      </w:pPr>
    </w:p>
    <w:p>
      <w:pPr>
        <w:ind w:firstLine="8"/>
        <w:spacing w:after="0" w:line="246" w:lineRule="auto"/>
        <w:tabs>
          <w:tab w:leader="none" w:pos="22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Death of Awardee</w:t>
      </w:r>
      <w:r>
        <w:rPr>
          <w:rFonts w:ascii="Arial" w:cs="Arial" w:eastAsia="Arial" w:hAnsi="Arial"/>
          <w:sz w:val="18"/>
          <w:szCs w:val="18"/>
          <w:color w:val="auto"/>
        </w:rPr>
        <w:t>. Notwithstanding the provisions of Section 5 above, if Awardee is, at the time of death, in Continuous Status as a Participant, outstanding unvested SAs under this Award Agreement shall become immediately vested.</w:t>
      </w:r>
    </w:p>
    <w:p>
      <w:pPr>
        <w:spacing w:after="0" w:line="142" w:lineRule="exact"/>
        <w:rPr>
          <w:rFonts w:ascii="Arial" w:cs="Arial" w:eastAsia="Arial" w:hAnsi="Arial"/>
          <w:sz w:val="18"/>
          <w:szCs w:val="18"/>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Vesting after termination of Employment</w:t>
      </w:r>
      <w:r>
        <w:rPr>
          <w:rFonts w:ascii="Arial" w:cs="Arial" w:eastAsia="Arial" w:hAnsi="Arial"/>
          <w:sz w:val="18"/>
          <w:szCs w:val="18"/>
          <w:color w:val="auto"/>
        </w:rPr>
        <w:t>.</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Executive Incentive Plan awards] </w:t>
      </w:r>
      <w:r>
        <w:rPr>
          <w:rFonts w:ascii="Arial" w:cs="Arial" w:eastAsia="Arial" w:hAnsi="Arial"/>
          <w:sz w:val="18"/>
          <w:szCs w:val="18"/>
          <w:u w:val="single" w:color="auto"/>
          <w:color w:val="auto"/>
        </w:rPr>
        <w:t>Retirement</w:t>
      </w:r>
      <w:r>
        <w:rPr>
          <w:rFonts w:ascii="Arial" w:cs="Arial" w:eastAsia="Arial" w:hAnsi="Arial"/>
          <w:sz w:val="18"/>
          <w:szCs w:val="18"/>
          <w:color w:val="auto"/>
        </w:rPr>
        <w:t>. Notwithstanding the provisions of Section 4 above, in the event of Awardee's Retirement, Awardee shall be treated as continuously employed through the vesting dates in Section 2(a) above. For this purpose, "Retirement" means termination of employment with the Company or a Subsidiary after the earlier of (a) age 65, or (b) attaining age 55 and 15 years of Continuous Service, provided that immediately prior to termination of employment Awardee is employed by Microsoft (or a Subsidiary) in the United States.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Section 7 will only apply to a Retirement if (a) the Retirement occurs more than one year after the Award Date, (b) Awardee executes a release in conjunction with the Retirement in the form provided by the Company, and (c) Awardee’s employment does not terminate due to misconduct (as determined in the sole discretion of the Company’s senior corporate officer in charge of the Human Resources department), including but not limited to misconduct in violation of Company policy and misconduct that adversely affects the Company’s interests or reputation.</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purposes of this Section 7, “Continuous Service” means that Awardee has continuously remained an employee of the Company or a Subsidiary, measured from Awardee’s “most recent hire date” as reflected in the Company records. For an Awardee who became an employee of the Company following the acquisition of his or her employer by the Company or a Subsidiary, service with the acquired employer shall count toward Continuous Service, and Continuous Service shall be measured from Awardee’s acquired company hire date as reflected in the Company’s records.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Awardee dies after an eligible Retirement under this Section 7, then any shares that would, but for the Awardee’s death, be distributed pursuant to this Section 7 on vesting dates that follow the Awardee’s death shall be immediately vested and distributed in accordance with this Award Agreement.]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Awardee may vest in shares following Awardee’s termination of employment to the extent provided in a Company severance benefit plan, including the Senior Executive Severance Benefit Plan. In no event, however, shall any accelerated or continued vesting under a Company severance benefit plan change the time of payment specified under this Award Agreement.</w:t>
      </w:r>
    </w:p>
    <w:p>
      <w:pPr>
        <w:spacing w:after="0" w:line="149" w:lineRule="exact"/>
        <w:rPr>
          <w:sz w:val="20"/>
          <w:szCs w:val="20"/>
          <w:color w:val="auto"/>
        </w:rPr>
      </w:pPr>
    </w:p>
    <w:p>
      <w:pPr>
        <w:jc w:val="both"/>
        <w:ind w:firstLine="8"/>
        <w:spacing w:after="0" w:line="238" w:lineRule="auto"/>
        <w:tabs>
          <w:tab w:leader="none" w:pos="21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Value of Unvested SAs</w:t>
      </w:r>
      <w:r>
        <w:rPr>
          <w:rFonts w:ascii="Arial" w:cs="Arial" w:eastAsia="Arial" w:hAnsi="Arial"/>
          <w:sz w:val="18"/>
          <w:szCs w:val="18"/>
          <w:color w:val="auto"/>
        </w:rPr>
        <w:t>. In consideration of the award of these SAs, Awardee agrees that upon and following termination of Awardee's Continuous Status as a Participant for any reason (whether or not in breach of applicable laws), and regardless of whether Awardee is terminated with or without cause, notice, or pre-termination procedure or whether Awardee asserts or prevails on a claim that Awardee’s employment was terminable only for cause or only with notice or pre-termination procedure, any unvested SAs under this Award Agreement shall be deemed to have a value of zero dollars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0" w:name="page71"/>
    <w:bookmarkEnd w:id="70"/>
    <w:p>
      <w:pPr>
        <w:ind w:left="200" w:hanging="192"/>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Conversion of SAs to Common Shares; Responsibility for Taxes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36" w:lineRule="auto"/>
        <w:tabs>
          <w:tab w:leader="none" w:pos="2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Provided Awardee has satisfied the requirements of Section 9(b) below, on the vesting of any SAs, the vested SAs shall be converted into an equivalent number of Common Shares that will be distributed to Awardee (or Awardee’s legal representative, if applicable) within 90 days after the date of the vesting event. Notwithstanding the foregoing, if accelerated vesting of an SA occurs pursuant to a provision of the Plan not addressed in this Award Agreement, distribution of the related Common Share shall not occur until the date distribution would have occurred under this Award Agreement absent this accelerated vesting. The distribution to Awardee (Awardee’s legal representative, if applicable) of Common Shares in respect of the vested SAs shall be evidenced by means that the Company determines to be appropriate. In the event ownership or issuance of Common Shares is not feasible due to applicable exchange controls, securities regulations, tax laws or other provisions of applicable law, as determined by the Company in its sole discretion, Awardee (Awardee’s legal representative, if applicable) shall receive cash proceeds in an amount equal to the value of the Common Shares otherwise distributable to Awardee, as determined by the Company in its sole discretion, net of amounts withheld in satisfaction of the requirements of Section 9(b) below.</w:t>
      </w:r>
    </w:p>
    <w:p>
      <w:pPr>
        <w:spacing w:after="0" w:line="152" w:lineRule="exact"/>
        <w:rPr>
          <w:rFonts w:ascii="Arial" w:cs="Arial" w:eastAsia="Arial" w:hAnsi="Arial"/>
          <w:sz w:val="18"/>
          <w:szCs w:val="18"/>
          <w:color w:val="auto"/>
        </w:rPr>
      </w:pPr>
    </w:p>
    <w:p>
      <w:pPr>
        <w:jc w:val="both"/>
        <w:ind w:firstLine="8"/>
        <w:spacing w:after="0" w:line="236" w:lineRule="auto"/>
        <w:tabs>
          <w:tab w:leader="none" w:pos="2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Regardless of any action the Company or Awardee’s actual employer takes with respect to any or all income tax (including federal, state and local taxes), social insurance, payroll tax, payment on account, or other tax-related withholding items (“Tax-Related Items”) that arise in connection with the SAs, Awardee acknowledges and agrees that the ultimate liability for any Tax-Related Items determined by the Company in its discretion to be legally due by Awardee, is and remains Awardee’s responsibility. Awardee acknowledges and agrees that the Company and/or Awardee’s actual employer (i) make no representations or undertakings regarding the treatment of any Tax-Related Items in connection with any aspect of the SAs, including the grant of the SAs, the vesting of SAs, the conversion of SAs into Common Shares or the receipt of an equivalent cash payment, the subsequent sale of any Common Shares acquired and the receipt of any dividends; and (ii) do not commit to and are under no obligation to structure the terms of the grant or any aspect of the SAs to reduce or eliminate Awardee’s liability for any Tax-Related Items.</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Prior to the relevant taxable or tax-withholding event, as applicable, Awardee shall pay, or make adequate arrangements satisfactory to the Company or to Awardee’s actual employer (in their sole discretion) to satisfy all obligations for Tax-Related Items. In this regard, Awardee authorizes the Company or Awardee’s actual employer to withhold all applicable Tax-Related Items from Awardee’s wages or other cash compensation payable to Awardee by the Company or Awardee’s actual employer. Alternatively, or in addition, the Company or Awardee’s actual employer may, in their sole discretion, and without notice to or authorization by Awardee, (i) sell or arrange for the sale of Common Shares to be issued upon the vesting of SAs or other event to satisfy the withholding obligation, and/or (ii) withhold in Common Shares, provided that the Company and Awardee’s actual employer shall withhold only the amount of shares necessary to satisfy the minimum withholding amount or such other amount determined by the Company as not resulting in negative accounting consequences for the Company. Awardee will be deemed to have been issued the full number of Common Shares subject to the SAs, notwithstanding that a number of whole vested Common Shares are held back solely for the purpose of paying the Tax-Related Items. Awardee shall pay to the Company or to Awardee’s actual employer any amount of Tax-Related Items that the Company or Awardee’s actual employer may be required to withhold as a result of Awardee’s receipt of SAs, the vesting of SAs, or the conversion of vested SAs to Common Shares that cannot be satisfied by the means described in this paragraph. Except where applicable legal or regulatory provisions prohibit and notwithstanding anything in the Plan to the contrary, the standard process for the payment of an Awardee’s Tax-Related Items shall be for the Company or Awardee’s actual employer to withhold in Common Shares only to the amount of shares necessary to satisfy the minimum withholding amount or such other amount determined by the Company as not resulting in negative accounting consequences for the Company. The Company may refuse to deliver Common Shares to Awardee if Awardee fails to comply with Awardee’s obligation in connection with the Tax-Related Items as described in this section 9.</w:t>
      </w:r>
    </w:p>
    <w:p>
      <w:pPr>
        <w:spacing w:after="0" w:line="160" w:lineRule="exact"/>
        <w:rPr>
          <w:sz w:val="20"/>
          <w:szCs w:val="20"/>
          <w:color w:val="auto"/>
        </w:rPr>
      </w:pPr>
    </w:p>
    <w:p>
      <w:pPr>
        <w:ind w:right="20" w:firstLine="8"/>
        <w:spacing w:after="0" w:line="246" w:lineRule="auto"/>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lieu of issuing fractional Common Shares, on the vesting of a fraction of an SA, the Company shall round the shares down to the nearest whole share and any such share that represents a fraction of a SA will be included in a subsequent vest date.</w:t>
      </w:r>
    </w:p>
    <w:p>
      <w:pPr>
        <w:spacing w:after="0" w:line="142" w:lineRule="exact"/>
        <w:rPr>
          <w:rFonts w:ascii="Arial" w:cs="Arial" w:eastAsia="Arial" w:hAnsi="Arial"/>
          <w:sz w:val="18"/>
          <w:szCs w:val="18"/>
          <w:color w:val="auto"/>
        </w:rPr>
      </w:pPr>
    </w:p>
    <w:p>
      <w:pPr>
        <w:jc w:val="both"/>
        <w:ind w:firstLine="8"/>
        <w:spacing w:after="0" w:line="239" w:lineRule="auto"/>
        <w:tabs>
          <w:tab w:leader="none" w:pos="2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Until the distribution to Awardee of the Common Shares in respect of the vested SAs is evidenced by deposit in Awardee’s brokerage account, Awardee shall have no right to vote or receive dividends or any other rights as a shareholder with respect to such Common Shares, notwithstanding the vesting of SAs. No adjustment will be made for a dividend or other right for which the record date is prior to the date Awardee is recorded as the owner of the Common Shares, except as provided in Section 14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1" w:name="page72"/>
    <w:bookmarkEnd w:id="71"/>
    <w:p>
      <w:pPr>
        <w:jc w:val="both"/>
        <w:ind w:left="-8" w:firstLine="8"/>
        <w:spacing w:after="0"/>
        <w:tabs>
          <w:tab w:leader="none" w:pos="274"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accepting the Award of SAs evidenced by this Award Agreement, Awardee agrees not to sell any of the Common Shares received on account of vested SAs at a time when applicable laws or Company policies prohibit a sale. This restriction shall apply so long as Awardee is an Employee, Consultant or outside director of the Company or a Subsidiary of the Company.</w:t>
      </w:r>
    </w:p>
    <w:p>
      <w:pPr>
        <w:spacing w:after="0" w:line="149" w:lineRule="exact"/>
        <w:rPr>
          <w:sz w:val="20"/>
          <w:szCs w:val="20"/>
          <w:color w:val="auto"/>
        </w:rPr>
      </w:pPr>
    </w:p>
    <w:p>
      <w:pPr>
        <w:jc w:val="both"/>
        <w:ind w:left="-8" w:firstLine="8"/>
        <w:spacing w:after="0"/>
        <w:tabs>
          <w:tab w:leader="none" w:pos="30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Non-Transferability of SAs</w:t>
      </w:r>
      <w:r>
        <w:rPr>
          <w:rFonts w:ascii="Arial" w:cs="Arial" w:eastAsia="Arial" w:hAnsi="Arial"/>
          <w:sz w:val="18"/>
          <w:szCs w:val="18"/>
          <w:color w:val="auto"/>
        </w:rPr>
        <w:t>. Awardee’s right in the SAs awarded under this Award Agreement and any interest therein may not be sold, pledged, assigned, hypothecated, transferred, or disposed of in any manner, other than by will or by the laws of descent or distribution. SAs shall not be subject to execution, attachment or other process.</w:t>
      </w:r>
    </w:p>
    <w:p>
      <w:pPr>
        <w:spacing w:after="0" w:line="148" w:lineRule="exact"/>
        <w:rPr>
          <w:rFonts w:ascii="Arial" w:cs="Arial" w:eastAsia="Arial" w:hAnsi="Arial"/>
          <w:sz w:val="18"/>
          <w:szCs w:val="18"/>
          <w:color w:val="auto"/>
        </w:rPr>
      </w:pPr>
    </w:p>
    <w:p>
      <w:pPr>
        <w:ind w:left="292" w:hanging="292"/>
        <w:spacing w:after="0"/>
        <w:tabs>
          <w:tab w:leader="none" w:pos="29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Acknowledgment of Nature of Plan and SAs</w:t>
      </w:r>
      <w:r>
        <w:rPr>
          <w:rFonts w:ascii="Arial" w:cs="Arial" w:eastAsia="Arial" w:hAnsi="Arial"/>
          <w:sz w:val="18"/>
          <w:szCs w:val="18"/>
          <w:color w:val="auto"/>
        </w:rPr>
        <w:t>. In accepting the Award, Awardee acknowledges that:</w:t>
      </w:r>
    </w:p>
    <w:p>
      <w:pPr>
        <w:spacing w:after="0" w:line="158" w:lineRule="exact"/>
        <w:rPr>
          <w:sz w:val="20"/>
          <w:szCs w:val="20"/>
          <w:color w:val="auto"/>
        </w:rPr>
      </w:pPr>
    </w:p>
    <w:p>
      <w:pPr>
        <w:ind w:left="-8" w:right="20" w:firstLine="8"/>
        <w:spacing w:after="0" w:line="246" w:lineRule="auto"/>
        <w:tabs>
          <w:tab w:leader="none" w:pos="2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modified, amended, suspended or terminated by the Company at any time, as provided in the Plan;</w:t>
      </w:r>
    </w:p>
    <w:p>
      <w:pPr>
        <w:spacing w:after="0" w:line="142" w:lineRule="exact"/>
        <w:rPr>
          <w:rFonts w:ascii="Arial" w:cs="Arial" w:eastAsia="Arial" w:hAnsi="Arial"/>
          <w:sz w:val="18"/>
          <w:szCs w:val="18"/>
          <w:color w:val="auto"/>
        </w:rPr>
      </w:pPr>
    </w:p>
    <w:p>
      <w:pPr>
        <w:ind w:left="-8" w:firstLine="8"/>
        <w:spacing w:after="0" w:line="246" w:lineRule="auto"/>
        <w:tabs>
          <w:tab w:leader="none" w:pos="2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Award of SAs is voluntary and occasional and does not create any contractual or other right to receive future awards of SAs or other awards, or benefits in lieu of SAs even if SAs have been awarded repeatedly in the past;</w:t>
      </w:r>
    </w:p>
    <w:p>
      <w:pPr>
        <w:spacing w:after="0" w:line="142" w:lineRule="exact"/>
        <w:rPr>
          <w:rFonts w:ascii="Arial" w:cs="Arial" w:eastAsia="Arial" w:hAnsi="Arial"/>
          <w:sz w:val="18"/>
          <w:szCs w:val="18"/>
          <w:color w:val="auto"/>
        </w:rPr>
      </w:pPr>
    </w:p>
    <w:p>
      <w:pPr>
        <w:ind w:left="252" w:hanging="252"/>
        <w:spacing w:after="0"/>
        <w:tabs>
          <w:tab w:leader="none" w:pos="2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decisions with respect to SAs or other future awards, if any, will be at the sole discretion of the Company;</w:t>
      </w:r>
    </w:p>
    <w:p>
      <w:pPr>
        <w:spacing w:after="0" w:line="157" w:lineRule="exact"/>
        <w:rPr>
          <w:rFonts w:ascii="Arial" w:cs="Arial" w:eastAsia="Arial" w:hAnsi="Arial"/>
          <w:sz w:val="18"/>
          <w:szCs w:val="18"/>
          <w:color w:val="auto"/>
        </w:rPr>
      </w:pPr>
    </w:p>
    <w:p>
      <w:pPr>
        <w:ind w:left="272" w:hanging="272"/>
        <w:spacing w:after="0"/>
        <w:tabs>
          <w:tab w:leader="none" w:pos="2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Awardee’s participation in the Plan is voluntary;</w:t>
      </w:r>
    </w:p>
    <w:p>
      <w:pPr>
        <w:spacing w:after="0" w:line="157" w:lineRule="exact"/>
        <w:rPr>
          <w:rFonts w:ascii="Arial" w:cs="Arial" w:eastAsia="Arial" w:hAnsi="Arial"/>
          <w:sz w:val="18"/>
          <w:szCs w:val="18"/>
          <w:color w:val="auto"/>
        </w:rPr>
      </w:pPr>
    </w:p>
    <w:p>
      <w:pPr>
        <w:ind w:left="272" w:hanging="272"/>
        <w:spacing w:after="0"/>
        <w:tabs>
          <w:tab w:leader="none" w:pos="2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future value of the underlying Common Shares is unknown and cannot be predicted with certainty;</w:t>
      </w:r>
    </w:p>
    <w:p>
      <w:pPr>
        <w:spacing w:after="0" w:line="157" w:lineRule="exact"/>
        <w:rPr>
          <w:rFonts w:ascii="Arial" w:cs="Arial" w:eastAsia="Arial" w:hAnsi="Arial"/>
          <w:sz w:val="18"/>
          <w:szCs w:val="18"/>
          <w:color w:val="auto"/>
        </w:rPr>
      </w:pPr>
    </w:p>
    <w:p>
      <w:pPr>
        <w:ind w:left="212" w:hanging="212"/>
        <w:spacing w:after="0"/>
        <w:tabs>
          <w:tab w:leader="none" w:pos="2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Awardee receives Common Shares, the value of the Common Shares acquired on vesting of SAs may increase or decrease in value;</w:t>
      </w:r>
    </w:p>
    <w:p>
      <w:pPr>
        <w:spacing w:after="0" w:line="157" w:lineRule="exact"/>
        <w:rPr>
          <w:rFonts w:ascii="Arial" w:cs="Arial" w:eastAsia="Arial" w:hAnsi="Arial"/>
          <w:sz w:val="18"/>
          <w:szCs w:val="18"/>
          <w:color w:val="auto"/>
        </w:rPr>
      </w:pPr>
    </w:p>
    <w:p>
      <w:pPr>
        <w:jc w:val="both"/>
        <w:ind w:left="-8" w:firstLine="8"/>
        <w:spacing w:after="0" w:line="236" w:lineRule="auto"/>
        <w:tabs>
          <w:tab w:leader="none" w:pos="2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 terms or conditions of the Plan to the contrary and consistent with Section 4 above, in the event of termination of Awardee's Continuous Status as a Participant under circumstances where Section 7 above does not apply (whether or not in breach of applicable laws), Awardee's right to receive SAs and vest under the Plan, if any, will terminate effective as of the date that Awardee is no longer actively employed and will not be extended by any notice period mandated under applicable law. Awardee's right to receive Common Shares pursuant to any SAs after termination of Continuous Status as a Participant, if any, will be calculated as of the date of termination of Awardee's active employment and will not be extended by any notice period mandated under applicable law. The senior corporate officer in charge of the Human Resources department shall have the exclusive discretion to determine when Awardee is no longer actively employed for purposes of the award of SAs; and</w:t>
      </w:r>
    </w:p>
    <w:p>
      <w:pPr>
        <w:spacing w:after="0" w:line="154" w:lineRule="exact"/>
        <w:rPr>
          <w:rFonts w:ascii="Arial" w:cs="Arial" w:eastAsia="Arial" w:hAnsi="Arial"/>
          <w:sz w:val="18"/>
          <w:szCs w:val="18"/>
          <w:color w:val="auto"/>
        </w:rPr>
      </w:pPr>
    </w:p>
    <w:p>
      <w:pPr>
        <w:jc w:val="both"/>
        <w:ind w:left="-8" w:firstLine="8"/>
        <w:spacing w:after="0" w:line="239" w:lineRule="auto"/>
        <w:tabs>
          <w:tab w:leader="none" w:pos="2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Awardee acknowledges and agrees that, regardless of whether Awardee is terminated with or without cause, notice or pre-termination procedure or whether Awardee asserts or prevails on a claim that Awardee’s employment was terminable only for cause or only with notice or pre-termination procedure, Awardee has no right to, and will not bring any legal claim or action for, (a) any damages for any portion of any SAs that have been vested and converted into Common Shares, or (b) termination of any unvested SAs under this Award Agreement.</w:t>
      </w:r>
    </w:p>
    <w:p>
      <w:pPr>
        <w:spacing w:after="0" w:line="148" w:lineRule="exact"/>
        <w:rPr>
          <w:sz w:val="20"/>
          <w:szCs w:val="20"/>
          <w:color w:val="auto"/>
        </w:rPr>
      </w:pPr>
    </w:p>
    <w:p>
      <w:pPr>
        <w:jc w:val="both"/>
        <w:ind w:left="-8" w:firstLine="8"/>
        <w:spacing w:after="0" w:line="237" w:lineRule="auto"/>
        <w:tabs>
          <w:tab w:leader="none" w:pos="29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Employment Right</w:t>
      </w:r>
      <w:r>
        <w:rPr>
          <w:rFonts w:ascii="Arial" w:cs="Arial" w:eastAsia="Arial" w:hAnsi="Arial"/>
          <w:sz w:val="18"/>
          <w:szCs w:val="18"/>
          <w:color w:val="auto"/>
        </w:rPr>
        <w:t>. Awardee acknowledges that neither the fact of this Award of SAs nor any provision of this Award Agreement or the Plan or the policies adopted pursuant to the Plan shall confer upon Awardee any right with respect to employment or continuation of current employment with the Company or with Awardee’s actual employer, or to employment that is not terminable at will. Awardee further acknowledges and agrees that neither the Plan nor this Award of SAs makes Awardee's employment with the Company or Awardee’s actual employer for any minimum or fixed period, and that this employment is subject to the mutual consent of Awardee and the Company or Awardee’s actual employer, and may be terminated by either Awardee or the Company or Awardee’s actual employer at any time, for any reason or no reason, with or without cause or notice or any kind of pre- or post-termination warning, discipline or procedure.</w:t>
      </w:r>
    </w:p>
    <w:p>
      <w:pPr>
        <w:spacing w:after="0" w:line="149" w:lineRule="exact"/>
        <w:rPr>
          <w:rFonts w:ascii="Arial" w:cs="Arial" w:eastAsia="Arial" w:hAnsi="Arial"/>
          <w:sz w:val="18"/>
          <w:szCs w:val="18"/>
          <w:color w:val="auto"/>
        </w:rPr>
      </w:pPr>
    </w:p>
    <w:p>
      <w:pPr>
        <w:jc w:val="both"/>
        <w:ind w:left="-8" w:firstLine="8"/>
        <w:spacing w:after="0" w:line="238" w:lineRule="auto"/>
        <w:tabs>
          <w:tab w:leader="none" w:pos="29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Except as otherwise expressly provided in the Plan, the authority to manage and control the operation and administration of this Award Agreement shall be vested in the Committee, and the Committee shall have all powers and discretion with respect to this Award Agreement as it has with respect to the Plan. Any interpretation of the Award Agreement by the Committee and any decision made by the Committee with respect to the Award Agreement shall be final and binding on all parties. References to the Committee in this Award Agreement shall be read to include a reference to any delegate of the Committee acting within the scope of his or her delegation.</w:t>
      </w:r>
    </w:p>
    <w:p>
      <w:pPr>
        <w:spacing w:after="0" w:line="148" w:lineRule="exact"/>
        <w:rPr>
          <w:rFonts w:ascii="Arial" w:cs="Arial" w:eastAsia="Arial" w:hAnsi="Arial"/>
          <w:sz w:val="18"/>
          <w:szCs w:val="18"/>
          <w:color w:val="auto"/>
        </w:rPr>
      </w:pPr>
    </w:p>
    <w:p>
      <w:pPr>
        <w:jc w:val="both"/>
        <w:ind w:left="-8" w:firstLine="8"/>
        <w:spacing w:after="0"/>
        <w:tabs>
          <w:tab w:leader="none" w:pos="30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Award Agreement shall be subject to the terms of the Plan and, if applicable, the Executive Incentive Plan, and this Award Agreement is subject to all interpretations, amendments, rules and regulations promulgated by the Committee from time to time pursuant to the Plan and, if applicable, the Executive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01" w:right="239" w:bottom="1440" w:gutter="0" w:footer="0" w:header="0"/>
        </w:sectPr>
      </w:pPr>
    </w:p>
    <w:bookmarkStart w:id="72" w:name="page73"/>
    <w:bookmarkEnd w:id="72"/>
    <w:p>
      <w:pPr>
        <w:jc w:val="both"/>
        <w:ind w:left="-8" w:firstLine="8"/>
        <w:spacing w:after="0"/>
        <w:tabs>
          <w:tab w:leader="none" w:pos="29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written notices provided for in this Award Agreement that are sent by mail shall be deemed received three business days after mailing, but not later than the date of actual receipt. Notices shall be directed, if to Awardee, at Awardee’s address indicated by the Company’s records and, if to the Company, at the Company’s principal executive office.</w:t>
      </w:r>
    </w:p>
    <w:p>
      <w:pPr>
        <w:spacing w:after="0" w:line="148" w:lineRule="exact"/>
        <w:rPr>
          <w:rFonts w:ascii="Arial" w:cs="Arial" w:eastAsia="Arial" w:hAnsi="Arial"/>
          <w:sz w:val="18"/>
          <w:szCs w:val="18"/>
          <w:color w:val="auto"/>
        </w:rPr>
      </w:pPr>
    </w:p>
    <w:p>
      <w:pPr>
        <w:jc w:val="both"/>
        <w:ind w:left="-8" w:firstLine="8"/>
        <w:spacing w:after="0" w:line="239" w:lineRule="auto"/>
        <w:tabs>
          <w:tab w:leader="none" w:pos="29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SAs awarded under the Plan or future SAs that may be awarded under the Plan by electronic means or request Awardee’s consent to participate in the Plan by electronic means. Awardee hereby consents to receive such documents by electronic delivery and agrees to participate in the Plan through an on-line or electronic system established and maintained by the Company or another third party designated by the Company.</w:t>
      </w:r>
    </w:p>
    <w:p>
      <w:pPr>
        <w:spacing w:after="0" w:line="147" w:lineRule="exact"/>
        <w:rPr>
          <w:rFonts w:ascii="Arial" w:cs="Arial" w:eastAsia="Arial" w:hAnsi="Arial"/>
          <w:sz w:val="18"/>
          <w:szCs w:val="18"/>
          <w:color w:val="auto"/>
        </w:rPr>
      </w:pPr>
    </w:p>
    <w:p>
      <w:pPr>
        <w:jc w:val="both"/>
        <w:ind w:left="-8" w:firstLine="8"/>
        <w:spacing w:after="0" w:line="238" w:lineRule="auto"/>
        <w:tabs>
          <w:tab w:leader="none" w:pos="29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By Awardee's acceptance of this Award Agreement in the manner prescribed by the Company, Awardee acknowledges that Awardee has received and has read, understood and accepted all the terms, conditions and restrictions of this Award Agreement, the Plan, and the current policies referenced in Sections 2(b) and 2(c) above. Awardee understands and agrees that this Award Agreement is subject to all the terms, conditions, and restrictions stated in this Award Agreement and in the other documents referenced in the preceding sentence, as the latter may be amended from time to time in the Company’s sole discretion.</w:t>
      </w:r>
    </w:p>
    <w:p>
      <w:pPr>
        <w:spacing w:after="0" w:line="148" w:lineRule="exact"/>
        <w:rPr>
          <w:rFonts w:ascii="Arial" w:cs="Arial" w:eastAsia="Arial" w:hAnsi="Arial"/>
          <w:sz w:val="18"/>
          <w:szCs w:val="18"/>
          <w:color w:val="auto"/>
        </w:rPr>
      </w:pPr>
    </w:p>
    <w:p>
      <w:pPr>
        <w:ind w:left="-8" w:firstLine="8"/>
        <w:spacing w:after="0" w:line="246" w:lineRule="auto"/>
        <w:tabs>
          <w:tab w:leader="none" w:pos="30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Board Approval</w:t>
      </w:r>
      <w:r>
        <w:rPr>
          <w:rFonts w:ascii="Arial" w:cs="Arial" w:eastAsia="Arial" w:hAnsi="Arial"/>
          <w:sz w:val="18"/>
          <w:szCs w:val="18"/>
          <w:color w:val="auto"/>
        </w:rPr>
        <w:t>. These SAs have been awarded pursuant to the Plan and this Award of SAs has been approved by the Compensation Committee of the Board of Directors or the Board of Directors.</w:t>
      </w:r>
    </w:p>
    <w:p>
      <w:pPr>
        <w:spacing w:after="0" w:line="142" w:lineRule="exact"/>
        <w:rPr>
          <w:rFonts w:ascii="Arial" w:cs="Arial" w:eastAsia="Arial" w:hAnsi="Arial"/>
          <w:sz w:val="18"/>
          <w:szCs w:val="18"/>
          <w:color w:val="auto"/>
        </w:rPr>
      </w:pPr>
    </w:p>
    <w:p>
      <w:pPr>
        <w:jc w:val="both"/>
        <w:ind w:left="-8" w:firstLine="8"/>
        <w:spacing w:after="0"/>
        <w:tabs>
          <w:tab w:leader="none" w:pos="30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Award Agreement shall be governed by the laws of the State of Washington, U.S.A., without regard to Washington laws that might cause other law to govern under applicable principles of conflicts of law. The venue for any litigation related to this Award Agreement will be in King County, Washington.</w:t>
      </w:r>
    </w:p>
    <w:p>
      <w:pPr>
        <w:spacing w:after="0" w:line="148" w:lineRule="exact"/>
        <w:rPr>
          <w:rFonts w:ascii="Arial" w:cs="Arial" w:eastAsia="Arial" w:hAnsi="Arial"/>
          <w:sz w:val="18"/>
          <w:szCs w:val="18"/>
          <w:color w:val="auto"/>
        </w:rPr>
      </w:pPr>
    </w:p>
    <w:p>
      <w:pPr>
        <w:jc w:val="both"/>
        <w:ind w:left="-8" w:firstLine="8"/>
        <w:spacing w:after="0" w:line="238" w:lineRule="auto"/>
        <w:tabs>
          <w:tab w:leader="none" w:pos="30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that could be deemed null and void shall first be construed, interpreted or revised retroactively to permit this Award Agreement to be construed so as to foster the intent of this Award Agreement and the Plan.</w:t>
      </w:r>
    </w:p>
    <w:p>
      <w:pPr>
        <w:spacing w:after="0" w:line="148" w:lineRule="exact"/>
        <w:rPr>
          <w:rFonts w:ascii="Arial" w:cs="Arial" w:eastAsia="Arial" w:hAnsi="Arial"/>
          <w:sz w:val="18"/>
          <w:szCs w:val="18"/>
          <w:color w:val="auto"/>
        </w:rPr>
      </w:pPr>
    </w:p>
    <w:p>
      <w:pPr>
        <w:jc w:val="both"/>
        <w:ind w:left="-8" w:firstLine="8"/>
        <w:spacing w:after="0" w:line="237" w:lineRule="auto"/>
        <w:tabs>
          <w:tab w:leader="none" w:pos="29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Complete Award Agreement and Amendment</w:t>
      </w:r>
      <w:r>
        <w:rPr>
          <w:rFonts w:ascii="Arial" w:cs="Arial" w:eastAsia="Arial" w:hAnsi="Arial"/>
          <w:sz w:val="18"/>
          <w:szCs w:val="18"/>
          <w:color w:val="auto"/>
        </w:rPr>
        <w:t>. This Award Agreement (including the policies referenced in Sections 2(b) and 2(c)) and the Plan constitute the entire agreement between Awardee and the Company regarding SAs. Any prior agreements, commitments or negotiations concerning these SAs are superseded. This Award Agreement may be amended only by written agreement of Awardee and the Company, without consent of any other person, provided that no consent is necessary to an amendment that in the reasonable judgment of the Committee confers a benefit on Awardee. Awardee agrees not to rely on any oral information regarding this Award of SAs or any written materials not identified in this Section 21.</w:t>
      </w:r>
    </w:p>
    <w:p>
      <w:pPr>
        <w:spacing w:after="0" w:line="151" w:lineRule="exact"/>
        <w:rPr>
          <w:rFonts w:ascii="Arial" w:cs="Arial" w:eastAsia="Arial" w:hAnsi="Arial"/>
          <w:sz w:val="18"/>
          <w:szCs w:val="18"/>
          <w:color w:val="auto"/>
        </w:rPr>
      </w:pPr>
    </w:p>
    <w:p>
      <w:pPr>
        <w:jc w:val="both"/>
        <w:ind w:left="-8" w:firstLine="8"/>
        <w:spacing w:after="0"/>
        <w:tabs>
          <w:tab w:leader="none" w:pos="29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Award Agreement shall be interpreted, operated, and administered in a manner so as not to subject Awardee to the assessment of additional taxes or interest under Code section 409A, and this Award Agreement shall be amended as the Company, in its sole discretion, determines is necessary and appropriate to avoid the application of any such taxes or interest.</w:t>
      </w:r>
    </w:p>
    <w:p>
      <w:pPr>
        <w:sectPr>
          <w:pgSz w:w="11900" w:h="16838" w:orient="portrait"/>
          <w:cols w:equalWidth="0" w:num="1">
            <w:col w:w="11412"/>
          </w:cols>
          <w:pgMar w:left="248" w:top="30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10.27</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STOCK AWARD AGREEMENT UNDER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MICROSOFT CORPORATION 2017 STOCK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Award Number ______________</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This Award Agreement sets forth the terms and conditions of an award (the “Award”) of performance stock awards (“PSAs”) awarded to </w:t>
      </w:r>
      <w:r>
        <w:rPr>
          <w:rFonts w:ascii="Arial" w:cs="Arial" w:eastAsia="Arial" w:hAnsi="Arial"/>
          <w:sz w:val="18"/>
          <w:szCs w:val="18"/>
          <w:b w:val="1"/>
          <w:bCs w:val="1"/>
          <w:color w:val="auto"/>
        </w:rPr>
        <w:t xml:space="preserve">&lt;&lt;FullName&gt;&gt; </w:t>
      </w:r>
      <w:r>
        <w:rPr>
          <w:rFonts w:ascii="Arial" w:cs="Arial" w:eastAsia="Arial" w:hAnsi="Arial"/>
          <w:sz w:val="18"/>
          <w:szCs w:val="18"/>
          <w:color w:val="auto"/>
        </w:rPr>
        <w:t>(“Awardee”) by Microsoft Corporation (the “Company”) in the exercise of its sole discretion under the Microsoft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2017 Stock Plan (the “Plan”) and pursuant to the Microsoft Corporation Executive Incentive Plan on </w:t>
      </w:r>
      <w:r>
        <w:rPr>
          <w:rFonts w:ascii="Arial" w:cs="Arial" w:eastAsia="Arial" w:hAnsi="Arial"/>
          <w:sz w:val="18"/>
          <w:szCs w:val="18"/>
          <w:b w:val="1"/>
          <w:bCs w:val="1"/>
          <w:color w:val="auto"/>
        </w:rPr>
        <w:t>&lt;&lt;GrantDate&gt;&gt;</w:t>
      </w:r>
      <w:r>
        <w:rPr>
          <w:rFonts w:ascii="Arial" w:cs="Arial" w:eastAsia="Arial" w:hAnsi="Arial"/>
          <w:sz w:val="18"/>
          <w:szCs w:val="18"/>
          <w:color w:val="auto"/>
        </w:rPr>
        <w:t xml:space="preserve"> (the “Award Date”). Capitalized terms used but not defined in this Award Agreement shall have the meanings assigned to them in the Plan.</w:t>
      </w:r>
    </w:p>
    <w:p>
      <w:pPr>
        <w:spacing w:after="0" w:line="148"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38" w:lineRule="auto"/>
        <w:tabs>
          <w:tab w:leader="none" w:pos="2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Award is earned over a performance period beginning ______ and ending ___________ (the “Performance Period”). Under the Award, the number of shares that may be earned at target performance for the Performance Period is </w:t>
      </w:r>
      <w:r>
        <w:rPr>
          <w:rFonts w:ascii="Arial" w:cs="Arial" w:eastAsia="Arial" w:hAnsi="Arial"/>
          <w:sz w:val="18"/>
          <w:szCs w:val="18"/>
          <w:b w:val="1"/>
          <w:bCs w:val="1"/>
          <w:color w:val="auto"/>
        </w:rPr>
        <w:t>&lt;&lt;</w:t>
      </w:r>
      <w:r>
        <w:rPr>
          <w:rFonts w:ascii="Arial" w:cs="Arial" w:eastAsia="Arial" w:hAnsi="Arial"/>
          <w:sz w:val="18"/>
          <w:szCs w:val="18"/>
          <w:b w:val="1"/>
          <w:bCs w:val="1"/>
          <w:i w:val="1"/>
          <w:iCs w:val="1"/>
          <w:color w:val="auto"/>
        </w:rPr>
        <w:t>TargetShares&gt;&gt;</w:t>
      </w:r>
      <w:r>
        <w:rPr>
          <w:rFonts w:ascii="Arial" w:cs="Arial" w:eastAsia="Arial" w:hAnsi="Arial"/>
          <w:sz w:val="18"/>
          <w:szCs w:val="18"/>
          <w:color w:val="auto"/>
        </w:rPr>
        <w:t xml:space="preserve"> (“Target Award”), and the maximum number of shares that may be earned for the Performance Period is 300% of the Target Award. At the end of the Performance Period, the Committee (as that term is defined in Section 2(f) of the Plan) will determine the number of PSAs earned under the Award as set forth in Section 2 (these earned PSAs are the “Earned PSAs”).</w:t>
      </w:r>
    </w:p>
    <w:p>
      <w:pPr>
        <w:spacing w:after="0" w:line="148" w:lineRule="exact"/>
        <w:rPr>
          <w:rFonts w:ascii="Arial" w:cs="Arial" w:eastAsia="Arial" w:hAnsi="Arial"/>
          <w:sz w:val="18"/>
          <w:szCs w:val="18"/>
          <w:color w:val="auto"/>
        </w:rPr>
      </w:pPr>
    </w:p>
    <w:p>
      <w:pPr>
        <w:ind w:firstLine="8"/>
        <w:spacing w:after="0" w:line="246" w:lineRule="auto"/>
        <w:tabs>
          <w:tab w:leader="none" w:pos="2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PSAs represent the Company’s unfunded and unsecured promise to issue Common Shares at a future date, subject to the terms of this Award Agreement and the Plan. Awardee has no rights under the PSAs other than the rights of a general unsecured creditor of the Company.</w:t>
      </w:r>
    </w:p>
    <w:p>
      <w:pPr>
        <w:spacing w:after="0" w:line="143"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Earned PSAs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tabs>
          <w:tab w:leader="none" w:pos="294"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Within 90 days following the close of the Performance Period, the Committee shall determine the number of Earned PSAs pursuant to Schedule A; provided that in no event may the number of Earned PSAs exceed the maximum amount specified in Section 1(a). The date the Committee makes the determination of the number of Earned PSAs is the “Determination Date” for the Performance Period.</w:t>
      </w:r>
    </w:p>
    <w:p>
      <w:pPr>
        <w:spacing w:after="0" w:line="149"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Vesting of PSAs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tabs>
          <w:tab w:leader="none" w:pos="2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Earned PSAs shall vest on the first NASDAQ Stock Market regular trading day that is on or after the Determination Date, subject to the terms of this Award Agreement and the Plan and provided that Awardee remains continuously employed through the last day of the Performance Period.</w:t>
      </w:r>
    </w:p>
    <w:p>
      <w:pPr>
        <w:spacing w:after="0" w:line="148" w:lineRule="exact"/>
        <w:rPr>
          <w:rFonts w:ascii="Arial" w:cs="Arial" w:eastAsia="Arial" w:hAnsi="Arial"/>
          <w:sz w:val="18"/>
          <w:szCs w:val="18"/>
          <w:color w:val="auto"/>
        </w:rPr>
      </w:pPr>
    </w:p>
    <w:p>
      <w:pPr>
        <w:jc w:val="both"/>
        <w:ind w:firstLine="8"/>
        <w:spacing w:after="0"/>
        <w:tabs>
          <w:tab w:leader="none" w:pos="3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Awardee agrees that the PSAs subject to this Award Agreement, and other incentive or performance-based compensation Awardee receives or has received from the Company, shall be subject to the Company’s executive compensation recovery policy, as amended from time to time.</w:t>
      </w:r>
    </w:p>
    <w:p>
      <w:pPr>
        <w:spacing w:after="0" w:line="149" w:lineRule="exact"/>
        <w:rPr>
          <w:sz w:val="20"/>
          <w:szCs w:val="20"/>
          <w:color w:val="auto"/>
        </w:rPr>
      </w:pPr>
    </w:p>
    <w:p>
      <w:pPr>
        <w:ind w:firstLine="8"/>
        <w:spacing w:after="0" w:line="246" w:lineRule="auto"/>
        <w:tabs>
          <w:tab w:leader="none" w:pos="2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Unless terminated earlier under Section 5, 6 or 7 below, an Awardee’s rights under this Award Agreement with respect to the PSAs under this Award Agreement shall terminate at the time the PSAs are converted into Common Shares and distributed to Awardee.</w:t>
      </w:r>
    </w:p>
    <w:p>
      <w:pPr>
        <w:spacing w:after="0" w:line="142" w:lineRule="exact"/>
        <w:rPr>
          <w:rFonts w:ascii="Arial" w:cs="Arial" w:eastAsia="Arial" w:hAnsi="Arial"/>
          <w:sz w:val="18"/>
          <w:szCs w:val="18"/>
          <w:color w:val="auto"/>
        </w:rPr>
      </w:pPr>
    </w:p>
    <w:p>
      <w:pPr>
        <w:jc w:val="both"/>
        <w:ind w:firstLine="8"/>
        <w:spacing w:after="0" w:line="237" w:lineRule="auto"/>
        <w:tabs>
          <w:tab w:leader="none" w:pos="22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of Awardee's Status as a Participant</w:t>
      </w:r>
      <w:r>
        <w:rPr>
          <w:rFonts w:ascii="Arial" w:cs="Arial" w:eastAsia="Arial" w:hAnsi="Arial"/>
          <w:sz w:val="18"/>
          <w:szCs w:val="18"/>
          <w:color w:val="auto"/>
        </w:rPr>
        <w:t>. Except as otherwise specified in Section 6 or 7 below, in the event of termination of Awardee's Continuous Status as a Participant (as that term is defined in Section 2(j) of the Plan), Awardee’s rights under this Award Agreement in any unvested PSAs shall terminate. For the avoidance of doubt, an Awardee’s Continuous Status as a Participant terminates at the time Awardee’s actual employer ceases to be the Company or a “Subsidiary” of the Company, as that term is defined in Section 2(y) of the Plan, and except as otherwise specified in Section 6 or 7 below, no person shall have any rights as an Awardee under this Award Agreement unless he or she is in Continuous Status as a Participant on the Award Date.</w:t>
      </w:r>
    </w:p>
    <w:p>
      <w:pPr>
        <w:spacing w:after="0" w:line="151" w:lineRule="exact"/>
        <w:rPr>
          <w:rFonts w:ascii="Arial" w:cs="Arial" w:eastAsia="Arial" w:hAnsi="Arial"/>
          <w:sz w:val="18"/>
          <w:szCs w:val="18"/>
          <w:color w:val="auto"/>
        </w:rPr>
      </w:pPr>
    </w:p>
    <w:p>
      <w:pPr>
        <w:ind w:left="200" w:hanging="192"/>
        <w:spacing w:after="0"/>
        <w:tabs>
          <w:tab w:leader="none" w:pos="2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Disability or Death of Awardee</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tabs>
          <w:tab w:leader="none" w:pos="271"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the provisions of Section 5 above, in the event of termination of Awardee's Continuous Status as a Participant as a result of total and permanent disability (as that term is defined in Section 12(c) of the Plan) before the end of the Performance Period, the Awardee shall become immediately vested in the Target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4" w:name="page75"/>
    <w:bookmarkEnd w:id="74"/>
    <w:p>
      <w:pPr>
        <w:jc w:val="both"/>
        <w:ind w:firstLine="8"/>
        <w:spacing w:after="0" w:line="239" w:lineRule="auto"/>
        <w:tabs>
          <w:tab w:leader="none" w:pos="2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the provisions of Section 5 above, if at the time of Awardee’s death before the end of the Performance Period he or she is in Continuous Status as a Participant (including pursuant to Section 7(a) below), the Awardee shall become immediately vested in the Target Award. If Awardee vests in the Target Award pursuant to Section 6(b), then no vesting shall occur pursuant to the Retirement vesting provisions of Section 7(a).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7. Vesting after termination of employment.</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Retirement. Notwithstanding the provisions of Section 5 above, in the event of Awardee's Retirement, Awardee shall be treated as continuously employed through the vesting date in Section 3(a) above; provided that any Earned PSAs shall be prorated, so that the number of PSAs that vest shall be calculated by multiplying the number of Earned PSAs by (i) the number of calendar months in which Awardee was in Continuous Service (including partial months) from the beginning of the Performance Period to the date of Awardee’s Retirement, divided by (ii) the number of calendar months (including partial months) in the Performance Period. For this purpose, "Retirement" means termination of employment with the Company or a Subsidiary after the earlier of (a) age 65, or (b) attaining age 55 and 15 years of Continuous Service, provided that immediately prior to termination of employment Awardee is employed by Microsoft (or a Subsidiary) in the United States.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Section 7 will only apply to a Retirement if (i) the Retirement occurs more than one year after the beginning of the Performance Period, (ii) Awardee executes a release in conjunction with the Retirement in the form provided by the Company, and (iii) Awardee’s employment does not terminate due to misconduct (as determined in the sole discretion of the Company’s senior corporate officer in charge of the Human Resources department), including but not limited to misconduct in violation of Company policy and misconduct that adversely affects the Company’s interests or reputation.</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purposes of this Section 7, “Continuous Service” means that Awardee has continuously remained an employee of the Company or a Subsidiary, measured from Awardee’s “most recent hire date” as reflected in the Company records. For an Awardee who became an employee of the Company following the acquisition of his or her employer by the Company or a Subsidiary, service with the acquired employer shall count toward Continuous Service, and Continuous Service shall be measured from Awardee’s acquired company hire date as reflected in the Company’s records.</w:t>
      </w:r>
    </w:p>
    <w:p>
      <w:pPr>
        <w:spacing w:after="0" w:line="149" w:lineRule="exact"/>
        <w:rPr>
          <w:sz w:val="20"/>
          <w:szCs w:val="20"/>
          <w:color w:val="auto"/>
        </w:rPr>
      </w:pPr>
    </w:p>
    <w:p>
      <w:pPr>
        <w:jc w:val="both"/>
        <w:ind w:firstLine="8"/>
        <w:spacing w:after="0"/>
        <w:tabs>
          <w:tab w:leader="none" w:pos="28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Awardee may vest in PSAs following Awardee’s termination of employment to the extent provided in a Company severance benefit plan, including the Senior Executive Severance Benefit Plan. In no event, however, shall any accelerated or continued vesting under a Company severance benefit plan change the time of payment specified under this Award Agreement.</w:t>
      </w:r>
    </w:p>
    <w:p>
      <w:pPr>
        <w:spacing w:after="0" w:line="149" w:lineRule="exact"/>
        <w:rPr>
          <w:sz w:val="20"/>
          <w:szCs w:val="20"/>
          <w:color w:val="auto"/>
        </w:rPr>
      </w:pPr>
    </w:p>
    <w:p>
      <w:pPr>
        <w:jc w:val="both"/>
        <w:ind w:firstLine="8"/>
        <w:spacing w:after="0" w:line="238" w:lineRule="auto"/>
        <w:tabs>
          <w:tab w:leader="none" w:pos="21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Value of Unvested PSAs</w:t>
      </w:r>
      <w:r>
        <w:rPr>
          <w:rFonts w:ascii="Arial" w:cs="Arial" w:eastAsia="Arial" w:hAnsi="Arial"/>
          <w:sz w:val="18"/>
          <w:szCs w:val="18"/>
          <w:color w:val="auto"/>
        </w:rPr>
        <w:t>. In consideration of the award of these PSAs, Awardee agrees that upon and following termination of Awardee's Continuous Status as a Participant for any reason (whether or not in breach of applicable laws), and regardless of whether Awardee is terminated with or without cause, notice, or pre-termination procedure or whether Awardee asserts or prevails on a claim that Awardee’s employment was terminable only for cause or only with notice or pre-termination procedure, any unvested PSAs under this Award Agreement shall be deemed to have a value of zero dollars ($0.00).</w:t>
      </w:r>
    </w:p>
    <w:p>
      <w:pPr>
        <w:spacing w:after="0" w:line="148" w:lineRule="exact"/>
        <w:rPr>
          <w:rFonts w:ascii="Arial" w:cs="Arial" w:eastAsia="Arial" w:hAnsi="Arial"/>
          <w:sz w:val="18"/>
          <w:szCs w:val="18"/>
          <w:color w:val="auto"/>
        </w:rPr>
      </w:pPr>
    </w:p>
    <w:p>
      <w:pPr>
        <w:ind w:left="200" w:hanging="192"/>
        <w:spacing w:after="0"/>
        <w:tabs>
          <w:tab w:leader="none" w:pos="2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Conversion of PSAs to Common Shares; Responsibility for Taxes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36" w:lineRule="auto"/>
        <w:tabs>
          <w:tab w:leader="none" w:pos="2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Provided Awardee has satisfied the requirements of Section 9(b) below, on the vesting of any Earned PSAs, the vested Earned PSAs shall be converted into an equivalent number of Common Shares that will be distributed to Awardee (or Awardee’s legal representative, if applicable) within 60 days after the date of the vesting event (but in no event prior to the Determination Date, except in the event of accelerated vesting under Section 6 above). Notwithstanding the foregoing, if accelerated vesting of a PSA occurs pursuant to a provision of the Plan not addressed in this Award Agreement, to the extent required by Code section 409A, distribution of the related Common Share shall not occur until the date distribution would have occurred under this Award Agreement absent this accelerated vesting. The distribution to Awardee (or Awardee’s legal representative, if applicable) of Common Shares in respect of the vested Earned PSAs shall be evidenced by means that the Company determines to be appropriate. In the event ownership or issuance of Common Shares is not feasible due to applicable exchange controls, securities regulations, tax laws or other provisions of applicable law, as determined by the Company in its sole discretion, Awardee (or Awardee’s legal representative, if applicable) shall receive cash proceeds in an amount equal to the value of the Common Shares otherwise distributable to Awardee, as determined by the Company in its sole discretion, net of amounts withheld in satisfaction of the requirements of Section 9(b)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5" w:name="page76"/>
    <w:bookmarkEnd w:id="75"/>
    <w:p>
      <w:pPr>
        <w:jc w:val="both"/>
        <w:ind w:firstLine="8"/>
        <w:spacing w:after="0" w:line="236" w:lineRule="auto"/>
        <w:tabs>
          <w:tab w:leader="none" w:pos="2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Regardless of any action the Company or Awardee’s actual employer takes with respect to any or all income tax (including federal, state and local taxes), social insurance, payroll tax, payment on account, or other tax-related withholding items (“Tax-Related Items”) that arise in connection with the PSAs, Awardee acknowledges and agrees that the ultimate liability for any Tax-Related Items determined by the Company in its discretion to be legally due by Awardee, is and remains Awardee’s responsibility. Awardee acknowledges and agrees that the Company and/or Awardee’s actual employer (i) make no representations or undertakings regarding the treatment of any Tax-Related Items in connection with any aspect of the PSAs, including the grant of the PSAs, the vesting of Earned PSAs, the conversion of Earned PSAs into Common Shares or the receipt of an equivalent cash payment, the subsequent sale of any Common Shares acquired and the receipt of any dividends; and (ii) do not commit to and are under no obligation to structure the terms of the grant or any aspect of the PSAs to reduce or eliminate Awardee’s liability for any Tax-Related Items.</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Prior to the relevant taxable or tax-withholding event, as applicable, Awardee shall pay, or make adequate arrangements satisfactory to the Company or to Awardee’s actual employer (in their sole discretion) to satisfy all obligations for Tax-Related Items. In this regard, Awardee authorizes the Company or Awardee’s actual employer to withhold all applicable Tax-Related Items from Awardee’s wages or other cash compensation payable to Awardee by the Company or Awardee’s actual employer. Alternatively, or in addition, the Company or Awardee’s actual employer may, in their sole discretion, and without notice to or authorization by Awardee, (i) sell or arrange for the sale of Common Shares to be issued upon the vesting of Earned PSAs or other event to satisfy the withholding obligation, and/or (ii) withhold in Common Shares, provided that the Company and Awardee’s actual employer shall withhold only the amount of shares necessary to satisfy the minimum withholding amount or such other amount determined by the Company as not resulting in negative accounting consequences for the Company. Awardee will be deemed to have been issued the full number of Common Shares subject to the Earned PSAs, notwithstanding that a number of whole vested Common Shares are held back solely for the purpose of paying the Tax-Related Items. Awardee shall pay to the Company or to Awardee’s actual employer any amount of Tax-Related Items that the Company or Awardee’s actual employer may be required to withhold as a result of Awardee’s receipt of PSAs, the vesting of Earned PSAs, or the conversion of vested Earned PSAs to Common Shares that cannot be satisfied by the means described in this paragraph. Except where applicable legal or regulatory provisions prohibit and notwithstanding anything in the Plan to the contrary, the standard process for the payment of an Awardee’s Tax-Related Items shall be for the Company or Awardee’s actual employer to withhold in Common Shares only to the amount of shares necessary to satisfy the minimum withholding amount or such other amount determined by the Company as not resulting in negative accounting consequences for the Company. The Company may refuse to deliver Common Shares to Awardee if Awardee fails to comply with Awardee’s obligation in connection with the Tax-Related Items as described in this Section 9.</w:t>
      </w:r>
    </w:p>
    <w:p>
      <w:pPr>
        <w:spacing w:after="0" w:line="160" w:lineRule="exact"/>
        <w:rPr>
          <w:sz w:val="20"/>
          <w:szCs w:val="20"/>
          <w:color w:val="auto"/>
        </w:rPr>
      </w:pPr>
    </w:p>
    <w:p>
      <w:pPr>
        <w:ind w:firstLine="8"/>
        <w:spacing w:after="0" w:line="246" w:lineRule="auto"/>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lieu of issuing fractional Common Shares, on the vesting of a fraction of an Earned PSA, the Company shall round the shares down to the nearest whole share.</w:t>
      </w:r>
    </w:p>
    <w:p>
      <w:pPr>
        <w:spacing w:after="0" w:line="142" w:lineRule="exact"/>
        <w:rPr>
          <w:rFonts w:ascii="Arial" w:cs="Arial" w:eastAsia="Arial" w:hAnsi="Arial"/>
          <w:sz w:val="18"/>
          <w:szCs w:val="18"/>
          <w:color w:val="auto"/>
        </w:rPr>
      </w:pPr>
    </w:p>
    <w:p>
      <w:pPr>
        <w:jc w:val="both"/>
        <w:ind w:firstLine="8"/>
        <w:spacing w:after="0" w:line="239"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Until the distribution to Awardee of the Common Shares in respect of the vested Earned PSAs is evidenced by deposit in Awardee’s brokerage account, Awardee shall have no right to vote or receive dividends or any other rights as a shareholder with respect to such Common Shares, notwithstanding the vesting of Earned PSAs. No adjustment will be made for a dividend or other right for which the record date is prior to the date Awardee is recorded as the owner of the Common Shares, except as provided in Section 14 of the Plan.</w:t>
      </w:r>
    </w:p>
    <w:p>
      <w:pPr>
        <w:spacing w:after="0" w:line="147" w:lineRule="exact"/>
        <w:rPr>
          <w:rFonts w:ascii="Arial" w:cs="Arial" w:eastAsia="Arial" w:hAnsi="Arial"/>
          <w:sz w:val="18"/>
          <w:szCs w:val="18"/>
          <w:color w:val="auto"/>
        </w:rPr>
      </w:pPr>
    </w:p>
    <w:p>
      <w:pPr>
        <w:jc w:val="both"/>
        <w:ind w:firstLine="8"/>
        <w:spacing w:after="0"/>
        <w:tabs>
          <w:tab w:leader="none" w:pos="27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accepting the Award of PSAs evidenced by this Award Agreement, Awardee agrees not to sell any of the Common Shares received on account of vested Earned PSAs at a time when applicable laws or Company policies prohibit a sale. This restriction shall apply so long as Awardee is an Employee, Consultant or outside director of the Company or a Subsidiary of the Company.</w:t>
      </w:r>
    </w:p>
    <w:p>
      <w:pPr>
        <w:spacing w:after="0" w:line="149" w:lineRule="exact"/>
        <w:rPr>
          <w:sz w:val="20"/>
          <w:szCs w:val="20"/>
          <w:color w:val="auto"/>
        </w:rPr>
      </w:pPr>
    </w:p>
    <w:p>
      <w:pPr>
        <w:jc w:val="both"/>
        <w:ind w:firstLine="8"/>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Non-Transferability of PSAs</w:t>
      </w:r>
      <w:r>
        <w:rPr>
          <w:rFonts w:ascii="Arial" w:cs="Arial" w:eastAsia="Arial" w:hAnsi="Arial"/>
          <w:sz w:val="18"/>
          <w:szCs w:val="18"/>
          <w:color w:val="auto"/>
        </w:rPr>
        <w:t>. Awardee’s right in the PSAs awarded under this Award Agreement and any interest therein may not be sold, pledged, assigned, hypothecated, transferred, or disposed of in any manner, other than by will or by the laws of descent or distribution. PSAs shall not be subject to execution, attachment or other process.</w:t>
      </w:r>
    </w:p>
    <w:p>
      <w:pPr>
        <w:spacing w:after="0" w:line="148" w:lineRule="exact"/>
        <w:rPr>
          <w:rFonts w:ascii="Arial" w:cs="Arial" w:eastAsia="Arial" w:hAnsi="Arial"/>
          <w:sz w:val="18"/>
          <w:szCs w:val="18"/>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Acknowledgment of Nature of Plan and PSAs</w:t>
      </w:r>
      <w:r>
        <w:rPr>
          <w:rFonts w:ascii="Arial" w:cs="Arial" w:eastAsia="Arial" w:hAnsi="Arial"/>
          <w:sz w:val="18"/>
          <w:szCs w:val="18"/>
          <w:color w:val="auto"/>
        </w:rPr>
        <w:t>. In accepting the Award, Awardee acknowledges that:</w:t>
      </w:r>
    </w:p>
    <w:p>
      <w:pPr>
        <w:spacing w:after="0" w:line="158" w:lineRule="exact"/>
        <w:rPr>
          <w:sz w:val="20"/>
          <w:szCs w:val="20"/>
          <w:color w:val="auto"/>
        </w:rPr>
      </w:pPr>
    </w:p>
    <w:p>
      <w:pPr>
        <w:ind w:right="20" w:firstLine="8"/>
        <w:spacing w:after="0" w:line="246" w:lineRule="auto"/>
        <w:tabs>
          <w:tab w:leader="none" w:pos="27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modified, amended, suspended or terminated by the Company at any time, as provided in the Plan;</w:t>
      </w:r>
    </w:p>
    <w:p>
      <w:pPr>
        <w:spacing w:after="0" w:line="142" w:lineRule="exact"/>
        <w:rPr>
          <w:rFonts w:ascii="Arial" w:cs="Arial" w:eastAsia="Arial" w:hAnsi="Arial"/>
          <w:sz w:val="18"/>
          <w:szCs w:val="18"/>
          <w:color w:val="auto"/>
        </w:rPr>
      </w:pPr>
    </w:p>
    <w:p>
      <w:pPr>
        <w:ind w:firstLine="8"/>
        <w:spacing w:after="0" w:line="246" w:lineRule="auto"/>
        <w:tabs>
          <w:tab w:leader="none" w:pos="27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Award of PSAs is voluntary and occasional and does not create any contractual or other right to receive future awards of PSAs or other awards, or benefits in lieu of PSAs even if PSAs have been awarded repeatedly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6" w:name="page77"/>
    <w:bookmarkEnd w:id="76"/>
    <w:p>
      <w:pPr>
        <w:ind w:left="252" w:hanging="252"/>
        <w:spacing w:after="0"/>
        <w:tabs>
          <w:tab w:leader="none" w:pos="2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decisions with respect to PSAs or other future awards, if any, will be at the sole discretion of the Company;</w:t>
      </w:r>
    </w:p>
    <w:p>
      <w:pPr>
        <w:spacing w:after="0" w:line="157" w:lineRule="exact"/>
        <w:rPr>
          <w:rFonts w:ascii="Arial" w:cs="Arial" w:eastAsia="Arial" w:hAnsi="Arial"/>
          <w:sz w:val="18"/>
          <w:szCs w:val="18"/>
          <w:color w:val="auto"/>
        </w:rPr>
      </w:pPr>
    </w:p>
    <w:p>
      <w:pPr>
        <w:ind w:left="272" w:hanging="272"/>
        <w:spacing w:after="0"/>
        <w:tabs>
          <w:tab w:leader="none" w:pos="2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Awardee’s participation in the Plan is voluntary;</w:t>
      </w:r>
    </w:p>
    <w:p>
      <w:pPr>
        <w:spacing w:after="0" w:line="157" w:lineRule="exact"/>
        <w:rPr>
          <w:rFonts w:ascii="Arial" w:cs="Arial" w:eastAsia="Arial" w:hAnsi="Arial"/>
          <w:sz w:val="18"/>
          <w:szCs w:val="18"/>
          <w:color w:val="auto"/>
        </w:rPr>
      </w:pPr>
    </w:p>
    <w:p>
      <w:pPr>
        <w:ind w:left="272" w:hanging="272"/>
        <w:spacing w:after="0"/>
        <w:tabs>
          <w:tab w:leader="none" w:pos="2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future value of the underlying Common Shares is unknown and cannot be predicted with certainty;</w:t>
      </w:r>
    </w:p>
    <w:p>
      <w:pPr>
        <w:spacing w:after="0" w:line="157" w:lineRule="exact"/>
        <w:rPr>
          <w:rFonts w:ascii="Arial" w:cs="Arial" w:eastAsia="Arial" w:hAnsi="Arial"/>
          <w:sz w:val="18"/>
          <w:szCs w:val="18"/>
          <w:color w:val="auto"/>
        </w:rPr>
      </w:pPr>
    </w:p>
    <w:p>
      <w:pPr>
        <w:ind w:left="-8" w:right="20" w:firstLine="8"/>
        <w:spacing w:after="0" w:line="246" w:lineRule="auto"/>
        <w:tabs>
          <w:tab w:leader="none" w:pos="222"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Awardee receives Common Shares, the value of the Common Shares acquired on vesting of Earned PSAs may increase or decrease in value;</w:t>
      </w:r>
    </w:p>
    <w:p>
      <w:pPr>
        <w:spacing w:after="0" w:line="142" w:lineRule="exact"/>
        <w:rPr>
          <w:rFonts w:ascii="Arial" w:cs="Arial" w:eastAsia="Arial" w:hAnsi="Arial"/>
          <w:sz w:val="18"/>
          <w:szCs w:val="18"/>
          <w:color w:val="auto"/>
        </w:rPr>
      </w:pPr>
    </w:p>
    <w:p>
      <w:pPr>
        <w:jc w:val="both"/>
        <w:ind w:left="-8" w:firstLine="8"/>
        <w:spacing w:after="0" w:line="236" w:lineRule="auto"/>
        <w:tabs>
          <w:tab w:leader="none" w:pos="2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 terms or conditions of the Plan to the contrary and consistent with Section 5 above, in the event of termination of Awardee's Continuous Status as a Participant under circumstances where Section 7 above does not apply (whether or not in breach of applicable laws), Awardee's right to receive PSAs, if any, will terminate effective as of the date that Awardee is no longer actively employed and will not be extended by any notice period mandated under applicable law. Awardee's right to receive Common Shares pursuant to any Earned PSAs after termination of Continuous Status as a Participant, if any, will be calculated as of the date of termination of Awardee's active employment and will not be extended by any notice period mandated under applicable law; or if later, the Determination Date in the event of continued vesting under Section 7 above. The senior corporate officer in charge of the Company’s Human Resources department has the exclusive discretion to determine when Awardee is no longer actively employed for purposes of the award of PSAs; and</w:t>
      </w:r>
    </w:p>
    <w:p>
      <w:pPr>
        <w:spacing w:after="0" w:line="154" w:lineRule="exact"/>
        <w:rPr>
          <w:rFonts w:ascii="Arial" w:cs="Arial" w:eastAsia="Arial" w:hAnsi="Arial"/>
          <w:sz w:val="18"/>
          <w:szCs w:val="18"/>
          <w:color w:val="auto"/>
        </w:rPr>
      </w:pPr>
    </w:p>
    <w:p>
      <w:pPr>
        <w:jc w:val="both"/>
        <w:ind w:left="-8" w:firstLine="8"/>
        <w:spacing w:after="0" w:line="238" w:lineRule="auto"/>
        <w:tabs>
          <w:tab w:leader="none" w:pos="2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Awardee acknowledges and agrees that, regardless of whether Awardee is terminated with or without cause, notice or pre-termination procedure or whether Awardee asserts or prevails on a claim that Awardee’s employment was terminable only for cause or only with notice or pre-termination procedure, Awardee has no right to, and will not bring any legal claim or action for, (a) any damages for any portion of any Earned PSAs that have been vested and converted into Common Shares, or (b) termination of any unvested PSAs under this Award Agreement.</w:t>
      </w:r>
    </w:p>
    <w:p>
      <w:pPr>
        <w:spacing w:after="0" w:line="149" w:lineRule="exact"/>
        <w:rPr>
          <w:sz w:val="20"/>
          <w:szCs w:val="20"/>
          <w:color w:val="auto"/>
        </w:rPr>
      </w:pPr>
    </w:p>
    <w:p>
      <w:pPr>
        <w:jc w:val="both"/>
        <w:ind w:left="-8" w:firstLine="8"/>
        <w:spacing w:after="0" w:line="237" w:lineRule="auto"/>
        <w:tabs>
          <w:tab w:leader="none" w:pos="29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Employment Right</w:t>
      </w:r>
      <w:r>
        <w:rPr>
          <w:rFonts w:ascii="Arial" w:cs="Arial" w:eastAsia="Arial" w:hAnsi="Arial"/>
          <w:sz w:val="18"/>
          <w:szCs w:val="18"/>
          <w:color w:val="auto"/>
        </w:rPr>
        <w:t>. Awardee acknowledges that neither the fact of this Award of PSAs nor any provision of this Award Agreement or the Plan or the policies adopted pursuant to the Plan shall confer upon Awardee any right with respect to employment or continuation of current employment with the Company or with Awardee’s actual employer, or to employment that is not terminable at will. Awardee further acknowledges and agrees that neither the Plan nor this Award of PSAs makes Awardee's employment with the Company or Awardee’s actual employer for any minimum or fixed period, and that this employment is subject to the mutual consent of Awardee and the Company or Awardee’s actual employer, and may be terminated by either Awardee or the Company or Awardee’s actual employer at any time, for any reason or no reason, with or without cause or notice or any kind of pre- or post-termination warning, discipline or procedure.</w:t>
      </w:r>
    </w:p>
    <w:p>
      <w:pPr>
        <w:spacing w:after="0" w:line="149" w:lineRule="exact"/>
        <w:rPr>
          <w:rFonts w:ascii="Arial" w:cs="Arial" w:eastAsia="Arial" w:hAnsi="Arial"/>
          <w:sz w:val="18"/>
          <w:szCs w:val="18"/>
          <w:color w:val="auto"/>
        </w:rPr>
      </w:pPr>
    </w:p>
    <w:p>
      <w:pPr>
        <w:jc w:val="both"/>
        <w:ind w:left="-8" w:firstLine="8"/>
        <w:spacing w:after="0" w:line="238" w:lineRule="auto"/>
        <w:tabs>
          <w:tab w:leader="none" w:pos="29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Except as otherwise expressly provided in the Plan, the authority to manage and control the operation and administration of this Award Agreement shall be vested in the Committee, and the Committee shall have all powers and discretion with respect to this Award Agreement as it has with respect to the Plan. Any interpretation of the Award Agreement by the Committee and any decision made by the Committee with respect to the Award Agreement shall be final and binding on all parties. References to the Committee in this Award Agreement shall be read to include a reference to any delegate of the Committee acting within the scope of his or her delegation.</w:t>
      </w:r>
    </w:p>
    <w:p>
      <w:pPr>
        <w:spacing w:after="0" w:line="148" w:lineRule="exact"/>
        <w:rPr>
          <w:rFonts w:ascii="Arial" w:cs="Arial" w:eastAsia="Arial" w:hAnsi="Arial"/>
          <w:sz w:val="18"/>
          <w:szCs w:val="18"/>
          <w:color w:val="auto"/>
        </w:rPr>
      </w:pPr>
    </w:p>
    <w:p>
      <w:pPr>
        <w:jc w:val="both"/>
        <w:ind w:left="-8" w:firstLine="8"/>
        <w:spacing w:after="0"/>
        <w:tabs>
          <w:tab w:leader="none" w:pos="31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Except as provided in Schedule A, this Award Agreement shall be subject to the terms of the Plan and the Executive Incentive Plan, and this Award Agreement is subject to all interpretations, amendments, rules and regulations promulgated by the Committee from time to time pursuant to the Plan and the Executive Incentive Plan.</w:t>
      </w:r>
    </w:p>
    <w:p>
      <w:pPr>
        <w:spacing w:after="0" w:line="148" w:lineRule="exact"/>
        <w:rPr>
          <w:rFonts w:ascii="Arial" w:cs="Arial" w:eastAsia="Arial" w:hAnsi="Arial"/>
          <w:sz w:val="18"/>
          <w:szCs w:val="18"/>
          <w:color w:val="auto"/>
        </w:rPr>
      </w:pPr>
    </w:p>
    <w:p>
      <w:pPr>
        <w:jc w:val="both"/>
        <w:ind w:left="-8" w:firstLine="8"/>
        <w:spacing w:after="0"/>
        <w:tabs>
          <w:tab w:leader="none" w:pos="29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written notices provided for in this Award Agreement that are sent by mail shall be deemed received three business days after mailing, but not later than the date of actual receipt. Notices shall be directed, if to Awardee, at Awardee’s address indicated by the Company’s records and, if to the Company, at the Company’s principal executive office.</w:t>
      </w:r>
    </w:p>
    <w:p>
      <w:pPr>
        <w:spacing w:after="0" w:line="148" w:lineRule="exact"/>
        <w:rPr>
          <w:rFonts w:ascii="Arial" w:cs="Arial" w:eastAsia="Arial" w:hAnsi="Arial"/>
          <w:sz w:val="18"/>
          <w:szCs w:val="18"/>
          <w:color w:val="auto"/>
        </w:rPr>
      </w:pPr>
    </w:p>
    <w:p>
      <w:pPr>
        <w:jc w:val="both"/>
        <w:ind w:left="-8" w:firstLine="8"/>
        <w:spacing w:after="0" w:line="239" w:lineRule="auto"/>
        <w:tabs>
          <w:tab w:leader="none" w:pos="29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PSAs awarded under the Plan or future PSAs that may be awarded under the Plan by electronic means or request Awardee’s consent to participate in the Plan by electronic means. Awardee hereby consents to receive such documents by electronic delivery and agrees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321945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77" w:name="page78"/>
    <w:bookmarkEnd w:id="77"/>
    <w:p>
      <w:pPr>
        <w:jc w:val="both"/>
        <w:ind w:firstLine="8"/>
        <w:spacing w:after="0" w:line="238"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By Awardee’s acceptance of this Award Agreement in the manner prescribed by the Company, Awardee acknowledges that Awardee has received and has read, understood and accepted all the terms, conditions and restrictions of this Award Agreement (including the policy referenced in Section 3(b)) and the Plan. Awardee understands and agrees that this Award Agreement is subject to all the terms, conditions, and restrictions stated in this Award Agreement and in the other documents referenced in the preceding sentence, as the latter may be amended from time to time in the Company’s sole discretion.</w:t>
      </w:r>
    </w:p>
    <w:p>
      <w:pPr>
        <w:spacing w:after="0" w:line="148" w:lineRule="exact"/>
        <w:rPr>
          <w:rFonts w:ascii="Arial" w:cs="Arial" w:eastAsia="Arial" w:hAnsi="Arial"/>
          <w:sz w:val="18"/>
          <w:szCs w:val="18"/>
          <w:color w:val="auto"/>
        </w:rPr>
      </w:pPr>
    </w:p>
    <w:p>
      <w:pPr>
        <w:ind w:firstLine="8"/>
        <w:spacing w:after="0" w:line="246"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Board Approval</w:t>
      </w:r>
      <w:r>
        <w:rPr>
          <w:rFonts w:ascii="Arial" w:cs="Arial" w:eastAsia="Arial" w:hAnsi="Arial"/>
          <w:sz w:val="18"/>
          <w:szCs w:val="18"/>
          <w:color w:val="auto"/>
        </w:rPr>
        <w:t>. These PSAs have been awarded pursuant to the Plan and this Award of PSAs has been approved by the Committee or the Board of Directors.</w:t>
      </w:r>
    </w:p>
    <w:p>
      <w:pPr>
        <w:spacing w:after="0" w:line="142" w:lineRule="exact"/>
        <w:rPr>
          <w:rFonts w:ascii="Arial" w:cs="Arial" w:eastAsia="Arial" w:hAnsi="Arial"/>
          <w:sz w:val="18"/>
          <w:szCs w:val="18"/>
          <w:color w:val="auto"/>
        </w:rPr>
      </w:pPr>
    </w:p>
    <w:p>
      <w:pPr>
        <w:jc w:val="both"/>
        <w:ind w:firstLine="8"/>
        <w:spacing w:after="0"/>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Governing Law, Venue and Arbitration</w:t>
      </w:r>
      <w:r>
        <w:rPr>
          <w:rFonts w:ascii="Arial" w:cs="Arial" w:eastAsia="Arial" w:hAnsi="Arial"/>
          <w:sz w:val="18"/>
          <w:szCs w:val="18"/>
          <w:color w:val="auto"/>
        </w:rPr>
        <w:t>. This Award Agreement shall be governed by the laws of the State of Washington, U.S.A., without regard to Washington laws that might cause other law to govern under applicable principles of conflicts of law. The venue for any litigation related to this Award Agreement will be in King County, Washington.</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Awardee and the Company agree to resolve any dispute, claim, or controversy relating to this Award Agreement between each other, including claims against the Company’s subsidiaries, and the current and former officers, directors, or employees of any of them (collectively “the Company”), in the manner specified in this Section 19. The Company and its affiliates, and Awardee, are referred to below as “parties.”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parties agree to first attempt to resolve all disputes through informal negotiations. The party asserting the dispute shall provide written notice to the other party describing with specificity the nature of the dispute. Written notice to Awardee shall be delivered to Awardee’s home address appearing in the Company’s records. Written notice to the Company shall be delivered to the attention of its General Counsel. Within five days after delivery of the written notice, the other party shall respond in writing stating its position.</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the parties are unable to resolve the dispute through informal negotiations, the parties agree to resolve all disputes by binding arbitration before a single qualified mutually selected arbitrator in accordance with the National Rules for the Resolution of Employment Disputes of the American Arbitration Association. If the parties are unable to agree on an arbitrator, each party shall select a representative and those two representatives shall select a qualified arbitrator who shall preside over the arbitral proceeding. The party initiating the arbitration normally shall bear the burden of proof and normally must prove any actual damages sought, but these proof issues will be determined by applicable law. The prevailing party shall be entitled to reasonable attorney’s fees and costs to the extent consistent with applicable law. The Company shall pay the arbitration costs, including the administrative fees and the arbitrator’s fees and expenses. The arbitrator shall issue a written decision within fifteen days of the end of the hearing. The decision of the arbitrator shall be final and binding and may be enforced and a judgment entered in any court of competent jurisdiction. The arbitration itself, and all testimony, documents, briefs and arguments therein, shall be kept confidential. This Section 19 shall survive the employer-employee relationship between the Company and Awardee.</w:t>
      </w:r>
    </w:p>
    <w:p>
      <w:pPr>
        <w:spacing w:after="0" w:line="153" w:lineRule="exact"/>
        <w:rPr>
          <w:sz w:val="20"/>
          <w:szCs w:val="20"/>
          <w:color w:val="auto"/>
        </w:rPr>
      </w:pPr>
    </w:p>
    <w:p>
      <w:pPr>
        <w:jc w:val="both"/>
        <w:ind w:firstLine="8"/>
        <w:spacing w:after="0" w:line="238" w:lineRule="auto"/>
        <w:tabs>
          <w:tab w:leader="none" w:pos="31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that could be deemed null and void shall first be construed, interpreted or revised retroactively to permit this Award Agreement to be construed so as to foster the intent of this Award Agreement and the Plan.</w:t>
      </w:r>
    </w:p>
    <w:p>
      <w:pPr>
        <w:spacing w:after="0" w:line="148" w:lineRule="exact"/>
        <w:rPr>
          <w:rFonts w:ascii="Arial" w:cs="Arial" w:eastAsia="Arial" w:hAnsi="Arial"/>
          <w:sz w:val="18"/>
          <w:szCs w:val="18"/>
          <w:color w:val="auto"/>
        </w:rPr>
      </w:pPr>
    </w:p>
    <w:p>
      <w:pPr>
        <w:jc w:val="both"/>
        <w:ind w:firstLine="8"/>
        <w:spacing w:after="0" w:line="237" w:lineRule="auto"/>
        <w:tabs>
          <w:tab w:leader="none" w:pos="32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Complete Award Agreement and Amendment</w:t>
      </w:r>
      <w:r>
        <w:rPr>
          <w:rFonts w:ascii="Arial" w:cs="Arial" w:eastAsia="Arial" w:hAnsi="Arial"/>
          <w:sz w:val="18"/>
          <w:szCs w:val="18"/>
          <w:color w:val="auto"/>
        </w:rPr>
        <w:t>. This Award Agreement (including the policy referenced in Section 3(b)) and the Plan constitute the entire agreement between Awardee and the Company regarding PSAs. Any prior agreements, commitments or negotiations concerning these PSAs are superseded. This Award Agreement may be amended only by written agreement of Awardee and the Company, without consent of any other person, provided that no consent is necessary to an amendment that in the reasonable judgment of the Committee confers a benefit on Awardee. Awardee agrees not to rely on any oral information regarding this Award of PSAs or any written materials not identified in this Section 21.</w:t>
      </w:r>
    </w:p>
    <w:p>
      <w:pPr>
        <w:spacing w:after="0" w:line="151" w:lineRule="exact"/>
        <w:rPr>
          <w:rFonts w:ascii="Arial" w:cs="Arial" w:eastAsia="Arial" w:hAnsi="Arial"/>
          <w:sz w:val="18"/>
          <w:szCs w:val="18"/>
          <w:color w:val="auto"/>
        </w:rPr>
      </w:pPr>
    </w:p>
    <w:p>
      <w:pPr>
        <w:jc w:val="both"/>
        <w:ind w:firstLine="8"/>
        <w:spacing w:after="0" w:line="239"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Payments under this Award Agreement are intended to be exempt from Code section 409A to the extent they satisfy the “short-term deferral exception” under Code section 409A and otherwise to be compliant with Code section 409A, and this Award Agreement shall be interpreted, operated and administered accordingly. To the extent applicable, each payment under this Award Agreement shall be treated as a separate payment for purposes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7"/>
          <w:szCs w:val="17"/>
          <w:b w:val="1"/>
          <w:bCs w:val="1"/>
          <w:color w:val="auto"/>
        </w:rPr>
        <w:t>Schedule A to Performance Stock Award Agreement</w:t>
      </w:r>
    </w:p>
    <w:p>
      <w:pPr>
        <w:sectPr>
          <w:pgSz w:w="11900" w:h="16838" w:orient="portrait"/>
          <w:cols w:equalWidth="0" w:num="1">
            <w:col w:w="9019"/>
          </w:cols>
          <w:pgMar w:left="1440" w:top="333"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separately approved]</w:t>
      </w:r>
    </w:p>
    <w:p>
      <w:pPr>
        <w:sectPr>
          <w:pgSz w:w="11900" w:h="16838" w:orient="portrait"/>
          <w:cols w:equalWidth="0" w:num="1">
            <w:col w:w="9019"/>
          </w:cols>
          <w:pgMar w:left="1440" w:top="333" w:right="1440"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15.1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Microsoft Corporation</w:t>
      </w:r>
    </w:p>
    <w:p>
      <w:pPr>
        <w:spacing w:after="0" w:line="234" w:lineRule="auto"/>
        <w:rPr>
          <w:sz w:val="20"/>
          <w:szCs w:val="20"/>
          <w:color w:val="auto"/>
        </w:rPr>
      </w:pPr>
      <w:r>
        <w:rPr>
          <w:rFonts w:ascii="Arial" w:cs="Arial" w:eastAsia="Arial" w:hAnsi="Arial"/>
          <w:sz w:val="18"/>
          <w:szCs w:val="18"/>
          <w:color w:val="auto"/>
        </w:rPr>
        <w:t>One Microsoft Way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Redmond, Washington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Microsoft Corporation and subsidiaries for the periods ended March 31, 2018, and 2017, and have issued our report dated April 26, 2018. As indicated in such report, because we did not perform an audit, we expressed no opinion on that information.</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March 31, 2018, is incorporated by reference in Registration Statement Nos. 333-109185, 333-118764, 333-52852, 333-132100, 333-161516, 333-75243, 333-185757, and 333-221833 on Form S-8 and Registration Statement No. 333-207652 on Form S-3.</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April 26, 2018</w:t>
      </w:r>
    </w:p>
    <w:p>
      <w:pPr>
        <w:sectPr>
          <w:pgSz w:w="11900" w:h="16838" w:orient="portrait"/>
          <w:cols w:equalWidth="0" w:num="1">
            <w:col w:w="11420"/>
          </w:cols>
          <w:pgMar w:left="240" w:top="368"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01"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line="234" w:lineRule="auto"/>
        <w:tabs>
          <w:tab w:leader="none" w:pos="20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158" w:lineRule="exact"/>
        <w:rPr>
          <w:sz w:val="20"/>
          <w:szCs w:val="20"/>
          <w:color w:val="auto"/>
        </w:rPr>
      </w:pPr>
    </w:p>
    <w:p>
      <w:pPr>
        <w:jc w:val="both"/>
        <w:ind w:firstLine="8"/>
        <w:spacing w:after="0"/>
        <w:tabs>
          <w:tab w:leader="none" w:pos="2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firstLine="8"/>
        <w:spacing w:after="0" w:line="246" w:lineRule="auto"/>
        <w:tabs>
          <w:tab w:leader="none" w:pos="2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sz w:val="20"/>
          <w:szCs w:val="20"/>
          <w:color w:val="auto"/>
        </w:rPr>
      </w:pPr>
    </w:p>
    <w:p>
      <w:pPr>
        <w:ind w:right="20" w:firstLine="8"/>
        <w:spacing w:after="0" w:line="246" w:lineRule="auto"/>
        <w:tabs>
          <w:tab w:leader="none" w:pos="25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58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26, 2018</w:t>
      </w:r>
    </w:p>
    <w:p>
      <w:pPr>
        <w:sectPr>
          <w:pgSz w:w="11900" w:h="16838" w:orient="portrait"/>
          <w:cols w:equalWidth="0" w:num="1">
            <w:col w:w="11420"/>
          </w:cols>
          <w:pgMar w:left="240" w:top="368"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line="234" w:lineRule="auto"/>
        <w:tabs>
          <w:tab w:leader="none" w:pos="20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158" w:lineRule="exact"/>
        <w:rPr>
          <w:sz w:val="20"/>
          <w:szCs w:val="20"/>
          <w:color w:val="auto"/>
        </w:rPr>
      </w:pPr>
    </w:p>
    <w:p>
      <w:pPr>
        <w:jc w:val="both"/>
        <w:ind w:firstLine="8"/>
        <w:spacing w:after="0"/>
        <w:tabs>
          <w:tab w:leader="none" w:pos="263"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firstLine="8"/>
        <w:spacing w:after="0" w:line="246" w:lineRule="auto"/>
        <w:tabs>
          <w:tab w:leader="none" w:pos="2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sz w:val="20"/>
          <w:szCs w:val="20"/>
          <w:color w:val="auto"/>
        </w:rPr>
      </w:pPr>
    </w:p>
    <w:p>
      <w:pPr>
        <w:ind w:right="20" w:firstLine="8"/>
        <w:spacing w:after="0" w:line="246" w:lineRule="auto"/>
        <w:tabs>
          <w:tab w:leader="none" w:pos="25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3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588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26, 2018</w:t>
      </w:r>
    </w:p>
    <w:p>
      <w:pPr>
        <w:sectPr>
          <w:pgSz w:w="11900" w:h="16838" w:orient="portrait"/>
          <w:cols w:equalWidth="0" w:num="1">
            <w:col w:w="11420"/>
          </w:cols>
          <w:pgMar w:left="240" w:top="368"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March 31, 2018, as filed with the Securities and Exchange Commission (the “Report”), Satya Nadella, Chief Executive Officer of the Company, does hereby certify, pursuant to § 906 of the Sarbanes-Oxley Act of 2002 (18 U.S.C. § 1350), that to his knowledge:</w:t>
      </w:r>
    </w:p>
    <w:p>
      <w:pPr>
        <w:spacing w:after="0" w:line="149" w:lineRule="exact"/>
        <w:rPr>
          <w:sz w:val="20"/>
          <w:szCs w:val="20"/>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588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April 26, 2018</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420"/>
          </w:cols>
          <w:pgMar w:left="240" w:top="368"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March 31, 2018, as filed with the Securities and Exchange Commission (the “Report”), Amy E. Hood, Chief Financial Officer of the Company, does hereby certify, pursuant to § 906 of the Sarbanes-Oxley Act of 2002 (18 U.S.C. § 1350), that to her knowledge:</w:t>
      </w:r>
    </w:p>
    <w:p>
      <w:pPr>
        <w:spacing w:after="0" w:line="149" w:lineRule="exact"/>
        <w:rPr>
          <w:sz w:val="20"/>
          <w:szCs w:val="20"/>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588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April 26, 2018</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lowerLetter"/>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1)"/>
      <w:numFmt w:val="lowerLetter"/>
      <w:start w:val="1"/>
    </w:lvl>
  </w:abstractNum>
  <w:abstractNum w:abstractNumId="8">
    <w:nsid w:val="57E4CCAF"/>
    <w:multiLevelType w:val="hybridMultilevel"/>
    <w:lvl w:ilvl="0">
      <w:lvlJc w:val="left"/>
      <w:lvlText w:val="(%1)"/>
      <w:numFmt w:val="lowerLetter"/>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1)"/>
      <w:numFmt w:val="lowerLetter"/>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1)"/>
      <w:numFmt w:val="lowerLetter"/>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1."/>
      <w:numFmt w:val="decimal"/>
      <w:start w:val="2"/>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lowerLetter"/>
      <w:start w:val="2"/>
    </w:lvl>
  </w:abstractNum>
  <w:abstractNum w:abstractNumId="40">
    <w:nsid w:val="10233C99"/>
    <w:multiLevelType w:val="hybridMultilevel"/>
    <w:lvl w:ilvl="0">
      <w:lvlJc w:val="left"/>
      <w:lvlText w:val="%1."/>
      <w:numFmt w:val="decimal"/>
      <w:start w:val="3"/>
    </w:lvl>
  </w:abstractNum>
  <w:abstractNum w:abstractNumId="41">
    <w:nsid w:val="3F6AB60F"/>
    <w:multiLevelType w:val="hybridMultilevel"/>
    <w:lvl w:ilvl="0">
      <w:lvlJc w:val="left"/>
      <w:lvlText w:val="%1."/>
      <w:numFmt w:val="decimal"/>
      <w:start w:val="4"/>
    </w:lvl>
  </w:abstractNum>
  <w:abstractNum w:abstractNumId="42">
    <w:nsid w:val="61574095"/>
    <w:multiLevelType w:val="hybridMultilevel"/>
    <w:lvl w:ilvl="0">
      <w:lvlJc w:val="left"/>
      <w:lvlText w:val="%1."/>
      <w:numFmt w:val="decimal"/>
      <w:start w:val="8"/>
    </w:lvl>
  </w:abstractNum>
  <w:abstractNum w:abstractNumId="43">
    <w:nsid w:val="7E0C57B1"/>
    <w:multiLevelType w:val="hybridMultilevel"/>
    <w:lvl w:ilvl="0">
      <w:lvlJc w:val="left"/>
      <w:lvlText w:val="%1."/>
      <w:numFmt w:val="decimal"/>
      <w:start w:val="9"/>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3"/>
    </w:lvl>
  </w:abstractNum>
  <w:abstractNum w:abstractNumId="46">
    <w:nsid w:val="310C50B3"/>
    <w:multiLevelType w:val="hybridMultilevel"/>
    <w:lvl w:ilvl="0">
      <w:lvlJc w:val="left"/>
      <w:lvlText w:val="(%1)"/>
      <w:numFmt w:val="lowerLetter"/>
      <w:start w:val="5"/>
    </w:lvl>
  </w:abstractNum>
  <w:abstractNum w:abstractNumId="47">
    <w:nsid w:val="5FF87E05"/>
    <w:multiLevelType w:val="hybridMultilevel"/>
    <w:lvl w:ilvl="0">
      <w:lvlJc w:val="left"/>
      <w:lvlText w:val="%1."/>
      <w:numFmt w:val="decimal"/>
      <w:start w:val="10"/>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decimal"/>
      <w:start w:val="12"/>
    </w:lvl>
  </w:abstractNum>
  <w:abstractNum w:abstractNumId="50">
    <w:nsid w:val="1DBABF00"/>
    <w:multiLevelType w:val="hybridMultilevel"/>
    <w:lvl w:ilvl="0">
      <w:lvlJc w:val="left"/>
      <w:lvlText w:val="%1."/>
      <w:numFmt w:val="decimal"/>
      <w:start w:val="15"/>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decimal"/>
      <w:start w:val="2"/>
    </w:lvl>
  </w:abstractNum>
  <w:abstractNum w:abstractNumId="54">
    <w:nsid w:val="5DB70AE5"/>
    <w:multiLevelType w:val="hybridMultilevel"/>
    <w:lvl w:ilvl="0">
      <w:lvlJc w:val="left"/>
      <w:lvlText w:val="(%1)"/>
      <w:numFmt w:val="lowerLetter"/>
      <w:start w:val="1"/>
    </w:lvl>
  </w:abstractNum>
  <w:abstractNum w:abstractNumId="55">
    <w:nsid w:val="100F8FCA"/>
    <w:multiLevelType w:val="hybridMultilevel"/>
    <w:lvl w:ilvl="0">
      <w:lvlJc w:val="left"/>
      <w:lvlText w:val="%1."/>
      <w:numFmt w:val="decimal"/>
      <w:start w:val="3"/>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decimal"/>
      <w:start w:val="4"/>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lowerLetter"/>
      <w:start w:val="2"/>
    </w:lvl>
  </w:abstractNum>
  <w:abstractNum w:abstractNumId="60">
    <w:nsid w:val="799D0247"/>
    <w:multiLevelType w:val="hybridMultilevel"/>
    <w:lvl w:ilvl="0">
      <w:lvlJc w:val="left"/>
      <w:lvlText w:val="(%1)"/>
      <w:numFmt w:val="lowerLetter"/>
      <w:start w:val="2"/>
    </w:lvl>
  </w:abstractNum>
  <w:abstractNum w:abstractNumId="61">
    <w:nsid w:val="6B94764"/>
    <w:multiLevelType w:val="hybridMultilevel"/>
    <w:lvl w:ilvl="0">
      <w:lvlJc w:val="left"/>
      <w:lvlText w:val="%1."/>
      <w:numFmt w:val="decimal"/>
      <w:start w:val="8"/>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Letter"/>
      <w:start w:val="2"/>
    </w:lvl>
  </w:abstractNum>
  <w:abstractNum w:abstractNumId="64">
    <w:nsid w:val="1EBA5D23"/>
    <w:multiLevelType w:val="hybridMultilevel"/>
    <w:lvl w:ilvl="0">
      <w:lvlJc w:val="left"/>
      <w:lvlText w:val="(%1)"/>
      <w:numFmt w:val="lowerLetter"/>
      <w:start w:val="3"/>
    </w:lvl>
  </w:abstractNum>
  <w:abstractNum w:abstractNumId="65">
    <w:nsid w:val="661E3F1E"/>
    <w:multiLevelType w:val="hybridMultilevel"/>
    <w:lvl w:ilvl="0">
      <w:lvlJc w:val="left"/>
      <w:lvlText w:val="%1."/>
      <w:numFmt w:val="decimal"/>
      <w:start w:val="10"/>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3"/>
    </w:lvl>
  </w:abstractNum>
  <w:abstractNum w:abstractNumId="68">
    <w:nsid w:val="7BD3EE7B"/>
    <w:multiLevelType w:val="hybridMultilevel"/>
    <w:lvl w:ilvl="0">
      <w:lvlJc w:val="left"/>
      <w:lvlText w:val="%1."/>
      <w:numFmt w:val="decimal"/>
      <w:start w:val="12"/>
    </w:lvl>
  </w:abstractNum>
  <w:abstractNum w:abstractNumId="69">
    <w:nsid w:val="51D9C564"/>
    <w:multiLevelType w:val="hybridMultilevel"/>
    <w:lvl w:ilvl="0">
      <w:lvlJc w:val="left"/>
      <w:lvlText w:val="%1."/>
      <w:numFmt w:val="decimal"/>
      <w:start w:val="17"/>
    </w:lvl>
  </w:abstractNum>
  <w:abstractNum w:abstractNumId="70">
    <w:nsid w:val="613EFDC5"/>
    <w:multiLevelType w:val="hybridMultilevel"/>
    <w:lvl w:ilvl="0">
      <w:lvlJc w:val="left"/>
      <w:lvlText w:val="%1."/>
      <w:numFmt w:val="decimal"/>
      <w:start w:val="20"/>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decimal"/>
      <w:start w:val="5"/>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decimal"/>
      <w:start w:val="5"/>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2019-12-28T23:02:14Z</dcterms:created>
  <dcterms:modified xsi:type="dcterms:W3CDTF">2019-12-28T23:02:14Z</dcterms:modified>
</cp:coreProperties>
</file>