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sft-20251231.htm"/>
      <w:bookmarkStart w:id="1" w:name="ksmsft20251231"/>
      <w:bookmarkEnd w:id="0"/>
      <w:bookmarkEnd w:id="1"/>
      <w:r>
        <w:rPr/>
        <w:t> </w:t>
      </w:r>
    </w:p>
    <w:p>
      <w:pPr>
        <w:pStyle w:val="TextBody"/>
        <w:bidi w:val="0"/>
        <w:jc w:val="both"/>
        <w:rPr/>
      </w:pPr>
      <w:r>
        <w:rPr/>
        <w:t> </w:t>
      </w:r>
    </w:p>
    <w:p>
      <w:pPr>
        <w:pStyle w:val="TextBody"/>
        <w:pBdr>
          <w:top w:val="single" w:sz="8" w:space="1" w:color="000000"/>
        </w:pBdr>
        <w:bidi w:val="0"/>
        <w:jc w:val="both"/>
        <w:rPr/>
      </w:pPr>
      <w:r>
        <w:rPr/>
        <w:t> </w:t>
      </w:r>
    </w:p>
    <w:p>
      <w:pPr>
        <w:pStyle w:val="TextBody"/>
        <w:bidi w:val="0"/>
        <w:spacing w:before="20" w:after="283"/>
        <w:jc w:val="center"/>
        <w:rPr>
          <w:rFonts w:ascii="Arial" w:hAnsi="Arial"/>
          <w:b/>
          <w:caps/>
          <w:color w:val="000000"/>
          <w:sz w:val="36"/>
        </w:rPr>
      </w:pPr>
      <w:r>
        <w:rPr>
          <w:rFonts w:ascii="Arial" w:hAnsi="Arial"/>
          <w:b/>
          <w:caps/>
          <w:color w:val="000000"/>
          <w:sz w:val="36"/>
        </w:rPr>
        <w:t>UNITED STATES</w:t>
      </w:r>
    </w:p>
    <w:p>
      <w:pPr>
        <w:pStyle w:val="TextBody"/>
        <w:bidi w:val="0"/>
        <w:jc w:val="center"/>
        <w:rPr>
          <w:rFonts w:ascii="Arial" w:hAnsi="Arial"/>
          <w:b/>
          <w:caps/>
          <w:color w:val="000000"/>
          <w:sz w:val="36"/>
        </w:rPr>
      </w:pPr>
      <w:r>
        <w:rPr>
          <w:rFonts w:ascii="Arial" w:hAnsi="Arial"/>
          <w:b/>
          <w:caps/>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jc w:val="center"/>
        <w:rPr/>
      </w:pPr>
      <w:r>
        <w:rPr/>
        <w:t> </w:t>
      </w:r>
    </w:p>
    <w:p>
      <w:pPr>
        <w:pStyle w:val="TextBody"/>
        <w:bidi w:val="0"/>
        <w:jc w:val="center"/>
        <w:rPr>
          <w:rFonts w:ascii="Times New Roman" w:hAnsi="Times New Roman"/>
          <w:sz w:val="20"/>
        </w:rPr>
      </w:pPr>
      <w:r>
        <w:rPr>
          <w:rFonts w:ascii="Arial" w:hAnsi="Arial"/>
          <w:b/>
          <w:caps/>
          <w:color w:val="000000"/>
          <w:sz w:val="36"/>
        </w:rPr>
        <w:t>FORM</w:t>
      </w:r>
      <w:r>
        <w:rPr>
          <w:rFonts w:ascii="Times New Roman" w:hAnsi="Times New Roman"/>
          <w:color w:val="000000"/>
          <w:sz w:val="20"/>
        </w:rPr>
        <w:t xml:space="preserve"> </w:t>
      </w:r>
      <w:r>
        <w:rPr>
          <w:rFonts w:ascii="Arial" w:hAnsi="Arial"/>
          <w:b/>
          <w:color w:val="000000"/>
          <w:sz w:val="36"/>
        </w:rPr>
        <w:t>10-</w:t>
      </w:r>
      <w:r>
        <w:rPr>
          <w:rFonts w:ascii="Arial" w:hAnsi="Arial"/>
          <w:b/>
          <w:caps/>
          <w:color w:val="000000"/>
          <w:sz w:val="36"/>
        </w:rPr>
        <w:t>Q</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
        <w:gridCol w:w="9817"/>
      </w:tblGrid>
      <w:tr>
        <w:trPr/>
        <w:tc>
          <w:tcPr>
            <w:tcW w:w="388" w:type="dxa"/>
            <w:tcBorders/>
            <w:vAlign w:val="center"/>
          </w:tcPr>
          <w:p>
            <w:pPr>
              <w:pStyle w:val="TableContents"/>
              <w:bidi w:val="0"/>
              <w:spacing w:before="0" w:after="283"/>
              <w:jc w:val="left"/>
              <w:rPr>
                <w:sz w:val="4"/>
                <w:szCs w:val="4"/>
              </w:rPr>
            </w:pPr>
            <w:r>
              <w:rPr>
                <w:sz w:val="4"/>
                <w:szCs w:val="4"/>
              </w:rPr>
            </w:r>
          </w:p>
        </w:tc>
        <w:tc>
          <w:tcPr>
            <w:tcW w:w="9817" w:type="dxa"/>
            <w:tcBorders/>
            <w:vAlign w:val="center"/>
          </w:tcPr>
          <w:p>
            <w:pPr>
              <w:pStyle w:val="TableContents"/>
              <w:bidi w:val="0"/>
              <w:spacing w:before="0" w:after="283"/>
              <w:jc w:val="left"/>
              <w:rPr>
                <w:sz w:val="4"/>
                <w:szCs w:val="4"/>
              </w:rPr>
            </w:pPr>
            <w:r>
              <w:rPr>
                <w:sz w:val="4"/>
                <w:szCs w:val="4"/>
              </w:rPr>
            </w:r>
          </w:p>
        </w:tc>
      </w:tr>
      <w:tr>
        <w:trPr/>
        <w:tc>
          <w:tcPr>
            <w:tcW w:w="3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aps/>
                <w:color w:val="000000"/>
                <w:sz w:val="20"/>
              </w:rPr>
              <w:t xml:space="preserve">QUARTERLY REPORT PURSUANT TO SECTION </w:t>
            </w:r>
            <w:r>
              <w:rPr>
                <w:rFonts w:ascii="Arial" w:hAnsi="Arial"/>
                <w:b/>
                <w:color w:val="000000"/>
                <w:sz w:val="20"/>
              </w:rPr>
              <w:t xml:space="preserve">13 </w:t>
            </w:r>
            <w:r>
              <w:rPr>
                <w:rFonts w:ascii="Arial" w:hAnsi="Arial"/>
                <w:b/>
                <w:caps/>
                <w:color w:val="000000"/>
                <w:sz w:val="20"/>
              </w:rPr>
              <w:t>OR</w:t>
            </w:r>
            <w:r>
              <w:rPr>
                <w:rFonts w:ascii="Times New Roman" w:hAnsi="Times New Roman"/>
                <w:color w:val="000000"/>
                <w:sz w:val="20"/>
              </w:rPr>
              <w:t> </w:t>
            </w:r>
            <w:r>
              <w:rPr>
                <w:rFonts w:ascii="Arial" w:hAnsi="Arial"/>
                <w:b/>
                <w:color w:val="000000"/>
                <w:sz w:val="20"/>
              </w:rPr>
              <w:t xml:space="preserve">15(d) </w:t>
            </w:r>
            <w:r>
              <w:rPr>
                <w:rFonts w:ascii="Arial" w:hAnsi="Arial"/>
                <w:b/>
                <w:caps/>
                <w:color w:val="000000"/>
                <w:sz w:val="20"/>
              </w:rPr>
              <w:t>OF THE SECURITIES EXCHANGE ACT OF</w:t>
            </w:r>
            <w:r>
              <w:rPr>
                <w:rFonts w:ascii="Times New Roman" w:hAnsi="Times New Roman"/>
                <w:color w:val="000000"/>
                <w:sz w:val="20"/>
              </w:rPr>
              <w:t> </w:t>
            </w:r>
            <w:r>
              <w:rPr>
                <w:rFonts w:ascii="Arial" w:hAnsi="Arial"/>
                <w:b/>
                <w:color w:val="000000"/>
                <w:sz w:val="20"/>
              </w:rPr>
              <w:t>1934</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For the Quarterly Period Ended December 31, 2025</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OR</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aps/>
                <w:color w:val="000000"/>
                <w:sz w:val="20"/>
              </w:rPr>
              <w:t>TRANSITION REPORT PURSUANT TO SECTION</w:t>
            </w:r>
            <w:r>
              <w:rPr>
                <w:rFonts w:ascii="Times New Roman" w:hAnsi="Times New Roman"/>
                <w:color w:val="000000"/>
                <w:sz w:val="20"/>
              </w:rPr>
              <w:t> </w:t>
            </w:r>
            <w:r>
              <w:rPr>
                <w:rFonts w:ascii="Arial" w:hAnsi="Arial"/>
                <w:b/>
                <w:color w:val="000000"/>
                <w:sz w:val="20"/>
              </w:rPr>
              <w:t xml:space="preserve">13 </w:t>
            </w:r>
            <w:r>
              <w:rPr>
                <w:rFonts w:ascii="Arial" w:hAnsi="Arial"/>
                <w:b/>
                <w:caps/>
                <w:color w:val="000000"/>
                <w:sz w:val="20"/>
              </w:rPr>
              <w:t>OR</w:t>
            </w:r>
            <w:r>
              <w:rPr>
                <w:rFonts w:ascii="Times New Roman" w:hAnsi="Times New Roman"/>
                <w:color w:val="000000"/>
                <w:sz w:val="20"/>
              </w:rPr>
              <w:t> </w:t>
            </w:r>
            <w:r>
              <w:rPr>
                <w:rFonts w:ascii="Arial" w:hAnsi="Arial"/>
                <w:b/>
                <w:color w:val="000000"/>
                <w:sz w:val="20"/>
              </w:rPr>
              <w:t xml:space="preserve">15(d) </w:t>
            </w:r>
            <w:r>
              <w:rPr>
                <w:rFonts w:ascii="Arial" w:hAnsi="Arial"/>
                <w:b/>
                <w:caps/>
                <w:color w:val="000000"/>
                <w:sz w:val="20"/>
              </w:rPr>
              <w:t>OF THE SECURITIES EXCHANGE ACT OF</w:t>
            </w:r>
            <w:r>
              <w:rPr>
                <w:rFonts w:ascii="Times New Roman" w:hAnsi="Times New Roman"/>
                <w:color w:val="000000"/>
                <w:sz w:val="20"/>
              </w:rPr>
              <w:t> </w:t>
            </w:r>
            <w:r>
              <w:rPr>
                <w:rFonts w:ascii="Arial" w:hAnsi="Arial"/>
                <w:b/>
                <w:color w:val="000000"/>
                <w:sz w:val="20"/>
              </w:rPr>
              <w:t>1934</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For the Transition Period From to</w:t>
            </w:r>
          </w:p>
        </w:tc>
      </w:tr>
    </w:tbl>
    <w:p>
      <w:pPr>
        <w:pStyle w:val="TextBody"/>
        <w:bidi w:val="0"/>
        <w:spacing w:before="40" w:after="283"/>
        <w:jc w:val="center"/>
        <w:rPr>
          <w:rFonts w:ascii="Arial" w:hAnsi="Arial"/>
          <w:b/>
          <w:color w:val="000000"/>
          <w:sz w:val="20"/>
        </w:rPr>
      </w:pPr>
      <w:r>
        <w:rPr>
          <w:rFonts w:ascii="Arial" w:hAnsi="Arial"/>
          <w:b/>
          <w:color w:val="000000"/>
          <w:sz w:val="20"/>
        </w:rPr>
        <w:t>Commission File Number 001-37845</w:t>
      </w:r>
    </w:p>
    <w:p>
      <w:pPr>
        <w:pStyle w:val="TextBody"/>
        <w:bidi w:val="0"/>
        <w:jc w:val="center"/>
        <w:rPr/>
      </w:pPr>
      <w:r>
        <w:rPr/>
        <w:t> </w:t>
      </w:r>
    </w:p>
    <w:p>
      <w:pPr>
        <w:pStyle w:val="TextBody"/>
        <w:bidi w:val="0"/>
        <w:jc w:val="center"/>
        <w:rPr>
          <w:rFonts w:ascii="Arial" w:hAnsi="Arial"/>
          <w:b/>
          <w:caps/>
          <w:color w:val="000000"/>
          <w:sz w:val="48"/>
        </w:rPr>
      </w:pPr>
      <w:r>
        <w:rPr>
          <w:rFonts w:ascii="Arial" w:hAnsi="Arial"/>
          <w:b/>
          <w:caps/>
          <w:color w:val="000000"/>
          <w:sz w:val="48"/>
        </w:rPr>
        <w:t>MICROSOFT CORPORATION</w:t>
      </w:r>
    </w:p>
    <w:tbl>
      <w:tblPr>
        <w:tblW w:w="3448" w:type="dxa"/>
        <w:jc w:val="left"/>
        <w:tblInd w:w="0" w:type="dxa"/>
        <w:tblLayout w:type="fixed"/>
        <w:tblCellMar>
          <w:top w:w="28" w:type="dxa"/>
          <w:left w:w="28" w:type="dxa"/>
          <w:bottom w:w="28" w:type="dxa"/>
          <w:right w:w="28" w:type="dxa"/>
        </w:tblCellMar>
      </w:tblPr>
      <w:tblGrid>
        <w:gridCol w:w="2281"/>
        <w:gridCol w:w="146"/>
        <w:gridCol w:w="10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91-1144442</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ID)</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aps/>
          <w:color w:val="000000"/>
          <w:sz w:val="17"/>
        </w:rPr>
        <w:t>ONE MICROSOFT WAY, REDMOND, Washington</w:t>
      </w:r>
      <w:r>
        <w:rPr>
          <w:rFonts w:ascii="Times New Roman" w:hAnsi="Times New Roman"/>
          <w:color w:val="000000"/>
          <w:sz w:val="20"/>
        </w:rPr>
        <w:t xml:space="preserve"> </w:t>
      </w:r>
      <w:r>
        <w:rPr>
          <w:rFonts w:ascii="Arial" w:hAnsi="Arial"/>
          <w:b/>
          <w:caps/>
          <w:color w:val="000000"/>
          <w:sz w:val="17"/>
        </w:rPr>
        <w:t>98052-6399</w:t>
      </w:r>
    </w:p>
    <w:p>
      <w:pPr>
        <w:pStyle w:val="TextBody"/>
        <w:bidi w:val="0"/>
        <w:jc w:val="center"/>
        <w:rPr>
          <w:rFonts w:ascii="Arial" w:hAnsi="Arial"/>
          <w:b/>
          <w:color w:val="000000"/>
          <w:sz w:val="17"/>
        </w:rPr>
      </w:pPr>
      <w:r>
        <w:rPr>
          <w:rFonts w:ascii="Arial" w:hAnsi="Arial"/>
          <w:b/>
          <w:color w:val="000000"/>
          <w:sz w:val="17"/>
        </w:rPr>
        <w:t>(425) 882-8080</w:t>
      </w:r>
    </w:p>
    <w:p>
      <w:pPr>
        <w:pStyle w:val="TextBody"/>
        <w:bidi w:val="0"/>
        <w:jc w:val="center"/>
        <w:rPr>
          <w:rFonts w:ascii="Arial" w:hAnsi="Arial"/>
          <w:b/>
          <w:color w:val="000000"/>
          <w:sz w:val="17"/>
        </w:rPr>
      </w:pPr>
      <w:r>
        <w:rPr>
          <w:rFonts w:ascii="Arial" w:hAnsi="Arial"/>
          <w:b/>
          <w:color w:val="000000"/>
          <w:sz w:val="17"/>
        </w:rPr>
        <w:t>www.microsoft.com/investor</w:t>
      </w:r>
    </w:p>
    <w:tbl>
      <w:tblPr>
        <w:tblW w:w="8455" w:type="dxa"/>
        <w:jc w:val="left"/>
        <w:tblInd w:w="0" w:type="dxa"/>
        <w:tblLayout w:type="fixed"/>
        <w:tblCellMar>
          <w:top w:w="28" w:type="dxa"/>
          <w:left w:w="28" w:type="dxa"/>
          <w:bottom w:w="28" w:type="dxa"/>
          <w:right w:w="28" w:type="dxa"/>
        </w:tblCellMar>
      </w:tblPr>
      <w:tblGrid>
        <w:gridCol w:w="3916"/>
        <w:gridCol w:w="146"/>
        <w:gridCol w:w="1246"/>
        <w:gridCol w:w="146"/>
        <w:gridCol w:w="300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55" w:type="dxa"/>
            <w:gridSpan w:val="5"/>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Securities registered pursuant to Section 12(b) of the Act:</w:t>
            </w:r>
          </w:p>
        </w:tc>
      </w:tr>
      <w:tr>
        <w:trPr/>
        <w:tc>
          <w:tcPr>
            <w:tcW w:w="845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Trading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Name of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Common stock, $0.00000625 par value per share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3.125% Notes due 2028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2.625% Notes due 2033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bl>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2011"/>
        <w:gridCol w:w="146"/>
        <w:gridCol w:w="238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Large Accelerated Filer</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Accelerated Filer </w:t>
            </w:r>
            <w:r>
              <w:rPr>
                <w:rFonts w:ascii="Times New Roman" w:hAnsi="Times New Roman"/>
                <w:color w:val="000000"/>
                <w:sz w:val="17"/>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Non-accelerated Filer </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Smaller Reporting Company </w:t>
            </w:r>
            <w:r>
              <w:rPr>
                <w:rFonts w:ascii="Times New Roman" w:hAnsi="Times New Roman"/>
                <w:color w:val="000000"/>
                <w:sz w:val="17"/>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Emerging Growth Company </w:t>
            </w: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7"/>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the number of shares outstanding of each of the issuer’s classes of common stock, as of the latest practicable date.</w:t>
      </w:r>
      <w:r>
        <w:rPr>
          <w:rFonts w:ascii="Times New Roman" w:hAnsi="Times New Roman"/>
          <w:color w:val="000000"/>
          <w:sz w:val="20"/>
        </w:rPr>
        <w:t xml:space="preserve"> </w:t>
      </w:r>
    </w:p>
    <w:tbl>
      <w:tblPr>
        <w:tblW w:w="6913" w:type="dxa"/>
        <w:jc w:val="left"/>
        <w:tblInd w:w="0" w:type="dxa"/>
        <w:tblLayout w:type="fixed"/>
        <w:tblCellMar>
          <w:top w:w="28" w:type="dxa"/>
          <w:left w:w="28" w:type="dxa"/>
          <w:bottom w:w="28" w:type="dxa"/>
          <w:right w:w="28" w:type="dxa"/>
        </w:tblCellMar>
      </w:tblPr>
      <w:tblGrid>
        <w:gridCol w:w="3751"/>
        <w:gridCol w:w="109"/>
        <w:gridCol w:w="2716"/>
        <w:gridCol w:w="146"/>
        <w:gridCol w:w="191"/>
      </w:tblGrid>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Outstanding as of January 22,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7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7"/>
              </w:rPr>
              <w:t>Common Stock, $0.00000625</w:t>
            </w:r>
            <w:r>
              <w:rPr>
                <w:rFonts w:ascii="Times New Roman" w:hAnsi="Times New Roman"/>
                <w:color w:val="000000"/>
                <w:sz w:val="20"/>
              </w:rPr>
              <w:t> </w:t>
            </w:r>
            <w:r>
              <w:rPr>
                <w:rFonts w:ascii="Arial" w:hAnsi="Arial"/>
                <w:color w:val="000000"/>
                <w:sz w:val="17"/>
              </w:rPr>
              <w:t>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7"/>
              </w:rPr>
              <w:t>7,425,629,076</w:t>
            </w:r>
            <w:r>
              <w:rPr>
                <w:rFonts w:ascii="Times New Roman" w:hAnsi="Times New Roman"/>
                <w:color w:val="000000"/>
                <w:sz w:val="20"/>
              </w:rPr>
              <w:t> </w:t>
            </w:r>
            <w:r>
              <w:rPr>
                <w:rFonts w:ascii="Arial" w:hAnsi="Arial"/>
                <w:color w:val="000000"/>
                <w:sz w:val="17"/>
              </w:rPr>
              <w:t>shares</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top w:val="single" w:sz="6"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MICROSOFT CORPORATION</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color w:val="000000"/>
          <w:sz w:val="20"/>
        </w:rPr>
        <w:t>FORM 10-Q</w:t>
      </w:r>
      <w:r>
        <w:rPr>
          <w:rFonts w:ascii="Times New Roman" w:hAnsi="Times New Roman"/>
          <w:color w:val="000000"/>
          <w:sz w:val="20"/>
        </w:rPr>
        <w:t xml:space="preserve"> </w:t>
      </w:r>
    </w:p>
    <w:p>
      <w:pPr>
        <w:pStyle w:val="TextBody"/>
        <w:bidi w:val="0"/>
        <w:spacing w:before="90" w:after="283"/>
        <w:jc w:val="center"/>
        <w:rPr>
          <w:rFonts w:ascii="Arial" w:hAnsi="Arial"/>
          <w:b/>
          <w:color w:val="000000"/>
          <w:sz w:val="20"/>
        </w:rPr>
      </w:pPr>
      <w:r>
        <w:rPr>
          <w:rFonts w:ascii="Arial" w:hAnsi="Arial"/>
          <w:b/>
          <w:color w:val="000000"/>
          <w:sz w:val="20"/>
        </w:rPr>
        <w:t>For the Quarter Ended December 31, 2025</w:t>
      </w:r>
    </w:p>
    <w:p>
      <w:pPr>
        <w:pStyle w:val="TextBody"/>
        <w:bidi w:val="0"/>
        <w:spacing w:before="90" w:after="283"/>
        <w:jc w:val="center"/>
        <w:rPr>
          <w:rFonts w:ascii="Times New Roman" w:hAnsi="Times New Roman"/>
          <w:sz w:val="20"/>
        </w:rPr>
      </w:pPr>
      <w:r>
        <w:rPr>
          <w:rFonts w:ascii="Arial" w:hAnsi="Arial"/>
          <w:b/>
          <w:color w:val="000000"/>
          <w:sz w:val="20"/>
        </w:rPr>
        <w:t>INDEX</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2"/>
        <w:gridCol w:w="794"/>
        <w:gridCol w:w="260"/>
        <w:gridCol w:w="7742"/>
        <w:gridCol w:w="527"/>
      </w:tblGrid>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4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Page</w:t>
            </w:r>
          </w:p>
        </w:tc>
      </w:tr>
      <w:tr>
        <w:trPr/>
        <w:tc>
          <w:tcPr>
            <w:tcW w:w="88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96"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rPr>
                <w:t>FINANCIAL INFORMATION</w:t>
              </w:r>
            </w:hyperlink>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00"/>
                  <w:sz w:val="20"/>
                </w:rPr>
                <w:t>Financial Statements</w:t>
              </w:r>
            </w:hyperlink>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t>
            </w:r>
          </w:p>
        </w:tc>
        <w:tc>
          <w:tcPr>
            <w:tcW w:w="7742" w:type="dxa"/>
            <w:tcBorders/>
            <w:tcMar>
              <w:top w:w="0" w:type="dxa"/>
              <w:left w:w="0" w:type="dxa"/>
              <w:bottom w:w="0" w:type="dxa"/>
              <w:right w:w="0" w:type="dxa"/>
            </w:tcMar>
            <w:vAlign w:val="center"/>
          </w:tcPr>
          <w:p>
            <w:pPr>
              <w:pStyle w:val="TableContents"/>
              <w:bidi w:val="0"/>
              <w:spacing w:before="0" w:after="283"/>
              <w:jc w:val="left"/>
              <w:rPr/>
            </w:pPr>
            <w:hyperlink w:anchor="income_statements">
              <w:r>
                <w:rPr>
                  <w:rStyle w:val="InternetLink"/>
                  <w:rFonts w:ascii="Arial" w:hAnsi="Arial"/>
                  <w:color w:val="000000"/>
                  <w:sz w:val="20"/>
                </w:rPr>
                <w:t>Income Statements for the Three and Six Months Ended December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w:t>
            </w:r>
          </w:p>
        </w:tc>
        <w:tc>
          <w:tcPr>
            <w:tcW w:w="7742" w:type="dxa"/>
            <w:tcBorders/>
            <w:tcMar>
              <w:top w:w="0" w:type="dxa"/>
              <w:left w:w="0" w:type="dxa"/>
              <w:bottom w:w="0" w:type="dxa"/>
              <w:right w:w="0" w:type="dxa"/>
            </w:tcMar>
            <w:vAlign w:val="center"/>
          </w:tcPr>
          <w:p>
            <w:pPr>
              <w:pStyle w:val="TableContents"/>
              <w:bidi w:val="0"/>
              <w:spacing w:before="0" w:after="283"/>
              <w:jc w:val="left"/>
              <w:rPr/>
            </w:pPr>
            <w:hyperlink w:anchor="comprehensive_income_statements">
              <w:r>
                <w:rPr>
                  <w:rStyle w:val="InternetLink"/>
                  <w:rFonts w:ascii="Arial" w:hAnsi="Arial"/>
                  <w:color w:val="000000"/>
                  <w:sz w:val="20"/>
                </w:rPr>
                <w:t>Comprehensive Income Statements for the Three and Six Months Ended December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w:t>
            </w:r>
          </w:p>
        </w:tc>
        <w:tc>
          <w:tcPr>
            <w:tcW w:w="7742"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00"/>
                  <w:sz w:val="20"/>
                </w:rPr>
                <w:t>Balance Sheets as of December 31, 2025 and June 30, 2025</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w:t>
            </w:r>
          </w:p>
        </w:tc>
        <w:tc>
          <w:tcPr>
            <w:tcW w:w="7742" w:type="dxa"/>
            <w:tcBorders/>
            <w:tcMar>
              <w:top w:w="0" w:type="dxa"/>
              <w:left w:w="0" w:type="dxa"/>
              <w:bottom w:w="0" w:type="dxa"/>
              <w:right w:w="0" w:type="dxa"/>
            </w:tcMar>
            <w:vAlign w:val="center"/>
          </w:tcPr>
          <w:p>
            <w:pPr>
              <w:pStyle w:val="TableContents"/>
              <w:bidi w:val="0"/>
              <w:spacing w:before="0" w:after="283"/>
              <w:jc w:val="left"/>
              <w:rPr/>
            </w:pPr>
            <w:hyperlink w:anchor="cash_flows_statements">
              <w:r>
                <w:rPr>
                  <w:rStyle w:val="InternetLink"/>
                  <w:rFonts w:ascii="Arial" w:hAnsi="Arial"/>
                  <w:color w:val="000000"/>
                  <w:sz w:val="20"/>
                </w:rPr>
                <w:t>Cash Flows Statements for the Three and Six Months Ended December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w:t>
            </w:r>
          </w:p>
        </w:tc>
        <w:tc>
          <w:tcPr>
            <w:tcW w:w="7742" w:type="dxa"/>
            <w:tcBorders/>
            <w:tcMar>
              <w:top w:w="0" w:type="dxa"/>
              <w:left w:w="0" w:type="dxa"/>
              <w:bottom w:w="0" w:type="dxa"/>
              <w:right w:w="0" w:type="dxa"/>
            </w:tcMar>
            <w:vAlign w:val="center"/>
          </w:tcPr>
          <w:p>
            <w:pPr>
              <w:pStyle w:val="TableContents"/>
              <w:bidi w:val="0"/>
              <w:spacing w:before="0" w:after="283"/>
              <w:jc w:val="left"/>
              <w:rPr/>
            </w:pPr>
            <w:hyperlink w:anchor="stockholders_equity_statements">
              <w:r>
                <w:rPr>
                  <w:rStyle w:val="InternetLink"/>
                  <w:rFonts w:ascii="Arial" w:hAnsi="Arial"/>
                  <w:color w:val="000000"/>
                  <w:sz w:val="20"/>
                </w:rPr>
                <w:t>Stockholders’ Equity Statements for the Three and Six Months Ended December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w:t>
            </w:r>
          </w:p>
        </w:tc>
        <w:tc>
          <w:tcPr>
            <w:tcW w:w="7742"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Arial" w:hAnsi="Arial"/>
                  <w:color w:val="000000"/>
                  <w:sz w:val="20"/>
                </w:rPr>
                <w:t>Notes to Financial Statements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w:t>
            </w:r>
          </w:p>
        </w:tc>
        <w:tc>
          <w:tcPr>
            <w:tcW w:w="7742"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Arial" w:hAnsi="Arial"/>
                  <w:color w:val="000000"/>
                  <w:sz w:val="20"/>
                </w:rPr>
                <w:t>Report of Independent Registered Public Accounting Firm</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00"/>
                  <w:sz w:val="20"/>
                </w:rPr>
                <w:t>Management’s Discussion and Analysis of Financial Condition and Results of Operations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00"/>
                  <w:sz w:val="20"/>
                </w:rPr>
                <w:t>Quantitative and Qualitative Disclosures About Market Risk</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00"/>
                  <w:sz w:val="20"/>
                </w:rPr>
                <w:t>Controls and Procedures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PART II.</w:t>
            </w:r>
            <w:r>
              <w:rPr>
                <w:rFonts w:ascii="Times New Roman" w:hAnsi="Times New Roman"/>
                <w:color w:val="000000"/>
                <w:sz w:val="20"/>
              </w:rPr>
              <w:t xml:space="preserve"> </w:t>
            </w:r>
          </w:p>
        </w:tc>
        <w:tc>
          <w:tcPr>
            <w:tcW w:w="8796"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w:hAnsi="Arial"/>
                  <w:b/>
                  <w:color w:val="000000"/>
                  <w:sz w:val="20"/>
                </w:rPr>
                <w:t>OTHER INFORMATION</w:t>
              </w:r>
            </w:hyperlink>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00"/>
                  <w:sz w:val="20"/>
                </w:rPr>
                <w:t>Legal Proceedings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00"/>
                  <w:sz w:val="20"/>
                </w:rPr>
                <w:t>Risk Factors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00"/>
                  <w:sz w:val="20"/>
                </w:rPr>
                <w:t>Unregistered Sales of Equity Securities and Use of Proceeds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00"/>
                  <w:sz w:val="20"/>
                </w:rPr>
                <w:t>Other Information</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002" w:type="dxa"/>
            <w:gridSpan w:val="2"/>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00"/>
                  <w:sz w:val="20"/>
                </w:rPr>
                <w:t>Exhibits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r>
      <w:tr>
        <w:trPr/>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7742"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8" w:type="dxa"/>
            <w:gridSpan w:val="4"/>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color w:val="000000"/>
                  <w:sz w:val="20"/>
                </w:rPr>
                <w:t>SIGNATURE</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2" w:name="part_i_financial_information"/>
      <w:bookmarkEnd w:id="2"/>
      <w:r>
        <w:rPr>
          <w:rFonts w:ascii="Arial" w:hAnsi="Arial"/>
          <w:b/>
          <w:color w:val="000000"/>
          <w:sz w:val="20"/>
        </w:rPr>
        <w:t>PART I. FINANCIAL INFORMATION</w:t>
      </w:r>
    </w:p>
    <w:p>
      <w:pPr>
        <w:pStyle w:val="TextBody"/>
        <w:bidi w:val="0"/>
        <w:spacing w:before="90" w:after="283"/>
        <w:jc w:val="center"/>
        <w:rPr>
          <w:rFonts w:ascii="Arial" w:hAnsi="Arial"/>
          <w:b/>
          <w:color w:val="000000"/>
          <w:sz w:val="24"/>
        </w:rPr>
      </w:pPr>
      <w:bookmarkStart w:id="3" w:name="item_1_financial_statements"/>
      <w:bookmarkEnd w:id="3"/>
      <w:r>
        <w:rPr>
          <w:rFonts w:ascii="Arial" w:hAnsi="Arial"/>
          <w:b/>
          <w:color w:val="000000"/>
          <w:sz w:val="24"/>
        </w:rPr>
        <w:t>ITEM 1. FINANCIAL STATEMENTS</w:t>
      </w:r>
    </w:p>
    <w:p>
      <w:pPr>
        <w:pStyle w:val="TextBody"/>
        <w:bidi w:val="0"/>
        <w:spacing w:before="90" w:after="283"/>
        <w:jc w:val="center"/>
        <w:rPr>
          <w:rFonts w:ascii="Arial" w:hAnsi="Arial"/>
          <w:b/>
          <w:color w:val="000000"/>
          <w:sz w:val="20"/>
        </w:rPr>
      </w:pPr>
      <w:bookmarkStart w:id="4" w:name="income_statements"/>
      <w:bookmarkEnd w:id="4"/>
      <w:r>
        <w:rPr>
          <w:rFonts w:ascii="Arial" w:hAnsi="Arial"/>
          <w:b/>
          <w:color w:val="000000"/>
          <w:sz w:val="20"/>
        </w:rPr>
        <w:t>INCOME STATEMENTS</w:t>
      </w:r>
    </w:p>
    <w:p>
      <w:pPr>
        <w:pStyle w:val="TextBody"/>
        <w:bidi w:val="0"/>
        <w:jc w:val="left"/>
        <w:rPr/>
      </w:pPr>
      <w:r>
        <w:rPr/>
        <w:t> </w:t>
      </w:r>
    </w:p>
    <w:tbl>
      <w:tblPr>
        <w:tblW w:w="9349" w:type="dxa"/>
        <w:jc w:val="left"/>
        <w:tblInd w:w="0" w:type="dxa"/>
        <w:tblLayout w:type="fixed"/>
        <w:tblCellMar>
          <w:top w:w="28" w:type="dxa"/>
          <w:left w:w="28" w:type="dxa"/>
          <w:bottom w:w="28" w:type="dxa"/>
          <w:right w:w="28" w:type="dxa"/>
        </w:tblCellMar>
      </w:tblPr>
      <w:tblGrid>
        <w:gridCol w:w="3856"/>
        <w:gridCol w:w="146"/>
        <w:gridCol w:w="211"/>
        <w:gridCol w:w="691"/>
        <w:gridCol w:w="146"/>
        <w:gridCol w:w="211"/>
        <w:gridCol w:w="691"/>
        <w:gridCol w:w="166"/>
        <w:gridCol w:w="146"/>
        <w:gridCol w:w="211"/>
        <w:gridCol w:w="796"/>
        <w:gridCol w:w="146"/>
        <w:gridCol w:w="211"/>
        <w:gridCol w:w="796"/>
        <w:gridCol w:w="925"/>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5"/>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4"/>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Six Months Ended</w:t>
              <w:br/>
              <w:t>December 31,</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16,451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16,219</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32,373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31,491</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64,822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126,573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103,726</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34"/>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734"/>
              <w:jc w:val="left"/>
              <w:rPr>
                <w:rFonts w:ascii="Arial" w:hAnsi="Arial"/>
                <w:color w:val="000000"/>
                <w:sz w:val="20"/>
              </w:rPr>
            </w:pPr>
            <w:r>
              <w:rPr>
                <w:rFonts w:ascii="Arial" w:hAnsi="Arial"/>
                <w:color w:val="000000"/>
                <w:sz w:val="20"/>
              </w:rPr>
              <w:t>Total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81,273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69,632</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135,217</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3,856</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7,150</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22,473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43,594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34,748</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25,978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21,799</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41,898</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55,295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108,925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93,319</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7,917</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16,650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15,461</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12,157</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1,823</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3,496</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76,236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62,205</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income (expense),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w:t>
            </w:r>
          </w:p>
        </w:tc>
        <w:tc>
          <w:tcPr>
            <w:tcW w:w="9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48,246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29,365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82,547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59,634</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9,788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5,257</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16,342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10,859</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66,205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48,775</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shares outstanding: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7,434</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7,469</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5" w:name="comprehensive_income_statements"/>
      <w:bookmarkEnd w:id="5"/>
      <w:r>
        <w:rPr>
          <w:rFonts w:ascii="Arial" w:hAnsi="Arial"/>
          <w:b/>
          <w:color w:val="000000"/>
          <w:sz w:val="20"/>
        </w:rPr>
        <w:t>COMPREHENSIVE INCOME STATEMENTS</w:t>
      </w:r>
    </w:p>
    <w:p>
      <w:pPr>
        <w:pStyle w:val="TextBody"/>
        <w:bidi w:val="0"/>
        <w:jc w:val="left"/>
        <w:rPr/>
      </w:pPr>
      <w:r>
        <w:rPr/>
        <w:t> </w:t>
      </w:r>
    </w:p>
    <w:tbl>
      <w:tblPr>
        <w:tblW w:w="9638" w:type="dxa"/>
        <w:jc w:val="left"/>
        <w:tblInd w:w="0" w:type="dxa"/>
        <w:tblLayout w:type="fixed"/>
        <w:tblCellMar>
          <w:top w:w="28" w:type="dxa"/>
          <w:left w:w="28" w:type="dxa"/>
          <w:bottom w:w="28" w:type="dxa"/>
          <w:right w:w="28" w:type="dxa"/>
        </w:tblCellMar>
      </w:tblPr>
      <w:tblGrid>
        <w:gridCol w:w="4461"/>
        <w:gridCol w:w="146"/>
        <w:gridCol w:w="211"/>
        <w:gridCol w:w="691"/>
        <w:gridCol w:w="166"/>
        <w:gridCol w:w="211"/>
        <w:gridCol w:w="691"/>
        <w:gridCol w:w="166"/>
        <w:gridCol w:w="211"/>
        <w:gridCol w:w="691"/>
        <w:gridCol w:w="166"/>
        <w:gridCol w:w="211"/>
        <w:gridCol w:w="691"/>
        <w:gridCol w:w="925"/>
      </w:tblGrid>
      <w:tr>
        <w:trPr/>
        <w:tc>
          <w:tcPr>
            <w:tcW w:w="4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5"/>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70" w:type="dxa"/>
            <w:gridSpan w:val="5"/>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2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66,205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48,775</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734"/>
              <w:jc w:val="left"/>
              <w:rPr>
                <w:rFonts w:ascii="Arial" w:hAnsi="Arial"/>
                <w:color w:val="000000"/>
                <w:sz w:val="20"/>
              </w:rPr>
            </w:pPr>
            <w:r>
              <w:rPr>
                <w:rFonts w:ascii="Arial" w:hAnsi="Arial"/>
                <w:color w:val="000000"/>
                <w:sz w:val="20"/>
              </w:rPr>
              <w:t>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9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38,517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66,850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48,749</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6" w:name="balance_sheets"/>
      <w:bookmarkEnd w:id="6"/>
      <w:r>
        <w:rPr>
          <w:rFonts w:ascii="Arial" w:hAnsi="Arial"/>
          <w:b/>
          <w:color w:val="000000"/>
          <w:sz w:val="20"/>
        </w:rPr>
        <w:t>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8"/>
        <w:gridCol w:w="146"/>
        <w:gridCol w:w="225"/>
        <w:gridCol w:w="854"/>
        <w:gridCol w:w="166"/>
        <w:gridCol w:w="146"/>
        <w:gridCol w:w="211"/>
        <w:gridCol w:w="796"/>
        <w:gridCol w:w="1403"/>
      </w:tblGrid>
      <w:tr>
        <w:trPr/>
        <w:tc>
          <w:tcPr>
            <w:tcW w:w="62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5" w:type="dxa"/>
            <w:tcBorders/>
            <w:shd w:fill="FFFFFF" w:val="clear"/>
            <w:vAlign w:val="center"/>
          </w:tcPr>
          <w:p>
            <w:pPr>
              <w:pStyle w:val="TableContents"/>
              <w:bidi w:val="0"/>
              <w:spacing w:before="0" w:after="283"/>
              <w:jc w:val="left"/>
              <w:rPr>
                <w:sz w:val="4"/>
                <w:szCs w:val="4"/>
              </w:rPr>
            </w:pPr>
            <w:r>
              <w:rPr>
                <w:sz w:val="4"/>
                <w:szCs w:val="4"/>
              </w:rPr>
            </w:r>
          </w:p>
        </w:tc>
        <w:tc>
          <w:tcPr>
            <w:tcW w:w="854"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2"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55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June 30,</w:t>
              <w:br/>
              <w:t>2025</w:t>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24,296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30,242</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65,166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64,323</w:t>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cash, cash equivalents, and 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89,462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94,565</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Accounts receivable, net of allowance for doubtful accounts of </w:t>
            </w:r>
            <w:r>
              <w:rPr>
                <w:rFonts w:ascii="Arial" w:hAnsi="Arial"/>
                <w:b/>
                <w:color w:val="000000"/>
                <w:sz w:val="20"/>
              </w:rPr>
              <w:t>$729</w:t>
            </w:r>
            <w:r>
              <w:rPr>
                <w:rFonts w:ascii="Times New Roman" w:hAnsi="Times New Roman"/>
                <w:color w:val="000000"/>
                <w:sz w:val="20"/>
              </w:rPr>
              <w:t> </w:t>
            </w:r>
            <w:r>
              <w:rPr>
                <w:rFonts w:ascii="Arial" w:hAnsi="Arial"/>
                <w:color w:val="000000"/>
                <w:sz w:val="20"/>
              </w:rPr>
              <w:t>and $944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56,535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69,905</w:t>
            </w:r>
          </w:p>
        </w:tc>
        <w:tc>
          <w:tcPr>
            <w:tcW w:w="1403"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Inventories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33,134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25,723</w:t>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180,190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191,131</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Property and equipment, net of accumulated depreciation of </w:t>
            </w:r>
            <w:r>
              <w:rPr>
                <w:rFonts w:ascii="Arial" w:hAnsi="Arial"/>
                <w:b/>
                <w:color w:val="000000"/>
                <w:sz w:val="20"/>
              </w:rPr>
              <w:t>$104,950</w:t>
            </w:r>
            <w:r>
              <w:rPr>
                <w:rFonts w:ascii="Times New Roman" w:hAnsi="Times New Roman"/>
                <w:color w:val="000000"/>
                <w:sz w:val="20"/>
              </w:rPr>
              <w:t xml:space="preserve"> </w:t>
            </w:r>
            <w:r>
              <w:rPr>
                <w:rFonts w:ascii="Arial" w:hAnsi="Arial"/>
                <w:color w:val="000000"/>
                <w:sz w:val="20"/>
              </w:rPr>
              <w:t>and</w:t>
            </w:r>
            <w:r>
              <w:rPr>
                <w:rFonts w:ascii="Times New Roman" w:hAnsi="Times New Roman"/>
                <w:color w:val="000000"/>
                <w:sz w:val="20"/>
              </w:rPr>
              <w:t xml:space="preserve"> </w:t>
            </w:r>
            <w:r>
              <w:rPr>
                <w:rFonts w:ascii="Arial" w:hAnsi="Arial"/>
                <w:color w:val="000000"/>
                <w:sz w:val="20"/>
              </w:rPr>
              <w:t>$93,653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261,126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204,966</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24,823</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21,202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15,405</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Goodwill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119,622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119,509</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Intangible assets,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20,289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22,604</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37,770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40,565</w:t>
            </w:r>
          </w:p>
        </w:tc>
        <w:tc>
          <w:tcPr>
            <w:tcW w:w="140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665,302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619,003</w:t>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Liabilities and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27,724</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Current portion of long-term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w:t>
            </w:r>
          </w:p>
        </w:tc>
        <w:tc>
          <w:tcPr>
            <w:tcW w:w="140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Accrued compensation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13,709</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7,211</w:t>
            </w:r>
          </w:p>
        </w:tc>
        <w:tc>
          <w:tcPr>
            <w:tcW w:w="1403"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51,376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64,555</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24,311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25,020</w:t>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130,005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141,218</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debt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35,425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40,152</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27,256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25,986</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2,668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2,710</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17,345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58,852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45,186</w:t>
            </w:r>
          </w:p>
        </w:tc>
        <w:tc>
          <w:tcPr>
            <w:tcW w:w="140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274,427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275,524</w:t>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Commitments and contingencies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Common stock and paid-in capital – shares authorized 24,000; outstanding </w:t>
            </w:r>
            <w:r>
              <w:rPr>
                <w:rFonts w:ascii="Arial" w:hAnsi="Arial"/>
                <w:b/>
                <w:color w:val="000000"/>
                <w:sz w:val="20"/>
              </w:rPr>
              <w:t>7,429</w:t>
            </w:r>
            <w:r>
              <w:rPr>
                <w:rFonts w:ascii="Times New Roman" w:hAnsi="Times New Roman"/>
                <w:color w:val="000000"/>
                <w:sz w:val="20"/>
              </w:rPr>
              <w:t> </w:t>
            </w:r>
            <w:r>
              <w:rPr>
                <w:rFonts w:ascii="Arial" w:hAnsi="Arial"/>
                <w:color w:val="000000"/>
                <w:sz w:val="20"/>
              </w:rPr>
              <w:t>and 7,434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112,788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109,095</w:t>
            </w:r>
          </w:p>
        </w:tc>
        <w:tc>
          <w:tcPr>
            <w:tcW w:w="1403"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280,789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237,731</w:t>
            </w:r>
          </w:p>
        </w:tc>
        <w:tc>
          <w:tcPr>
            <w:tcW w:w="1403"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(3,347</w:t>
            </w:r>
          </w:p>
        </w:tc>
        <w:tc>
          <w:tcPr>
            <w:tcW w:w="140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8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3"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390,875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343,479</w:t>
            </w:r>
          </w:p>
        </w:tc>
        <w:tc>
          <w:tcPr>
            <w:tcW w:w="1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258" w:type="dxa"/>
            <w:tcBorders/>
            <w:shd w:fill="E5E5E5" w:val="clear"/>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liabilities and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665,302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619,003</w:t>
            </w:r>
          </w:p>
        </w:tc>
        <w:tc>
          <w:tcPr>
            <w:tcW w:w="140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7" w:name="cash_flows_statements"/>
      <w:bookmarkEnd w:id="7"/>
      <w:r>
        <w:rPr>
          <w:rFonts w:ascii="Arial" w:hAnsi="Arial"/>
          <w:b/>
          <w:color w:val="000000"/>
          <w:sz w:val="20"/>
        </w:rPr>
        <w:t>CASH FLOWS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95"/>
        <w:gridCol w:w="146"/>
        <w:gridCol w:w="211"/>
        <w:gridCol w:w="751"/>
        <w:gridCol w:w="177"/>
        <w:gridCol w:w="146"/>
        <w:gridCol w:w="211"/>
        <w:gridCol w:w="751"/>
        <w:gridCol w:w="166"/>
        <w:gridCol w:w="146"/>
        <w:gridCol w:w="211"/>
        <w:gridCol w:w="751"/>
        <w:gridCol w:w="177"/>
        <w:gridCol w:w="146"/>
        <w:gridCol w:w="211"/>
        <w:gridCol w:w="751"/>
        <w:gridCol w:w="1158"/>
      </w:tblGrid>
      <w:tr>
        <w:trPr/>
        <w:tc>
          <w:tcPr>
            <w:tcW w:w="40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158" w:type="dxa"/>
            <w:tcBorders/>
            <w:shd w:fill="FFFFFF" w:val="clear"/>
            <w:vAlign w:val="center"/>
          </w:tcPr>
          <w:p>
            <w:pPr>
              <w:pStyle w:val="TableContents"/>
              <w:bidi w:val="0"/>
              <w:spacing w:before="0" w:after="283"/>
              <w:jc w:val="left"/>
              <w:rPr>
                <w:sz w:val="4"/>
                <w:szCs w:val="4"/>
              </w:rPr>
            </w:pPr>
            <w:r>
              <w:rPr>
                <w:sz w:val="4"/>
                <w:szCs w:val="4"/>
              </w:rPr>
            </w:r>
          </w:p>
        </w:tc>
      </w:tr>
      <w:tr>
        <w:trPr/>
        <w:tc>
          <w:tcPr>
            <w:tcW w:w="409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36"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15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47"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7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15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38,458</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66,205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48,775</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Depreciation, amortization, and 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9,198</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17,345</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12,383</w:t>
            </w:r>
          </w:p>
        </w:tc>
        <w:tc>
          <w:tcPr>
            <w:tcW w:w="115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3,219</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6,202</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5,921</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recognized losses (gains) on investments and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(9,931</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(6,024</w:t>
            </w:r>
          </w:p>
        </w:tc>
        <w:tc>
          <w:tcPr>
            <w:tcW w:w="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2,678</w:t>
            </w:r>
          </w:p>
        </w:tc>
        <w:tc>
          <w:tcPr>
            <w:tcW w:w="115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4,446</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6,937</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(2,591</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Changes in operating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(3,436</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13,054</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8,059</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w:t>
            </w:r>
          </w:p>
        </w:tc>
        <w:tc>
          <w:tcPr>
            <w:tcW w:w="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15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619</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(543</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(1,288</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(1,682</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(2,850</w:t>
            </w:r>
          </w:p>
        </w:tc>
        <w:tc>
          <w:tcPr>
            <w:tcW w:w="1158"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1,197</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583</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(7,483</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(6,338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(12,901</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(11,891</w:t>
            </w:r>
          </w:p>
        </w:tc>
        <w:tc>
          <w:tcPr>
            <w:tcW w:w="1158"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(920</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(3,864</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(2,379</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2,802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(2,705</w:t>
            </w:r>
          </w:p>
        </w:tc>
        <w:tc>
          <w:tcPr>
            <w:tcW w:w="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(2,262</w:t>
            </w:r>
          </w:p>
        </w:tc>
        <w:tc>
          <w:tcPr>
            <w:tcW w:w="1158"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(1,193</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(1,670</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115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35,758</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80,815</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56,471</w:t>
            </w:r>
          </w:p>
        </w:tc>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Repayments of debt, maturities of 90 days or less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(5,746</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Repayments of debt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(3,000</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(3,000</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w:t>
            </w:r>
          </w:p>
        </w:tc>
        <w:tc>
          <w:tcPr>
            <w:tcW w:w="1158"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948</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(7,415</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(4,986</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(13,065</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(9,093</w:t>
            </w:r>
          </w:p>
        </w:tc>
        <w:tc>
          <w:tcPr>
            <w:tcW w:w="1158"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 paid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(6,762</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(12,931</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(11,744</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(699</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(1,368</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w:t>
            </w:r>
          </w:p>
        </w:tc>
        <w:tc>
          <w:tcPr>
            <w:tcW w:w="1158"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financing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(17,617</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(29,416</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(27,819</w:t>
            </w:r>
          </w:p>
        </w:tc>
        <w:tc>
          <w:tcPr>
            <w:tcW w:w="115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Investing</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Additions to property and equipment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(29,876</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(49,270</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(30,727</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Acquisition of companies, net of cash acquired and divestitures, and purchases of intangible and other assets</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(1,405</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(1,033</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(3,254</w:t>
            </w:r>
          </w:p>
        </w:tc>
        <w:tc>
          <w:tcPr>
            <w:tcW w:w="1158"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Purchases of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(9,845</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(27,516</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(3,670</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Maturities of investments</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12,417</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2,604</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18,448</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4,740</w:t>
            </w:r>
          </w:p>
        </w:tc>
        <w:tc>
          <w:tcPr>
            <w:tcW w:w="1158"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of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5,691</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8,953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4,527</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(637</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(6,846</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1158"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investing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(22,705</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(57,264</w:t>
            </w:r>
          </w:p>
        </w:tc>
        <w:tc>
          <w:tcPr>
            <w:tcW w:w="1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(29,313</w:t>
            </w:r>
          </w:p>
        </w:tc>
        <w:tc>
          <w:tcPr>
            <w:tcW w:w="115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Effect of foreign exchange rates on cash and cash equivalents</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158"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change in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(4,553</w:t>
            </w:r>
          </w:p>
        </w:tc>
        <w:tc>
          <w:tcPr>
            <w:tcW w:w="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(5,946</w:t>
            </w:r>
          </w:p>
        </w:tc>
        <w:tc>
          <w:tcPr>
            <w:tcW w:w="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095"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beginning of period</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28,849</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20,840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30,242</w:t>
            </w:r>
          </w:p>
        </w:tc>
        <w:tc>
          <w:tcPr>
            <w:tcW w:w="177"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18,315</w:t>
            </w:r>
          </w:p>
        </w:tc>
        <w:tc>
          <w:tcPr>
            <w:tcW w:w="1158"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24,296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24,296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17,482</w:t>
            </w:r>
          </w:p>
        </w:tc>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8" w:name="stockholders_equity_statements"/>
      <w:bookmarkEnd w:id="8"/>
      <w:r>
        <w:rPr>
          <w:rFonts w:ascii="Arial" w:hAnsi="Arial"/>
          <w:b/>
          <w:color w:val="000000"/>
          <w:sz w:val="20"/>
        </w:rPr>
        <w:t>STOCKHOLDERS’ EQUITY STATEMENTS</w:t>
      </w:r>
      <w:r>
        <w:rPr>
          <w:rFonts w:ascii="Times New Roman" w:hAnsi="Times New Roman"/>
          <w:color w:val="000000"/>
          <w:sz w:val="20"/>
        </w:rPr>
        <w:t xml:space="preserve"> </w:t>
      </w:r>
    </w:p>
    <w:p>
      <w:pPr>
        <w:pStyle w:val="TextBody"/>
        <w:bidi w:val="0"/>
        <w:jc w:val="left"/>
        <w:rPr/>
      </w:pPr>
      <w:r>
        <w:rPr/>
        <w:t> </w:t>
      </w:r>
    </w:p>
    <w:tbl>
      <w:tblPr>
        <w:tblW w:w="9967" w:type="dxa"/>
        <w:jc w:val="left"/>
        <w:tblInd w:w="0" w:type="dxa"/>
        <w:tblLayout w:type="fixed"/>
        <w:tblCellMar>
          <w:top w:w="28" w:type="dxa"/>
          <w:left w:w="28" w:type="dxa"/>
          <w:bottom w:w="28" w:type="dxa"/>
          <w:right w:w="28" w:type="dxa"/>
        </w:tblCellMar>
      </w:tblPr>
      <w:tblGrid>
        <w:gridCol w:w="4176"/>
        <w:gridCol w:w="146"/>
        <w:gridCol w:w="211"/>
        <w:gridCol w:w="796"/>
        <w:gridCol w:w="166"/>
        <w:gridCol w:w="146"/>
        <w:gridCol w:w="211"/>
        <w:gridCol w:w="796"/>
        <w:gridCol w:w="166"/>
        <w:gridCol w:w="146"/>
        <w:gridCol w:w="211"/>
        <w:gridCol w:w="796"/>
        <w:gridCol w:w="166"/>
        <w:gridCol w:w="146"/>
        <w:gridCol w:w="211"/>
        <w:gridCol w:w="796"/>
        <w:gridCol w:w="681"/>
      </w:tblGrid>
      <w:tr>
        <w:trPr/>
        <w:tc>
          <w:tcPr>
            <w:tcW w:w="4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Common stock and paid-in capital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110,964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102,976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109,095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100,923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(3,455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6,202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112,788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112,788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104,829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254,873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237,731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66,205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(6,757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(12,340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(5,785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(9,626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(6,097</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280,789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280,789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203,482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390,875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302,695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390,875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302,695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dividends declared per common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9" w:name="notes_to_financial_statements"/>
      <w:bookmarkEnd w:id="9"/>
      <w:r>
        <w:rPr>
          <w:rFonts w:ascii="Arial" w:hAnsi="Arial"/>
          <w:b/>
          <w:color w:val="000000"/>
          <w:sz w:val="20"/>
        </w:rPr>
        <w:t>NOTES TO FINANCIAL STATEMENTS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 — ACCOUNTING POLICIES</w:t>
      </w:r>
    </w:p>
    <w:p>
      <w:pPr>
        <w:pStyle w:val="TextBody"/>
        <w:bidi w:val="0"/>
        <w:spacing w:before="180" w:after="283"/>
        <w:jc w:val="both"/>
        <w:rPr>
          <w:rFonts w:ascii="Times New Roman" w:hAnsi="Times New Roman"/>
          <w:sz w:val="20"/>
        </w:rPr>
      </w:pPr>
      <w:r>
        <w:rPr>
          <w:rFonts w:ascii="Arial" w:hAnsi="Arial"/>
          <w:b/>
          <w:color w:val="000000"/>
          <w:sz w:val="20"/>
        </w:rPr>
        <w:t>Accounting Principles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unaudited interim consolidated financial statements and accompanying notes are prepared in accordance with accounting principles generally accepted in the United States of America.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2025 Form 10-K filed with the U.S. Securities and Exchange Commission on July 30, 2025.</w:t>
      </w:r>
    </w:p>
    <w:p>
      <w:pPr>
        <w:pStyle w:val="TextBody"/>
        <w:bidi w:val="0"/>
        <w:spacing w:before="180" w:after="283"/>
        <w:jc w:val="both"/>
        <w:rPr>
          <w:rFonts w:ascii="Arial" w:hAnsi="Arial"/>
          <w:color w:val="000000"/>
          <w:sz w:val="20"/>
        </w:rPr>
      </w:pPr>
      <w:r>
        <w:rPr>
          <w:rFonts w:ascii="Arial" w:hAnsi="Arial"/>
          <w:color w:val="000000"/>
          <w:sz w:val="20"/>
        </w:rPr>
        <w:t>We have recast certain prior period amounts on our consolidated cash flows statements to conform to the current period presentation. The recast of these prior period amounts had no impact on our consolidated balance sheets, consolidated income statements, or net cash from (used in) operations, investing, or financing on our consolidated cash flows statements.</w:t>
      </w:r>
    </w:p>
    <w:p>
      <w:pPr>
        <w:pStyle w:val="TextBody"/>
        <w:bidi w:val="0"/>
        <w:spacing w:before="270" w:after="283"/>
        <w:jc w:val="both"/>
        <w:rPr>
          <w:rFonts w:ascii="Times New Roman" w:hAnsi="Times New Roman"/>
          <w:sz w:val="20"/>
        </w:rPr>
      </w:pPr>
      <w:r>
        <w:rPr>
          <w:rFonts w:ascii="Arial" w:hAnsi="Arial"/>
          <w:b/>
          <w:color w:val="000000"/>
          <w:sz w:val="20"/>
        </w:rPr>
        <w:t>Principles of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consolidated financial statements include the accounts of Microsoft Corporation and its subsidiaries. Intercompany transactions and balances have been eliminated.</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Estimates and Assumptions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the fair value of and/or potential impairment of goodwill and intangible assets for our reporting units; product life cycles; useful lives of our tangible and intangible assets; allowances for doubtful accounts;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pStyle w:val="TextBody"/>
        <w:bidi w:val="0"/>
        <w:spacing w:before="270" w:after="283"/>
        <w:jc w:val="both"/>
        <w:rPr>
          <w:rFonts w:ascii="Arial" w:hAnsi="Arial"/>
          <w:b/>
          <w:color w:val="000000"/>
          <w:sz w:val="20"/>
        </w:rPr>
      </w:pPr>
      <w:r>
        <w:rPr>
          <w:rFonts w:ascii="Arial" w:hAnsi="Arial"/>
          <w:b/>
          <w:color w:val="000000"/>
          <w:sz w:val="20"/>
        </w:rPr>
        <w:t>Financial Instruments</w:t>
      </w:r>
    </w:p>
    <w:p>
      <w:pPr>
        <w:pStyle w:val="TextBody"/>
        <w:bidi w:val="0"/>
        <w:spacing w:before="180" w:after="283"/>
        <w:jc w:val="both"/>
        <w:rPr>
          <w:rFonts w:ascii="Arial" w:hAnsi="Arial"/>
          <w:b/>
          <w:i/>
          <w:color w:val="000000"/>
          <w:sz w:val="20"/>
        </w:rPr>
      </w:pPr>
      <w:r>
        <w:rPr>
          <w:rFonts w:ascii="Arial" w:hAnsi="Arial"/>
          <w:b/>
          <w:i/>
          <w:color w:val="000000"/>
          <w:sz w:val="20"/>
        </w:rPr>
        <w:t>Investments</w:t>
      </w:r>
    </w:p>
    <w:p>
      <w:pPr>
        <w:pStyle w:val="TextBody"/>
        <w:bidi w:val="0"/>
        <w:spacing w:before="180" w:after="283"/>
        <w:jc w:val="both"/>
        <w:rPr>
          <w:rFonts w:ascii="Arial" w:hAnsi="Arial"/>
          <w:color w:val="000000"/>
          <w:sz w:val="20"/>
        </w:rPr>
      </w:pPr>
      <w:r>
        <w:rPr>
          <w:rFonts w:ascii="Arial" w:hAnsi="Arial"/>
          <w:color w:val="000000"/>
          <w:sz w:val="20"/>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pStyle w:val="TextBody"/>
        <w:bidi w:val="0"/>
        <w:spacing w:before="240"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180" w:after="283"/>
        <w:jc w:val="both"/>
        <w:rPr>
          <w:rFonts w:ascii="Times New Roman" w:hAnsi="Times New Roman"/>
          <w:sz w:val="20"/>
        </w:rPr>
      </w:pPr>
      <w:r>
        <w:rPr>
          <w:rFonts w:ascii="Arial" w:hAnsi="Arial"/>
          <w:color w:val="000000"/>
          <w:sz w:val="20"/>
        </w:rPr>
        <w:t>Equity investments with readily determinable fair values are generally measured at fair value. Equity investments that are not recorded at fair value are measured using the equity method of accounting when required or measured at cost with adjustments for observable changes in price or impairments (referred to as the measurement alternative). For equity investments recorded at fair value, we perform a qualitative assessment on a periodic basis and recognize an impairment if there are sufficient indicators that the fair value of the investment is less than carrying value. Changes in fair value are recorded in other income (expense), net. Equity method investments may be recorded on a lag of up to three months when sufficient financial information is not available in a timely manner. For equity method investments recorded on a lag, we recognize the impact of intervening events that have a material impact on our consolidated financial statements in the period in which they occurred.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a long-term strategic partnership with OpenAI. In October 2025, we signed a new definitive agreement with OpenAI that extends this partnership. Additionally, OpenAI formed a public benefit corporation and completed a recapitalization (“OpenAI Recapitalization”). We have an investment of approximately 27</w:t>
      </w:r>
      <w:r>
        <w:rPr>
          <w:rFonts w:ascii="Times New Roman" w:hAnsi="Times New Roman"/>
          <w:color w:val="000000"/>
          <w:sz w:val="20"/>
        </w:rPr>
        <w:t xml:space="preserve"> </w:t>
      </w:r>
      <w:r>
        <w:rPr>
          <w:rFonts w:ascii="Arial" w:hAnsi="Arial"/>
          <w:color w:val="000000"/>
          <w:sz w:val="20"/>
        </w:rPr>
        <w:t>percent of OpenAI on an as-converted basis accounted for under the equity method of accounting. As a result of the OpenAI Recapitalization, we had a decrease in our proportionate ownership of OpenAI and recorded a dilution gain in other income (expense), net. Refer to Note 3 – Other Income (Expense), Net for additional information. We calculate our equity method income or loss using the hypothetical liquidation at book value (“HLBV”) method because our liquidation rights and priorities differ from our underlying ownership interest. Under the HLBV method, we recognize income or loss based on the change in the amount we would receive if the net assets of the investee were distributed at book value. We have made total funding commitments of $13</w:t>
      </w:r>
      <w:r>
        <w:rPr>
          <w:rFonts w:ascii="Times New Roman" w:hAnsi="Times New Roman"/>
          <w:color w:val="000000"/>
          <w:sz w:val="20"/>
        </w:rPr>
        <w:t xml:space="preserve"> </w:t>
      </w:r>
      <w:r>
        <w:rPr>
          <w:rFonts w:ascii="Arial" w:hAnsi="Arial"/>
          <w:color w:val="000000"/>
          <w:sz w:val="20"/>
        </w:rPr>
        <w:t>billion, of which $11.7</w:t>
      </w:r>
      <w:r>
        <w:rPr>
          <w:rFonts w:ascii="Times New Roman" w:hAnsi="Times New Roman"/>
          <w:color w:val="000000"/>
          <w:sz w:val="20"/>
        </w:rPr>
        <w:t xml:space="preserve"> </w:t>
      </w:r>
      <w:r>
        <w:rPr>
          <w:rFonts w:ascii="Arial" w:hAnsi="Arial"/>
          <w:color w:val="000000"/>
          <w:sz w:val="20"/>
        </w:rPr>
        <w:t>billion has been funded as of December 31, 2025.</w:t>
      </w:r>
    </w:p>
    <w:p>
      <w:pPr>
        <w:pStyle w:val="TextBody"/>
        <w:bidi w:val="0"/>
        <w:spacing w:before="270" w:after="283"/>
        <w:jc w:val="both"/>
        <w:rPr>
          <w:rFonts w:ascii="Arial" w:hAnsi="Arial"/>
          <w:b/>
          <w:i/>
          <w:color w:val="000000"/>
          <w:sz w:val="20"/>
        </w:rPr>
      </w:pPr>
      <w:r>
        <w:rPr>
          <w:rFonts w:ascii="Arial" w:hAnsi="Arial"/>
          <w:b/>
          <w:i/>
          <w:color w:val="000000"/>
          <w:sz w:val="20"/>
        </w:rPr>
        <w:t>Derivatives</w:t>
      </w:r>
    </w:p>
    <w:p>
      <w:pPr>
        <w:pStyle w:val="TextBody"/>
        <w:bidi w:val="0"/>
        <w:spacing w:before="180" w:after="283"/>
        <w:jc w:val="both"/>
        <w:rPr>
          <w:rFonts w:ascii="Arial" w:hAnsi="Arial"/>
          <w:color w:val="000000"/>
          <w:sz w:val="20"/>
        </w:rPr>
      </w:pPr>
      <w:r>
        <w:rPr>
          <w:rFonts w:ascii="Arial" w:hAnsi="Arial"/>
          <w:color w:val="000000"/>
          <w:sz w:val="20"/>
        </w:rPr>
        <w:t>Derivative instruments are recognized as either assets or liabilities and measured at fair value. The accounting for changes in the fair value of a derivative depends on the intended use of the derivative and the resulting designation.</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that are not designated as hedges, gains and losses from changes in fair values are primarily recognized in other income (expense), net.</w:t>
      </w:r>
    </w:p>
    <w:p>
      <w:pPr>
        <w:pStyle w:val="TextBody"/>
        <w:bidi w:val="0"/>
        <w:spacing w:before="240"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Fair Value Measurements</w:t>
      </w:r>
    </w:p>
    <w:p>
      <w:pPr>
        <w:pStyle w:val="TextBody"/>
        <w:bidi w:val="0"/>
        <w:spacing w:before="180" w:after="283"/>
        <w:jc w:val="both"/>
        <w:rPr>
          <w:rFonts w:ascii="Arial" w:hAnsi="Arial"/>
          <w:color w:val="000000"/>
          <w:sz w:val="20"/>
        </w:rPr>
      </w:pPr>
      <w:r>
        <w:rPr>
          <w:rFonts w:ascii="Arial" w:hAnsi="Arial"/>
          <w:color w:val="000000"/>
          <w:sz w:val="20"/>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1</w:t>
      </w:r>
      <w:r>
        <w:rPr>
          <w:rFonts w:ascii="Arial" w:hAnsi="Arial"/>
          <w:color w:val="000000"/>
          <w:sz w:val="20"/>
        </w:rPr>
        <w:t xml:space="preserve"> – 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2</w:t>
      </w:r>
      <w:r>
        <w:rPr>
          <w:rFonts w:ascii="Arial" w:hAnsi="Arial"/>
          <w:color w:val="000000"/>
          <w:sz w:val="20"/>
        </w:rPr>
        <w:t xml:space="preserve"> – 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3</w:t>
      </w:r>
      <w:r>
        <w:rPr>
          <w:rFonts w:ascii="Arial" w:hAnsi="Arial"/>
          <w:color w:val="000000"/>
          <w:sz w:val="20"/>
        </w:rPr>
        <w:t xml:space="preserve">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pStyle w:val="TextBody"/>
        <w:bidi w:val="0"/>
        <w:spacing w:before="180" w:after="283"/>
        <w:jc w:val="both"/>
        <w:rPr>
          <w:rFonts w:ascii="Arial" w:hAnsi="Arial"/>
          <w:color w:val="000000"/>
          <w:sz w:val="20"/>
        </w:rPr>
      </w:pPr>
      <w:r>
        <w:rPr>
          <w:rFonts w:ascii="Arial" w:hAnsi="Arial"/>
          <w:color w:val="000000"/>
          <w:sz w:val="20"/>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pStyle w:val="TextBody"/>
        <w:bidi w:val="0"/>
        <w:spacing w:before="180" w:after="283"/>
        <w:jc w:val="both"/>
        <w:rPr>
          <w:rFonts w:ascii="Arial" w:hAnsi="Arial"/>
          <w:color w:val="000000"/>
          <w:sz w:val="20"/>
        </w:rPr>
      </w:pPr>
      <w:r>
        <w:rPr>
          <w:rFonts w:ascii="Arial" w:hAnsi="Arial"/>
          <w:color w:val="000000"/>
          <w:sz w:val="20"/>
        </w:rPr>
        <w:t>Our other current financial assets and current financial liabilities have fair values that approximate their carrying values.</w:t>
      </w:r>
    </w:p>
    <w:p>
      <w:pPr>
        <w:pStyle w:val="TextBody"/>
        <w:bidi w:val="0"/>
        <w:spacing w:before="270" w:after="283"/>
        <w:jc w:val="both"/>
        <w:rPr>
          <w:rFonts w:ascii="Times New Roman" w:hAnsi="Times New Roman"/>
          <w:sz w:val="20"/>
        </w:rPr>
      </w:pPr>
      <w:r>
        <w:rPr>
          <w:rFonts w:ascii="Arial" w:hAnsi="Arial"/>
          <w:b/>
          <w:color w:val="000000"/>
          <w:sz w:val="20"/>
        </w:rPr>
        <w:t>Contract Balances and Other Receivables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December 31, 2025 and June 30, 2025, long-term accounts receivable, net of allowance for doubtful accounts, was $5.3</w:t>
      </w:r>
      <w:r>
        <w:rPr>
          <w:rFonts w:ascii="Times New Roman" w:hAnsi="Times New Roman"/>
          <w:color w:val="000000"/>
          <w:sz w:val="20"/>
        </w:rPr>
        <w:t xml:space="preserve"> </w:t>
      </w:r>
      <w:r>
        <w:rPr>
          <w:rFonts w:ascii="Arial" w:hAnsi="Arial"/>
          <w:color w:val="000000"/>
          <w:sz w:val="20"/>
        </w:rPr>
        <w:t>billion and $5.2</w:t>
      </w:r>
      <w:r>
        <w:rPr>
          <w:rFonts w:ascii="Times New Roman" w:hAnsi="Times New Roman"/>
          <w:color w:val="000000"/>
          <w:sz w:val="20"/>
        </w:rPr>
        <w:t xml:space="preserve"> </w:t>
      </w:r>
      <w:r>
        <w:rPr>
          <w:rFonts w:ascii="Arial" w:hAnsi="Arial"/>
          <w:color w:val="000000"/>
          <w:sz w:val="20"/>
        </w:rPr>
        <w:t>billion, respectively, and is included in other long-term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As of December 31, 2025 and June 30, 2025, other receivables related to activities to facilitate the purchase of server components were $15.1</w:t>
      </w:r>
      <w:r>
        <w:rPr>
          <w:rFonts w:ascii="Times New Roman" w:hAnsi="Times New Roman"/>
          <w:color w:val="000000"/>
          <w:sz w:val="20"/>
        </w:rPr>
        <w:t xml:space="preserve"> </w:t>
      </w:r>
      <w:r>
        <w:rPr>
          <w:rFonts w:ascii="Arial" w:hAnsi="Arial"/>
          <w:color w:val="000000"/>
          <w:sz w:val="20"/>
        </w:rPr>
        <w:t>billion and $8.2</w:t>
      </w:r>
      <w:r>
        <w:rPr>
          <w:rFonts w:ascii="Times New Roman" w:hAnsi="Times New Roman"/>
          <w:color w:val="000000"/>
          <w:sz w:val="20"/>
        </w:rPr>
        <w:t xml:space="preserve"> </w:t>
      </w:r>
      <w:r>
        <w:rPr>
          <w:rFonts w:ascii="Arial" w:hAnsi="Arial"/>
          <w:color w:val="000000"/>
          <w:sz w:val="20"/>
        </w:rPr>
        <w:t>billion, respectively, and are included in other current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We record financing receivables when we offer certain customers the option to acquire our software products and services offerings through a financing program in a limited number of countries. As of December 31, 2025 and June 30, 2025, our financing receivables, net were $2.7</w:t>
      </w:r>
      <w:r>
        <w:rPr>
          <w:rFonts w:ascii="Times New Roman" w:hAnsi="Times New Roman"/>
          <w:color w:val="000000"/>
          <w:sz w:val="20"/>
        </w:rPr>
        <w:t xml:space="preserve"> </w:t>
      </w:r>
      <w:r>
        <w:rPr>
          <w:rFonts w:ascii="Arial" w:hAnsi="Arial"/>
          <w:color w:val="000000"/>
          <w:sz w:val="20"/>
        </w:rPr>
        <w:t>billion and $4.3</w:t>
      </w:r>
      <w:r>
        <w:rPr>
          <w:rFonts w:ascii="Times New Roman" w:hAnsi="Times New Roman"/>
          <w:color w:val="000000"/>
          <w:sz w:val="20"/>
        </w:rPr>
        <w:t xml:space="preserve"> </w:t>
      </w:r>
      <w:r>
        <w:rPr>
          <w:rFonts w:ascii="Arial" w:hAnsi="Arial"/>
          <w:color w:val="000000"/>
          <w:sz w:val="20"/>
        </w:rPr>
        <w:t>billion, respectively, for short-term and long-term financing receivables, which are included in other current assets and other long-term assets in our consolidated balance sheets.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record an allowance for doubtful accounts which reflects our best estimate of credit losses inherent in the accounts receivable and financing receivable balances. We determine the allowance based on known troubled accounts, historical experience, and other currently available evidence.</w:t>
      </w:r>
    </w:p>
    <w:p>
      <w:pPr>
        <w:pStyle w:val="TextBody"/>
        <w:bidi w:val="0"/>
        <w:spacing w:before="240"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Recent Accounting Guidance</w:t>
      </w:r>
    </w:p>
    <w:p>
      <w:pPr>
        <w:pStyle w:val="TextBody"/>
        <w:bidi w:val="0"/>
        <w:spacing w:before="180" w:after="283"/>
        <w:jc w:val="both"/>
        <w:rPr>
          <w:rFonts w:ascii="Arial" w:hAnsi="Arial"/>
          <w:i/>
          <w:color w:val="000000"/>
          <w:sz w:val="20"/>
        </w:rPr>
      </w:pPr>
      <w:r>
        <w:rPr>
          <w:rFonts w:ascii="Arial" w:hAnsi="Arial"/>
          <w:i/>
          <w:color w:val="000000"/>
          <w:sz w:val="20"/>
        </w:rPr>
        <w:t>Income Taxes – Improvements to Income Tax Disclosures</w:t>
      </w:r>
    </w:p>
    <w:p>
      <w:pPr>
        <w:pStyle w:val="TextBody"/>
        <w:bidi w:val="0"/>
        <w:spacing w:before="180" w:after="283"/>
        <w:jc w:val="both"/>
        <w:rPr>
          <w:rFonts w:ascii="Times New Roman" w:hAnsi="Times New Roman"/>
          <w:sz w:val="20"/>
        </w:rPr>
      </w:pPr>
      <w:r>
        <w:rPr>
          <w:rFonts w:ascii="Arial" w:hAnsi="Arial"/>
          <w:color w:val="000000"/>
          <w:sz w:val="20"/>
        </w:rPr>
        <w:t>In December 2023, the Financial Accounting Standards Board (“FASB”) issued a new standard to improve income tax disclosures. The guidance requires additional disclosure of disaggregated income taxes paid and prescribes standardized categories for the components of the effective tax rate reconciliation. We will adopt the standard on the effective date in our annual reporting for fiscal year 2026. The standard can be applied either prospectively or retrospectively.</w:t>
      </w:r>
      <w:r>
        <w:rPr>
          <w:rFonts w:ascii="Times New Roman" w:hAnsi="Times New Roman"/>
          <w:color w:val="000000"/>
          <w:sz w:val="20"/>
        </w:rPr>
        <w:t xml:space="preserve"> </w:t>
      </w:r>
    </w:p>
    <w:p>
      <w:pPr>
        <w:pStyle w:val="TextBody"/>
        <w:bidi w:val="0"/>
        <w:spacing w:before="270" w:after="283"/>
        <w:jc w:val="both"/>
        <w:rPr>
          <w:rFonts w:ascii="Arial" w:hAnsi="Arial"/>
          <w:i/>
          <w:color w:val="000000"/>
          <w:sz w:val="20"/>
        </w:rPr>
      </w:pPr>
      <w:r>
        <w:rPr>
          <w:rFonts w:ascii="Arial" w:hAnsi="Arial"/>
          <w:i/>
          <w:color w:val="000000"/>
          <w:sz w:val="20"/>
        </w:rPr>
        <w:t>Income Statement – Disaggregation of Income Statement Expenses</w:t>
      </w:r>
    </w:p>
    <w:p>
      <w:pPr>
        <w:pStyle w:val="TextBody"/>
        <w:bidi w:val="0"/>
        <w:spacing w:before="180" w:after="283"/>
        <w:jc w:val="both"/>
        <w:rPr>
          <w:rFonts w:ascii="Times New Roman" w:hAnsi="Times New Roman"/>
          <w:sz w:val="20"/>
        </w:rPr>
      </w:pPr>
      <w:r>
        <w:rPr>
          <w:rFonts w:ascii="Arial" w:hAnsi="Arial"/>
          <w:color w:val="000000"/>
          <w:sz w:val="20"/>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2 — EARNINGS PER SHARE</w:t>
      </w:r>
    </w:p>
    <w:p>
      <w:pPr>
        <w:pStyle w:val="TextBody"/>
        <w:bidi w:val="0"/>
        <w:spacing w:before="180" w:after="283"/>
        <w:jc w:val="both"/>
        <w:rPr>
          <w:rFonts w:ascii="Times New Roman" w:hAnsi="Times New Roman"/>
          <w:sz w:val="20"/>
        </w:rPr>
      </w:pPr>
      <w:r>
        <w:rPr>
          <w:rFonts w:ascii="Arial" w:hAnsi="Arial"/>
          <w:color w:val="000000"/>
          <w:sz w:val="20"/>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basic and diluted EPS were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39"/>
        <w:gridCol w:w="146"/>
        <w:gridCol w:w="211"/>
        <w:gridCol w:w="691"/>
        <w:gridCol w:w="146"/>
        <w:gridCol w:w="146"/>
        <w:gridCol w:w="211"/>
        <w:gridCol w:w="691"/>
        <w:gridCol w:w="146"/>
        <w:gridCol w:w="146"/>
        <w:gridCol w:w="211"/>
        <w:gridCol w:w="691"/>
        <w:gridCol w:w="146"/>
        <w:gridCol w:w="146"/>
        <w:gridCol w:w="211"/>
        <w:gridCol w:w="691"/>
        <w:gridCol w:w="436"/>
      </w:tblGrid>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 available for common shareholders (A)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66,205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48,775</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outstanding shares of common stock (B)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7,434</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Dilutive effect of stock-based awards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and common stock equivalents (C)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7,469</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Basic (A/B)</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(A/C)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Anti-dilutive stock-based awards excluded from the calculations of diluted EPS were immaterial during the periods presented.</w:t>
      </w:r>
    </w:p>
    <w:p>
      <w:pPr>
        <w:pStyle w:val="TextBody"/>
        <w:bidi w:val="0"/>
        <w:spacing w:before="240"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NOTE 3 — OTHER INCOME (EXPENSE), NET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89"/>
        <w:gridCol w:w="146"/>
        <w:gridCol w:w="253"/>
        <w:gridCol w:w="586"/>
        <w:gridCol w:w="166"/>
        <w:gridCol w:w="146"/>
        <w:gridCol w:w="253"/>
        <w:gridCol w:w="646"/>
        <w:gridCol w:w="166"/>
        <w:gridCol w:w="146"/>
        <w:gridCol w:w="211"/>
        <w:gridCol w:w="646"/>
        <w:gridCol w:w="166"/>
        <w:gridCol w:w="146"/>
        <w:gridCol w:w="211"/>
        <w:gridCol w:w="646"/>
        <w:gridCol w:w="682"/>
      </w:tblGrid>
      <w:tr>
        <w:trPr/>
        <w:tc>
          <w:tcPr>
            <w:tcW w:w="4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498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8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98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98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(1,176</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498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498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1,616</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8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98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9,541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4,618</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(1,848</w:t>
            </w:r>
          </w:p>
        </w:tc>
        <w:tc>
          <w:tcPr>
            <w:tcW w:w="68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8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98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9,971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4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Other income (expense), net included $10.0</w:t>
      </w:r>
      <w:r>
        <w:rPr>
          <w:rFonts w:ascii="Times New Roman" w:hAnsi="Times New Roman"/>
          <w:color w:val="000000"/>
          <w:sz w:val="20"/>
        </w:rPr>
        <w:t xml:space="preserve"> </w:t>
      </w:r>
      <w:r>
        <w:rPr>
          <w:rFonts w:ascii="Arial" w:hAnsi="Arial"/>
          <w:color w:val="000000"/>
          <w:sz w:val="20"/>
        </w:rPr>
        <w:t>billion and $5.9</w:t>
      </w:r>
      <w:r>
        <w:rPr>
          <w:rFonts w:ascii="Times New Roman" w:hAnsi="Times New Roman"/>
          <w:color w:val="000000"/>
          <w:sz w:val="20"/>
        </w:rPr>
        <w:t xml:space="preserve"> </w:t>
      </w:r>
      <w:r>
        <w:rPr>
          <w:rFonts w:ascii="Arial" w:hAnsi="Arial"/>
          <w:color w:val="000000"/>
          <w:sz w:val="20"/>
        </w:rPr>
        <w:t>billion of net gains for the three and six months ended December 31, 2025, respectively, and $1.2</w:t>
      </w:r>
      <w:r>
        <w:rPr>
          <w:rFonts w:ascii="Times New Roman" w:hAnsi="Times New Roman"/>
          <w:color w:val="000000"/>
          <w:sz w:val="20"/>
        </w:rPr>
        <w:t xml:space="preserve"> </w:t>
      </w:r>
      <w:r>
        <w:rPr>
          <w:rFonts w:ascii="Arial" w:hAnsi="Arial"/>
          <w:color w:val="000000"/>
          <w:sz w:val="20"/>
        </w:rPr>
        <w:t>billion and $1.9</w:t>
      </w:r>
      <w:r>
        <w:rPr>
          <w:rFonts w:ascii="Times New Roman" w:hAnsi="Times New Roman"/>
          <w:color w:val="000000"/>
          <w:sz w:val="20"/>
        </w:rPr>
        <w:t xml:space="preserve"> </w:t>
      </w:r>
      <w:r>
        <w:rPr>
          <w:rFonts w:ascii="Arial" w:hAnsi="Arial"/>
          <w:color w:val="000000"/>
          <w:sz w:val="20"/>
        </w:rPr>
        <w:t>billion of net losses for the three and six months ended December 31, 2024, respectively, from investments in OpenAI, primarily net recognized gains (losses) on our equity method investment reflected in Other, net. The net gains recorded for the three and six months ended December 31, 2025 primarily relate to the dilution gain from the OpenAI Recapitalization.</w:t>
      </w:r>
    </w:p>
    <w:p>
      <w:pPr>
        <w:pStyle w:val="TextBody"/>
        <w:bidi w:val="0"/>
        <w:spacing w:before="270" w:after="283"/>
        <w:jc w:val="both"/>
        <w:rPr>
          <w:rFonts w:ascii="Times New Roman" w:hAnsi="Times New Roman"/>
          <w:sz w:val="20"/>
        </w:rPr>
      </w:pPr>
      <w:r>
        <w:rPr>
          <w:rFonts w:ascii="Arial" w:hAnsi="Arial"/>
          <w:b/>
          <w:color w:val="000000"/>
          <w:sz w:val="20"/>
        </w:rPr>
        <w:t>Net Recognized Gains (Losses) on Investments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recognized gains (losses) on debt investments were as follows:</w:t>
      </w:r>
    </w:p>
    <w:p>
      <w:pPr>
        <w:pStyle w:val="TextBody"/>
        <w:bidi w:val="0"/>
        <w:jc w:val="both"/>
        <w:rPr/>
      </w:pPr>
      <w:r>
        <w:rPr/>
        <w:t> </w:t>
      </w:r>
    </w:p>
    <w:tbl>
      <w:tblPr>
        <w:tblW w:w="9784" w:type="dxa"/>
        <w:jc w:val="left"/>
        <w:tblInd w:w="0" w:type="dxa"/>
        <w:tblLayout w:type="fixed"/>
        <w:tblCellMar>
          <w:top w:w="28" w:type="dxa"/>
          <w:left w:w="28" w:type="dxa"/>
          <w:bottom w:w="28" w:type="dxa"/>
          <w:right w:w="28" w:type="dxa"/>
        </w:tblCellMar>
      </w:tblPr>
      <w:tblGrid>
        <w:gridCol w:w="5376"/>
        <w:gridCol w:w="146"/>
        <w:gridCol w:w="260"/>
        <w:gridCol w:w="383"/>
        <w:gridCol w:w="169"/>
        <w:gridCol w:w="148"/>
        <w:gridCol w:w="260"/>
        <w:gridCol w:w="383"/>
        <w:gridCol w:w="166"/>
        <w:gridCol w:w="146"/>
        <w:gridCol w:w="211"/>
        <w:gridCol w:w="466"/>
        <w:gridCol w:w="166"/>
        <w:gridCol w:w="146"/>
        <w:gridCol w:w="211"/>
        <w:gridCol w:w="466"/>
        <w:gridCol w:w="681"/>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3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3"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gains from sales of available-for-sale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losses from sales of available-for-sale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and allowance for credit losses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Net recognized gains (losses) on equity investments were as follows:</w:t>
      </w:r>
    </w:p>
    <w:p>
      <w:pPr>
        <w:pStyle w:val="TextBody"/>
        <w:bidi w:val="0"/>
        <w:jc w:val="left"/>
        <w:rPr/>
      </w:pPr>
      <w:r>
        <w:rPr/>
        <w:t> </w:t>
      </w:r>
    </w:p>
    <w:tbl>
      <w:tblPr>
        <w:tblW w:w="9577" w:type="dxa"/>
        <w:jc w:val="left"/>
        <w:tblInd w:w="0" w:type="dxa"/>
        <w:tblLayout w:type="fixed"/>
        <w:tblCellMar>
          <w:top w:w="28" w:type="dxa"/>
          <w:left w:w="28" w:type="dxa"/>
          <w:bottom w:w="28" w:type="dxa"/>
          <w:right w:w="28" w:type="dxa"/>
        </w:tblCellMar>
      </w:tblPr>
      <w:tblGrid>
        <w:gridCol w:w="5061"/>
        <w:gridCol w:w="146"/>
        <w:gridCol w:w="256"/>
        <w:gridCol w:w="421"/>
        <w:gridCol w:w="166"/>
        <w:gridCol w:w="146"/>
        <w:gridCol w:w="211"/>
        <w:gridCol w:w="481"/>
        <w:gridCol w:w="166"/>
        <w:gridCol w:w="146"/>
        <w:gridCol w:w="211"/>
        <w:gridCol w:w="481"/>
        <w:gridCol w:w="166"/>
        <w:gridCol w:w="146"/>
        <w:gridCol w:w="211"/>
        <w:gridCol w:w="481"/>
        <w:gridCol w:w="68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0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realized gains (losses) on investments sold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0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unrealized gains (losses) on investments still held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0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0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4</w:t>
      </w:r>
      <w:r>
        <w:rPr>
          <w:rFonts w:ascii="Times New Roman" w:hAnsi="Times New Roman"/>
          <w:color w:val="000000"/>
          <w:sz w:val="20"/>
          <w:u w:val="single"/>
        </w:rPr>
        <w:t xml:space="preserve">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INVESTMENTS</w:t>
      </w:r>
    </w:p>
    <w:p>
      <w:pPr>
        <w:pStyle w:val="TextBody"/>
        <w:bidi w:val="0"/>
        <w:spacing w:before="180" w:after="283"/>
        <w:jc w:val="both"/>
        <w:rPr>
          <w:rFonts w:ascii="Arial" w:hAnsi="Arial"/>
          <w:b/>
          <w:color w:val="000000"/>
          <w:sz w:val="20"/>
        </w:rPr>
      </w:pPr>
      <w:r>
        <w:rPr>
          <w:rFonts w:ascii="Arial" w:hAnsi="Arial"/>
          <w:b/>
          <w:color w:val="000000"/>
          <w:sz w:val="20"/>
        </w:rPr>
        <w:t>Investment Components</w:t>
      </w:r>
    </w:p>
    <w:p>
      <w:pPr>
        <w:pStyle w:val="TextBody"/>
        <w:bidi w:val="0"/>
        <w:spacing w:before="180" w:after="283"/>
        <w:jc w:val="both"/>
        <w:rPr>
          <w:rFonts w:ascii="Arial" w:hAnsi="Arial"/>
          <w:color w:val="000000"/>
          <w:sz w:val="20"/>
        </w:rPr>
      </w:pPr>
      <w:r>
        <w:rPr>
          <w:rFonts w:ascii="Arial" w:hAnsi="Arial"/>
          <w:color w:val="000000"/>
          <w:sz w:val="20"/>
        </w:rPr>
        <w:t>The components of investments were as follows:</w:t>
      </w:r>
    </w:p>
    <w:p>
      <w:pPr>
        <w:pStyle w:val="TextBody"/>
        <w:bidi w:val="0"/>
        <w:jc w:val="both"/>
        <w:rPr/>
      </w:pPr>
      <w:r>
        <w:rPr/>
        <w:t> </w:t>
      </w:r>
    </w:p>
    <w:tbl>
      <w:tblPr>
        <w:tblW w:w="11238" w:type="dxa"/>
        <w:jc w:val="left"/>
        <w:tblInd w:w="0" w:type="dxa"/>
        <w:tblLayout w:type="fixed"/>
        <w:tblCellMar>
          <w:top w:w="28" w:type="dxa"/>
          <w:left w:w="28" w:type="dxa"/>
          <w:bottom w:w="28" w:type="dxa"/>
          <w:right w:w="28" w:type="dxa"/>
        </w:tblCellMar>
      </w:tblPr>
      <w:tblGrid>
        <w:gridCol w:w="1676"/>
        <w:gridCol w:w="146"/>
        <w:gridCol w:w="586"/>
        <w:gridCol w:w="146"/>
        <w:gridCol w:w="211"/>
        <w:gridCol w:w="691"/>
        <w:gridCol w:w="146"/>
        <w:gridCol w:w="295"/>
        <w:gridCol w:w="591"/>
        <w:gridCol w:w="146"/>
        <w:gridCol w:w="218"/>
        <w:gridCol w:w="668"/>
        <w:gridCol w:w="166"/>
        <w:gridCol w:w="146"/>
        <w:gridCol w:w="211"/>
        <w:gridCol w:w="796"/>
        <w:gridCol w:w="146"/>
        <w:gridCol w:w="146"/>
        <w:gridCol w:w="228"/>
        <w:gridCol w:w="748"/>
        <w:gridCol w:w="146"/>
        <w:gridCol w:w="235"/>
        <w:gridCol w:w="771"/>
        <w:gridCol w:w="146"/>
        <w:gridCol w:w="146"/>
        <w:gridCol w:w="235"/>
        <w:gridCol w:w="771"/>
        <w:gridCol w:w="68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jc w:val="right"/>
              <w:rPr>
                <w:rFonts w:ascii="Arial" w:hAnsi="Arial"/>
                <w:b/>
                <w:color w:val="000000"/>
                <w:sz w:val="15"/>
              </w:rPr>
            </w:pPr>
            <w:r>
              <w:rPr>
                <w:rFonts w:ascii="Arial" w:hAnsi="Arial"/>
                <w:b/>
                <w:color w:val="000000"/>
                <w:sz w:val="15"/>
              </w:rPr>
              <w:t>and Other</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Commercial paper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Certificates of deposit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48,194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47,295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45,250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agency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1,620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80,174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79,509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65,160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1,620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3,020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16,562</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20,928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19,582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110,664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65,166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21,202</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pPr>
      <w:r>
        <w:rPr/>
        <w:t> </w:t>
      </w:r>
    </w:p>
    <w:tbl>
      <w:tblPr>
        <w:tblW w:w="10909" w:type="dxa"/>
        <w:jc w:val="left"/>
        <w:tblInd w:w="0" w:type="dxa"/>
        <w:tblLayout w:type="fixed"/>
        <w:tblCellMar>
          <w:top w:w="28" w:type="dxa"/>
          <w:left w:w="28" w:type="dxa"/>
          <w:bottom w:w="28" w:type="dxa"/>
          <w:right w:w="28" w:type="dxa"/>
        </w:tblCellMar>
      </w:tblPr>
      <w:tblGrid>
        <w:gridCol w:w="1676"/>
        <w:gridCol w:w="109"/>
        <w:gridCol w:w="586"/>
        <w:gridCol w:w="146"/>
        <w:gridCol w:w="211"/>
        <w:gridCol w:w="691"/>
        <w:gridCol w:w="146"/>
        <w:gridCol w:w="295"/>
        <w:gridCol w:w="591"/>
        <w:gridCol w:w="146"/>
        <w:gridCol w:w="218"/>
        <w:gridCol w:w="668"/>
        <w:gridCol w:w="166"/>
        <w:gridCol w:w="146"/>
        <w:gridCol w:w="211"/>
        <w:gridCol w:w="796"/>
        <w:gridCol w:w="146"/>
        <w:gridCol w:w="228"/>
        <w:gridCol w:w="748"/>
        <w:gridCol w:w="146"/>
        <w:gridCol w:w="235"/>
        <w:gridCol w:w="771"/>
        <w:gridCol w:w="146"/>
        <w:gridCol w:w="235"/>
        <w:gridCol w:w="771"/>
        <w:gridCol w:w="681"/>
      </w:tblGrid>
      <w:tr>
        <w:trPr/>
        <w:tc>
          <w:tcPr>
            <w:tcW w:w="1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jc w:val="right"/>
              <w:rPr>
                <w:rFonts w:ascii="Arial" w:hAnsi="Arial"/>
                <w:b/>
                <w:color w:val="000000"/>
                <w:sz w:val="15"/>
              </w:rPr>
            </w:pPr>
            <w:r>
              <w:rPr>
                <w:rFonts w:ascii="Arial" w:hAnsi="Arial"/>
                <w:b/>
                <w:color w:val="000000"/>
                <w:sz w:val="15"/>
              </w:rPr>
              <w:t>and Other</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Commercial paper</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Certificates of deposit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securities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agency securities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 investments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84,259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equity investments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12,673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109,970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fair value of our derivative instruments.</w:t>
      </w:r>
    </w:p>
    <w:p>
      <w:pPr>
        <w:pStyle w:val="TextBody"/>
        <w:bidi w:val="0"/>
        <w:spacing w:before="180" w:after="283"/>
        <w:jc w:val="both"/>
        <w:rPr>
          <w:rFonts w:ascii="Times New Roman" w:hAnsi="Times New Roman"/>
          <w:sz w:val="20"/>
        </w:rPr>
      </w:pPr>
      <w:r>
        <w:rPr>
          <w:rFonts w:ascii="Arial" w:hAnsi="Arial"/>
          <w:color w:val="000000"/>
          <w:sz w:val="20"/>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December 31, 2025 and June 30, 2025, equity investments without readily determinable fair values measured at cost with adjustments for observable changes in price or impairments were $5.0</w:t>
      </w:r>
      <w:r>
        <w:rPr>
          <w:rFonts w:ascii="Times New Roman" w:hAnsi="Times New Roman"/>
          <w:color w:val="000000"/>
          <w:sz w:val="20"/>
        </w:rPr>
        <w:t xml:space="preserve"> </w:t>
      </w:r>
      <w:r>
        <w:rPr>
          <w:rFonts w:ascii="Arial" w:hAnsi="Arial"/>
          <w:color w:val="000000"/>
          <w:sz w:val="20"/>
        </w:rPr>
        <w:t>billion and $2.9</w:t>
      </w:r>
      <w:r>
        <w:rPr>
          <w:rFonts w:ascii="Times New Roman" w:hAnsi="Times New Roman"/>
          <w:color w:val="000000"/>
          <w:sz w:val="20"/>
        </w:rPr>
        <w:t xml:space="preserve"> </w:t>
      </w:r>
      <w:r>
        <w:rPr>
          <w:rFonts w:ascii="Arial" w:hAnsi="Arial"/>
          <w:color w:val="000000"/>
          <w:sz w:val="20"/>
        </w:rPr>
        <w:t>billion, respectively, and equity investments measured using the equity method were $11.5</w:t>
      </w:r>
      <w:r>
        <w:rPr>
          <w:rFonts w:ascii="Times New Roman" w:hAnsi="Times New Roman"/>
          <w:color w:val="000000"/>
          <w:sz w:val="20"/>
        </w:rPr>
        <w:t xml:space="preserve"> </w:t>
      </w:r>
      <w:r>
        <w:rPr>
          <w:rFonts w:ascii="Arial" w:hAnsi="Arial"/>
          <w:color w:val="000000"/>
          <w:sz w:val="20"/>
        </w:rPr>
        <w:t>billion and $6.0</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before="240"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rPr>
        <w:t>Unrealized Losses on Debt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Debt investments with continuous unrealized losses for less than 12 months and 12 months or greater and their related fair values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7"/>
        <w:gridCol w:w="146"/>
        <w:gridCol w:w="211"/>
        <w:gridCol w:w="567"/>
        <w:gridCol w:w="146"/>
        <w:gridCol w:w="146"/>
        <w:gridCol w:w="211"/>
        <w:gridCol w:w="886"/>
        <w:gridCol w:w="166"/>
        <w:gridCol w:w="146"/>
        <w:gridCol w:w="211"/>
        <w:gridCol w:w="711"/>
        <w:gridCol w:w="146"/>
        <w:gridCol w:w="146"/>
        <w:gridCol w:w="211"/>
        <w:gridCol w:w="886"/>
        <w:gridCol w:w="166"/>
        <w:gridCol w:w="146"/>
        <w:gridCol w:w="211"/>
        <w:gridCol w:w="711"/>
        <w:gridCol w:w="146"/>
        <w:gridCol w:w="146"/>
        <w:gridCol w:w="211"/>
        <w:gridCol w:w="886"/>
        <w:gridCol w:w="636"/>
        <w:gridCol w:w="193"/>
      </w:tblGrid>
      <w:tr>
        <w:trPr/>
        <w:tc>
          <w:tcPr>
            <w:tcW w:w="1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28,950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(1,046</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2,750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81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31,365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(1,146</w:t>
            </w:r>
          </w:p>
        </w:tc>
        <w:tc>
          <w:tcPr>
            <w:tcW w:w="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6"/>
        <w:gridCol w:w="146"/>
        <w:gridCol w:w="211"/>
        <w:gridCol w:w="614"/>
        <w:gridCol w:w="146"/>
        <w:gridCol w:w="146"/>
        <w:gridCol w:w="211"/>
        <w:gridCol w:w="886"/>
        <w:gridCol w:w="166"/>
        <w:gridCol w:w="146"/>
        <w:gridCol w:w="211"/>
        <w:gridCol w:w="708"/>
        <w:gridCol w:w="146"/>
        <w:gridCol w:w="146"/>
        <w:gridCol w:w="211"/>
        <w:gridCol w:w="886"/>
        <w:gridCol w:w="166"/>
        <w:gridCol w:w="146"/>
        <w:gridCol w:w="211"/>
        <w:gridCol w:w="708"/>
        <w:gridCol w:w="146"/>
        <w:gridCol w:w="146"/>
        <w:gridCol w:w="211"/>
        <w:gridCol w:w="886"/>
        <w:gridCol w:w="636"/>
        <w:gridCol w:w="193"/>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(1,462</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42,736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w:t>
            </w:r>
          </w:p>
        </w:tc>
        <w:tc>
          <w:tcPr>
            <w:tcW w:w="6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Unrealized losses from fixed-income securities are primarily attributable to changes in interest rates. Management does not believe any remaining unrealized losses represent impairments based on our evaluation of available evidence.</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Debt Investment Maturities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debt investments as of December 31, 2025:</w:t>
      </w:r>
    </w:p>
    <w:p>
      <w:pPr>
        <w:pStyle w:val="TextBody"/>
        <w:bidi w:val="0"/>
        <w:jc w:val="left"/>
        <w:rPr/>
      </w:pPr>
      <w:r>
        <w:rPr/>
        <w:t> </w:t>
      </w:r>
    </w:p>
    <w:tbl>
      <w:tblPr>
        <w:tblW w:w="6514" w:type="dxa"/>
        <w:jc w:val="left"/>
        <w:tblInd w:w="0" w:type="dxa"/>
        <w:tblLayout w:type="fixed"/>
        <w:tblCellMar>
          <w:top w:w="28" w:type="dxa"/>
          <w:left w:w="28" w:type="dxa"/>
          <w:bottom w:w="28" w:type="dxa"/>
          <w:right w:w="28" w:type="dxa"/>
        </w:tblCellMar>
      </w:tblPr>
      <w:tblGrid>
        <w:gridCol w:w="3591"/>
        <w:gridCol w:w="146"/>
        <w:gridCol w:w="211"/>
        <w:gridCol w:w="691"/>
        <w:gridCol w:w="146"/>
        <w:gridCol w:w="146"/>
        <w:gridCol w:w="211"/>
        <w:gridCol w:w="691"/>
        <w:gridCol w:w="681"/>
      </w:tblGrid>
      <w:tr>
        <w:trPr/>
        <w:tc>
          <w:tcPr>
            <w:tcW w:w="3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Estimated</w:t>
            </w:r>
          </w:p>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in one year or less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27,582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27,509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one year through five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47,136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46,511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five years through 10 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4,213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10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80,174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79,509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5 — DERIVATIVES</w:t>
      </w:r>
    </w:p>
    <w:p>
      <w:pPr>
        <w:pStyle w:val="TextBody"/>
        <w:bidi w:val="0"/>
        <w:spacing w:before="180" w:after="283"/>
        <w:jc w:val="both"/>
        <w:rPr>
          <w:rFonts w:ascii="Times New Roman" w:hAnsi="Times New Roman"/>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hedge positions.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Foreign currency risks related to certain Euro-denominated debt are hedged using foreign exchange forward contracts that are designated as cash flow hedging instruments.</w:t>
      </w:r>
    </w:p>
    <w:p>
      <w:pPr>
        <w:pStyle w:val="TextBody"/>
        <w:bidi w:val="0"/>
        <w:spacing w:before="180" w:after="283"/>
        <w:jc w:val="both"/>
        <w:rPr>
          <w:rFonts w:ascii="Times New Roman" w:hAnsi="Times New Roman"/>
          <w:sz w:val="20"/>
        </w:rPr>
      </w:pPr>
      <w:r>
        <w:rPr>
          <w:rFonts w:ascii="Arial" w:hAnsi="Arial"/>
          <w:color w:val="000000"/>
          <w:sz w:val="20"/>
        </w:rPr>
        <w:t>Certain options and forwards not designated as hedging instruments are also used to manage the variability in foreign exchange rates on certain balance sheet amounts and to manage other foreign currency exposures.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Interest Rate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Interest rate risks related to certain fixed-rate debt are hedged using interest rate swaps that are designated as fair value hedging instruments to effectively convert the fixed interest rates to floating interest rates.</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Equity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market price risk. At times, we may hold options, futures, and swap contracts. These contracts are not designated as hedging instruments.</w:t>
      </w:r>
    </w:p>
    <w:p>
      <w:pPr>
        <w:pStyle w:val="TextBody"/>
        <w:bidi w:val="0"/>
        <w:spacing w:before="270" w:after="283"/>
        <w:jc w:val="both"/>
        <w:rPr>
          <w:rFonts w:ascii="Times New Roman" w:hAnsi="Times New Roman"/>
          <w:sz w:val="20"/>
        </w:rPr>
      </w:pPr>
      <w:r>
        <w:rPr>
          <w:rFonts w:ascii="Arial" w:hAnsi="Arial"/>
          <w:b/>
          <w:color w:val="000000"/>
          <w:sz w:val="20"/>
        </w:rPr>
        <w:t>Credit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Credit-Risk-Related Contingent Features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counterparty agreements for derivative instruments contain provisions that require our issued and outstanding long-term unsecured debt to maintain an investment grade credit rating and require us to maintain minimum liquidity of $1.0</w:t>
      </w:r>
      <w:r>
        <w:rPr>
          <w:rFonts w:ascii="Times New Roman" w:hAnsi="Times New Roman"/>
          <w:color w:val="000000"/>
          <w:sz w:val="20"/>
        </w:rPr>
        <w:t xml:space="preserve"> </w:t>
      </w:r>
      <w:r>
        <w:rPr>
          <w:rFonts w:ascii="Arial" w:hAnsi="Arial"/>
          <w:color w:val="000000"/>
          <w:sz w:val="20"/>
        </w:rPr>
        <w:t>billion. To the extent we fail to meet these requirements, we will be required to post collateral, similar to the standard convention related to over-the-counter derivatives. As of December 31, 2025, our long-term unsecured debt rating was AAA, and cash investments were in excess of $1.0</w:t>
      </w:r>
      <w:r>
        <w:rPr>
          <w:rFonts w:ascii="Times New Roman" w:hAnsi="Times New Roman"/>
          <w:color w:val="000000"/>
          <w:sz w:val="20"/>
        </w:rPr>
        <w:t xml:space="preserve"> </w:t>
      </w:r>
      <w:r>
        <w:rPr>
          <w:rFonts w:ascii="Arial" w:hAnsi="Arial"/>
          <w:color w:val="000000"/>
          <w:sz w:val="20"/>
        </w:rPr>
        <w:t>billion. As a result, no collateral was required to be posted.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presents the notional amounts of our outstanding derivative instruments measured in U.S. dollar equivalents:</w:t>
      </w:r>
    </w:p>
    <w:p>
      <w:pPr>
        <w:pStyle w:val="TextBody"/>
        <w:bidi w:val="0"/>
        <w:jc w:val="left"/>
        <w:rPr/>
      </w:pPr>
      <w:r>
        <w:rPr/>
        <w:t> </w:t>
      </w:r>
    </w:p>
    <w:tbl>
      <w:tblPr>
        <w:tblW w:w="6642" w:type="dxa"/>
        <w:jc w:val="left"/>
        <w:tblInd w:w="0" w:type="dxa"/>
        <w:tblLayout w:type="fixed"/>
        <w:tblCellMar>
          <w:top w:w="28" w:type="dxa"/>
          <w:left w:w="28" w:type="dxa"/>
          <w:bottom w:w="28" w:type="dxa"/>
          <w:right w:w="28" w:type="dxa"/>
        </w:tblCellMar>
      </w:tblPr>
      <w:tblGrid>
        <w:gridCol w:w="3741"/>
        <w:gridCol w:w="146"/>
        <w:gridCol w:w="263"/>
        <w:gridCol w:w="862"/>
        <w:gridCol w:w="146"/>
        <w:gridCol w:w="146"/>
        <w:gridCol w:w="211"/>
        <w:gridCol w:w="691"/>
        <w:gridCol w:w="43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 purchased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43,710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43,307</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right"/>
              <w:rPr/>
            </w:pPr>
            <w:r>
              <w:rPr/>
              <w:t> </w:t>
            </w:r>
          </w:p>
        </w:tc>
        <w:tc>
          <w:tcPr>
            <w:tcW w:w="86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2,189</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sold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1,242</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rFonts w:ascii="Arial" w:hAnsi="Arial"/>
          <w:b/>
          <w:color w:val="000000"/>
          <w:sz w:val="20"/>
        </w:rPr>
      </w:pPr>
      <w:r>
        <w:rPr>
          <w:rFonts w:ascii="Arial" w:hAnsi="Arial"/>
          <w:b/>
          <w:color w:val="000000"/>
          <w:sz w:val="20"/>
        </w:rPr>
        <w:t>Fair Values of Derivative Instruments</w:t>
      </w:r>
    </w:p>
    <w:p>
      <w:pPr>
        <w:pStyle w:val="TextBody"/>
        <w:bidi w:val="0"/>
        <w:spacing w:before="180" w:after="283"/>
        <w:jc w:val="both"/>
        <w:rPr>
          <w:rFonts w:ascii="Arial" w:hAnsi="Arial"/>
          <w:color w:val="000000"/>
          <w:sz w:val="20"/>
        </w:rPr>
      </w:pPr>
      <w:r>
        <w:rPr>
          <w:rFonts w:ascii="Arial" w:hAnsi="Arial"/>
          <w:color w:val="000000"/>
          <w:sz w:val="20"/>
        </w:rPr>
        <w:t>The following table presents our derivative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6"/>
        <w:gridCol w:w="146"/>
        <w:gridCol w:w="261"/>
        <w:gridCol w:w="595"/>
        <w:gridCol w:w="166"/>
        <w:gridCol w:w="146"/>
        <w:gridCol w:w="211"/>
        <w:gridCol w:w="856"/>
        <w:gridCol w:w="166"/>
        <w:gridCol w:w="146"/>
        <w:gridCol w:w="261"/>
        <w:gridCol w:w="595"/>
        <w:gridCol w:w="166"/>
        <w:gridCol w:w="146"/>
        <w:gridCol w:w="211"/>
        <w:gridCol w:w="646"/>
        <w:gridCol w:w="681"/>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Gross amounts of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Gross amounts of derivatives offset in the balance sheets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collateral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amounts of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Reported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6"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(715</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(1,639</w:t>
            </w:r>
          </w:p>
        </w:tc>
        <w:tc>
          <w:tcPr>
            <w:tcW w:w="681"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6" w:type="dxa"/>
            <w:tcBorders/>
            <w:shd w:fill="E5E5E4"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(783</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68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Gross derivative assets and liabilities subject to legally enforceable master netting agreements for which we have elected to offset were $295</w:t>
      </w:r>
      <w:r>
        <w:rPr>
          <w:rFonts w:ascii="Times New Roman" w:hAnsi="Times New Roman"/>
          <w:color w:val="000000"/>
          <w:sz w:val="20"/>
        </w:rPr>
        <w:t xml:space="preserve"> </w:t>
      </w:r>
      <w:r>
        <w:rPr>
          <w:rFonts w:ascii="Arial" w:hAnsi="Arial"/>
          <w:color w:val="000000"/>
          <w:sz w:val="20"/>
        </w:rPr>
        <w:t>million and $902</w:t>
      </w:r>
      <w:r>
        <w:rPr>
          <w:rFonts w:ascii="Times New Roman" w:hAnsi="Times New Roman"/>
          <w:color w:val="000000"/>
          <w:sz w:val="20"/>
        </w:rPr>
        <w:t xml:space="preserve"> </w:t>
      </w:r>
      <w:r>
        <w:rPr>
          <w:rFonts w:ascii="Arial" w:hAnsi="Arial"/>
          <w:color w:val="000000"/>
          <w:sz w:val="20"/>
        </w:rPr>
        <w:t>million, respectively, as of December 31, 2025, and $452</w:t>
      </w:r>
      <w:r>
        <w:rPr>
          <w:rFonts w:ascii="Times New Roman" w:hAnsi="Times New Roman"/>
          <w:color w:val="00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billion, respectively, as of June 30, 2025.</w:t>
      </w:r>
    </w:p>
    <w:p>
      <w:pPr>
        <w:pStyle w:val="TextBody"/>
        <w:bidi w:val="0"/>
        <w:spacing w:before="180" w:after="283"/>
        <w:jc w:val="both"/>
        <w:rPr>
          <w:rFonts w:ascii="Arial" w:hAnsi="Arial"/>
          <w:color w:val="000000"/>
          <w:sz w:val="20"/>
        </w:rPr>
      </w:pPr>
      <w:r>
        <w:rPr>
          <w:rFonts w:ascii="Arial" w:hAnsi="Arial"/>
          <w:color w:val="000000"/>
          <w:sz w:val="20"/>
        </w:rPr>
        <w:t>The following table presents the fair value of our derivatives instruments on a gross basis:</w:t>
      </w:r>
    </w:p>
    <w:p>
      <w:pPr>
        <w:pStyle w:val="TextBody"/>
        <w:bidi w:val="0"/>
        <w:jc w:val="left"/>
        <w:rPr/>
      </w:pPr>
      <w:r>
        <w:rPr/>
        <w:t> </w:t>
      </w:r>
    </w:p>
    <w:tbl>
      <w:tblPr>
        <w:tblW w:w="6548" w:type="dxa"/>
        <w:jc w:val="left"/>
        <w:tblInd w:w="0" w:type="dxa"/>
        <w:tblLayout w:type="fixed"/>
        <w:tblCellMar>
          <w:top w:w="28" w:type="dxa"/>
          <w:left w:w="28" w:type="dxa"/>
          <w:bottom w:w="28" w:type="dxa"/>
          <w:right w:w="28" w:type="dxa"/>
        </w:tblCellMar>
      </w:tblPr>
      <w:tblGrid>
        <w:gridCol w:w="2046"/>
        <w:gridCol w:w="146"/>
        <w:gridCol w:w="322"/>
        <w:gridCol w:w="323"/>
        <w:gridCol w:w="146"/>
        <w:gridCol w:w="146"/>
        <w:gridCol w:w="211"/>
        <w:gridCol w:w="646"/>
        <w:gridCol w:w="166"/>
        <w:gridCol w:w="146"/>
        <w:gridCol w:w="215"/>
        <w:gridCol w:w="430"/>
        <w:gridCol w:w="166"/>
        <w:gridCol w:w="146"/>
        <w:gridCol w:w="211"/>
        <w:gridCol w:w="646"/>
        <w:gridCol w:w="436"/>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320</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(907</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Gains (losses) on derivative instruments recognized in other income (expense), net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77"/>
        <w:gridCol w:w="146"/>
        <w:gridCol w:w="211"/>
        <w:gridCol w:w="484"/>
        <w:gridCol w:w="172"/>
        <w:gridCol w:w="151"/>
        <w:gridCol w:w="219"/>
        <w:gridCol w:w="608"/>
        <w:gridCol w:w="166"/>
        <w:gridCol w:w="146"/>
        <w:gridCol w:w="211"/>
        <w:gridCol w:w="526"/>
        <w:gridCol w:w="166"/>
        <w:gridCol w:w="146"/>
        <w:gridCol w:w="211"/>
        <w:gridCol w:w="481"/>
        <w:gridCol w:w="684"/>
      </w:tblGrid>
      <w:tr>
        <w:trPr/>
        <w:tc>
          <w:tcPr>
            <w:tcW w:w="5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54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4"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Fair Value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7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84"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47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Hedged items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7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 reclassified from 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7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6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7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w:t>
            </w:r>
          </w:p>
        </w:tc>
        <w:tc>
          <w:tcPr>
            <w:tcW w:w="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47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7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7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Gains (losses), net of tax, on derivative instruments recognized in our consolidated comprehensive income statements were as follows:</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911"/>
        <w:gridCol w:w="146"/>
        <w:gridCol w:w="245"/>
        <w:gridCol w:w="315"/>
        <w:gridCol w:w="193"/>
        <w:gridCol w:w="169"/>
        <w:gridCol w:w="245"/>
        <w:gridCol w:w="437"/>
        <w:gridCol w:w="166"/>
        <w:gridCol w:w="146"/>
        <w:gridCol w:w="211"/>
        <w:gridCol w:w="376"/>
        <w:gridCol w:w="166"/>
        <w:gridCol w:w="146"/>
        <w:gridCol w:w="211"/>
        <w:gridCol w:w="376"/>
        <w:gridCol w:w="681"/>
      </w:tblGrid>
      <w:tr>
        <w:trPr/>
        <w:tc>
          <w:tcPr>
            <w:tcW w:w="3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Included in effectiveness assessment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1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9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6 — PROPERTY AND EQUIPMENT</w:t>
      </w:r>
    </w:p>
    <w:p>
      <w:pPr>
        <w:pStyle w:val="TextBody"/>
        <w:bidi w:val="0"/>
        <w:spacing w:before="180" w:after="283"/>
        <w:jc w:val="both"/>
        <w:rPr>
          <w:rFonts w:ascii="Times New Roman" w:hAnsi="Times New Roman"/>
          <w:sz w:val="20"/>
        </w:rPr>
      </w:pPr>
      <w:r>
        <w:rPr>
          <w:rFonts w:ascii="Arial" w:hAnsi="Arial"/>
          <w:color w:val="000000"/>
          <w:sz w:val="20"/>
        </w:rPr>
        <w:t>The components of property and equipment were as follows:</w:t>
      </w:r>
      <w:r>
        <w:rPr>
          <w:rFonts w:ascii="Times New Roman" w:hAnsi="Times New Roman"/>
          <w:color w:val="000000"/>
          <w:sz w:val="20"/>
        </w:rPr>
        <w:t xml:space="preserve"> </w:t>
      </w:r>
    </w:p>
    <w:p>
      <w:pPr>
        <w:pStyle w:val="TextBody"/>
        <w:bidi w:val="0"/>
        <w:jc w:val="both"/>
        <w:rPr/>
      </w:pPr>
      <w:r>
        <w:rPr/>
        <w:t> </w:t>
      </w:r>
    </w:p>
    <w:tbl>
      <w:tblPr>
        <w:tblW w:w="7297" w:type="dxa"/>
        <w:jc w:val="left"/>
        <w:tblInd w:w="0" w:type="dxa"/>
        <w:tblLayout w:type="fixed"/>
        <w:tblCellMar>
          <w:top w:w="28" w:type="dxa"/>
          <w:left w:w="28" w:type="dxa"/>
          <w:bottom w:w="28" w:type="dxa"/>
          <w:right w:w="28" w:type="dxa"/>
        </w:tblCellMar>
      </w:tblPr>
      <w:tblGrid>
        <w:gridCol w:w="4026"/>
        <w:gridCol w:w="146"/>
        <w:gridCol w:w="222"/>
        <w:gridCol w:w="903"/>
        <w:gridCol w:w="166"/>
        <w:gridCol w:w="146"/>
        <w:gridCol w:w="211"/>
        <w:gridCol w:w="796"/>
        <w:gridCol w:w="681"/>
      </w:tblGrid>
      <w:tr>
        <w:trPr/>
        <w:tc>
          <w:tcPr>
            <w:tcW w:w="4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Land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9,698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Buildings and improvements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163,986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137,921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Leasehold improvements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14,500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12,117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Servers, network equipment, and software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171,351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132,836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Furniture and equipment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6,541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at cost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366,076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298,619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depreciation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(104,950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(93,653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261,126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204,966</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Depreciation expense was $7.9</w:t>
      </w:r>
      <w:r>
        <w:rPr>
          <w:rFonts w:ascii="Times New Roman" w:hAnsi="Times New Roman"/>
          <w:color w:val="000000"/>
          <w:sz w:val="20"/>
        </w:rPr>
        <w:t xml:space="preserve"> </w:t>
      </w:r>
      <w:r>
        <w:rPr>
          <w:rFonts w:ascii="Arial" w:hAnsi="Arial"/>
          <w:color w:val="000000"/>
          <w:sz w:val="20"/>
        </w:rPr>
        <w:t>billion and $15.0</w:t>
      </w:r>
      <w:r>
        <w:rPr>
          <w:rFonts w:ascii="Times New Roman" w:hAnsi="Times New Roman"/>
          <w:color w:val="000000"/>
          <w:sz w:val="20"/>
        </w:rPr>
        <w:t xml:space="preserve"> </w:t>
      </w:r>
      <w:r>
        <w:rPr>
          <w:rFonts w:ascii="Arial" w:hAnsi="Arial"/>
          <w:color w:val="000000"/>
          <w:sz w:val="20"/>
        </w:rPr>
        <w:t>billion for the three and six months ended December 31, 2025, respectively, and $5.2</w:t>
      </w:r>
      <w:r>
        <w:rPr>
          <w:rFonts w:ascii="Times New Roman" w:hAnsi="Times New Roman"/>
          <w:color w:val="000000"/>
          <w:sz w:val="20"/>
        </w:rPr>
        <w:t xml:space="preserve"> </w:t>
      </w:r>
      <w:r>
        <w:rPr>
          <w:rFonts w:ascii="Arial" w:hAnsi="Arial"/>
          <w:color w:val="000000"/>
          <w:sz w:val="20"/>
        </w:rPr>
        <w:t>billion and $9.9</w:t>
      </w:r>
      <w:r>
        <w:rPr>
          <w:rFonts w:ascii="Times New Roman" w:hAnsi="Times New Roman"/>
          <w:color w:val="000000"/>
          <w:sz w:val="20"/>
        </w:rPr>
        <w:t xml:space="preserve"> </w:t>
      </w:r>
      <w:r>
        <w:rPr>
          <w:rFonts w:ascii="Arial" w:hAnsi="Arial"/>
          <w:color w:val="000000"/>
          <w:sz w:val="20"/>
        </w:rPr>
        <w:t>billion for the three and six months ended December 31, 2024,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December 31, 2025 and June 30, 2025, purchases of property and equipment remaining in accounts payable were $23.1</w:t>
      </w:r>
      <w:r>
        <w:rPr>
          <w:rFonts w:ascii="Times New Roman" w:hAnsi="Times New Roman"/>
          <w:color w:val="000000"/>
          <w:sz w:val="20"/>
        </w:rPr>
        <w:t xml:space="preserve"> </w:t>
      </w:r>
      <w:r>
        <w:rPr>
          <w:rFonts w:ascii="Arial" w:hAnsi="Arial"/>
          <w:color w:val="000000"/>
          <w:sz w:val="20"/>
        </w:rPr>
        <w:t>billion and $6.9</w:t>
      </w:r>
      <w:r>
        <w:rPr>
          <w:rFonts w:ascii="Times New Roman" w:hAnsi="Times New Roman"/>
          <w:color w:val="000000"/>
          <w:sz w:val="20"/>
        </w:rPr>
        <w:t xml:space="preserve"> </w:t>
      </w:r>
      <w:r>
        <w:rPr>
          <w:rFonts w:ascii="Arial" w:hAnsi="Arial"/>
          <w:color w:val="000000"/>
          <w:sz w:val="20"/>
        </w:rPr>
        <w:t>billion,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7 </w:t>
      </w:r>
      <w:r>
        <w:rPr>
          <w:rFonts w:ascii="Times New Roman" w:hAnsi="Times New Roman"/>
          <w:color w:val="000000"/>
          <w:sz w:val="20"/>
          <w:u w:val="single"/>
        </w:rPr>
        <w:t xml:space="preserve">— </w:t>
      </w:r>
      <w:r>
        <w:rPr>
          <w:rFonts w:ascii="Arial" w:hAnsi="Arial"/>
          <w:color w:val="000000"/>
          <w:sz w:val="20"/>
          <w:u w:val="single"/>
        </w:rPr>
        <w:t>GOODWILL</w:t>
      </w:r>
    </w:p>
    <w:p>
      <w:pPr>
        <w:pStyle w:val="TextBody"/>
        <w:bidi w:val="0"/>
        <w:spacing w:before="180" w:after="283"/>
        <w:jc w:val="both"/>
        <w:rPr>
          <w:rFonts w:ascii="Arial" w:hAnsi="Arial"/>
          <w:color w:val="000000"/>
          <w:sz w:val="20"/>
        </w:rPr>
      </w:pPr>
      <w:r>
        <w:rPr>
          <w:rFonts w:ascii="Arial" w:hAnsi="Arial"/>
          <w:color w:val="000000"/>
          <w:sz w:val="20"/>
        </w:rPr>
        <w:t>Changes in the carrying amount of goodwill were as follows:</w:t>
      </w:r>
    </w:p>
    <w:p>
      <w:pPr>
        <w:pStyle w:val="TextBody"/>
        <w:bidi w:val="0"/>
        <w:jc w:val="both"/>
        <w:rPr/>
      </w:pPr>
      <w:r>
        <w:rPr/>
        <w:t> </w:t>
      </w:r>
    </w:p>
    <w:tbl>
      <w:tblPr>
        <w:tblW w:w="9019" w:type="dxa"/>
        <w:jc w:val="left"/>
        <w:tblInd w:w="0" w:type="dxa"/>
        <w:tblLayout w:type="fixed"/>
        <w:tblCellMar>
          <w:top w:w="28" w:type="dxa"/>
          <w:left w:w="28" w:type="dxa"/>
          <w:bottom w:w="28" w:type="dxa"/>
          <w:right w:w="28" w:type="dxa"/>
        </w:tblCellMar>
      </w:tblPr>
      <w:tblGrid>
        <w:gridCol w:w="3636"/>
        <w:gridCol w:w="146"/>
        <w:gridCol w:w="211"/>
        <w:gridCol w:w="796"/>
        <w:gridCol w:w="146"/>
        <w:gridCol w:w="146"/>
        <w:gridCol w:w="408"/>
        <w:gridCol w:w="613"/>
        <w:gridCol w:w="146"/>
        <w:gridCol w:w="146"/>
        <w:gridCol w:w="211"/>
        <w:gridCol w:w="316"/>
        <w:gridCol w:w="146"/>
        <w:gridCol w:w="146"/>
        <w:gridCol w:w="235"/>
        <w:gridCol w:w="890"/>
        <w:gridCol w:w="681"/>
      </w:tblGrid>
      <w:tr>
        <w:trPr/>
        <w:tc>
          <w:tcPr>
            <w:tcW w:w="3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8"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sz w:val="4"/>
                <w:szCs w:val="4"/>
              </w:rPr>
            </w:pPr>
            <w:r>
              <w:rPr>
                <w:sz w:val="4"/>
                <w:szCs w:val="4"/>
              </w:rPr>
            </w:r>
          </w:p>
        </w:tc>
        <w:tc>
          <w:tcPr>
            <w:tcW w:w="890"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31,504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25,689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25,731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62,387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Total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119,509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119,622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pStyle w:val="TextBody"/>
        <w:bidi w:val="0"/>
        <w:spacing w:before="180" w:after="283"/>
        <w:jc w:val="both"/>
        <w:rPr>
          <w:rFonts w:ascii="Arial" w:hAnsi="Arial"/>
          <w:color w:val="000000"/>
          <w:sz w:val="20"/>
        </w:rPr>
      </w:pPr>
      <w:r>
        <w:rPr>
          <w:rFonts w:ascii="Arial" w:hAnsi="Arial"/>
          <w:color w:val="000000"/>
          <w:sz w:val="20"/>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pStyle w:val="TextBody"/>
        <w:bidi w:val="0"/>
        <w:spacing w:before="270" w:after="283"/>
        <w:jc w:val="center"/>
        <w:rPr>
          <w:rFonts w:ascii="Times New Roman" w:hAnsi="Times New Roman"/>
          <w:sz w:val="20"/>
        </w:rPr>
      </w:pPr>
      <w:r>
        <w:rPr>
          <w:rFonts w:ascii="Arial" w:hAnsi="Arial"/>
          <w:color w:val="000000"/>
          <w:sz w:val="20"/>
          <w:u w:val="single"/>
        </w:rPr>
        <w:t>NOTE 8 — INTANGIBLE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intangible assets, all of which are finite-lived, were as follows:</w:t>
      </w:r>
      <w:r>
        <w:rPr>
          <w:rFonts w:ascii="Times New Roman" w:hAnsi="Times New Roman"/>
          <w:color w:val="000000"/>
          <w:sz w:val="20"/>
        </w:rPr>
        <w:t xml:space="preserve"> </w:t>
      </w:r>
    </w:p>
    <w:p>
      <w:pPr>
        <w:pStyle w:val="TextBody"/>
        <w:bidi w:val="0"/>
        <w:jc w:val="left"/>
        <w:rPr/>
      </w:pPr>
      <w:r>
        <w:rPr/>
        <w:t> </w:t>
      </w:r>
    </w:p>
    <w:tbl>
      <w:tblPr>
        <w:tblW w:w="9823" w:type="dxa"/>
        <w:jc w:val="left"/>
        <w:tblInd w:w="0" w:type="dxa"/>
        <w:tblLayout w:type="fixed"/>
        <w:tblCellMar>
          <w:top w:w="28" w:type="dxa"/>
          <w:left w:w="28" w:type="dxa"/>
          <w:bottom w:w="28" w:type="dxa"/>
          <w:right w:w="28" w:type="dxa"/>
        </w:tblCellMar>
      </w:tblPr>
      <w:tblGrid>
        <w:gridCol w:w="1756"/>
        <w:gridCol w:w="146"/>
        <w:gridCol w:w="211"/>
        <w:gridCol w:w="691"/>
        <w:gridCol w:w="146"/>
        <w:gridCol w:w="146"/>
        <w:gridCol w:w="233"/>
        <w:gridCol w:w="833"/>
        <w:gridCol w:w="166"/>
        <w:gridCol w:w="146"/>
        <w:gridCol w:w="211"/>
        <w:gridCol w:w="691"/>
        <w:gridCol w:w="146"/>
        <w:gridCol w:w="146"/>
        <w:gridCol w:w="211"/>
        <w:gridCol w:w="691"/>
        <w:gridCol w:w="146"/>
        <w:gridCol w:w="146"/>
        <w:gridCol w:w="233"/>
        <w:gridCol w:w="833"/>
        <w:gridCol w:w="166"/>
        <w:gridCol w:w="146"/>
        <w:gridCol w:w="211"/>
        <w:gridCol w:w="691"/>
        <w:gridCol w:w="681"/>
      </w:tblGrid>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Net</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Net</w:t>
            </w:r>
          </w:p>
          <w:p>
            <w:pPr>
              <w:pStyle w:val="TableContents"/>
              <w:bidi w:val="0"/>
              <w:jc w:val="right"/>
              <w:rPr>
                <w:rFonts w:ascii="Arial" w:hAnsi="Arial"/>
                <w:b/>
                <w:color w:val="000000"/>
                <w:sz w:val="15"/>
              </w:rPr>
            </w:pPr>
            <w:r>
              <w:rPr>
                <w:rFonts w:ascii="Arial" w:hAnsi="Arial"/>
                <w:b/>
                <w:color w:val="000000"/>
                <w:sz w:val="15"/>
              </w:rPr>
              <w:t>Carrying</w:t>
            </w:r>
          </w:p>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Marketing-related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Technology-based</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(16,830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5,896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7,601</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(2,357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Contract-based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43,849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(23,560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Intangible assets amortization expense was $1.2</w:t>
      </w:r>
      <w:r>
        <w:rPr>
          <w:rFonts w:ascii="Times New Roman" w:hAnsi="Times New Roman"/>
          <w:color w:val="000000"/>
          <w:sz w:val="20"/>
        </w:rPr>
        <w:t xml:space="preserve"> </w:t>
      </w:r>
      <w:r>
        <w:rPr>
          <w:rFonts w:ascii="Arial" w:hAnsi="Arial"/>
          <w:color w:val="000000"/>
          <w:sz w:val="20"/>
        </w:rPr>
        <w:t>billion and $2.6</w:t>
      </w:r>
      <w:r>
        <w:rPr>
          <w:rFonts w:ascii="Times New Roman" w:hAnsi="Times New Roman"/>
          <w:color w:val="000000"/>
          <w:sz w:val="20"/>
        </w:rPr>
        <w:t xml:space="preserve"> </w:t>
      </w:r>
      <w:r>
        <w:rPr>
          <w:rFonts w:ascii="Arial" w:hAnsi="Arial"/>
          <w:color w:val="000000"/>
          <w:sz w:val="20"/>
        </w:rPr>
        <w:t>billion for the three and six months ended December 31, 2025, respectively, and $1.5</w:t>
      </w:r>
      <w:r>
        <w:rPr>
          <w:rFonts w:ascii="Times New Roman" w:hAnsi="Times New Roman"/>
          <w:color w:val="000000"/>
          <w:sz w:val="20"/>
        </w:rPr>
        <w:t xml:space="preserve"> </w:t>
      </w:r>
      <w:r>
        <w:rPr>
          <w:rFonts w:ascii="Arial" w:hAnsi="Arial"/>
          <w:color w:val="000000"/>
          <w:sz w:val="20"/>
        </w:rPr>
        <w:t>billion and $3.0</w:t>
      </w:r>
      <w:r>
        <w:rPr>
          <w:rFonts w:ascii="Times New Roman" w:hAnsi="Times New Roman"/>
          <w:color w:val="000000"/>
          <w:sz w:val="20"/>
        </w:rPr>
        <w:t xml:space="preserve"> </w:t>
      </w:r>
      <w:r>
        <w:rPr>
          <w:rFonts w:ascii="Arial" w:hAnsi="Arial"/>
          <w:color w:val="000000"/>
          <w:sz w:val="20"/>
        </w:rPr>
        <w:t>billion for the three and six months ended December 31, 2024, respectively.</w:t>
      </w:r>
    </w:p>
    <w:p>
      <w:pPr>
        <w:pStyle w:val="TextBody"/>
        <w:bidi w:val="0"/>
        <w:spacing w:before="180" w:after="283"/>
        <w:jc w:val="both"/>
        <w:rPr>
          <w:rFonts w:ascii="Arial" w:hAnsi="Arial"/>
          <w:color w:val="000000"/>
          <w:sz w:val="20"/>
        </w:rPr>
      </w:pPr>
      <w:r>
        <w:rPr>
          <w:rFonts w:ascii="Arial" w:hAnsi="Arial"/>
          <w:color w:val="000000"/>
          <w:sz w:val="20"/>
        </w:rPr>
        <w:t>The following table outlines the estimated future amortization expense related to intangible assets held as of December 31, 2025:</w:t>
      </w:r>
    </w:p>
    <w:p>
      <w:pPr>
        <w:pStyle w:val="TextBody"/>
        <w:bidi w:val="0"/>
        <w:jc w:val="both"/>
        <w:rPr/>
      </w:pPr>
      <w:r>
        <w:rPr/>
        <w:t> </w:t>
      </w:r>
    </w:p>
    <w:tbl>
      <w:tblPr>
        <w:tblW w:w="7210" w:type="dxa"/>
        <w:jc w:val="left"/>
        <w:tblInd w:w="0" w:type="dxa"/>
        <w:tblLayout w:type="fixed"/>
        <w:tblCellMar>
          <w:top w:w="28" w:type="dxa"/>
          <w:left w:w="28" w:type="dxa"/>
          <w:bottom w:w="28" w:type="dxa"/>
          <w:right w:w="28" w:type="dxa"/>
        </w:tblCellMar>
      </w:tblPr>
      <w:tblGrid>
        <w:gridCol w:w="5481"/>
        <w:gridCol w:w="146"/>
        <w:gridCol w:w="211"/>
        <w:gridCol w:w="691"/>
        <w:gridCol w:w="681"/>
      </w:tblGrid>
      <w:tr>
        <w:trPr/>
        <w:tc>
          <w:tcPr>
            <w:tcW w:w="5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2026 (excluding the six months ended December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2,063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2,068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1,879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1,412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9,867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20,289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9 — DEBT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components of long-term debt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0"/>
        <w:gridCol w:w="146"/>
        <w:gridCol w:w="146"/>
        <w:gridCol w:w="526"/>
        <w:gridCol w:w="226"/>
        <w:gridCol w:w="526"/>
        <w:gridCol w:w="146"/>
        <w:gridCol w:w="146"/>
        <w:gridCol w:w="533"/>
        <w:gridCol w:w="226"/>
        <w:gridCol w:w="533"/>
        <w:gridCol w:w="146"/>
        <w:gridCol w:w="146"/>
        <w:gridCol w:w="533"/>
        <w:gridCol w:w="226"/>
        <w:gridCol w:w="533"/>
        <w:gridCol w:w="146"/>
        <w:gridCol w:w="146"/>
        <w:gridCol w:w="226"/>
        <w:gridCol w:w="740"/>
        <w:gridCol w:w="166"/>
        <w:gridCol w:w="146"/>
        <w:gridCol w:w="211"/>
        <w:gridCol w:w="691"/>
        <w:gridCol w:w="685"/>
      </w:tblGrid>
      <w:tr>
        <w:trPr/>
        <w:tc>
          <w:tcPr>
            <w:tcW w:w="2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issuance by 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Maturities</w:t>
            </w:r>
          </w:p>
          <w:p>
            <w:pPr>
              <w:pStyle w:val="TableContents"/>
              <w:bidi w:val="0"/>
              <w:spacing w:before="0" w:after="283"/>
              <w:jc w:val="center"/>
              <w:rPr>
                <w:rFonts w:ascii="Arial" w:hAnsi="Arial"/>
                <w:b/>
                <w:color w:val="000000"/>
                <w:sz w:val="15"/>
              </w:rPr>
            </w:pPr>
            <w:r>
              <w:rPr>
                <w:rFonts w:ascii="Arial" w:hAnsi="Arial"/>
                <w:b/>
                <w:color w:val="000000"/>
                <w:sz w:val="15"/>
              </w:rPr>
              <w:t>(calendar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Stated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Effective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38"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2009</w:t>
            </w:r>
            <w:r>
              <w:rPr>
                <w:rFonts w:ascii="Times New Roman" w:hAnsi="Times New Roman"/>
                <w:color w:val="000000"/>
                <w:sz w:val="20"/>
              </w:rPr>
              <w:t> </w:t>
            </w:r>
            <w:r>
              <w:rPr>
                <w:rFonts w:ascii="Arial" w:hAnsi="Arial"/>
                <w:color w:val="000000"/>
                <w:sz w:val="20"/>
              </w:rPr>
              <w:t>issuance of $3.8</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68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2010</w:t>
            </w:r>
            <w:r>
              <w:rPr>
                <w:rFonts w:ascii="Times New Roman" w:hAnsi="Times New Roman"/>
                <w:color w:val="000000"/>
                <w:sz w:val="20"/>
              </w:rPr>
              <w:t> </w:t>
            </w:r>
            <w:r>
              <w:rPr>
                <w:rFonts w:ascii="Arial" w:hAnsi="Arial"/>
                <w:color w:val="000000"/>
                <w:sz w:val="20"/>
              </w:rPr>
              <w:t>issuance of $4.8</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2011</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68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2012</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$5.2</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3.83%</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68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€4.1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2028</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2.69%</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2,700</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2015</w:t>
            </w:r>
            <w:r>
              <w:rPr>
                <w:rFonts w:ascii="Times New Roman" w:hAnsi="Times New Roman"/>
                <w:color w:val="000000"/>
                <w:sz w:val="20"/>
              </w:rPr>
              <w:t> </w:t>
            </w:r>
            <w:r>
              <w:rPr>
                <w:rFonts w:ascii="Arial" w:hAnsi="Arial"/>
                <w:color w:val="000000"/>
                <w:sz w:val="20"/>
              </w:rPr>
              <w:t>issuance of $23.8</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7,555</w:t>
            </w:r>
          </w:p>
        </w:tc>
        <w:tc>
          <w:tcPr>
            <w:tcW w:w="68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2016</w:t>
            </w:r>
            <w:r>
              <w:rPr>
                <w:rFonts w:ascii="Times New Roman" w:hAnsi="Times New Roman"/>
                <w:color w:val="000000"/>
                <w:sz w:val="20"/>
              </w:rPr>
              <w:t> </w:t>
            </w:r>
            <w:r>
              <w:rPr>
                <w:rFonts w:ascii="Arial" w:hAnsi="Arial"/>
                <w:color w:val="000000"/>
                <w:sz w:val="20"/>
              </w:rPr>
              <w:t>issuance of $19.8</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7,930</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2017</w:t>
            </w:r>
            <w:r>
              <w:rPr>
                <w:rFonts w:ascii="Times New Roman" w:hAnsi="Times New Roman"/>
                <w:color w:val="000000"/>
                <w:sz w:val="20"/>
              </w:rPr>
              <w:t> </w:t>
            </w:r>
            <w:r>
              <w:rPr>
                <w:rFonts w:ascii="Arial" w:hAnsi="Arial"/>
                <w:color w:val="000000"/>
                <w:sz w:val="20"/>
              </w:rPr>
              <w:t>issuance of $17.1</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3.38%</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6,833</w:t>
            </w:r>
          </w:p>
        </w:tc>
        <w:tc>
          <w:tcPr>
            <w:tcW w:w="68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2020</w:t>
            </w:r>
            <w:r>
              <w:rPr>
                <w:rFonts w:ascii="Times New Roman" w:hAnsi="Times New Roman"/>
                <w:color w:val="000000"/>
                <w:sz w:val="20"/>
              </w:rPr>
              <w:t> </w:t>
            </w:r>
            <w:r>
              <w:rPr>
                <w:rFonts w:ascii="Arial" w:hAnsi="Arial"/>
                <w:color w:val="000000"/>
                <w:sz w:val="20"/>
              </w:rPr>
              <w:t>issuance of $10.1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10,111</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2021</w:t>
            </w:r>
            <w:r>
              <w:rPr>
                <w:rFonts w:ascii="Times New Roman" w:hAnsi="Times New Roman"/>
                <w:color w:val="000000"/>
                <w:sz w:val="20"/>
              </w:rPr>
              <w:t> </w:t>
            </w:r>
            <w:r>
              <w:rPr>
                <w:rFonts w:ascii="Arial" w:hAnsi="Arial"/>
                <w:color w:val="000000"/>
                <w:sz w:val="20"/>
              </w:rPr>
              <w:t>issuance of $8.2</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8,185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68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2023</w:t>
            </w:r>
            <w:r>
              <w:rPr>
                <w:rFonts w:ascii="Times New Roman" w:hAnsi="Times New Roman"/>
                <w:color w:val="000000"/>
                <w:sz w:val="20"/>
              </w:rPr>
              <w:t> </w:t>
            </w:r>
            <w:r>
              <w:rPr>
                <w:rFonts w:ascii="Arial" w:hAnsi="Arial"/>
                <w:color w:val="000000"/>
                <w:sz w:val="20"/>
              </w:rPr>
              <w:t>issuance of $0.1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2024</w:t>
            </w:r>
            <w:r>
              <w:rPr>
                <w:rFonts w:ascii="Times New Roman" w:hAnsi="Times New Roman"/>
                <w:color w:val="000000"/>
                <w:sz w:val="20"/>
              </w:rPr>
              <w:t> </w:t>
            </w:r>
            <w:r>
              <w:rPr>
                <w:rFonts w:ascii="Arial" w:hAnsi="Arial"/>
                <w:color w:val="000000"/>
                <w:sz w:val="20"/>
              </w:rPr>
              <w:t>issuance of $3.3</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w:t>
            </w:r>
          </w:p>
        </w:tc>
        <w:tc>
          <w:tcPr>
            <w:tcW w:w="68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face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46,207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49,206</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Unamortized discount and issuance costs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w:t>
            </w:r>
          </w:p>
        </w:tc>
        <w:tc>
          <w:tcPr>
            <w:tcW w:w="68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Hedge fair value adjustments </w:t>
            </w:r>
            <w:r>
              <w:rPr>
                <w:rFonts w:ascii="Arial" w:hAnsi="Arial"/>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Premium on debt exchange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(4,807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(4,864</w:t>
            </w:r>
          </w:p>
        </w:tc>
        <w:tc>
          <w:tcPr>
            <w:tcW w:w="68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40,262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43,151</w:t>
            </w:r>
          </w:p>
        </w:tc>
        <w:tc>
          <w:tcPr>
            <w:tcW w:w="685"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10"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portion of 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w:t>
            </w:r>
          </w:p>
        </w:tc>
        <w:tc>
          <w:tcPr>
            <w:tcW w:w="68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80"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Long-term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35,425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40,152</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interest rate swaps related to fixed-rate debt.</w:t>
      </w:r>
    </w:p>
    <w:p>
      <w:pPr>
        <w:pStyle w:val="TextBody"/>
        <w:bidi w:val="0"/>
        <w:spacing w:before="180" w:after="283"/>
        <w:jc w:val="both"/>
        <w:rPr>
          <w:rFonts w:ascii="Times New Roman" w:hAnsi="Times New Roman"/>
          <w:sz w:val="20"/>
        </w:rPr>
      </w:pPr>
      <w:r>
        <w:rPr>
          <w:rFonts w:ascii="Arial" w:hAnsi="Arial"/>
          <w:color w:val="000000"/>
          <w:sz w:val="20"/>
        </w:rPr>
        <w:t>As of December 31, 2025 and June 30, 2025, the estimated fair value of long-term debt, including the current portion, was $37.3</w:t>
      </w:r>
      <w:r>
        <w:rPr>
          <w:rFonts w:ascii="Times New Roman" w:hAnsi="Times New Roman"/>
          <w:color w:val="000000"/>
          <w:sz w:val="20"/>
        </w:rPr>
        <w:t xml:space="preserve"> </w:t>
      </w:r>
      <w:r>
        <w:rPr>
          <w:rFonts w:ascii="Arial" w:hAnsi="Arial"/>
          <w:color w:val="000000"/>
          <w:sz w:val="20"/>
        </w:rPr>
        <w:t>billion and $40.4</w:t>
      </w:r>
      <w:r>
        <w:rPr>
          <w:rFonts w:ascii="Times New Roman" w:hAnsi="Times New Roman"/>
          <w:color w:val="000000"/>
          <w:sz w:val="20"/>
        </w:rPr>
        <w:t xml:space="preserve"> </w:t>
      </w:r>
      <w:r>
        <w:rPr>
          <w:rFonts w:ascii="Arial" w:hAnsi="Arial"/>
          <w:color w:val="000000"/>
          <w:sz w:val="20"/>
        </w:rPr>
        <w:t>billion, respectively. The estimated fair values are based on Level 2 inputs.</w:t>
      </w:r>
    </w:p>
    <w:p>
      <w:pPr>
        <w:pStyle w:val="TextBody"/>
        <w:bidi w:val="0"/>
        <w:spacing w:before="180" w:after="283"/>
        <w:jc w:val="both"/>
        <w:rPr>
          <w:rFonts w:ascii="Arial" w:hAnsi="Arial"/>
          <w:color w:val="000000"/>
          <w:sz w:val="20"/>
        </w:rPr>
      </w:pPr>
      <w:r>
        <w:rPr>
          <w:rFonts w:ascii="Arial" w:hAnsi="Arial"/>
          <w:color w:val="000000"/>
          <w:sz w:val="20"/>
        </w:rPr>
        <w:t>Debt in the table above is comprised of senior unsecured obligations and ranks equally with our other outstanding obligations. Interest is paid semi-annually, except for the Euro-denominated debt, which is paid annually.</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long-term debt, including the current portion, as of December 31, 2025:</w:t>
      </w:r>
    </w:p>
    <w:p>
      <w:pPr>
        <w:pStyle w:val="TextBody"/>
        <w:bidi w:val="0"/>
        <w:jc w:val="both"/>
        <w:rPr/>
      </w:pPr>
      <w:r>
        <w:rPr/>
        <w:t> </w:t>
      </w:r>
    </w:p>
    <w:tbl>
      <w:tblPr>
        <w:tblW w:w="7685" w:type="dxa"/>
        <w:jc w:val="left"/>
        <w:tblInd w:w="0" w:type="dxa"/>
        <w:tblLayout w:type="fixed"/>
        <w:tblCellMar>
          <w:top w:w="28" w:type="dxa"/>
          <w:left w:w="28" w:type="dxa"/>
          <w:bottom w:w="28" w:type="dxa"/>
          <w:right w:w="28" w:type="dxa"/>
        </w:tblCellMar>
      </w:tblPr>
      <w:tblGrid>
        <w:gridCol w:w="5476"/>
        <w:gridCol w:w="386"/>
        <w:gridCol w:w="211"/>
        <w:gridCol w:w="931"/>
        <w:gridCol w:w="681"/>
      </w:tblGrid>
      <w:tr>
        <w:trPr/>
        <w:tc>
          <w:tcPr>
            <w:tcW w:w="54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Year Ending June 30,</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2026 (excluding the six months ended December 31, 2025)</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2027</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9,250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2028</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2029</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2,055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2030</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Thereafter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34,902</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47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Total</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46,207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10 — 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was 20% for both the three and six months ended December 31, 2025, and 18% for both the three and six months ended December 31, 2024. The increase in our effective tax rate for the three and six months ended December 31, 2025 compared to the prior year was primarily due to deferred tax expense attributable to the dilution gain from the OpenAI Recapitalization and changes in the mix of our earnings and tax expenses between the U.S. and foreign countries.</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and six months ended December 31, 2025,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Times New Roman" w:hAnsi="Times New Roman"/>
          <w:sz w:val="20"/>
        </w:rPr>
      </w:pPr>
      <w:r>
        <w:rPr>
          <w:rFonts w:ascii="Arial" w:hAnsi="Arial"/>
          <w:color w:val="000000"/>
          <w:sz w:val="20"/>
        </w:rPr>
        <w:t>As of December 31, 2025 and June 30, 2025, unrecognized tax benefits and other income tax liabilities were $28.7</w:t>
      </w:r>
      <w:r>
        <w:rPr>
          <w:rFonts w:ascii="Times New Roman" w:hAnsi="Times New Roman"/>
          <w:color w:val="000000"/>
          <w:sz w:val="20"/>
        </w:rPr>
        <w:t xml:space="preserve"> </w:t>
      </w:r>
      <w:r>
        <w:rPr>
          <w:rFonts w:ascii="Arial" w:hAnsi="Arial"/>
          <w:color w:val="000000"/>
          <w:sz w:val="20"/>
        </w:rPr>
        <w:t>billion and $27.4</w:t>
      </w:r>
      <w:r>
        <w:rPr>
          <w:rFonts w:ascii="Times New Roman" w:hAnsi="Times New Roman"/>
          <w:color w:val="000000"/>
          <w:sz w:val="20"/>
        </w:rPr>
        <w:t xml:space="preserve"> </w:t>
      </w:r>
      <w:r>
        <w:rPr>
          <w:rFonts w:ascii="Arial" w:hAnsi="Arial"/>
          <w:color w:val="000000"/>
          <w:sz w:val="20"/>
        </w:rPr>
        <w:t>billion, respectively, and are included in long-term income taxes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w:t>
      </w:r>
      <w:r>
        <w:rPr>
          <w:rFonts w:ascii="Times New Roman" w:hAnsi="Times New Roman"/>
          <w:color w:val="000000"/>
          <w:sz w:val="20"/>
        </w:rPr>
        <w:t xml:space="preserve"> </w:t>
      </w:r>
      <w:r>
        <w:rPr>
          <w:rFonts w:ascii="Arial" w:hAnsi="Arial"/>
          <w:color w:val="000000"/>
          <w:sz w:val="20"/>
        </w:rPr>
        <w:t>billion plus penalties and interest. As of December 31,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pStyle w:val="TextBody"/>
        <w:bidi w:val="0"/>
        <w:spacing w:before="270" w:after="283"/>
        <w:jc w:val="center"/>
        <w:rPr>
          <w:rFonts w:ascii="Times New Roman" w:hAnsi="Times New Roman"/>
          <w:sz w:val="20"/>
        </w:rPr>
      </w:pPr>
      <w:r>
        <w:rPr>
          <w:rFonts w:ascii="Arial" w:hAnsi="Arial"/>
          <w:color w:val="000000"/>
          <w:sz w:val="20"/>
          <w:u w:val="single"/>
        </w:rPr>
        <w:t>NOTE 11 — UNEARNED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Unearned revenue by segment was as follows:</w:t>
      </w:r>
      <w:r>
        <w:rPr>
          <w:rFonts w:ascii="Times New Roman" w:hAnsi="Times New Roman"/>
          <w:color w:val="000000"/>
          <w:sz w:val="20"/>
        </w:rPr>
        <w:t xml:space="preserve"> </w:t>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3636"/>
        <w:gridCol w:w="146"/>
        <w:gridCol w:w="263"/>
        <w:gridCol w:w="862"/>
        <w:gridCol w:w="146"/>
        <w:gridCol w:w="146"/>
        <w:gridCol w:w="211"/>
        <w:gridCol w:w="691"/>
        <w:gridCol w:w="681"/>
      </w:tblGrid>
      <w:tr>
        <w:trPr/>
        <w:tc>
          <w:tcPr>
            <w:tcW w:w="3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39,721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14,022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2,890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54,044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67,265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Changes in unearned revenue were as follows:</w:t>
      </w:r>
      <w:r>
        <w:rPr>
          <w:rFonts w:ascii="Times New Roman" w:hAnsi="Times New Roman"/>
          <w:color w:val="000000"/>
          <w:sz w:val="20"/>
        </w:rPr>
        <w:t xml:space="preserve"> </w:t>
      </w:r>
    </w:p>
    <w:p>
      <w:pPr>
        <w:pStyle w:val="TextBody"/>
        <w:bidi w:val="0"/>
        <w:jc w:val="both"/>
        <w:rPr/>
      </w:pPr>
      <w:r>
        <w:rPr/>
        <w:t> </w:t>
      </w:r>
    </w:p>
    <w:tbl>
      <w:tblPr>
        <w:tblW w:w="5355" w:type="dxa"/>
        <w:jc w:val="left"/>
        <w:tblInd w:w="0" w:type="dxa"/>
        <w:tblLayout w:type="fixed"/>
        <w:tblCellMar>
          <w:top w:w="28" w:type="dxa"/>
          <w:left w:w="28" w:type="dxa"/>
          <w:bottom w:w="28" w:type="dxa"/>
          <w:right w:w="28" w:type="dxa"/>
        </w:tblCellMar>
      </w:tblPr>
      <w:tblGrid>
        <w:gridCol w:w="3461"/>
        <w:gridCol w:w="146"/>
        <w:gridCol w:w="211"/>
        <w:gridCol w:w="856"/>
        <w:gridCol w:w="681"/>
      </w:tblGrid>
      <w:tr>
        <w:trPr/>
        <w:tc>
          <w:tcPr>
            <w:tcW w:w="3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7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674"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Six Months Ended December 31, 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67,265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Deferral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89,010</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Recognition of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(102,231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674" w:type="dxa"/>
            <w:gridSpan w:val="4"/>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Balance,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54,044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Revenue allocated to remaining performance obligations, which includes unearned revenue and amounts expected to be invoiced and recognized as revenue in future periods, was $631</w:t>
      </w:r>
      <w:r>
        <w:rPr>
          <w:rFonts w:ascii="Times New Roman" w:hAnsi="Times New Roman"/>
          <w:color w:val="000000"/>
          <w:sz w:val="20"/>
        </w:rPr>
        <w:t xml:space="preserve"> </w:t>
      </w:r>
      <w:r>
        <w:rPr>
          <w:rFonts w:ascii="Arial" w:hAnsi="Arial"/>
          <w:color w:val="000000"/>
          <w:sz w:val="20"/>
        </w:rPr>
        <w:t>billion as of December 31, 2025. Estimating revenue that will be allocated to remaining performance obligations can involve significant judgments, including identifying and assessing variable consideration and potential renegotiation of commitments. We consider factors such as the nature of the terms and duration of the contract across our portfolio of contracts. Revenue allocated to remaining performance obligations related to the commercial portion of revenue was $625</w:t>
      </w:r>
      <w:r>
        <w:rPr>
          <w:rFonts w:ascii="Times New Roman" w:hAnsi="Times New Roman"/>
          <w:color w:val="000000"/>
          <w:sz w:val="20"/>
        </w:rPr>
        <w:t xml:space="preserve"> </w:t>
      </w:r>
      <w:r>
        <w:rPr>
          <w:rFonts w:ascii="Arial" w:hAnsi="Arial"/>
          <w:color w:val="000000"/>
          <w:sz w:val="20"/>
        </w:rPr>
        <w:t>billion as of December 31, 2025, with a weighted average duration of approximately 2.5</w:t>
      </w:r>
      <w:r>
        <w:rPr>
          <w:rFonts w:ascii="Times New Roman" w:hAnsi="Times New Roman"/>
          <w:color w:val="000000"/>
          <w:sz w:val="20"/>
        </w:rPr>
        <w:t xml:space="preserve"> </w:t>
      </w:r>
      <w:r>
        <w:rPr>
          <w:rFonts w:ascii="Arial" w:hAnsi="Arial"/>
          <w:color w:val="000000"/>
          <w:sz w:val="20"/>
        </w:rPr>
        <w:t>years. We expect to recognize approximately 25% of both our total company remaining performance obligation revenue and commercial remaining performance obligation revenue over the next 12</w:t>
      </w:r>
      <w:r>
        <w:rPr>
          <w:rFonts w:ascii="Times New Roman" w:hAnsi="Times New Roman"/>
          <w:color w:val="000000"/>
          <w:sz w:val="20"/>
        </w:rPr>
        <w:t xml:space="preserve"> </w:t>
      </w:r>
      <w:r>
        <w:rPr>
          <w:rFonts w:ascii="Arial" w:hAnsi="Arial"/>
          <w:color w:val="000000"/>
          <w:sz w:val="20"/>
        </w:rPr>
        <w:t>months and the remainder thereafter.</w:t>
      </w:r>
    </w:p>
    <w:p>
      <w:pPr>
        <w:pStyle w:val="TextBody"/>
        <w:bidi w:val="0"/>
        <w:spacing w:before="270" w:after="283"/>
        <w:jc w:val="center"/>
        <w:rPr>
          <w:rFonts w:ascii="Times New Roman" w:hAnsi="Times New Roman"/>
          <w:sz w:val="20"/>
        </w:rPr>
      </w:pPr>
      <w:r>
        <w:rPr>
          <w:rFonts w:ascii="Arial" w:hAnsi="Arial"/>
          <w:color w:val="000000"/>
          <w:sz w:val="20"/>
          <w:u w:val="single"/>
        </w:rPr>
        <w:t>NOTE 12</w:t>
      </w:r>
      <w:r>
        <w:rPr>
          <w:rFonts w:ascii="Times New Roman" w:hAnsi="Times New Roman"/>
          <w:color w:val="000000"/>
          <w:sz w:val="20"/>
          <w:u w:val="single"/>
        </w:rPr>
        <w:t xml:space="preserve">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LEASES</w:t>
      </w:r>
    </w:p>
    <w:p>
      <w:pPr>
        <w:pStyle w:val="TextBody"/>
        <w:bidi w:val="0"/>
        <w:spacing w:before="180" w:after="283"/>
        <w:jc w:val="both"/>
        <w:rPr>
          <w:rFonts w:ascii="Times New Roman" w:hAnsi="Times New Roman"/>
          <w:sz w:val="20"/>
        </w:rPr>
      </w:pPr>
      <w:r>
        <w:rPr>
          <w:rFonts w:ascii="Arial" w:hAnsi="Arial"/>
          <w:color w:val="000000"/>
          <w:sz w:val="20"/>
        </w:rPr>
        <w:t>We have operating and finance leases for datacenters, corporate offices, research and development facilities, Microsoft Experience Centers, and certain equipment. Our leases have remaining lease terms of less than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 some of which include options to extend the leases for up to 5</w:t>
      </w:r>
      <w:r>
        <w:rPr>
          <w:rFonts w:ascii="Times New Roman" w:hAnsi="Times New Roman"/>
          <w:color w:val="000000"/>
          <w:sz w:val="20"/>
        </w:rPr>
        <w:t xml:space="preserve"> </w:t>
      </w:r>
      <w:r>
        <w:rPr>
          <w:rFonts w:ascii="Arial" w:hAnsi="Arial"/>
          <w:color w:val="000000"/>
          <w:sz w:val="20"/>
        </w:rPr>
        <w:t>years, and some of which include options to terminate the leases within 1</w:t>
      </w:r>
      <w:r>
        <w:rPr>
          <w:rFonts w:ascii="Times New Roman" w:hAnsi="Times New Roman"/>
          <w:color w:val="000000"/>
          <w:sz w:val="20"/>
        </w:rPr>
        <w:t xml:space="preserve"> </w:t>
      </w:r>
      <w:r>
        <w:rPr>
          <w:rFonts w:ascii="Arial" w:hAnsi="Arial"/>
          <w:color w:val="000000"/>
          <w:sz w:val="20"/>
        </w:rPr>
        <w:t>year.</w:t>
      </w:r>
    </w:p>
    <w:p>
      <w:pPr>
        <w:pStyle w:val="TextBody"/>
        <w:bidi w:val="0"/>
        <w:spacing w:before="180" w:after="283"/>
        <w:jc w:val="both"/>
        <w:rPr>
          <w:rFonts w:ascii="Arial" w:hAnsi="Arial"/>
          <w:color w:val="000000"/>
          <w:sz w:val="20"/>
        </w:rPr>
      </w:pPr>
      <w:r>
        <w:rPr>
          <w:rFonts w:ascii="Arial" w:hAnsi="Arial"/>
          <w:color w:val="000000"/>
          <w:sz w:val="20"/>
        </w:rPr>
        <w:t>The components of lease expense were as follows:</w:t>
      </w:r>
    </w:p>
    <w:p>
      <w:pPr>
        <w:pStyle w:val="TextBody"/>
        <w:bidi w:val="0"/>
        <w:jc w:val="both"/>
        <w:rPr/>
      </w:pPr>
      <w:r>
        <w:rPr/>
        <w:t> </w:t>
      </w:r>
    </w:p>
    <w:tbl>
      <w:tblPr>
        <w:tblW w:w="8502" w:type="dxa"/>
        <w:jc w:val="left"/>
        <w:tblInd w:w="0" w:type="dxa"/>
        <w:tblLayout w:type="fixed"/>
        <w:tblCellMar>
          <w:top w:w="28" w:type="dxa"/>
          <w:left w:w="28" w:type="dxa"/>
          <w:bottom w:w="28" w:type="dxa"/>
          <w:right w:w="28" w:type="dxa"/>
        </w:tblCellMar>
      </w:tblPr>
      <w:tblGrid>
        <w:gridCol w:w="3611"/>
        <w:gridCol w:w="146"/>
        <w:gridCol w:w="211"/>
        <w:gridCol w:w="586"/>
        <w:gridCol w:w="146"/>
        <w:gridCol w:w="146"/>
        <w:gridCol w:w="211"/>
        <w:gridCol w:w="586"/>
        <w:gridCol w:w="146"/>
        <w:gridCol w:w="146"/>
        <w:gridCol w:w="211"/>
        <w:gridCol w:w="586"/>
        <w:gridCol w:w="146"/>
        <w:gridCol w:w="146"/>
        <w:gridCol w:w="211"/>
        <w:gridCol w:w="586"/>
        <w:gridCol w:w="68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5"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3,397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 cost: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Amortization of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Interest on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6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 finance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Supplemental cash flow information related to leases was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14"/>
        <w:gridCol w:w="146"/>
        <w:gridCol w:w="211"/>
        <w:gridCol w:w="586"/>
        <w:gridCol w:w="146"/>
        <w:gridCol w:w="146"/>
        <w:gridCol w:w="211"/>
        <w:gridCol w:w="586"/>
        <w:gridCol w:w="146"/>
        <w:gridCol w:w="146"/>
        <w:gridCol w:w="211"/>
        <w:gridCol w:w="691"/>
        <w:gridCol w:w="146"/>
        <w:gridCol w:w="146"/>
        <w:gridCol w:w="211"/>
        <w:gridCol w:w="691"/>
        <w:gridCol w:w="671"/>
      </w:tblGrid>
      <w:tr>
        <w:trPr/>
        <w:tc>
          <w:tcPr>
            <w:tcW w:w="5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1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114"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114"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cash flows from 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2,169</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114"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cash flows from 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114"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Financing cash flows from 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114"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Right-of-use assets obtained in exchange for lease obligations: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114"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4,991</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114"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10,767</w:t>
            </w:r>
          </w:p>
        </w:tc>
        <w:tc>
          <w:tcPr>
            <w:tcW w:w="6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Supplemental balance sheet information related to leases was as follows:</w:t>
      </w:r>
    </w:p>
    <w:p>
      <w:pPr>
        <w:pStyle w:val="TextBody"/>
        <w:bidi w:val="0"/>
        <w:jc w:val="both"/>
        <w:rPr/>
      </w:pPr>
      <w:r>
        <w:rPr/>
        <w:t> </w:t>
      </w:r>
    </w:p>
    <w:tbl>
      <w:tblPr>
        <w:tblW w:w="6962" w:type="dxa"/>
        <w:jc w:val="left"/>
        <w:tblInd w:w="0" w:type="dxa"/>
        <w:tblLayout w:type="fixed"/>
        <w:tblCellMar>
          <w:top w:w="28" w:type="dxa"/>
          <w:left w:w="28" w:type="dxa"/>
          <w:bottom w:w="28" w:type="dxa"/>
          <w:right w:w="28" w:type="dxa"/>
        </w:tblCellMar>
      </w:tblPr>
      <w:tblGrid>
        <w:gridCol w:w="3706"/>
        <w:gridCol w:w="146"/>
        <w:gridCol w:w="222"/>
        <w:gridCol w:w="903"/>
        <w:gridCol w:w="166"/>
        <w:gridCol w:w="146"/>
        <w:gridCol w:w="211"/>
        <w:gridCol w:w="841"/>
        <w:gridCol w:w="62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lease term and discount rate)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24,823</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5,520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5,424</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22,865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22,861</w:t>
            </w:r>
          </w:p>
        </w:tc>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Property and equipment, at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73,201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53,876</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depreciation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(12,556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(9,861</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Property and equipment,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60,645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44,015</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56,413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43,000</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finance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60,151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46,172</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Remaining Lease Term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 years</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6</w:t>
            </w:r>
            <w:r>
              <w:rPr>
                <w:rFonts w:ascii="Times New Roman" w:hAnsi="Times New Roman"/>
                <w:color w:val="000000"/>
                <w:sz w:val="20"/>
              </w:rPr>
              <w:t> </w:t>
            </w:r>
            <w:r>
              <w:rPr>
                <w:rFonts w:ascii="Arial" w:hAnsi="Arial"/>
                <w:color w:val="000000"/>
                <w:sz w:val="20"/>
              </w:rPr>
              <w:t>years</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13</w:t>
            </w:r>
            <w:r>
              <w:rPr>
                <w:rFonts w:ascii="Times New Roman" w:hAnsi="Times New Roman"/>
                <w:color w:val="000000"/>
                <w:sz w:val="20"/>
              </w:rPr>
              <w:t> </w:t>
            </w:r>
            <w:r>
              <w:rPr>
                <w:rFonts w:ascii="Arial" w:hAnsi="Arial"/>
                <w:b/>
                <w:color w:val="000000"/>
                <w:sz w:val="20"/>
              </w:rPr>
              <w:t>years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13</w:t>
            </w:r>
            <w:r>
              <w:rPr>
                <w:rFonts w:ascii="Times New Roman" w:hAnsi="Times New Roman"/>
                <w:color w:val="000000"/>
                <w:sz w:val="20"/>
              </w:rPr>
              <w:t> </w:t>
            </w:r>
            <w:r>
              <w:rPr>
                <w:rFonts w:ascii="Arial" w:hAnsi="Arial"/>
                <w:color w:val="000000"/>
                <w:sz w:val="20"/>
              </w:rPr>
              <w:t>years</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Discount Rate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outlines maturities of our lease liabilities as of December 31, 2025:</w:t>
      </w:r>
    </w:p>
    <w:p>
      <w:pPr>
        <w:pStyle w:val="TextBody"/>
        <w:bidi w:val="0"/>
        <w:jc w:val="both"/>
        <w:rPr/>
      </w:pPr>
      <w:r>
        <w:rPr/>
        <w:t> </w:t>
      </w:r>
    </w:p>
    <w:tbl>
      <w:tblPr>
        <w:tblW w:w="9245" w:type="dxa"/>
        <w:jc w:val="left"/>
        <w:tblInd w:w="0" w:type="dxa"/>
        <w:tblLayout w:type="fixed"/>
        <w:tblCellMar>
          <w:top w:w="28" w:type="dxa"/>
          <w:left w:w="28" w:type="dxa"/>
          <w:bottom w:w="28" w:type="dxa"/>
          <w:right w:w="28" w:type="dxa"/>
        </w:tblCellMar>
      </w:tblPr>
      <w:tblGrid>
        <w:gridCol w:w="5481"/>
        <w:gridCol w:w="146"/>
        <w:gridCol w:w="330"/>
        <w:gridCol w:w="1080"/>
        <w:gridCol w:w="166"/>
        <w:gridCol w:w="146"/>
        <w:gridCol w:w="279"/>
        <w:gridCol w:w="996"/>
        <w:gridCol w:w="621"/>
      </w:tblGrid>
      <w:tr>
        <w:trPr/>
        <w:tc>
          <w:tcPr>
            <w:tcW w:w="5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Operating Leases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Finance Leases</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2026 (excluding the six months ended December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3,059</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6,404</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6,467</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2,891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5,829</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5,718</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7,192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53,590</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lease payments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25,581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81,067</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Less imputed interest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(20,916</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4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4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22,865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60,151</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 of December 31, 2025, we had additional leases, primarily for datacenters, that had not yet commenced of $155.1</w:t>
      </w:r>
      <w:r>
        <w:rPr>
          <w:rFonts w:ascii="Times New Roman" w:hAnsi="Times New Roman"/>
          <w:color w:val="000000"/>
          <w:sz w:val="20"/>
        </w:rPr>
        <w:t xml:space="preserve"> </w:t>
      </w:r>
      <w:r>
        <w:rPr>
          <w:rFonts w:ascii="Arial" w:hAnsi="Arial"/>
          <w:color w:val="000000"/>
          <w:sz w:val="20"/>
        </w:rPr>
        <w:t>billion. These leases will commence between fiscal year 2026 and fiscal year 2031 with lease terms of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13 — CONTINGENCIES</w:t>
      </w:r>
    </w:p>
    <w:p>
      <w:pPr>
        <w:pStyle w:val="TextBody"/>
        <w:bidi w:val="0"/>
        <w:spacing w:before="180" w:after="283"/>
        <w:jc w:val="both"/>
        <w:rPr>
          <w:rFonts w:ascii="Arial" w:hAnsi="Arial"/>
          <w:b/>
          <w:color w:val="000000"/>
          <w:sz w:val="20"/>
        </w:rPr>
      </w:pPr>
      <w:r>
        <w:rPr>
          <w:rFonts w:ascii="Arial" w:hAnsi="Arial"/>
          <w:b/>
          <w:color w:val="000000"/>
          <w:sz w:val="20"/>
        </w:rPr>
        <w:t>Irish Data Protection Commission Matter</w:t>
      </w:r>
    </w:p>
    <w:p>
      <w:pPr>
        <w:pStyle w:val="TextBody"/>
        <w:bidi w:val="0"/>
        <w:spacing w:before="180" w:after="283"/>
        <w:jc w:val="both"/>
        <w:rPr>
          <w:rFonts w:ascii="Arial" w:hAnsi="Arial"/>
          <w:color w:val="000000"/>
          <w:sz w:val="20"/>
        </w:rPr>
      </w:pPr>
      <w:r>
        <w:rPr>
          <w:rFonts w:ascii="Arial" w:hAnsi="Arial"/>
          <w:color w:val="000000"/>
          <w:sz w:val="20"/>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to the Irish courts. A preliminary hearing was held in December 2025.</w:t>
      </w:r>
    </w:p>
    <w:p>
      <w:pPr>
        <w:pStyle w:val="TextBody"/>
        <w:bidi w:val="0"/>
        <w:spacing w:before="240" w:after="283"/>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Other Contingencies</w:t>
      </w:r>
    </w:p>
    <w:p>
      <w:pPr>
        <w:pStyle w:val="TextBody"/>
        <w:bidi w:val="0"/>
        <w:spacing w:before="180" w:after="283"/>
        <w:jc w:val="both"/>
        <w:rPr>
          <w:rFonts w:ascii="Arial" w:hAnsi="Arial"/>
          <w:color w:val="000000"/>
          <w:sz w:val="20"/>
        </w:rPr>
      </w:pPr>
      <w:r>
        <w:rPr>
          <w:rFonts w:ascii="Arial" w:hAnsi="Arial"/>
          <w:color w:val="000000"/>
          <w:sz w:val="20"/>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pStyle w:val="TextBody"/>
        <w:bidi w:val="0"/>
        <w:spacing w:before="180" w:after="283"/>
        <w:jc w:val="both"/>
        <w:rPr>
          <w:rFonts w:ascii="Times New Roman" w:hAnsi="Times New Roman"/>
          <w:sz w:val="20"/>
        </w:rPr>
      </w:pPr>
      <w:r>
        <w:rPr>
          <w:rFonts w:ascii="Arial" w:hAnsi="Arial"/>
          <w:color w:val="000000"/>
          <w:sz w:val="20"/>
        </w:rPr>
        <w:t>As of December 31, 2025, we accrued aggregate legal liabilities of $575</w:t>
      </w:r>
      <w:r>
        <w:rPr>
          <w:rFonts w:ascii="Times New Roman" w:hAnsi="Times New Roman"/>
          <w:color w:val="000000"/>
          <w:sz w:val="20"/>
        </w:rPr>
        <w:t xml:space="preserve"> </w:t>
      </w:r>
      <w:r>
        <w:rPr>
          <w:rFonts w:ascii="Arial" w:hAnsi="Arial"/>
          <w:color w:val="000000"/>
          <w:sz w:val="20"/>
        </w:rPr>
        <w:t>million. While we intend to defend these matters vigorously, adverse outcomes that we estimate could reach approximately $400</w:t>
      </w:r>
      <w:r>
        <w:rPr>
          <w:rFonts w:ascii="Times New Roman" w:hAnsi="Times New Roman"/>
          <w:color w:val="000000"/>
          <w:sz w:val="20"/>
        </w:rPr>
        <w:t xml:space="preserve"> </w:t>
      </w:r>
      <w:r>
        <w:rPr>
          <w:rFonts w:ascii="Arial" w:hAnsi="Arial"/>
          <w:color w:val="000000"/>
          <w:sz w:val="20"/>
        </w:rPr>
        <w:t>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14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STOCKHOLDERS’ EQUITY</w:t>
      </w:r>
    </w:p>
    <w:p>
      <w:pPr>
        <w:pStyle w:val="TextBody"/>
        <w:bidi w:val="0"/>
        <w:spacing w:before="180" w:after="283"/>
        <w:jc w:val="both"/>
        <w:rPr>
          <w:rFonts w:ascii="Arial" w:hAnsi="Arial"/>
          <w:b/>
          <w:color w:val="000000"/>
          <w:sz w:val="20"/>
        </w:rPr>
      </w:pPr>
      <w:r>
        <w:rPr>
          <w:rFonts w:ascii="Arial" w:hAnsi="Arial"/>
          <w:b/>
          <w:color w:val="000000"/>
          <w:sz w:val="20"/>
        </w:rPr>
        <w:t>Share Repurchases</w:t>
      </w:r>
    </w:p>
    <w:p>
      <w:pPr>
        <w:pStyle w:val="TextBody"/>
        <w:bidi w:val="0"/>
        <w:spacing w:before="180" w:after="283"/>
        <w:jc w:val="both"/>
        <w:rPr>
          <w:rFonts w:ascii="Times New Roman" w:hAnsi="Times New Roman"/>
          <w:sz w:val="20"/>
        </w:rPr>
      </w:pPr>
      <w:r>
        <w:rPr>
          <w:rFonts w:ascii="Arial" w:hAnsi="Arial"/>
          <w:color w:val="000000"/>
          <w:sz w:val="20"/>
        </w:rPr>
        <w:t>On September 14, 2021,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November 2021 and was completed in April 2025.</w:t>
      </w:r>
    </w:p>
    <w:p>
      <w:pPr>
        <w:pStyle w:val="TextBody"/>
        <w:bidi w:val="0"/>
        <w:spacing w:before="180" w:after="283"/>
        <w:jc w:val="both"/>
        <w:rPr>
          <w:rFonts w:ascii="Times New Roman" w:hAnsi="Times New Roman"/>
          <w:sz w:val="20"/>
        </w:rPr>
      </w:pPr>
      <w:r>
        <w:rPr>
          <w:rFonts w:ascii="Arial" w:hAnsi="Arial"/>
          <w:color w:val="000000"/>
          <w:sz w:val="20"/>
        </w:rPr>
        <w:t>On September 16, 2024,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April 2025, following completion of the program approved on September 14, 2021, has no expiration date, and may be terminated at any time. As of December 31, 2025, $47.4</w:t>
      </w:r>
      <w:r>
        <w:rPr>
          <w:rFonts w:ascii="Times New Roman" w:hAnsi="Times New Roman"/>
          <w:color w:val="000000"/>
          <w:sz w:val="20"/>
        </w:rPr>
        <w:t xml:space="preserve"> </w:t>
      </w:r>
      <w:r>
        <w:rPr>
          <w:rFonts w:ascii="Arial" w:hAnsi="Arial"/>
          <w:color w:val="000000"/>
          <w:sz w:val="20"/>
        </w:rPr>
        <w:t>billion remained of this $60.0</w:t>
      </w:r>
      <w:r>
        <w:rPr>
          <w:rFonts w:ascii="Times New Roman" w:hAnsi="Times New Roman"/>
          <w:color w:val="000000"/>
          <w:sz w:val="20"/>
        </w:rPr>
        <w:t xml:space="preserve"> </w:t>
      </w:r>
      <w:r>
        <w:rPr>
          <w:rFonts w:ascii="Arial" w:hAnsi="Arial"/>
          <w:color w:val="000000"/>
          <w:sz w:val="20"/>
        </w:rPr>
        <w:t>billion share repurchase program.</w:t>
      </w:r>
    </w:p>
    <w:p>
      <w:pPr>
        <w:pStyle w:val="TextBody"/>
        <w:bidi w:val="0"/>
        <w:spacing w:before="180" w:after="283"/>
        <w:jc w:val="both"/>
        <w:rPr>
          <w:rFonts w:ascii="Arial" w:hAnsi="Arial"/>
          <w:color w:val="000000"/>
          <w:sz w:val="20"/>
        </w:rPr>
      </w:pPr>
      <w:r>
        <w:rPr>
          <w:rFonts w:ascii="Arial" w:hAnsi="Arial"/>
          <w:color w:val="000000"/>
          <w:sz w:val="20"/>
        </w:rPr>
        <w:t>We repurchased the following shares of common stock under the share repurchase programs:</w:t>
      </w:r>
    </w:p>
    <w:p>
      <w:pPr>
        <w:pStyle w:val="TextBody"/>
        <w:bidi w:val="0"/>
        <w:jc w:val="both"/>
        <w:rPr/>
      </w:pPr>
      <w:r>
        <w:rPr/>
        <w:t> </w:t>
      </w:r>
    </w:p>
    <w:tbl>
      <w:tblPr>
        <w:tblW w:w="6290" w:type="dxa"/>
        <w:jc w:val="left"/>
        <w:tblInd w:w="0" w:type="dxa"/>
        <w:tblLayout w:type="fixed"/>
        <w:tblCellMar>
          <w:top w:w="28" w:type="dxa"/>
          <w:left w:w="28" w:type="dxa"/>
          <w:bottom w:w="28" w:type="dxa"/>
          <w:right w:w="28" w:type="dxa"/>
        </w:tblCellMar>
      </w:tblPr>
      <w:tblGrid>
        <w:gridCol w:w="1731"/>
        <w:gridCol w:w="146"/>
        <w:gridCol w:w="199"/>
        <w:gridCol w:w="432"/>
        <w:gridCol w:w="146"/>
        <w:gridCol w:w="146"/>
        <w:gridCol w:w="211"/>
        <w:gridCol w:w="586"/>
        <w:gridCol w:w="146"/>
        <w:gridCol w:w="146"/>
        <w:gridCol w:w="199"/>
        <w:gridCol w:w="432"/>
        <w:gridCol w:w="146"/>
        <w:gridCol w:w="146"/>
        <w:gridCol w:w="211"/>
        <w:gridCol w:w="586"/>
        <w:gridCol w:w="681"/>
      </w:tblGrid>
      <w:tr>
        <w:trPr/>
        <w:tc>
          <w:tcPr>
            <w:tcW w:w="1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Fiscal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First Quarter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Second Quarter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All repurchases were made using cash resources. Shares repurchased during fiscal year 2026 were under the share repurchase program approved on September 16, 2024. Shares repurchased during fiscal year 2025 were under the share repurchase program approved on September 14, 2021. The above table excludes shares repurchased to settle employee tax withholding related to the vesting of stock awards of $1.5</w:t>
      </w:r>
      <w:r>
        <w:rPr>
          <w:rFonts w:ascii="Times New Roman" w:hAnsi="Times New Roman"/>
          <w:color w:val="000000"/>
          <w:sz w:val="20"/>
        </w:rPr>
        <w:t xml:space="preserve"> </w:t>
      </w:r>
      <w:r>
        <w:rPr>
          <w:rFonts w:ascii="Arial" w:hAnsi="Arial"/>
          <w:color w:val="000000"/>
          <w:sz w:val="20"/>
        </w:rPr>
        <w:t>billion and $3.1</w:t>
      </w:r>
      <w:r>
        <w:rPr>
          <w:rFonts w:ascii="Times New Roman" w:hAnsi="Times New Roman"/>
          <w:color w:val="000000"/>
          <w:sz w:val="20"/>
        </w:rPr>
        <w:t xml:space="preserve"> </w:t>
      </w:r>
      <w:r>
        <w:rPr>
          <w:rFonts w:ascii="Arial" w:hAnsi="Arial"/>
          <w:color w:val="000000"/>
          <w:sz w:val="20"/>
        </w:rPr>
        <w:t>billion for the three and six months ended December 31, 2025, respectively, and $1.5</w:t>
      </w:r>
      <w:r>
        <w:rPr>
          <w:rFonts w:ascii="Times New Roman" w:hAnsi="Times New Roman"/>
          <w:color w:val="000000"/>
          <w:sz w:val="20"/>
        </w:rPr>
        <w:t xml:space="preserve"> </w:t>
      </w:r>
      <w:r>
        <w:rPr>
          <w:rFonts w:ascii="Arial" w:hAnsi="Arial"/>
          <w:color w:val="000000"/>
          <w:sz w:val="20"/>
        </w:rPr>
        <w:t>billion and $2.8</w:t>
      </w:r>
      <w:r>
        <w:rPr>
          <w:rFonts w:ascii="Times New Roman" w:hAnsi="Times New Roman"/>
          <w:color w:val="000000"/>
          <w:sz w:val="20"/>
        </w:rPr>
        <w:t xml:space="preserve"> </w:t>
      </w:r>
      <w:r>
        <w:rPr>
          <w:rFonts w:ascii="Arial" w:hAnsi="Arial"/>
          <w:color w:val="000000"/>
          <w:sz w:val="20"/>
        </w:rPr>
        <w:t>billion for the three and six months ended December 31, 2024, respectively.</w:t>
      </w:r>
    </w:p>
    <w:p>
      <w:pPr>
        <w:pStyle w:val="TextBody"/>
        <w:bidi w:val="0"/>
        <w:spacing w:before="270" w:after="283"/>
        <w:jc w:val="both"/>
        <w:rPr>
          <w:rFonts w:ascii="Arial" w:hAnsi="Arial"/>
          <w:b/>
          <w:color w:val="000000"/>
          <w:sz w:val="20"/>
        </w:rPr>
      </w:pPr>
      <w:r>
        <w:rPr>
          <w:rFonts w:ascii="Arial" w:hAnsi="Arial"/>
          <w:b/>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4"/>
        <w:gridCol w:w="146"/>
        <w:gridCol w:w="391"/>
        <w:gridCol w:w="1669"/>
        <w:gridCol w:w="146"/>
        <w:gridCol w:w="146"/>
        <w:gridCol w:w="391"/>
        <w:gridCol w:w="1654"/>
        <w:gridCol w:w="146"/>
        <w:gridCol w:w="146"/>
        <w:gridCol w:w="456"/>
        <w:gridCol w:w="792"/>
        <w:gridCol w:w="146"/>
        <w:gridCol w:w="146"/>
        <w:gridCol w:w="456"/>
        <w:gridCol w:w="947"/>
        <w:gridCol w:w="683"/>
      </w:tblGrid>
      <w:tr>
        <w:trPr/>
        <w:tc>
          <w:tcPr>
            <w:tcW w:w="17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6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6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947"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Fiscal Year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September 15,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November 20,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December 11,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0.91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6,762</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December 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February 19,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March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0.91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6,760</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b/>
                <w:color w:val="000000"/>
                <w:sz w:val="20"/>
              </w:rPr>
            </w:pPr>
            <w:r>
              <w:rPr>
                <w:rFonts w:ascii="Arial" w:hAnsi="Arial"/>
                <w:b/>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13,522</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2"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47"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3"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Fiscal Year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September 16,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November 21,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December 12,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0.83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6,170</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3,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20,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0.83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6,169</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65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4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1.66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12,339</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792"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947"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6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dividend declared on December 2, 2025 was included in other current liabilities as of December 31, 2025.</w:t>
      </w:r>
    </w:p>
    <w:p>
      <w:pPr>
        <w:pStyle w:val="TextBody"/>
        <w:bidi w:val="0"/>
        <w:spacing w:before="240" w:after="283"/>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15 — ACCUMULATED OTHER COMPREHENSIVE INCOME (LOSS)</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changes in accumulated other comprehensive income (loss) by component: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14"/>
        <w:gridCol w:w="146"/>
        <w:gridCol w:w="211"/>
        <w:gridCol w:w="646"/>
        <w:gridCol w:w="166"/>
        <w:gridCol w:w="146"/>
        <w:gridCol w:w="211"/>
        <w:gridCol w:w="646"/>
        <w:gridCol w:w="166"/>
        <w:gridCol w:w="146"/>
        <w:gridCol w:w="211"/>
        <w:gridCol w:w="646"/>
        <w:gridCol w:w="166"/>
        <w:gridCol w:w="146"/>
        <w:gridCol w:w="211"/>
        <w:gridCol w:w="646"/>
        <w:gridCol w:w="681"/>
      </w:tblGrid>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Unrealized losses, net of tax of </w:t>
            </w:r>
            <w:r>
              <w:rPr>
                <w:rFonts w:ascii="Arial" w:hAnsi="Arial"/>
                <w:b/>
                <w:color w:val="000000"/>
                <w:sz w:val="20"/>
              </w:rPr>
              <w:t>$(2),</w:t>
            </w:r>
            <w:r>
              <w:rPr>
                <w:rFonts w:ascii="Times New Roman" w:hAnsi="Times New Roman"/>
                <w:color w:val="000000"/>
                <w:sz w:val="20"/>
              </w:rPr>
              <w:t xml:space="preserve"> </w:t>
            </w:r>
            <w:r>
              <w:rPr>
                <w:rFonts w:ascii="Arial" w:hAnsi="Arial"/>
                <w:color w:val="000000"/>
                <w:sz w:val="20"/>
              </w:rPr>
              <w:t>$(13</w:t>
            </w:r>
            <w:r>
              <w:rPr>
                <w:rFonts w:ascii="Arial" w:hAnsi="Arial"/>
                <w:b/>
                <w:color w:val="000000"/>
                <w:sz w:val="20"/>
              </w:rPr>
              <w:t>)</w:t>
            </w:r>
            <w:r>
              <w:rPr>
                <w:rFonts w:ascii="Arial" w:hAnsi="Arial"/>
                <w:color w:val="000000"/>
                <w:sz w:val="20"/>
              </w:rPr>
              <w:t xml:space="preserve">, </w:t>
            </w:r>
            <w:r>
              <w:rPr>
                <w:rFonts w:ascii="Arial" w:hAnsi="Arial"/>
                <w:b/>
                <w:color w:val="000000"/>
                <w:sz w:val="20"/>
              </w:rPr>
              <w:t xml:space="preserve">$(4), </w:t>
            </w:r>
            <w:r>
              <w:rPr>
                <w:rFonts w:ascii="Arial" w:hAnsi="Arial"/>
                <w:color w:val="000000"/>
                <w:sz w:val="20"/>
              </w:rPr>
              <w:t>and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losses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benefit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derivatives, net of tax of </w:t>
            </w:r>
            <w:r>
              <w:rPr>
                <w:rFonts w:ascii="Arial" w:hAnsi="Arial"/>
                <w:b/>
                <w:color w:val="000000"/>
                <w:sz w:val="20"/>
              </w:rPr>
              <w:t xml:space="preserve">$(1), </w:t>
            </w:r>
            <w:r>
              <w:rPr>
                <w:rFonts w:ascii="Arial" w:hAnsi="Arial"/>
                <w:color w:val="000000"/>
                <w:sz w:val="20"/>
              </w:rPr>
              <w:t xml:space="preserve">$9, </w:t>
            </w:r>
            <w:r>
              <w:rPr>
                <w:rFonts w:ascii="Arial" w:hAnsi="Arial"/>
                <w:b/>
                <w:color w:val="000000"/>
                <w:sz w:val="20"/>
              </w:rPr>
              <w:t>$(2)</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and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Unrealized gains (losses), net of tax of</w:t>
            </w:r>
            <w:r>
              <w:rPr>
                <w:rFonts w:ascii="Times New Roman" w:hAnsi="Times New Roman"/>
                <w:color w:val="000000"/>
                <w:sz w:val="20"/>
              </w:rPr>
              <w:t xml:space="preserve"> </w:t>
            </w:r>
            <w:r>
              <w:rPr>
                <w:rFonts w:ascii="Arial" w:hAnsi="Arial"/>
                <w:b/>
                <w:color w:val="000000"/>
                <w:sz w:val="20"/>
              </w:rPr>
              <w:t>$(45),</w:t>
            </w:r>
            <w:r>
              <w:rPr>
                <w:rFonts w:ascii="Times New Roman" w:hAnsi="Times New Roman"/>
                <w:color w:val="000000"/>
                <w:sz w:val="20"/>
              </w:rPr>
              <w:t xml:space="preserve"> </w:t>
            </w:r>
            <w:r>
              <w:rPr>
                <w:rFonts w:ascii="Arial" w:hAnsi="Arial"/>
                <w:color w:val="000000"/>
                <w:sz w:val="20"/>
              </w:rPr>
              <w:t>$(121),</w:t>
            </w:r>
            <w:r>
              <w:rPr>
                <w:rFonts w:ascii="Times New Roman" w:hAnsi="Times New Roman"/>
                <w:color w:val="000000"/>
                <w:sz w:val="20"/>
              </w:rPr>
              <w:t xml:space="preserve"> </w:t>
            </w:r>
            <w:r>
              <w:rPr>
                <w:rFonts w:ascii="Arial" w:hAnsi="Arial"/>
                <w:b/>
                <w:color w:val="000000"/>
                <w:sz w:val="20"/>
              </w:rPr>
              <w:t>$140</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and $176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losses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benefit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investments, net of tax of </w:t>
            </w:r>
            <w:r>
              <w:rPr>
                <w:rFonts w:ascii="Arial" w:hAnsi="Arial"/>
                <w:b/>
                <w:color w:val="000000"/>
                <w:sz w:val="20"/>
              </w:rPr>
              <w:t>$(43),</w:t>
            </w:r>
            <w:r>
              <w:rPr>
                <w:rFonts w:ascii="Times New Roman" w:hAnsi="Times New Roman"/>
                <w:color w:val="000000"/>
                <w:sz w:val="20"/>
              </w:rPr>
              <w:t> </w:t>
            </w:r>
            <w:r>
              <w:rPr>
                <w:rFonts w:ascii="Arial" w:hAnsi="Arial"/>
                <w:color w:val="000000"/>
                <w:sz w:val="20"/>
              </w:rPr>
              <w:t>$(116),</w:t>
            </w:r>
            <w:r>
              <w:rPr>
                <w:rFonts w:ascii="Times New Roman" w:hAnsi="Times New Roman"/>
                <w:color w:val="000000"/>
                <w:sz w:val="20"/>
              </w:rPr>
              <w:t> </w:t>
            </w:r>
            <w:r>
              <w:rPr>
                <w:rFonts w:ascii="Arial" w:hAnsi="Arial"/>
                <w:b/>
                <w:color w:val="000000"/>
                <w:sz w:val="20"/>
              </w:rPr>
              <w:t>$140</w:t>
            </w:r>
            <w:r>
              <w:rPr>
                <w:rFonts w:ascii="Arial" w:hAnsi="Arial"/>
                <w:color w:val="000000"/>
                <w:sz w:val="20"/>
              </w:rPr>
              <w:t>,</w:t>
            </w:r>
            <w:r>
              <w:rPr>
                <w:rFonts w:ascii="Times New Roman" w:hAnsi="Times New Roman"/>
                <w:color w:val="000000"/>
                <w:sz w:val="20"/>
              </w:rPr>
              <w:t> </w:t>
            </w:r>
            <w:r>
              <w:rPr>
                <w:rFonts w:ascii="Arial" w:hAnsi="Arial"/>
                <w:color w:val="000000"/>
                <w:sz w:val="20"/>
              </w:rPr>
              <w:t>and $180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Translation Adjustments and 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Translation adjustments and other, net of tax of </w:t>
            </w:r>
            <w:r>
              <w:rPr>
                <w:rFonts w:ascii="Arial" w:hAnsi="Arial"/>
                <w:b/>
                <w:color w:val="000000"/>
                <w:sz w:val="20"/>
              </w:rPr>
              <w:t>$0</w:t>
            </w:r>
            <w:r>
              <w:rPr>
                <w:rFonts w:ascii="Arial" w:hAnsi="Arial"/>
                <w:color w:val="000000"/>
                <w:sz w:val="20"/>
              </w:rPr>
              <w:t>, $0,</w:t>
            </w:r>
            <w:r>
              <w:rPr>
                <w:rFonts w:ascii="Times New Roman" w:hAnsi="Times New Roman"/>
                <w:color w:val="000000"/>
                <w:sz w:val="20"/>
              </w:rPr>
              <w:t> </w:t>
            </w:r>
            <w:r>
              <w:rPr>
                <w:rFonts w:ascii="Arial" w:hAnsi="Arial"/>
                <w:b/>
                <w:color w:val="000000"/>
                <w:sz w:val="20"/>
              </w:rPr>
              <w:t>$0</w:t>
            </w:r>
            <w:r>
              <w:rPr>
                <w:rFonts w:ascii="Arial" w:hAnsi="Arial"/>
                <w:color w:val="000000"/>
                <w:sz w:val="20"/>
              </w:rPr>
              <w:t>,</w:t>
            </w:r>
            <w:r>
              <w:rPr>
                <w:rFonts w:ascii="Times New Roman" w:hAnsi="Times New Roman"/>
                <w:color w:val="000000"/>
                <w:sz w:val="20"/>
              </w:rPr>
              <w:t> </w:t>
            </w:r>
            <w:r>
              <w:rPr>
                <w:rFonts w:ascii="Arial" w:hAnsi="Arial"/>
                <w:color w:val="000000"/>
                <w:sz w:val="20"/>
              </w:rPr>
              <w:t>and $0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other comprehensive loss,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(5,616</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16 — SEGMENT INFORMATION AND GEOGRAPHIC DATA</w:t>
      </w:r>
    </w:p>
    <w:p>
      <w:pPr>
        <w:pStyle w:val="TextBody"/>
        <w:bidi w:val="0"/>
        <w:spacing w:before="180" w:after="283"/>
        <w:jc w:val="both"/>
        <w:rPr>
          <w:rFonts w:ascii="Times New Roman" w:hAnsi="Times New Roman"/>
          <w:sz w:val="20"/>
        </w:rPr>
      </w:pPr>
      <w:r>
        <w:rPr>
          <w:rFonts w:ascii="Arial" w:hAnsi="Arial"/>
          <w:color w:val="000000"/>
          <w:sz w:val="20"/>
        </w:rPr>
        <w:t>In its operation of the business, management, including our chief operating decision maker (“CODM”), who is also our Chief Executive Officer, reviews certain financial information, including segmented internal profit and loss statements. The primary profitability measure used by the CODM to review segment operating results is operating income. The CODM uses operating income to allocate resources during our annual planning process and throughout the year, as well as to assess the performance of our segments, primarily by monitoring actual results compared to prior periods and expected results.</w:t>
      </w:r>
      <w:r>
        <w:rPr>
          <w:rFonts w:ascii="Times New Roman" w:hAnsi="Times New Roman"/>
          <w:color w:val="000000"/>
          <w:sz w:val="20"/>
        </w:rPr>
        <w:t xml:space="preserve"> </w:t>
      </w:r>
      <w:r>
        <w:rPr>
          <w:rFonts w:ascii="Arial" w:hAnsi="Arial"/>
          <w:color w:val="000000"/>
          <w:sz w:val="20"/>
        </w:rPr>
        <w:t>During the periods presented, we reported our financial performance based on the following segments: Productivity and Business Processes, Intelligent Cloud, and More Personal Computing.</w:t>
      </w:r>
    </w:p>
    <w:p>
      <w:pPr>
        <w:pStyle w:val="TextBody"/>
        <w:bidi w:val="0"/>
        <w:spacing w:before="240" w:after="283"/>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reportable segments are described below.</w:t>
      </w:r>
    </w:p>
    <w:p>
      <w:pPr>
        <w:pStyle w:val="TextBody"/>
        <w:bidi w:val="0"/>
        <w:spacing w:before="270" w:after="283"/>
        <w:jc w:val="both"/>
        <w:rPr>
          <w:rFonts w:ascii="Arial" w:hAnsi="Arial"/>
          <w:b/>
          <w:color w:val="000000"/>
          <w:sz w:val="20"/>
        </w:rPr>
      </w:pPr>
      <w:r>
        <w:rPr>
          <w:rFonts w:ascii="Arial" w:hAnsi="Arial"/>
          <w:b/>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and Microsoft 365 Copilot; and Microsoft 365 Commercial products, comprising Windows Commercial on-premises and Office licensed on-premises.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including Microsoft 365 Consumer subscriptions, Office licensed on-premises, and other consumer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including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including Dynamics 365, comprising a set of intelligent, cloud-based applications across ERP, CRM, Power Apps, and Power Automate; and on-premises ERP and CRM applications.</w:t>
      </w:r>
    </w:p>
    <w:p>
      <w:pPr>
        <w:pStyle w:val="TextBody"/>
        <w:bidi w:val="0"/>
        <w:spacing w:before="270" w:after="283"/>
        <w:jc w:val="both"/>
        <w:rPr>
          <w:rFonts w:ascii="Arial" w:hAnsi="Arial"/>
          <w:b/>
          <w:color w:val="000000"/>
          <w:sz w:val="20"/>
        </w:rPr>
      </w:pPr>
      <w:r>
        <w:rPr>
          <w:rFonts w:ascii="Arial" w:hAnsi="Arial"/>
          <w:b/>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Our Intelligent Cloud segment consists of our public, private, and hybrid server products and cloud services that power modern business and developers.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and other on-premises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including Enterprise Support Services, Industry Solutions, Nuance professional services, Microsoft Partner Network, and Learning Experience.</w:t>
      </w:r>
    </w:p>
    <w:p>
      <w:pPr>
        <w:pStyle w:val="TextBody"/>
        <w:bidi w:val="0"/>
        <w:spacing w:before="270" w:after="283"/>
        <w:jc w:val="both"/>
        <w:rPr>
          <w:rFonts w:ascii="Arial" w:hAnsi="Arial"/>
          <w:b/>
          <w:color w:val="000000"/>
          <w:sz w:val="20"/>
        </w:rPr>
      </w:pPr>
      <w:r>
        <w:rPr>
          <w:rFonts w:ascii="Arial" w:hAnsi="Arial"/>
          <w:b/>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Our More Personal Computing segment consists of products and services that put customers at the center of the experience with our technology.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and Devices, including Windows OEM licensing (Windows Pro and non-Pro licenses sold through the OEM channel) and Devices, comprising Surface and PC accessories.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Gaming, including Xbox hardware and Xbox content and services, comprising first- and third-party content (including games and in-game content), Xbox Game Pass and other subscriptions, Xbox Cloud Gaming, advertising, and other cloud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comprising Bing and Copilot, Microsoft News, Microsoft Edge, and third-party affiliates.</w:t>
      </w:r>
    </w:p>
    <w:p>
      <w:pPr>
        <w:pStyle w:val="TextBody"/>
        <w:bidi w:val="0"/>
        <w:spacing w:before="180" w:after="283"/>
        <w:jc w:val="both"/>
        <w:rPr>
          <w:rFonts w:ascii="Arial" w:hAnsi="Arial"/>
          <w:color w:val="000000"/>
          <w:sz w:val="20"/>
        </w:rPr>
      </w:pPr>
      <w:r>
        <w:rPr>
          <w:rFonts w:ascii="Arial" w:hAnsi="Arial"/>
          <w:color w:val="000000"/>
          <w:sz w:val="20"/>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pStyle w:val="TextBody"/>
        <w:bidi w:val="0"/>
        <w:spacing w:before="240" w:after="283"/>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pStyle w:val="TextBody"/>
        <w:bidi w:val="0"/>
        <w:spacing w:before="180" w:after="283"/>
        <w:jc w:val="both"/>
        <w:rPr>
          <w:rFonts w:ascii="Arial" w:hAnsi="Arial"/>
          <w:color w:val="000000"/>
          <w:sz w:val="20"/>
        </w:rPr>
      </w:pPr>
      <w:r>
        <w:rPr>
          <w:rFonts w:ascii="Arial" w:hAnsi="Arial"/>
          <w:color w:val="000000"/>
          <w:sz w:val="20"/>
        </w:rPr>
        <w:t>Segment revenue, cost of revenue, operating expenses, and operating income were as follows during the periods presented:</w:t>
      </w:r>
    </w:p>
    <w:p>
      <w:pPr>
        <w:pStyle w:val="TextBody"/>
        <w:bidi w:val="0"/>
        <w:jc w:val="left"/>
        <w:rPr/>
      </w:pPr>
      <w:r>
        <w:rPr/>
        <w:t> </w:t>
      </w:r>
    </w:p>
    <w:tbl>
      <w:tblPr>
        <w:tblW w:w="10437" w:type="dxa"/>
        <w:jc w:val="left"/>
        <w:tblInd w:w="0" w:type="dxa"/>
        <w:tblLayout w:type="fixed"/>
        <w:tblCellMar>
          <w:top w:w="28" w:type="dxa"/>
          <w:left w:w="28" w:type="dxa"/>
          <w:bottom w:w="28" w:type="dxa"/>
          <w:right w:w="28" w:type="dxa"/>
        </w:tblCellMar>
      </w:tblPr>
      <w:tblGrid>
        <w:gridCol w:w="1451"/>
        <w:gridCol w:w="391"/>
        <w:gridCol w:w="456"/>
        <w:gridCol w:w="936"/>
        <w:gridCol w:w="391"/>
        <w:gridCol w:w="391"/>
        <w:gridCol w:w="456"/>
        <w:gridCol w:w="936"/>
        <w:gridCol w:w="391"/>
        <w:gridCol w:w="391"/>
        <w:gridCol w:w="456"/>
        <w:gridCol w:w="936"/>
        <w:gridCol w:w="391"/>
        <w:gridCol w:w="391"/>
        <w:gridCol w:w="456"/>
        <w:gridCol w:w="936"/>
        <w:gridCol w:w="681"/>
      </w:tblGrid>
      <w:tr>
        <w:trPr/>
        <w:tc>
          <w:tcPr>
            <w:tcW w:w="14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4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10"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Productivity and Business Processes</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34,116</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29,437</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67,136</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6,110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11,831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7,407</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6,983</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14,299</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13,490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20,599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16,885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41,006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33,401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b/>
                <w:color w:val="000000"/>
                <w:sz w:val="15"/>
              </w:rPr>
              <w:t>Intelligent Cloud</w:t>
            </w:r>
            <w:r>
              <w:rPr>
                <w:rFonts w:ascii="Times New Roman" w:hAnsi="Times New Roman"/>
                <w:color w:val="000000"/>
                <w:sz w:val="15"/>
              </w:rPr>
              <w:t xml:space="preserve">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32,907</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25,544</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63,804</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13,566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25,880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5,468</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5,288</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10,660</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Operating income</w:t>
            </w:r>
            <w:r>
              <w:rPr>
                <w:rFonts w:ascii="Times New Roman" w:hAnsi="Times New Roman"/>
                <w:color w:val="000000"/>
                <w:sz w:val="20"/>
              </w:rPr>
              <w:t xml:space="preserve">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13,873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27,264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More Personal Computing</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14,250</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14,651</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28,006</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27,827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6,302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12,310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4,145</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7,730</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3,803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7,966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Total</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81,273</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69,632</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158,946</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135,217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25,978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21,799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50,021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41,898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17,020</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16,180</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32,689</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31,114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38,275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31,653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76,236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62,205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No sales to an individual customer or country other than the United States accounted for more than 10% of revenue for the three or six months ended December 31, 2025 or 2024. Revenue, classified by the major geographic areas in which our customers were located, was as follows:</w:t>
      </w:r>
    </w:p>
    <w:p>
      <w:pPr>
        <w:pStyle w:val="TextBody"/>
        <w:bidi w:val="0"/>
        <w:jc w:val="both"/>
        <w:rPr/>
      </w:pPr>
      <w:r>
        <w:rPr/>
        <w:t> </w:t>
      </w:r>
    </w:p>
    <w:tbl>
      <w:tblPr>
        <w:tblW w:w="7260" w:type="dxa"/>
        <w:jc w:val="left"/>
        <w:tblInd w:w="0" w:type="dxa"/>
        <w:tblLayout w:type="fixed"/>
        <w:tblCellMar>
          <w:top w:w="28" w:type="dxa"/>
          <w:left w:w="28" w:type="dxa"/>
          <w:bottom w:w="28" w:type="dxa"/>
          <w:right w:w="28" w:type="dxa"/>
        </w:tblCellMar>
      </w:tblPr>
      <w:tblGrid>
        <w:gridCol w:w="1776"/>
        <w:gridCol w:w="109"/>
        <w:gridCol w:w="211"/>
        <w:gridCol w:w="691"/>
        <w:gridCol w:w="146"/>
        <w:gridCol w:w="146"/>
        <w:gridCol w:w="211"/>
        <w:gridCol w:w="691"/>
        <w:gridCol w:w="146"/>
        <w:gridCol w:w="146"/>
        <w:gridCol w:w="211"/>
        <w:gridCol w:w="796"/>
        <w:gridCol w:w="146"/>
        <w:gridCol w:w="146"/>
        <w:gridCol w:w="211"/>
        <w:gridCol w:w="796"/>
        <w:gridCol w:w="681"/>
      </w:tblGrid>
      <w:tr>
        <w:trPr/>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5"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United States </w:t>
            </w:r>
            <w:r>
              <w:rPr>
                <w:rFonts w:ascii="Arial" w:hAnsi="Arial"/>
                <w:color w:val="000000"/>
                <w:sz w:val="13"/>
              </w:rPr>
              <w:t>(a)</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69,450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 countries</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39,863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77,459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65,767</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9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81,273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135,217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Includes billings to OEMs and certain multinational organizations because of the nature of these businesses and the impracticability of determining the geographic source of the revenue.</w:t>
      </w:r>
    </w:p>
    <w:p>
      <w:pPr>
        <w:pStyle w:val="TextBody"/>
        <w:bidi w:val="0"/>
        <w:spacing w:before="240" w:after="283"/>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Revenue, classified by significant product and service offerings,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4"/>
        <w:gridCol w:w="146"/>
        <w:gridCol w:w="211"/>
        <w:gridCol w:w="691"/>
        <w:gridCol w:w="146"/>
        <w:gridCol w:w="146"/>
        <w:gridCol w:w="211"/>
        <w:gridCol w:w="691"/>
        <w:gridCol w:w="146"/>
        <w:gridCol w:w="146"/>
        <w:gridCol w:w="211"/>
        <w:gridCol w:w="796"/>
        <w:gridCol w:w="146"/>
        <w:gridCol w:w="146"/>
        <w:gridCol w:w="211"/>
        <w:gridCol w:w="796"/>
        <w:gridCol w:w="681"/>
      </w:tblGrid>
      <w:tr>
        <w:trPr/>
        <w:tc>
          <w:tcPr>
            <w:tcW w:w="46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2"/>
            <w:tcBorders/>
            <w:tcMar>
              <w:top w:w="0" w:type="dxa"/>
              <w:left w:w="0" w:type="dxa"/>
              <w:bottom w:w="0" w:type="dxa"/>
              <w:right w:w="0" w:type="dxa"/>
            </w:tcMar>
            <w:vAlign w:val="center"/>
          </w:tcPr>
          <w:p>
            <w:pPr>
              <w:pStyle w:val="TableContents"/>
              <w:bidi w:val="0"/>
              <w:spacing w:before="0" w:after="283"/>
              <w:jc w:val="righ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Server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59,737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45,796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Commercial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24,524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48,490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41,566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Gaming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LinkedIn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Windows and Devices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4,479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8,841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Search and news advertising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Consumer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Dynamics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Enterprise and partner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6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81,273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135,217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Our Microsoft Cloud revenue, which includes Microsoft 365 Commercial cloud, Azure and other cloud services, the commercial portion of LinkedIn, and Dynamics 365, was $51.5</w:t>
      </w:r>
      <w:r>
        <w:rPr>
          <w:rFonts w:ascii="Times New Roman" w:hAnsi="Times New Roman"/>
          <w:color w:val="000000"/>
          <w:sz w:val="20"/>
        </w:rPr>
        <w:t xml:space="preserve"> </w:t>
      </w:r>
      <w:r>
        <w:rPr>
          <w:rFonts w:ascii="Arial" w:hAnsi="Arial"/>
          <w:color w:val="000000"/>
          <w:sz w:val="20"/>
        </w:rPr>
        <w:t>billion and $100.6</w:t>
      </w:r>
      <w:r>
        <w:rPr>
          <w:rFonts w:ascii="Times New Roman" w:hAnsi="Times New Roman"/>
          <w:color w:val="000000"/>
          <w:sz w:val="20"/>
        </w:rPr>
        <w:t xml:space="preserve"> </w:t>
      </w:r>
      <w:r>
        <w:rPr>
          <w:rFonts w:ascii="Arial" w:hAnsi="Arial"/>
          <w:color w:val="000000"/>
          <w:sz w:val="20"/>
        </w:rPr>
        <w:t>billion for the three and six months ended December 31, 2025, respectively, and $40.9</w:t>
      </w:r>
      <w:r>
        <w:rPr>
          <w:rFonts w:ascii="Times New Roman" w:hAnsi="Times New Roman"/>
          <w:color w:val="000000"/>
          <w:sz w:val="20"/>
        </w:rPr>
        <w:t xml:space="preserve"> </w:t>
      </w:r>
      <w:r>
        <w:rPr>
          <w:rFonts w:ascii="Arial" w:hAnsi="Arial"/>
          <w:color w:val="000000"/>
          <w:sz w:val="20"/>
        </w:rPr>
        <w:t>billion and $79.8</w:t>
      </w:r>
      <w:r>
        <w:rPr>
          <w:rFonts w:ascii="Times New Roman" w:hAnsi="Times New Roman"/>
          <w:color w:val="000000"/>
          <w:sz w:val="20"/>
        </w:rPr>
        <w:t xml:space="preserve"> </w:t>
      </w:r>
      <w:r>
        <w:rPr>
          <w:rFonts w:ascii="Arial" w:hAnsi="Arial"/>
          <w:color w:val="000000"/>
          <w:sz w:val="20"/>
        </w:rPr>
        <w:t>billion for the three and six months ended December 31, 2024, respectively. These amounts are included in Server products and cloud services, Microsoft 365 Commercial products and cloud services, LinkedIn, and Dynamics products and cloud services in the table above.</w:t>
      </w:r>
    </w:p>
    <w:p>
      <w:pPr>
        <w:pStyle w:val="TextBody"/>
        <w:bidi w:val="0"/>
        <w:spacing w:before="180" w:after="283"/>
        <w:jc w:val="both"/>
        <w:rPr>
          <w:rFonts w:ascii="Arial" w:hAnsi="Arial"/>
          <w:color w:val="000000"/>
          <w:sz w:val="20"/>
        </w:rPr>
      </w:pPr>
      <w:r>
        <w:rPr>
          <w:rFonts w:ascii="Arial" w:hAnsi="Arial"/>
          <w:color w:val="000000"/>
          <w:sz w:val="20"/>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pStyle w:val="TextBody"/>
        <w:bidi w:val="0"/>
        <w:spacing w:before="240" w:after="283"/>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b/>
          <w:color w:val="000000"/>
          <w:sz w:val="20"/>
        </w:rPr>
      </w:pPr>
      <w:bookmarkStart w:id="10" w:name="report_independent_registered_public_acc"/>
      <w:bookmarkEnd w:id="10"/>
      <w:r>
        <w:rPr>
          <w:rFonts w:ascii="Arial" w:hAnsi="Arial"/>
          <w:b/>
          <w:color w:val="000000"/>
          <w:sz w:val="20"/>
        </w:rPr>
        <w:t>REPORT OF INDEPENDENT REGISTERED PUBLIC ACCOUNTING FIRM</w:t>
      </w:r>
    </w:p>
    <w:p>
      <w:pPr>
        <w:pStyle w:val="TextBody"/>
        <w:bidi w:val="0"/>
        <w:spacing w:before="180" w:after="283"/>
        <w:jc w:val="both"/>
        <w:rPr>
          <w:rFonts w:ascii="Arial" w:hAnsi="Arial"/>
          <w:color w:val="000000"/>
          <w:sz w:val="20"/>
        </w:rPr>
      </w:pPr>
      <w:r>
        <w:rPr>
          <w:rFonts w:ascii="Arial" w:hAnsi="Arial"/>
          <w:color w:val="000000"/>
          <w:sz w:val="20"/>
        </w:rPr>
        <w:t>To the Stockholders and the Board of Directors of Microsoft Corporation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Results of Review of Interim Financial Information</w:t>
      </w:r>
    </w:p>
    <w:p>
      <w:pPr>
        <w:pStyle w:val="TextBody"/>
        <w:bidi w:val="0"/>
        <w:spacing w:before="180" w:after="283"/>
        <w:jc w:val="both"/>
        <w:rPr>
          <w:rFonts w:ascii="Arial" w:hAnsi="Arial"/>
          <w:color w:val="000000"/>
          <w:sz w:val="20"/>
        </w:rPr>
      </w:pPr>
      <w:r>
        <w:rPr>
          <w:rFonts w:ascii="Arial" w:hAnsi="Arial"/>
          <w:color w:val="000000"/>
          <w:sz w:val="20"/>
        </w:rPr>
        <w:t>We have reviewed the accompanying consolidated balance sheet of Microsoft Corporation and subsidiaries (the "Company") as of December 31, 2025, the related consolidated statements of income, comprehensive income, cash flows, and stockholders’ equity for the three-month and six-month periods ended December 31, 2025 and 2024,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previously audited, in accordance with the standards of the Public Company Accounting Oversight Board (United States) (PCAOB), the consolidated balance sheet of the Company as of June 30, 2025, and the related consolidated statements of income, comprehensive income, cash flows, and stockholders’ equity for the year then ended (not presented herein); and in our report dated July 30, 2025, we expressed an unqualified opinion on those consolidated financial statements. In our opinion, the information set forth in the accompanying consolidated balance sheet as of June 30, 2025, is fairly stated, in all material respects, in relation to the consolidated balance sheet from which it has been derived.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Basis for Review Results</w:t>
      </w:r>
    </w:p>
    <w:p>
      <w:pPr>
        <w:pStyle w:val="TextBody"/>
        <w:bidi w:val="0"/>
        <w:spacing w:before="180" w:after="283"/>
        <w:jc w:val="both"/>
        <w:rPr>
          <w:rFonts w:ascii="Arial" w:hAnsi="Arial"/>
          <w:color w:val="000000"/>
          <w:sz w:val="20"/>
        </w:rPr>
      </w:pPr>
      <w:r>
        <w:rPr>
          <w:rFonts w:ascii="Arial" w:hAnsi="Arial"/>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spacing w:before="0" w:after="180"/>
        <w:jc w:val="both"/>
        <w:rPr>
          <w:rFonts w:ascii="Arial" w:hAnsi="Arial"/>
          <w:color w:val="000000"/>
          <w:sz w:val="20"/>
        </w:rPr>
      </w:pPr>
      <w:r>
        <w:rPr>
          <w:rFonts w:ascii="Arial" w:hAnsi="Arial"/>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Seattle, Washington</w:t>
      </w:r>
    </w:p>
    <w:p>
      <w:pPr>
        <w:pStyle w:val="TextBody"/>
        <w:bidi w:val="0"/>
        <w:jc w:val="both"/>
        <w:rPr>
          <w:rFonts w:ascii="Arial" w:hAnsi="Arial"/>
          <w:color w:val="000000"/>
          <w:sz w:val="20"/>
        </w:rPr>
      </w:pPr>
      <w:r>
        <w:rPr>
          <w:rFonts w:ascii="Arial" w:hAnsi="Arial"/>
          <w:color w:val="000000"/>
          <w:sz w:val="20"/>
        </w:rPr>
        <w:t>January 28, 2026</w:t>
      </w:r>
    </w:p>
    <w:p>
      <w:pPr>
        <w:pStyle w:val="TextBody"/>
        <w:bidi w:val="0"/>
        <w:spacing w:before="240" w:after="283"/>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Times New Roman" w:hAnsi="Times New Roman"/>
          <w:sz w:val="20"/>
        </w:rPr>
      </w:pPr>
      <w:bookmarkStart w:id="11" w:name="item_2_managements_discussion_analysis_f"/>
      <w:bookmarkEnd w:id="11"/>
      <w:r>
        <w:rPr>
          <w:rFonts w:ascii="Arial" w:hAnsi="Arial"/>
          <w:b/>
          <w:color w:val="000000"/>
          <w:sz w:val="24"/>
        </w:rPr>
        <w:t>ITEM 2. MANAGEMENT’S DISCUSSION AND ANALYSIS OF</w:t>
      </w:r>
      <w:r>
        <w:rPr>
          <w:rFonts w:ascii="Times New Roman" w:hAnsi="Times New Roman"/>
          <w:color w:val="000000"/>
          <w:sz w:val="20"/>
        </w:rPr>
        <w:t xml:space="preserve"> </w:t>
      </w:r>
      <w:r>
        <w:rPr>
          <w:rFonts w:ascii="Arial" w:hAnsi="Arial"/>
          <w:b/>
          <w:color w:val="000000"/>
          <w:sz w:val="24"/>
        </w:rPr>
        <w:t>FINANCIAL CONDITION AND RESULTS OF OPERATIONS</w:t>
      </w:r>
    </w:p>
    <w:p>
      <w:pPr>
        <w:pStyle w:val="TextBody"/>
        <w:bidi w:val="0"/>
        <w:spacing w:before="180" w:after="283"/>
        <w:jc w:val="center"/>
        <w:rPr>
          <w:rFonts w:ascii="Arial" w:hAnsi="Arial"/>
          <w:b/>
          <w:color w:val="000000"/>
          <w:sz w:val="20"/>
        </w:rPr>
      </w:pPr>
      <w:r>
        <w:rPr>
          <w:rFonts w:ascii="Arial" w:hAnsi="Arial"/>
          <w:b/>
          <w:color w:val="000000"/>
          <w:sz w:val="20"/>
        </w:rPr>
        <w:t>Note About Forward-Looking Statements</w:t>
      </w:r>
    </w:p>
    <w:p>
      <w:pPr>
        <w:pStyle w:val="TextBody"/>
        <w:bidi w:val="0"/>
        <w:spacing w:before="180" w:after="283"/>
        <w:jc w:val="both"/>
        <w:rPr>
          <w:rFonts w:ascii="Arial" w:hAnsi="Arial"/>
          <w:color w:val="000000"/>
          <w:sz w:val="20"/>
        </w:rPr>
      </w:pPr>
      <w:r>
        <w:rPr>
          <w:rFonts w:ascii="Arial" w:hAnsi="Arial"/>
          <w:color w:val="000000"/>
          <w:sz w:val="20"/>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pStyle w:val="TextBody"/>
        <w:bidi w:val="0"/>
        <w:spacing w:before="180" w:after="283"/>
        <w:jc w:val="both"/>
        <w:rPr>
          <w:rFonts w:ascii="Arial" w:hAnsi="Arial"/>
          <w:color w:val="000000"/>
          <w:sz w:val="20"/>
        </w:rPr>
      </w:pPr>
      <w:r>
        <w:rPr>
          <w:rFonts w:ascii="Arial" w:hAnsi="Arial"/>
          <w:color w:val="000000"/>
          <w:sz w:val="20"/>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2025, and our consolidated financial statements and the accompanying Notes to Financial Statements (Part I, Item 1 of this Form 10-Q).</w:t>
      </w:r>
    </w:p>
    <w:p>
      <w:pPr>
        <w:pStyle w:val="TextBody"/>
        <w:bidi w:val="0"/>
        <w:spacing w:before="270" w:after="283"/>
        <w:jc w:val="center"/>
        <w:rPr>
          <w:rFonts w:ascii="Arial" w:hAnsi="Arial"/>
          <w:color w:val="000000"/>
          <w:sz w:val="20"/>
          <w:u w:val="single"/>
        </w:rPr>
      </w:pPr>
      <w:r>
        <w:rPr>
          <w:rFonts w:ascii="Arial" w:hAnsi="Arial"/>
          <w:color w:val="000000"/>
          <w:sz w:val="20"/>
          <w:u w:val="single"/>
        </w:rPr>
        <w:t>OVERVIEW</w:t>
      </w:r>
    </w:p>
    <w:p>
      <w:pPr>
        <w:pStyle w:val="TextBody"/>
        <w:bidi w:val="0"/>
        <w:spacing w:before="180" w:after="283"/>
        <w:jc w:val="both"/>
        <w:rPr>
          <w:rFonts w:ascii="Times New Roman" w:hAnsi="Times New Roman"/>
          <w:sz w:val="20"/>
        </w:rPr>
      </w:pPr>
      <w:r>
        <w:rPr>
          <w:rFonts w:ascii="Arial" w:hAnsi="Arial"/>
          <w:color w:val="000000"/>
          <w:sz w:val="20"/>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pStyle w:val="TextBody"/>
        <w:bidi w:val="0"/>
        <w:spacing w:before="180" w:after="283"/>
        <w:jc w:val="both"/>
        <w:rPr>
          <w:rFonts w:ascii="Arial" w:hAnsi="Arial"/>
          <w:color w:val="000000"/>
          <w:sz w:val="20"/>
        </w:rPr>
      </w:pPr>
      <w:r>
        <w:rPr>
          <w:rFonts w:ascii="Arial" w:hAnsi="Arial"/>
          <w:color w:val="000000"/>
          <w:sz w:val="20"/>
        </w:rPr>
        <w:t>Highlights from the second quarter of fiscal year 2026 compared with the second quarter of fiscal year 2025 included: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revenue increased 26% to $51.5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Commercial remaining performance obligation increased 110% to $625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cloud revenue increased 17%.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Microsoft 365 Consumer cloud revenue increased 29%.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11%.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365 revenue increased 19%.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Azure and other cloud services revenue increased 39%.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OEM and Devices revenue increased 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Xbox content and services revenue decreased 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excluding traffic acquisition costs increased 10%.</w:t>
      </w:r>
    </w:p>
    <w:p>
      <w:pPr>
        <w:pStyle w:val="TextBody"/>
        <w:bidi w:val="0"/>
        <w:spacing w:before="240" w:after="283"/>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Industry Trends and Opportunities</w:t>
      </w:r>
    </w:p>
    <w:p>
      <w:pPr>
        <w:pStyle w:val="TextBody"/>
        <w:bidi w:val="0"/>
        <w:spacing w:before="180" w:after="283"/>
        <w:jc w:val="both"/>
        <w:rPr>
          <w:rFonts w:ascii="Arial" w:hAnsi="Arial"/>
          <w:color w:val="000000"/>
          <w:sz w:val="20"/>
        </w:rPr>
      </w:pPr>
      <w:r>
        <w:rPr>
          <w:rFonts w:ascii="Arial" w:hAnsi="Arial"/>
          <w:color w:val="000000"/>
          <w:sz w:val="20"/>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pStyle w:val="TextBody"/>
        <w:bidi w:val="0"/>
        <w:spacing w:before="180" w:after="283"/>
        <w:jc w:val="both"/>
        <w:rPr>
          <w:rFonts w:ascii="Times New Roman" w:hAnsi="Times New Roman"/>
          <w:sz w:val="20"/>
        </w:rPr>
      </w:pPr>
      <w:r>
        <w:rPr>
          <w:rFonts w:ascii="Arial" w:hAnsi="Arial"/>
          <w:color w:val="000000"/>
          <w:sz w:val="20"/>
        </w:rPr>
        <w:t>We have a long-term strategic partnership with OpenAI which was originally established in 2019. In October 2025, we signed a new definitive agreement with OpenAI that extends this partnership and continues to build on our shared vision to advance artificial intelligence responsibly and make its benefits broadly accessible. Microsoft is a major investor in OpenAI, and the companies have reciprocal revenue-sharing arrangements. We hold rights to OpenAI’s intellectual property, including models and infrastructure, for integration into our products.</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Economic Conditions, Challenges, and Risks</w:t>
      </w:r>
    </w:p>
    <w:p>
      <w:pPr>
        <w:pStyle w:val="TextBody"/>
        <w:bidi w:val="0"/>
        <w:spacing w:before="180" w:after="283"/>
        <w:jc w:val="both"/>
        <w:rPr>
          <w:rFonts w:ascii="Arial" w:hAnsi="Arial"/>
          <w:color w:val="000000"/>
          <w:sz w:val="20"/>
        </w:rPr>
      </w:pPr>
      <w:r>
        <w:rPr>
          <w:rFonts w:ascii="Arial" w:hAnsi="Arial"/>
          <w:color w:val="000000"/>
          <w:sz w:val="20"/>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pStyle w:val="TextBody"/>
        <w:bidi w:val="0"/>
        <w:spacing w:before="180" w:after="283"/>
        <w:jc w:val="both"/>
        <w:rPr>
          <w:rFonts w:ascii="Arial" w:hAnsi="Arial"/>
          <w:color w:val="000000"/>
          <w:sz w:val="20"/>
        </w:rPr>
      </w:pPr>
      <w:r>
        <w:rPr>
          <w:rFonts w:ascii="Arial" w:hAnsi="Arial"/>
          <w:color w:val="000000"/>
          <w:sz w:val="20"/>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pStyle w:val="TextBody"/>
        <w:bidi w:val="0"/>
        <w:spacing w:before="180" w:after="283"/>
        <w:jc w:val="both"/>
        <w:rPr>
          <w:rFonts w:ascii="Arial" w:hAnsi="Arial"/>
          <w:color w:val="000000"/>
          <w:sz w:val="20"/>
        </w:rPr>
      </w:pPr>
      <w:r>
        <w:rPr>
          <w:rFonts w:ascii="Arial" w:hAnsi="Arial"/>
          <w:color w:val="000000"/>
          <w:sz w:val="20"/>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pStyle w:val="TextBody"/>
        <w:bidi w:val="0"/>
        <w:spacing w:before="180" w:after="283"/>
        <w:jc w:val="both"/>
        <w:rPr>
          <w:rFonts w:ascii="Arial" w:hAnsi="Arial"/>
          <w:color w:val="000000"/>
          <w:sz w:val="20"/>
        </w:rPr>
      </w:pPr>
      <w:r>
        <w:rPr>
          <w:rFonts w:ascii="Arial" w:hAnsi="Arial"/>
          <w:color w:val="000000"/>
          <w:sz w:val="20"/>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increased reported revenue and did not have a material impact on reported expenses from our international operations for the three and six months ended December 31, 2025.</w:t>
      </w:r>
    </w:p>
    <w:p>
      <w:pPr>
        <w:pStyle w:val="TextBody"/>
        <w:bidi w:val="0"/>
        <w:spacing w:before="180" w:after="283"/>
        <w:jc w:val="both"/>
        <w:rPr>
          <w:rFonts w:ascii="Arial" w:hAnsi="Arial"/>
          <w:color w:val="000000"/>
          <w:sz w:val="20"/>
        </w:rPr>
      </w:pPr>
      <w:r>
        <w:rPr>
          <w:rFonts w:ascii="Arial" w:hAnsi="Arial"/>
          <w:color w:val="000000"/>
          <w:sz w:val="20"/>
        </w:rPr>
        <w:t>Further, global, regional, and local economic developments and changes in global trade policies such as restrictions on international trade, including tariffs and other controls on imports or exports, could result in increased supply chain challenges, cost volatility, and consumer and economic uncertainty which may adversely affect our results of operations.</w:t>
      </w:r>
    </w:p>
    <w:p>
      <w:pPr>
        <w:pStyle w:val="TextBody"/>
        <w:bidi w:val="0"/>
        <w:spacing w:before="180" w:after="283"/>
        <w:jc w:val="both"/>
        <w:rPr>
          <w:rFonts w:ascii="Arial" w:hAnsi="Arial"/>
          <w:color w:val="000000"/>
          <w:sz w:val="20"/>
        </w:rPr>
      </w:pPr>
      <w:r>
        <w:rPr>
          <w:rFonts w:ascii="Arial" w:hAnsi="Arial"/>
          <w:color w:val="000000"/>
          <w:sz w:val="20"/>
        </w:rPr>
        <w:t>Refer to Risk Factors (Part II, Item 1A of this Form 10-Q) for a discussion of these factors and other risks.</w:t>
      </w:r>
    </w:p>
    <w:p>
      <w:pPr>
        <w:pStyle w:val="TextBody"/>
        <w:bidi w:val="0"/>
        <w:spacing w:before="270" w:after="283"/>
        <w:jc w:val="both"/>
        <w:rPr>
          <w:rFonts w:ascii="Arial" w:hAnsi="Arial"/>
          <w:b/>
          <w:color w:val="000000"/>
          <w:sz w:val="20"/>
        </w:rPr>
      </w:pPr>
      <w:r>
        <w:rPr>
          <w:rFonts w:ascii="Arial" w:hAnsi="Arial"/>
          <w:b/>
          <w:color w:val="000000"/>
          <w:sz w:val="20"/>
        </w:rPr>
        <w:t>Seasonality</w:t>
      </w:r>
    </w:p>
    <w:p>
      <w:pPr>
        <w:pStyle w:val="TextBody"/>
        <w:bidi w:val="0"/>
        <w:spacing w:before="180" w:after="283"/>
        <w:jc w:val="both"/>
        <w:rPr>
          <w:rFonts w:ascii="Arial" w:hAnsi="Arial"/>
          <w:color w:val="000000"/>
          <w:sz w:val="20"/>
        </w:rPr>
      </w:pPr>
      <w:r>
        <w:rPr>
          <w:rFonts w:ascii="Arial" w:hAnsi="Arial"/>
          <w:color w:val="000000"/>
          <w:sz w:val="20"/>
        </w:rPr>
        <w:t>Our revenue fluctuates quarterly and is generally higher in the fourth quarter of our fiscal year. Fourth quarter revenue is driven by a higher volume of multi-year contracts executed during the period.</w:t>
      </w:r>
    </w:p>
    <w:p>
      <w:pPr>
        <w:pStyle w:val="TextBody"/>
        <w:bidi w:val="0"/>
        <w:spacing w:before="240" w:after="283"/>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color w:val="000000"/>
          <w:sz w:val="20"/>
        </w:rPr>
      </w:pPr>
      <w:r>
        <w:rPr>
          <w:rFonts w:ascii="Arial" w:hAnsi="Arial"/>
          <w:color w:val="000000"/>
          <w:sz w:val="20"/>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pStyle w:val="TextBody"/>
        <w:bidi w:val="0"/>
        <w:spacing w:before="180" w:after="283"/>
        <w:jc w:val="both"/>
        <w:rPr>
          <w:rFonts w:ascii="Arial" w:hAnsi="Arial"/>
          <w:color w:val="000000"/>
          <w:sz w:val="20"/>
        </w:rPr>
      </w:pPr>
      <w:r>
        <w:rPr>
          <w:rFonts w:ascii="Arial" w:hAnsi="Arial"/>
          <w:color w:val="000000"/>
          <w:sz w:val="20"/>
        </w:rPr>
        <w:t>Additional information on our reportable segments is contained in Note 16 – Segment Information and Geographic Data of the Notes to Financial Statements (Part I, Item 1 of this Form 10-Q).</w:t>
      </w:r>
    </w:p>
    <w:p>
      <w:pPr>
        <w:pStyle w:val="TextBody"/>
        <w:bidi w:val="0"/>
        <w:spacing w:before="270" w:after="283"/>
        <w:jc w:val="both"/>
        <w:rPr>
          <w:rFonts w:ascii="Arial" w:hAnsi="Arial"/>
          <w:b/>
          <w:color w:val="000000"/>
          <w:sz w:val="20"/>
        </w:rPr>
      </w:pPr>
      <w:r>
        <w:rPr>
          <w:rFonts w:ascii="Arial" w:hAnsi="Arial"/>
          <w:b/>
          <w:color w:val="000000"/>
          <w:sz w:val="20"/>
        </w:rPr>
        <w:t>Metrics</w:t>
      </w:r>
    </w:p>
    <w:p>
      <w:pPr>
        <w:pStyle w:val="TextBody"/>
        <w:bidi w:val="0"/>
        <w:spacing w:before="180" w:after="283"/>
        <w:jc w:val="both"/>
        <w:rPr>
          <w:rFonts w:ascii="Arial" w:hAnsi="Arial"/>
          <w:color w:val="000000"/>
          <w:sz w:val="20"/>
        </w:rPr>
      </w:pPr>
      <w:r>
        <w:rPr>
          <w:rFonts w:ascii="Arial" w:hAnsi="Arial"/>
          <w:color w:val="000000"/>
          <w:sz w:val="20"/>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pStyle w:val="TextBody"/>
        <w:bidi w:val="0"/>
        <w:spacing w:before="180" w:after="283"/>
        <w:jc w:val="both"/>
        <w:rPr>
          <w:rFonts w:ascii="Arial" w:hAnsi="Arial"/>
          <w:color w:val="000000"/>
          <w:sz w:val="20"/>
        </w:rPr>
      </w:pPr>
      <w:r>
        <w:rPr>
          <w:rFonts w:ascii="Arial" w:hAnsi="Arial"/>
          <w:color w:val="000000"/>
          <w:sz w:val="20"/>
        </w:rPr>
        <w:t>In the first quarter of fiscal year 2026, we made updates to our metrics to align with how we manage and monitor certain businesses. As part of these updates, Microsoft 365 Consumer subscribers was removed as a metric.</w:t>
      </w:r>
    </w:p>
    <w:p>
      <w:pPr>
        <w:pStyle w:val="TextBody"/>
        <w:bidi w:val="0"/>
        <w:spacing w:before="270" w:after="283"/>
        <w:jc w:val="both"/>
        <w:rPr>
          <w:rFonts w:ascii="Arial" w:hAnsi="Arial"/>
          <w:b/>
          <w:i/>
          <w:color w:val="000000"/>
          <w:sz w:val="20"/>
        </w:rPr>
      </w:pPr>
      <w:r>
        <w:rPr>
          <w:rFonts w:ascii="Arial" w:hAnsi="Arial"/>
          <w:b/>
          <w:i/>
          <w:color w:val="000000"/>
          <w:sz w:val="20"/>
        </w:rPr>
        <w:t>Commercial</w:t>
      </w:r>
    </w:p>
    <w:p>
      <w:pPr>
        <w:pStyle w:val="TextBody"/>
        <w:bidi w:val="0"/>
        <w:spacing w:before="180" w:after="283"/>
        <w:jc w:val="both"/>
        <w:rPr>
          <w:rFonts w:ascii="Arial" w:hAnsi="Arial"/>
          <w:color w:val="000000"/>
          <w:sz w:val="20"/>
        </w:rPr>
      </w:pPr>
      <w:r>
        <w:rPr>
          <w:rFonts w:ascii="Arial" w:hAnsi="Arial"/>
          <w:color w:val="000000"/>
          <w:sz w:val="20"/>
        </w:rPr>
        <w:t>Our commercial business primarily consists of Server products and cloud services, Microsoft 365 Commercial products and cloud services, the commercial portion of LinkedIn, Dynamics products and cloud services, and Enterprise and partner services. Our commercial metrics allow management and investors to assess the overall health of our commercial business and include leading indicators of future performance.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5"/>
        <w:gridCol w:w="146"/>
        <w:gridCol w:w="7534"/>
      </w:tblGrid>
      <w:tr>
        <w:trPr/>
        <w:tc>
          <w:tcPr>
            <w:tcW w:w="2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4"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Commercial remaining performance obligation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Commercial portion of revenue allocated to remaining performance obligations, which includes unearned revenue and amounts that will be invoiced and recognized as revenue in future periods</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revenue and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Commercial cloud, Azure and other cloud services, the commercial portion of LinkedIn, and Dynamics 365</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gross margin percentage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Gross margin percentage for our Microsoft Cloud business</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Productivity and Business Processes and Intelligent Cloud</w:t>
      </w:r>
    </w:p>
    <w:p>
      <w:pPr>
        <w:pStyle w:val="TextBody"/>
        <w:bidi w:val="0"/>
        <w:spacing w:before="180" w:after="283"/>
        <w:jc w:val="both"/>
        <w:rPr>
          <w:rFonts w:ascii="Arial" w:hAnsi="Arial"/>
          <w:color w:val="000000"/>
          <w:sz w:val="20"/>
        </w:rPr>
      </w:pPr>
      <w:r>
        <w:rPr>
          <w:rFonts w:ascii="Arial" w:hAnsi="Arial"/>
          <w:color w:val="000000"/>
          <w:sz w:val="20"/>
        </w:rPr>
        <w:t>Metrics related to our Productivity and Business Processes and Intelligent Cloud segments assess the health of our core businesses within these segments. The metrics primarily reflect growth across our cloud services.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98"/>
        <w:gridCol w:w="146"/>
        <w:gridCol w:w="7961"/>
      </w:tblGrid>
      <w:tr>
        <w:trPr/>
        <w:tc>
          <w:tcPr>
            <w:tcW w:w="2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Commercial subscriptions, comprising Microsoft 365 Commercial, Enterprise Mobility + Security, the cloud portion of Windows Commercial, the per-user portion of Power BI, Exchange, SharePoint, Microsoft Teams, Microsoft 365 Security and Compliance, and Microsoft 365 Copilot</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seat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The number of Microsoft 365 Commercial seats at end of period where seats are paid users covered by a Microsoft 365 Commercial subscription</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Consumer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Consumer subscriptions and other consumer services</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LinkedIn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LinkedIn, including Talent Solutions, Marketing Solutions, Premium Subscriptions, and Sales Solutions</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Dynamics 365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Dynamics 365, including a set of intelligent, cloud-based applications across ERP, CRM, Power Apps, and Power Automate</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Azure and other cloud services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Revenue from Azure and other cloud services, including cloud and AI consumption-based services, GitHub cloud services, Nuance Healthcare cloud services, virtual desktop offerings, and other cloud services</w:t>
            </w:r>
          </w:p>
        </w:tc>
      </w:tr>
    </w:tbl>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Metrics related to our More Personal Computing segment assess the performance of our key consumer businesses.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97"/>
        <w:gridCol w:w="146"/>
        <w:gridCol w:w="7562"/>
      </w:tblGrid>
      <w:tr>
        <w:trPr/>
        <w:tc>
          <w:tcPr>
            <w:tcW w:w="2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2"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Windows OEM and Devices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sales of Windows Pro and non-Pro licenses sold through the OEM channel and sales of first-party Devices, including Surface and PC accessories</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Xbox content and services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Xbox content and services, comprising first- and third-party content (including games and in-game content), Xbox Game Pass and other subscriptions, Xbox Cloud Gaming, advertising, and other cloud services</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2"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497"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Search and news advertising revenue (ex TAC)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Revenue from search and news advertising excluding traffic acquisition costs (“TAC”) paid to Bing Ads network publishers and news partners</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SUMMARY RESULTS OF OPERATIONS</w:t>
      </w:r>
    </w:p>
    <w:p>
      <w:pPr>
        <w:pStyle w:val="TextBody"/>
        <w:bidi w:val="0"/>
        <w:jc w:val="left"/>
        <w:rPr/>
      </w:pPr>
      <w:r>
        <w:rPr/>
        <w:t> </w:t>
      </w:r>
    </w:p>
    <w:tbl>
      <w:tblPr>
        <w:tblW w:w="12529" w:type="dxa"/>
        <w:jc w:val="left"/>
        <w:tblInd w:w="0" w:type="dxa"/>
        <w:tblLayout w:type="fixed"/>
        <w:tblCellMar>
          <w:top w:w="28" w:type="dxa"/>
          <w:left w:w="28" w:type="dxa"/>
          <w:bottom w:w="28" w:type="dxa"/>
          <w:right w:w="28" w:type="dxa"/>
        </w:tblCellMar>
      </w:tblPr>
      <w:tblGrid>
        <w:gridCol w:w="1356"/>
        <w:gridCol w:w="391"/>
        <w:gridCol w:w="391"/>
        <w:gridCol w:w="691"/>
        <w:gridCol w:w="391"/>
        <w:gridCol w:w="391"/>
        <w:gridCol w:w="391"/>
        <w:gridCol w:w="691"/>
        <w:gridCol w:w="391"/>
        <w:gridCol w:w="391"/>
        <w:gridCol w:w="473"/>
        <w:gridCol w:w="473"/>
        <w:gridCol w:w="391"/>
        <w:gridCol w:w="391"/>
        <w:gridCol w:w="391"/>
        <w:gridCol w:w="796"/>
        <w:gridCol w:w="391"/>
        <w:gridCol w:w="391"/>
        <w:gridCol w:w="391"/>
        <w:gridCol w:w="796"/>
        <w:gridCol w:w="391"/>
        <w:gridCol w:w="391"/>
        <w:gridCol w:w="391"/>
        <w:gridCol w:w="561"/>
        <w:gridCol w:w="436"/>
      </w:tblGrid>
      <w:tr>
        <w:trPr/>
        <w:tc>
          <w:tcPr>
            <w:tcW w:w="13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3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(In millions, except percentages and per share amounts)</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15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56"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81,273</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69,632</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158,946</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135,217</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Gross margin</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55,295</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47,833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108,925</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93,319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income</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38,275</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31,653</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76,236</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62,205</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Net income</w:t>
            </w:r>
            <w:r>
              <w:rPr>
                <w:rFonts w:ascii="Times New Roman" w:hAnsi="Times New Roman"/>
                <w:color w:val="000000"/>
                <w:sz w:val="20"/>
              </w:rPr>
              <w:t xml:space="preserve">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66,205</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earnings per share</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8.87</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Adjusted net income (non-GAAP)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61,708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23%</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3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Adjusted diluted earnings per share (non-GAAP)</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8.27</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56" w:type="dxa"/>
            <w:tcBorders>
              <w:bottom w:val="single" w:sz="2"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Adjusted net income and adjusted diluted earnings per share (“EPS”) are non-GAAP financial measures. These non-GAAP financial measures exclude net gains and losses from investments in OpenAI. Refer to the Non-GAAP Financial Measures section below for a reconciliation of our financial results reported in accordance with GAAP to non-GAAP financial results.</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2025 Compared with Three Months Ended December 31, 2024</w:t>
      </w:r>
    </w:p>
    <w:p>
      <w:pPr>
        <w:pStyle w:val="TextBody"/>
        <w:bidi w:val="0"/>
        <w:spacing w:before="180" w:after="283"/>
        <w:jc w:val="both"/>
        <w:rPr>
          <w:rFonts w:ascii="Arial" w:hAnsi="Arial"/>
          <w:color w:val="000000"/>
          <w:sz w:val="20"/>
        </w:rPr>
      </w:pPr>
      <w:r>
        <w:rPr>
          <w:rFonts w:ascii="Arial" w:hAnsi="Arial"/>
          <w:color w:val="000000"/>
          <w:sz w:val="20"/>
        </w:rPr>
        <w:t>Revenue increased $11.6 billion or 17% driven by Intelligent Cloud and Productivity and Business Processes, offset in part by More Personal Computing. Intelligent Cloud revenue increased driven by Azure. Productivity and Business Processes revenue increased driven by Microsoft 365 Commercial cloud. More Personal Computing revenue decreased driven by Gaming, offset in part by Search and news advertising as well as Windows OEM.</w:t>
      </w:r>
    </w:p>
    <w:p>
      <w:pPr>
        <w:pStyle w:val="TextBody"/>
        <w:bidi w:val="0"/>
        <w:spacing w:before="180" w:after="283"/>
        <w:jc w:val="both"/>
        <w:rPr>
          <w:rFonts w:ascii="Arial" w:hAnsi="Arial"/>
          <w:color w:val="000000"/>
          <w:sz w:val="20"/>
        </w:rPr>
      </w:pPr>
      <w:r>
        <w:rPr>
          <w:rFonts w:ascii="Arial" w:hAnsi="Arial"/>
          <w:color w:val="000000"/>
          <w:sz w:val="20"/>
        </w:rPr>
        <w:t>Cost of revenue increased $4.2 billion or 19% driven by growth in Microsoft Cloud.</w:t>
      </w:r>
    </w:p>
    <w:p>
      <w:pPr>
        <w:pStyle w:val="TextBody"/>
        <w:bidi w:val="0"/>
        <w:spacing w:before="180" w:after="283"/>
        <w:jc w:val="both"/>
        <w:rPr>
          <w:rFonts w:ascii="Arial" w:hAnsi="Arial"/>
          <w:color w:val="000000"/>
          <w:sz w:val="20"/>
        </w:rPr>
      </w:pPr>
      <w:r>
        <w:rPr>
          <w:rFonts w:ascii="Arial" w:hAnsi="Arial"/>
          <w:color w:val="000000"/>
          <w:sz w:val="20"/>
        </w:rPr>
        <w:t>Gross margin increased $7.5 billion or 16% with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decreased slightly driven by continued investments in AI infrastructure and growing AI product usage, offset in part by efficiency gains across the Microsoft Cloud and sales mix shift to higher margin businesses.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decreased to 67% driven by continued investments in AI infrastructure and growing AI product usage, offset in part by efficiency gains in Azure and Microsoft 365 Commercial cloud.</w:t>
      </w:r>
    </w:p>
    <w:p>
      <w:pPr>
        <w:pStyle w:val="TextBody"/>
        <w:bidi w:val="0"/>
        <w:spacing w:before="180" w:after="283"/>
        <w:jc w:val="both"/>
        <w:rPr>
          <w:rFonts w:ascii="Arial" w:hAnsi="Arial"/>
          <w:color w:val="000000"/>
          <w:sz w:val="20"/>
        </w:rPr>
      </w:pPr>
      <w:r>
        <w:rPr>
          <w:rFonts w:ascii="Arial" w:hAnsi="Arial"/>
          <w:color w:val="000000"/>
          <w:sz w:val="20"/>
        </w:rPr>
        <w:t>Operating expenses increased $840 million or 5% driven by research and development investments in compute capacity and AI talent, as well as impairment charges in our Gaming business.</w:t>
      </w:r>
    </w:p>
    <w:p>
      <w:pPr>
        <w:pStyle w:val="TextBody"/>
        <w:bidi w:val="0"/>
        <w:spacing w:before="180" w:after="283"/>
        <w:jc w:val="both"/>
        <w:rPr>
          <w:rFonts w:ascii="Arial" w:hAnsi="Arial"/>
          <w:color w:val="000000"/>
          <w:sz w:val="20"/>
        </w:rPr>
      </w:pPr>
      <w:r>
        <w:rPr>
          <w:rFonts w:ascii="Arial" w:hAnsi="Arial"/>
          <w:color w:val="000000"/>
          <w:sz w:val="20"/>
        </w:rPr>
        <w:t>Operating income increased $6.6 billion or 21% driven by growth in Productivity and Business Processes and Intelligent Cloud.</w:t>
      </w:r>
    </w:p>
    <w:p>
      <w:pPr>
        <w:pStyle w:val="TextBody"/>
        <w:bidi w:val="0"/>
        <w:spacing w:before="180" w:after="283"/>
        <w:jc w:val="both"/>
        <w:rPr>
          <w:rFonts w:ascii="Arial" w:hAnsi="Arial"/>
          <w:color w:val="000000"/>
          <w:sz w:val="20"/>
        </w:rPr>
      </w:pPr>
      <w:r>
        <w:rPr>
          <w:rFonts w:ascii="Arial" w:hAnsi="Arial"/>
          <w:color w:val="000000"/>
          <w:sz w:val="20"/>
        </w:rPr>
        <w:t>Revenue, gross margin, and operating income each included a favorable foreign currency impact of 2%.</w:t>
      </w:r>
    </w:p>
    <w:p>
      <w:pPr>
        <w:pStyle w:val="TextBody"/>
        <w:bidi w:val="0"/>
        <w:spacing w:before="180" w:after="283"/>
        <w:jc w:val="both"/>
        <w:rPr>
          <w:rFonts w:ascii="Arial" w:hAnsi="Arial"/>
          <w:color w:val="000000"/>
          <w:sz w:val="20"/>
        </w:rPr>
      </w:pPr>
      <w:r>
        <w:rPr>
          <w:rFonts w:ascii="Arial" w:hAnsi="Arial"/>
          <w:color w:val="000000"/>
          <w:sz w:val="20"/>
        </w:rPr>
        <w:t>Current year net income and diluted EPS were positively impacted by net gains from investments in OpenAI, which resulted in an increase in net income and diluted EPS of $7.6 billion and $1.02, respectively. Prior year net income and diluted EPS were negatively impacted by net losses from investments in OpenAI, which resulted in a decrease in net income and diluted EPS of $939 million and $0.12, respectively.</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2025 Compared with Six Months Ended December 31, 2024</w:t>
      </w:r>
    </w:p>
    <w:p>
      <w:pPr>
        <w:pStyle w:val="TextBody"/>
        <w:bidi w:val="0"/>
        <w:spacing w:before="180" w:after="283"/>
        <w:jc w:val="both"/>
        <w:rPr>
          <w:rFonts w:ascii="Arial" w:hAnsi="Arial"/>
          <w:color w:val="000000"/>
          <w:sz w:val="20"/>
        </w:rPr>
      </w:pPr>
      <w:r>
        <w:rPr>
          <w:rFonts w:ascii="Arial" w:hAnsi="Arial"/>
          <w:color w:val="000000"/>
          <w:sz w:val="20"/>
        </w:rPr>
        <w:t>Revenue increased $23.7 billion or 18% with growth across each of our segments. Intelligent Cloud revenue increased driven by Azure. Productivity and Business Processes revenue increased driven by Microsoft 365 Commercial cloud. More Personal Computing revenue increased driven by Search and news advertising and Windows OEM, offset in part by Gaming and Devices.</w:t>
      </w:r>
    </w:p>
    <w:p>
      <w:pPr>
        <w:pStyle w:val="TextBody"/>
        <w:bidi w:val="0"/>
        <w:spacing w:before="180" w:after="283"/>
        <w:jc w:val="both"/>
        <w:rPr>
          <w:rFonts w:ascii="Arial" w:hAnsi="Arial"/>
          <w:color w:val="000000"/>
          <w:sz w:val="20"/>
        </w:rPr>
      </w:pPr>
      <w:r>
        <w:rPr>
          <w:rFonts w:ascii="Arial" w:hAnsi="Arial"/>
          <w:color w:val="000000"/>
          <w:sz w:val="20"/>
        </w:rPr>
        <w:t>Cost of revenue increased $8.1 billion or 19% driven by growth in Microsoft Cloud.</w:t>
      </w:r>
    </w:p>
    <w:p>
      <w:pPr>
        <w:pStyle w:val="TextBody"/>
        <w:bidi w:val="0"/>
        <w:spacing w:before="180" w:after="283"/>
        <w:jc w:val="both"/>
        <w:rPr>
          <w:rFonts w:ascii="Arial" w:hAnsi="Arial"/>
          <w:color w:val="000000"/>
          <w:sz w:val="20"/>
        </w:rPr>
      </w:pPr>
      <w:r>
        <w:rPr>
          <w:rFonts w:ascii="Arial" w:hAnsi="Arial"/>
          <w:color w:val="000000"/>
          <w:sz w:val="20"/>
        </w:rPr>
        <w:t>Gross margin increased $15.6 billion or 17% with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decreased slightly driven by continued investments in AI infrastructure and growing AI product usage, offset in part by efficiency gains across the Microsoft Cloud and sales mix shift to higher margin businesses.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decreased to 67% driven by continued investments in AI infrastructure and growing AI product usage, offset in part by efficiency gains in Azure and Microsoft 365 Commercial cloud.</w:t>
      </w:r>
    </w:p>
    <w:p>
      <w:pPr>
        <w:pStyle w:val="TextBody"/>
        <w:bidi w:val="0"/>
        <w:spacing w:before="180" w:after="283"/>
        <w:jc w:val="both"/>
        <w:rPr>
          <w:rFonts w:ascii="Arial" w:hAnsi="Arial"/>
          <w:color w:val="000000"/>
          <w:sz w:val="20"/>
        </w:rPr>
      </w:pPr>
      <w:r>
        <w:rPr>
          <w:rFonts w:ascii="Arial" w:hAnsi="Arial"/>
          <w:color w:val="000000"/>
          <w:sz w:val="20"/>
        </w:rPr>
        <w:t>Operating expenses increased $1.6 billion or 5% driven by research and development investments in compute capacity and AI talent, as well as impairment charges in our Gaming business.</w:t>
      </w:r>
    </w:p>
    <w:p>
      <w:pPr>
        <w:pStyle w:val="TextBody"/>
        <w:bidi w:val="0"/>
        <w:spacing w:before="180" w:after="283"/>
        <w:jc w:val="both"/>
        <w:rPr>
          <w:rFonts w:ascii="Arial" w:hAnsi="Arial"/>
          <w:color w:val="000000"/>
          <w:sz w:val="20"/>
        </w:rPr>
      </w:pPr>
      <w:r>
        <w:rPr>
          <w:rFonts w:ascii="Arial" w:hAnsi="Arial"/>
          <w:color w:val="000000"/>
          <w:sz w:val="20"/>
        </w:rPr>
        <w:t>Operating income increased $14.0 billion or 23% with growth across each of our segments.</w:t>
      </w:r>
    </w:p>
    <w:p>
      <w:pPr>
        <w:pStyle w:val="TextBody"/>
        <w:bidi w:val="0"/>
        <w:spacing w:before="180" w:after="283"/>
        <w:jc w:val="both"/>
        <w:rPr>
          <w:rFonts w:ascii="Arial" w:hAnsi="Arial"/>
          <w:color w:val="000000"/>
          <w:sz w:val="20"/>
        </w:rPr>
      </w:pPr>
      <w:r>
        <w:rPr>
          <w:rFonts w:ascii="Arial" w:hAnsi="Arial"/>
          <w:color w:val="000000"/>
          <w:sz w:val="20"/>
        </w:rPr>
        <w:t>Revenue, gross margin, and operating income included a favorable foreign currency impact of 2%, 2%, and 3%, respectively.</w:t>
      </w:r>
    </w:p>
    <w:p>
      <w:pPr>
        <w:pStyle w:val="TextBody"/>
        <w:bidi w:val="0"/>
        <w:spacing w:before="240" w:after="283"/>
        <w:jc w:val="center"/>
        <w:rPr>
          <w:rFonts w:ascii="Arial" w:hAnsi="Arial"/>
          <w:color w:val="000000"/>
          <w:sz w:val="16"/>
        </w:rPr>
      </w:pPr>
      <w:r>
        <w:rPr>
          <w:rFonts w:ascii="Arial" w:hAnsi="Arial"/>
          <w:color w:val="000000"/>
          <w:sz w:val="16"/>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Current year net income and diluted EPS were positively impacted by net gains from investments in OpenAI, which resulted in an increase in net income and diluted EPS of $4.5 billion and $0.60, respectively. Prior year net income and diluted EPS were negatively impacted by net losses from investments in OpenAI, which resulted in a decrease in net income and diluted EPS of $1.5 billion and $0.20, respectively.</w:t>
      </w:r>
    </w:p>
    <w:p>
      <w:pPr>
        <w:pStyle w:val="TextBody"/>
        <w:bidi w:val="0"/>
        <w:spacing w:before="270" w:after="283"/>
        <w:jc w:val="center"/>
        <w:rPr>
          <w:rFonts w:ascii="Arial" w:hAnsi="Arial"/>
          <w:color w:val="000000"/>
          <w:sz w:val="20"/>
          <w:u w:val="single"/>
        </w:rPr>
      </w:pPr>
      <w:r>
        <w:rPr>
          <w:rFonts w:ascii="Arial" w:hAnsi="Arial"/>
          <w:color w:val="000000"/>
          <w:sz w:val="20"/>
          <w:u w:val="single"/>
        </w:rPr>
        <w:t>SEGMENT 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08"/>
        <w:gridCol w:w="146"/>
        <w:gridCol w:w="211"/>
        <w:gridCol w:w="691"/>
        <w:gridCol w:w="146"/>
        <w:gridCol w:w="146"/>
        <w:gridCol w:w="211"/>
        <w:gridCol w:w="691"/>
        <w:gridCol w:w="146"/>
        <w:gridCol w:w="146"/>
        <w:gridCol w:w="280"/>
        <w:gridCol w:w="666"/>
        <w:gridCol w:w="146"/>
        <w:gridCol w:w="146"/>
        <w:gridCol w:w="211"/>
        <w:gridCol w:w="796"/>
        <w:gridCol w:w="146"/>
        <w:gridCol w:w="146"/>
        <w:gridCol w:w="211"/>
        <w:gridCol w:w="796"/>
        <w:gridCol w:w="146"/>
        <w:gridCol w:w="146"/>
        <w:gridCol w:w="280"/>
        <w:gridCol w:w="666"/>
        <w:gridCol w:w="681"/>
      </w:tblGrid>
      <w:tr>
        <w:trPr/>
        <w:tc>
          <w:tcPr>
            <w:tcW w:w="22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0" w:type="dxa"/>
            <w:tcBorders/>
            <w:shd w:fill="FFFFFF" w:val="clear"/>
            <w:vAlign w:val="center"/>
          </w:tcPr>
          <w:p>
            <w:pPr>
              <w:pStyle w:val="TableContents"/>
              <w:bidi w:val="0"/>
              <w:spacing w:before="0" w:after="283"/>
              <w:jc w:val="left"/>
              <w:rPr>
                <w:sz w:val="4"/>
                <w:szCs w:val="4"/>
              </w:rPr>
            </w:pPr>
            <w:r>
              <w:rPr>
                <w:sz w:val="4"/>
                <w:szCs w:val="4"/>
              </w:rPr>
            </w:r>
          </w:p>
        </w:tc>
        <w:tc>
          <w:tcPr>
            <w:tcW w:w="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0" w:type="dxa"/>
            <w:tcBorders/>
            <w:shd w:fill="FFFFFF" w:val="clear"/>
            <w:vAlign w:val="center"/>
          </w:tcPr>
          <w:p>
            <w:pPr>
              <w:pStyle w:val="TableContents"/>
              <w:bidi w:val="0"/>
              <w:spacing w:before="0" w:after="283"/>
              <w:jc w:val="left"/>
              <w:rPr>
                <w:sz w:val="4"/>
                <w:szCs w:val="4"/>
              </w:rPr>
            </w:pPr>
            <w:r>
              <w:rPr>
                <w:sz w:val="4"/>
                <w:szCs w:val="4"/>
              </w:rPr>
            </w:r>
          </w:p>
        </w:tc>
        <w:tc>
          <w:tcPr>
            <w:tcW w:w="66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Productivity and Business Processes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34,116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67,136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13,490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20,599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16,885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41,006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Intelligent Cloud</w:t>
            </w:r>
          </w:p>
        </w:tc>
        <w:tc>
          <w:tcPr>
            <w:tcW w:w="119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432" w:type="dxa"/>
            <w:gridSpan w:val="8"/>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432" w:type="dxa"/>
            <w:gridSpan w:val="8"/>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32,907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63,804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13,873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27,264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More Personal Computing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28,006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81,273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25,978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32,689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76,236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b/>
          <w:i/>
          <w:color w:val="000000"/>
          <w:sz w:val="20"/>
        </w:rPr>
      </w:pPr>
      <w:r>
        <w:rPr>
          <w:rFonts w:ascii="Arial" w:hAnsi="Arial"/>
          <w:b/>
          <w:i/>
          <w:color w:val="000000"/>
          <w:sz w:val="20"/>
        </w:rPr>
        <w:t>Three Months Ended December 31, 2025 Compared with Three Months Ended December 31, 2024</w:t>
      </w:r>
    </w:p>
    <w:p>
      <w:pPr>
        <w:pStyle w:val="TextBody"/>
        <w:bidi w:val="0"/>
        <w:spacing w:before="180" w:after="283"/>
        <w:jc w:val="both"/>
        <w:rPr>
          <w:rFonts w:ascii="Arial" w:hAnsi="Arial"/>
          <w:i/>
          <w:color w:val="000000"/>
          <w:sz w:val="20"/>
        </w:rPr>
      </w:pPr>
      <w:r>
        <w:rPr>
          <w:rFonts w:ascii="Arial" w:hAnsi="Arial"/>
          <w:i/>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Revenue increased $4.7 billion or 16%.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revenue increased $3.4 billion or 16%. Microsoft 365 Commercial cloud revenue grew 17% with growth in revenue per user driven by Microsoft 365 E5 and Microsoft 365 Copilot. Microsoft 365 Commercial seats grew 6% driven by small and medium businesses and frontline worker offerings. Microsoft 365 Commercial products revenue grew 13% driven by Windows Commercial on-premises components of Microsoft 365 suite sales, as well as an increase in Office 2024 transactional purchasing.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revenue increased $484 million or 27%. Microsoft 365 Consumer cloud revenue grew 29% driven by growth in revenue per user and Microsoft 365 Consumer subscriber growth of 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$495 million or 11% driven by growth in Marketing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$291 million or 15% driven by growth in Dynamics 365. Dynamics 365 revenue grew 19% with growth across all workloads.</w:t>
      </w:r>
    </w:p>
    <w:p>
      <w:pPr>
        <w:pStyle w:val="TextBody"/>
        <w:bidi w:val="0"/>
        <w:spacing w:before="240" w:after="283"/>
        <w:jc w:val="center"/>
        <w:rPr>
          <w:rFonts w:ascii="Arial" w:hAnsi="Arial"/>
          <w:color w:val="000000"/>
          <w:sz w:val="16"/>
        </w:rPr>
      </w:pPr>
      <w:r>
        <w:rPr>
          <w:rFonts w:ascii="Arial" w:hAnsi="Arial"/>
          <w:color w:val="000000"/>
          <w:sz w:val="16"/>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Operating income increased $3.7 billion or 22%.</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increased $541 million or 10% driven by growth in Microsoft 365 Commercial cloud.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$4.1 billion or 17% driven by growth in Microsoft 365 Commercial cloud. Gross margin percentage increased primarily driven by efficiency gains in Microsoft 365 Commercial cloud even with continued investments in AI infrastructure and growing AI product usage.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$424 million or 6% driven by research and development investments in compute capacity and AI talent, as well as higher advertising expenses.</w:t>
      </w:r>
    </w:p>
    <w:p>
      <w:pPr>
        <w:pStyle w:val="TextBody"/>
        <w:bidi w:val="0"/>
        <w:spacing w:before="180" w:after="283"/>
        <w:jc w:val="both"/>
        <w:rPr>
          <w:rFonts w:ascii="Times New Roman" w:hAnsi="Times New Roman"/>
          <w:sz w:val="20"/>
        </w:rPr>
      </w:pPr>
      <w:r>
        <w:rPr>
          <w:rFonts w:ascii="Arial" w:hAnsi="Arial"/>
          <w:color w:val="000000"/>
          <w:sz w:val="20"/>
        </w:rPr>
        <w:t>Revenue, gross margin, and operating income included a favorable foreign currency impact of 2%, 2%, and 3%, respectively.</w:t>
      </w:r>
      <w:r>
        <w:rPr>
          <w:rFonts w:ascii="Times New Roman" w:hAnsi="Times New Roman"/>
          <w:color w:val="000000"/>
          <w:sz w:val="20"/>
        </w:rPr>
        <w:t xml:space="preserve"> </w:t>
      </w:r>
    </w:p>
    <w:p>
      <w:pPr>
        <w:pStyle w:val="TextBody"/>
        <w:bidi w:val="0"/>
        <w:spacing w:before="270" w:after="283"/>
        <w:jc w:val="both"/>
        <w:rPr>
          <w:rFonts w:ascii="Arial" w:hAnsi="Arial"/>
          <w:i/>
          <w:color w:val="000000"/>
          <w:sz w:val="20"/>
        </w:rPr>
      </w:pPr>
      <w:r>
        <w:rPr>
          <w:rFonts w:ascii="Arial" w:hAnsi="Arial"/>
          <w:i/>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Revenue increased $7.4 billion or 29%.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$7.2 billion or 31% driven by Azure and other cloud services. Azure and other cloud services revenue grew 39% driven by demand for our portfolio of services with continued growth across all workloads. Server products revenue increased 2% driven by demand for our hybrid solutions, with benefit from the launch of SQL Server 2025, and higher transactional purchasing.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$146 million or 8% driven by growth in Enterprise Support Services.</w:t>
      </w:r>
    </w:p>
    <w:p>
      <w:pPr>
        <w:pStyle w:val="TextBody"/>
        <w:bidi w:val="0"/>
        <w:spacing w:before="180" w:after="283"/>
        <w:jc w:val="both"/>
        <w:rPr>
          <w:rFonts w:ascii="Arial" w:hAnsi="Arial"/>
          <w:color w:val="000000"/>
          <w:sz w:val="20"/>
        </w:rPr>
      </w:pPr>
      <w:r>
        <w:rPr>
          <w:rFonts w:ascii="Arial" w:hAnsi="Arial"/>
          <w:color w:val="000000"/>
          <w:sz w:val="20"/>
        </w:rPr>
        <w:t>Operating income increased $3.0 billion or 28%.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increased $4.2 billion or 44% driven by growth in Azure.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$3.2 billion or 20% driven by growth in Azure. Gross margin percentage decreased driven by the continued investments in AI infrastructure and sales mix shift to Azure, offset in part by efficiency gains in Azure.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$180 million or 3% driven by research and development investments in compute capacity and AI talent.</w:t>
      </w:r>
    </w:p>
    <w:p>
      <w:pPr>
        <w:pStyle w:val="TextBody"/>
        <w:bidi w:val="0"/>
        <w:spacing w:before="180" w:after="283"/>
        <w:jc w:val="both"/>
        <w:rPr>
          <w:rFonts w:ascii="Arial" w:hAnsi="Arial"/>
          <w:color w:val="000000"/>
          <w:sz w:val="20"/>
        </w:rPr>
      </w:pPr>
      <w:r>
        <w:rPr>
          <w:rFonts w:ascii="Arial" w:hAnsi="Arial"/>
          <w:color w:val="000000"/>
          <w:sz w:val="20"/>
        </w:rPr>
        <w:t>Cost of revenue included an unfavorable foreign currency impact of 2%.</w:t>
      </w:r>
    </w:p>
    <w:p>
      <w:pPr>
        <w:pStyle w:val="TextBody"/>
        <w:bidi w:val="0"/>
        <w:spacing w:before="270" w:after="283"/>
        <w:jc w:val="both"/>
        <w:rPr>
          <w:rFonts w:ascii="Arial" w:hAnsi="Arial"/>
          <w:i/>
          <w:color w:val="000000"/>
          <w:sz w:val="20"/>
        </w:rPr>
      </w:pPr>
      <w:r>
        <w:rPr>
          <w:rFonts w:ascii="Arial" w:hAnsi="Arial"/>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Revenue decreased $401 million or 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Windows and Devices revenue decreased slightly. Windows OEM and Devices revenue increased 1% driven by Windows OEM growth of 5% with continued benefit from Windows 10 end of support and inventory levels that remained elevated, offset in part by a decline in Devices.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Gaming revenue decreased $623 million or 9% driven by declines in Xbox hardware and Xbox content and services. Xbox hardware revenue decreased 32% driven by lower volume of consoles sold. Xbox content and services revenue decreased 5% on a prior year comparable that benefited from strong first-party content performance.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increased $254 million or 7%. Search and news advertising revenue excluding traffic acquisition costs increased 10% driven by higher search volume and continued benefit from third-party partnerships.</w:t>
      </w:r>
    </w:p>
    <w:p>
      <w:pPr>
        <w:pStyle w:val="TextBody"/>
        <w:bidi w:val="0"/>
        <w:spacing w:before="240" w:after="283"/>
        <w:jc w:val="center"/>
        <w:rPr>
          <w:rFonts w:ascii="Arial" w:hAnsi="Arial"/>
          <w:color w:val="000000"/>
          <w:sz w:val="16"/>
        </w:rPr>
      </w:pPr>
      <w:r>
        <w:rPr>
          <w:rFonts w:ascii="Arial" w:hAnsi="Arial"/>
          <w:color w:val="000000"/>
          <w:sz w:val="16"/>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Operating income decreased $114 million or 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decreased $523 million or 8% driven by lower hardware sales.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$122 million or 2% driven by growth in Search and news advertising and Windows OEM, offset in part by Gaming. Gross margin percentage increased driven by sales mix shift to higher margin businesses.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$236 million or 6% driven by impairment charges in our Gaming business and research and development investments in compute capacity and AI talent.</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2025 Compared with Six Months Ended December 31, 2024</w:t>
      </w:r>
    </w:p>
    <w:p>
      <w:pPr>
        <w:pStyle w:val="TextBody"/>
        <w:bidi w:val="0"/>
        <w:spacing w:before="180" w:after="283"/>
        <w:jc w:val="both"/>
        <w:rPr>
          <w:rFonts w:ascii="Arial" w:hAnsi="Arial"/>
          <w:i/>
          <w:color w:val="000000"/>
          <w:sz w:val="20"/>
        </w:rPr>
      </w:pPr>
      <w:r>
        <w:rPr>
          <w:rFonts w:ascii="Arial" w:hAnsi="Arial"/>
          <w:i/>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Revenue increased $9.4 billion or 16%.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revenue increased $6.9 billion or 17%. Microsoft 365 Commercial cloud revenue grew 17% with growth in revenue per user driven by Microsoft 365 E5 and Microsoft 365 Copilot, and continued Microsoft 365 Commercial seat growth. Microsoft 365 Commercial products revenue grew 15% driven by Windows Commercial on-premises components of Microsoft 365 suite sales, as well as an increase in Office 2024 transactional purchasing.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revenue increased $961 million or 27%. Microsoft 365 Consumer cloud revenue grew 27% driven by growth in revenue per user and continued growth in Microsoft 365 Consumer subscribers.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$917 million or 10% driven by growth in Marketing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$578 million or 15% driven by growth in Dynamics 365. Dynamics 365 revenue grew 19% with growth across all workloads.</w:t>
      </w:r>
    </w:p>
    <w:p>
      <w:pPr>
        <w:pStyle w:val="TextBody"/>
        <w:bidi w:val="0"/>
        <w:spacing w:before="180" w:after="283"/>
        <w:jc w:val="both"/>
        <w:rPr>
          <w:rFonts w:ascii="Arial" w:hAnsi="Arial"/>
          <w:color w:val="000000"/>
          <w:sz w:val="20"/>
        </w:rPr>
      </w:pPr>
      <w:r>
        <w:rPr>
          <w:rFonts w:ascii="Arial" w:hAnsi="Arial"/>
          <w:color w:val="000000"/>
          <w:sz w:val="20"/>
        </w:rPr>
        <w:t>Operating income increased $7.6 billion or 23%.</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Cost of revenue increased $968 million or 9% driven by growth in Microsoft 365 Commercial cloud.</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Gross margin increased $8.4 billion or 18% driven by growth in Microsoft 365 Commercial cloud. Gross margin percentage increased driven by efficiency gains in Microsoft 365 Commercial cloud even with the impact of investments in AI infrastructure and growing AI product usage.</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Operating expenses increased $809 million or 6% driven by research and development investments in compute capacity and AI talent, as well as higher advertising expenses.</w:t>
      </w:r>
    </w:p>
    <w:p>
      <w:pPr>
        <w:pStyle w:val="TextBody"/>
        <w:bidi w:val="0"/>
        <w:spacing w:before="180" w:after="283"/>
        <w:jc w:val="both"/>
        <w:rPr>
          <w:rFonts w:ascii="Times New Roman" w:hAnsi="Times New Roman"/>
          <w:sz w:val="20"/>
        </w:rPr>
      </w:pPr>
      <w:r>
        <w:rPr>
          <w:rFonts w:ascii="Arial" w:hAnsi="Arial"/>
          <w:color w:val="000000"/>
          <w:sz w:val="20"/>
        </w:rPr>
        <w:t>Revenue, gross margin, and operating income included a favorable foreign currency impact of 2%, 3%, and 3%, respectively.</w:t>
      </w:r>
      <w:r>
        <w:rPr>
          <w:rFonts w:ascii="Times New Roman" w:hAnsi="Times New Roman"/>
          <w:color w:val="000000"/>
          <w:sz w:val="20"/>
        </w:rPr>
        <w:t xml:space="preserve"> </w:t>
      </w:r>
    </w:p>
    <w:p>
      <w:pPr>
        <w:pStyle w:val="TextBody"/>
        <w:bidi w:val="0"/>
        <w:spacing w:before="180" w:after="283"/>
        <w:jc w:val="both"/>
        <w:rPr>
          <w:rFonts w:ascii="Arial" w:hAnsi="Arial"/>
          <w:i/>
          <w:color w:val="000000"/>
          <w:sz w:val="20"/>
        </w:rPr>
      </w:pPr>
      <w:r>
        <w:rPr>
          <w:rFonts w:ascii="Arial" w:hAnsi="Arial"/>
          <w:i/>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Revenue increased $14.2 billion or 29%.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$13.9 billion or 30% driven by Azure and other cloud services. Azure and other cloud services revenue grew 40% driven by demand for our portfolio of services with continued growth across all workloads. Server products revenue increased 2% driven by higher transactional purchasing and demand for our hybrid solutions, with benefit from the launch of SQL Server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$240 million or 6% driven by growth in Enterprise Support Services.</w:t>
      </w:r>
    </w:p>
    <w:p>
      <w:pPr>
        <w:pStyle w:val="TextBody"/>
        <w:bidi w:val="0"/>
        <w:spacing w:before="180" w:after="283"/>
        <w:jc w:val="both"/>
        <w:rPr>
          <w:rFonts w:ascii="Arial" w:hAnsi="Arial"/>
          <w:color w:val="000000"/>
          <w:sz w:val="20"/>
        </w:rPr>
      </w:pPr>
      <w:r>
        <w:rPr>
          <w:rFonts w:ascii="Arial" w:hAnsi="Arial"/>
          <w:color w:val="000000"/>
          <w:sz w:val="20"/>
        </w:rPr>
        <w:t>Operating income increased $5.9 billion or 28%.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increased $7.9 billion or 44% driven by growth in Azure.</w:t>
      </w:r>
    </w:p>
    <w:p>
      <w:pPr>
        <w:pStyle w:val="TextBody"/>
        <w:bidi w:val="0"/>
        <w:spacing w:before="240" w:after="283"/>
        <w:jc w:val="center"/>
        <w:rPr>
          <w:rFonts w:ascii="Arial" w:hAnsi="Arial"/>
          <w:color w:val="000000"/>
          <w:sz w:val="16"/>
        </w:rPr>
      </w:pPr>
      <w:r>
        <w:rPr>
          <w:rFonts w:ascii="Arial" w:hAnsi="Arial"/>
          <w:color w:val="000000"/>
          <w:sz w:val="16"/>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$6.3 billion or 20% driven by growth in Azure. Gross margin percentage decreased driven by the continued investments in AI infrastructure and sales mix shift to Azure, offset in part by efficiency gains in Azure.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$397 million or 4% driven by research and development investments in compute capacity and AI talent.</w:t>
      </w:r>
    </w:p>
    <w:p>
      <w:pPr>
        <w:pStyle w:val="TextBody"/>
        <w:bidi w:val="0"/>
        <w:spacing w:before="180" w:after="283"/>
        <w:jc w:val="left"/>
        <w:rPr>
          <w:rFonts w:ascii="Arial" w:hAnsi="Arial"/>
          <w:color w:val="000000"/>
          <w:sz w:val="20"/>
        </w:rPr>
      </w:pPr>
      <w:r>
        <w:rPr>
          <w:rFonts w:ascii="Arial" w:hAnsi="Arial"/>
          <w:color w:val="000000"/>
          <w:sz w:val="20"/>
        </w:rPr>
        <w:t>Revenue included a favorable foreign currency impact of 2%. Cost of revenue included an unfavorable foreign currency impact of 2%.</w:t>
      </w:r>
    </w:p>
    <w:p>
      <w:pPr>
        <w:pStyle w:val="TextBody"/>
        <w:bidi w:val="0"/>
        <w:spacing w:before="180" w:after="283"/>
        <w:jc w:val="both"/>
        <w:rPr>
          <w:rFonts w:ascii="Arial" w:hAnsi="Arial"/>
          <w:i/>
          <w:color w:val="000000"/>
          <w:sz w:val="20"/>
        </w:rPr>
      </w:pPr>
      <w:r>
        <w:rPr>
          <w:rFonts w:ascii="Arial" w:hAnsi="Arial"/>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Revenue increased $179 million or 1%.</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 xml:space="preserve">Windows and Devices revenue increased $189 million or 2%. Windows OEM and Devices revenue increased 3% driven by Windows OEM growth of 11% with benefit from Windows 10 end of support and inventory levels that remained elevated, offset in part by a decline in Devices. </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Gaming revenue decreased $736 million or 6% driven by declines in Xbox hardware and Xbox content and services. Xbox hardware revenue decreased 31% driven by lower volume of consoles sold. Xbox content and services revenue decreased 2% driven by a decline in first-party content, offset in part by growth in Xbox Game Pass and third-party content.</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Search and news advertising revenue increased $726 million or 11%. Search and news advertising revenue excluding traffic acquisition costs increased 13% driven by higher search volume and continued benefit from third-party partnerships.</w:t>
      </w:r>
    </w:p>
    <w:p>
      <w:pPr>
        <w:pStyle w:val="TextBody"/>
        <w:bidi w:val="0"/>
        <w:spacing w:before="180" w:after="283"/>
        <w:jc w:val="both"/>
        <w:rPr>
          <w:rFonts w:ascii="Arial" w:hAnsi="Arial"/>
          <w:color w:val="000000"/>
          <w:sz w:val="20"/>
        </w:rPr>
      </w:pPr>
      <w:r>
        <w:rPr>
          <w:rFonts w:ascii="Arial" w:hAnsi="Arial"/>
          <w:color w:val="000000"/>
          <w:sz w:val="20"/>
        </w:rPr>
        <w:t>Operating income increased $516 million or 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decreased $706 million or 5% driven by lower hardware sales, offset in part by growth in Search and news advertising.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$885 million or 6% driven by growth in Windows OEM and Search and news advertising. Gross margin percentage increased driven by sales mix shift to higher margin businesses.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$369 million or 5% driven by impairment charges in our Gaming business and research and development investments in compute capacity and AI talent.</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OPERATING EXPENSES</w:t>
      </w:r>
    </w:p>
    <w:p>
      <w:pPr>
        <w:pStyle w:val="TextBody"/>
        <w:bidi w:val="0"/>
        <w:spacing w:before="180" w:after="283"/>
        <w:jc w:val="both"/>
        <w:rPr>
          <w:rFonts w:ascii="Arial" w:hAnsi="Arial"/>
          <w:b/>
          <w:color w:val="000000"/>
          <w:sz w:val="20"/>
        </w:rPr>
      </w:pPr>
      <w:r>
        <w:rPr>
          <w:rFonts w:ascii="Arial" w:hAnsi="Arial"/>
          <w:b/>
          <w:color w:val="000000"/>
          <w:sz w:val="20"/>
        </w:rPr>
        <w:t>Research and Development</w:t>
      </w:r>
    </w:p>
    <w:p>
      <w:pPr>
        <w:pStyle w:val="TextBody"/>
        <w:bidi w:val="0"/>
        <w:jc w:val="left"/>
        <w:rPr/>
      </w:pPr>
      <w:r>
        <w:rPr/>
        <w:t> </w:t>
      </w:r>
    </w:p>
    <w:tbl>
      <w:tblPr>
        <w:tblW w:w="10098"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146"/>
        <w:gridCol w:w="146"/>
        <w:gridCol w:w="211"/>
        <w:gridCol w:w="691"/>
        <w:gridCol w:w="146"/>
        <w:gridCol w:w="146"/>
        <w:gridCol w:w="211"/>
        <w:gridCol w:w="691"/>
        <w:gridCol w:w="146"/>
        <w:gridCol w:w="146"/>
        <w:gridCol w:w="264"/>
        <w:gridCol w:w="682"/>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16,650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Research and development expenses include payroll, employee benefits, stock-based compensation expense, and other headcount-related expenses associated with product development. Research and development expenses also include technology development costs, including AI training and other infrastructure costs, third-party development and programming costs, and the amortization of purchased software code and services content.</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2025 Compared with Three Months Ended December 31, 2024</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$587 million or 7% driven by investments in compute capacity and AI talent and impairment charges in our Gaming business.</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2025 Compared with Six Months Ended December 31, 2024</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$1.2 billion or 8% driven by investments in compute capacity and AI talent and impairment charges in our Gaming business.</w:t>
      </w:r>
    </w:p>
    <w:p>
      <w:pPr>
        <w:pStyle w:val="TextBody"/>
        <w:bidi w:val="0"/>
        <w:spacing w:before="240" w:after="283"/>
        <w:jc w:val="center"/>
        <w:rPr>
          <w:rFonts w:ascii="Arial" w:hAnsi="Arial"/>
          <w:color w:val="000000"/>
          <w:sz w:val="16"/>
        </w:rPr>
      </w:pPr>
      <w:r>
        <w:rPr>
          <w:rFonts w:ascii="Arial" w:hAnsi="Arial"/>
          <w:color w:val="000000"/>
          <w:sz w:val="16"/>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Sales and Marketing</w:t>
      </w:r>
    </w:p>
    <w:p>
      <w:pPr>
        <w:pStyle w:val="TextBody"/>
        <w:bidi w:val="0"/>
        <w:jc w:val="both"/>
        <w:rPr/>
      </w:pPr>
      <w:r>
        <w:rPr/>
        <w:t> </w:t>
      </w:r>
    </w:p>
    <w:tbl>
      <w:tblPr>
        <w:tblW w:w="10098"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146"/>
        <w:gridCol w:w="146"/>
        <w:gridCol w:w="211"/>
        <w:gridCol w:w="691"/>
        <w:gridCol w:w="146"/>
        <w:gridCol w:w="146"/>
        <w:gridCol w:w="211"/>
        <w:gridCol w:w="691"/>
        <w:gridCol w:w="146"/>
        <w:gridCol w:w="146"/>
        <w:gridCol w:w="264"/>
        <w:gridCol w:w="682"/>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2025 Compared with Three Months Ended December 31, 2024</w:t>
      </w:r>
    </w:p>
    <w:p>
      <w:pPr>
        <w:pStyle w:val="TextBody"/>
        <w:bidi w:val="0"/>
        <w:spacing w:before="180" w:after="283"/>
        <w:jc w:val="both"/>
        <w:rPr>
          <w:rFonts w:ascii="Arial" w:hAnsi="Arial"/>
          <w:color w:val="000000"/>
          <w:sz w:val="20"/>
        </w:rPr>
      </w:pPr>
      <w:r>
        <w:rPr>
          <w:rFonts w:ascii="Arial" w:hAnsi="Arial"/>
          <w:color w:val="000000"/>
          <w:sz w:val="20"/>
        </w:rPr>
        <w:t>Sales and marketing expenses increased $144 million or 2% driven by higher advertising expenses.</w:t>
      </w:r>
    </w:p>
    <w:p>
      <w:pPr>
        <w:pStyle w:val="TextBody"/>
        <w:bidi w:val="0"/>
        <w:spacing w:before="270" w:after="283"/>
        <w:jc w:val="left"/>
        <w:rPr>
          <w:rFonts w:ascii="Arial" w:hAnsi="Arial"/>
          <w:b/>
          <w:i/>
          <w:color w:val="000000"/>
          <w:sz w:val="20"/>
        </w:rPr>
      </w:pPr>
      <w:r>
        <w:rPr>
          <w:rFonts w:ascii="Arial" w:hAnsi="Arial"/>
          <w:b/>
          <w:i/>
          <w:color w:val="000000"/>
          <w:sz w:val="20"/>
        </w:rPr>
        <w:t>Six Months Ended December 31, 2025 Compared with Six Months Ended December 31, 2024</w:t>
      </w:r>
    </w:p>
    <w:p>
      <w:pPr>
        <w:pStyle w:val="TextBody"/>
        <w:bidi w:val="0"/>
        <w:spacing w:before="180" w:after="283"/>
        <w:jc w:val="both"/>
        <w:rPr>
          <w:rFonts w:ascii="Arial" w:hAnsi="Arial"/>
          <w:color w:val="000000"/>
          <w:sz w:val="20"/>
        </w:rPr>
      </w:pPr>
      <w:r>
        <w:rPr>
          <w:rFonts w:ascii="Arial" w:hAnsi="Arial"/>
          <w:color w:val="000000"/>
          <w:sz w:val="20"/>
        </w:rPr>
        <w:t>Sales and marketing expenses increased $144 million or 1% driven by higher advertising expenses.</w:t>
      </w:r>
    </w:p>
    <w:p>
      <w:pPr>
        <w:pStyle w:val="TextBody"/>
        <w:bidi w:val="0"/>
        <w:spacing w:before="270" w:after="283"/>
        <w:jc w:val="both"/>
        <w:rPr>
          <w:rFonts w:ascii="Arial" w:hAnsi="Arial"/>
          <w:b/>
          <w:color w:val="000000"/>
          <w:sz w:val="20"/>
        </w:rPr>
      </w:pPr>
      <w:r>
        <w:rPr>
          <w:rFonts w:ascii="Arial" w:hAnsi="Arial"/>
          <w:b/>
          <w:color w:val="000000"/>
          <w:sz w:val="20"/>
        </w:rPr>
        <w:t>General and Administrative</w:t>
      </w:r>
    </w:p>
    <w:p>
      <w:pPr>
        <w:pStyle w:val="TextBody"/>
        <w:bidi w:val="0"/>
        <w:jc w:val="left"/>
        <w:rPr/>
      </w:pPr>
      <w:r>
        <w:rPr/>
        <w:t> </w:t>
      </w:r>
    </w:p>
    <w:tbl>
      <w:tblPr>
        <w:tblW w:w="9888"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146"/>
        <w:gridCol w:w="146"/>
        <w:gridCol w:w="211"/>
        <w:gridCol w:w="586"/>
        <w:gridCol w:w="146"/>
        <w:gridCol w:w="146"/>
        <w:gridCol w:w="211"/>
        <w:gridCol w:w="586"/>
        <w:gridCol w:w="146"/>
        <w:gridCol w:w="146"/>
        <w:gridCol w:w="264"/>
        <w:gridCol w:w="682"/>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2025 Compared with Three Months Ended December 31, 2024</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increased $109 million or 6% driven by higher legal expenses.</w:t>
      </w:r>
    </w:p>
    <w:p>
      <w:pPr>
        <w:pStyle w:val="TextBody"/>
        <w:bidi w:val="0"/>
        <w:spacing w:before="270" w:after="283"/>
        <w:jc w:val="left"/>
        <w:rPr>
          <w:rFonts w:ascii="Arial" w:hAnsi="Arial"/>
          <w:b/>
          <w:i/>
          <w:color w:val="000000"/>
          <w:sz w:val="20"/>
        </w:rPr>
      </w:pPr>
      <w:r>
        <w:rPr>
          <w:rFonts w:ascii="Arial" w:hAnsi="Arial"/>
          <w:b/>
          <w:i/>
          <w:color w:val="000000"/>
          <w:sz w:val="20"/>
        </w:rPr>
        <w:t>Six Months Ended December 31, 2025 Compared with Six Months Ended December 31, 2024</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increased $242 million or 7% driven by higher legal expenses.</w:t>
      </w:r>
    </w:p>
    <w:p>
      <w:pPr>
        <w:pStyle w:val="TextBody"/>
        <w:bidi w:val="0"/>
        <w:spacing w:before="270" w:after="283"/>
        <w:jc w:val="center"/>
        <w:rPr>
          <w:rFonts w:ascii="Arial" w:hAnsi="Arial"/>
          <w:color w:val="000000"/>
          <w:sz w:val="20"/>
          <w:u w:val="single"/>
        </w:rPr>
      </w:pPr>
      <w:bookmarkStart w:id="12" w:name="fis_unidentified_table_10"/>
      <w:bookmarkEnd w:id="12"/>
      <w:r>
        <w:rPr>
          <w:rFonts w:ascii="Arial" w:hAnsi="Arial"/>
          <w:color w:val="000000"/>
          <w:sz w:val="20"/>
          <w:u w:val="single"/>
        </w:rPr>
        <w:t>OTHER INCOME (EXPENSE), NET</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74"/>
        <w:gridCol w:w="146"/>
        <w:gridCol w:w="211"/>
        <w:gridCol w:w="586"/>
        <w:gridCol w:w="166"/>
        <w:gridCol w:w="146"/>
        <w:gridCol w:w="211"/>
        <w:gridCol w:w="646"/>
        <w:gridCol w:w="166"/>
        <w:gridCol w:w="146"/>
        <w:gridCol w:w="211"/>
        <w:gridCol w:w="646"/>
        <w:gridCol w:w="166"/>
        <w:gridCol w:w="146"/>
        <w:gridCol w:w="211"/>
        <w:gridCol w:w="646"/>
        <w:gridCol w:w="681"/>
      </w:tblGrid>
      <w:tr>
        <w:trPr/>
        <w:tc>
          <w:tcPr>
            <w:tcW w:w="50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50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9,541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4,618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(1,848</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7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7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9,971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Other income (expense), net included $10.0 billion and $5.9 billion of net gains for the three and six months ended December 31, 2025, respectively, and $1.2 billion and $1.9 billion of net losses for the three and six months ended December 31, 2024, respectively, from investments in OpenAI, primarily net recognized gains (losses) on our equity method investment reflected in Other, net. The net gains recorded for the three and six months ended December 31, 2025 primarily relate to the dilution gain from the OpenAI Recapitalization.</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2025 Compared with Three Months Ended December 31, 2024</w:t>
      </w:r>
    </w:p>
    <w:p>
      <w:pPr>
        <w:pStyle w:val="TextBody"/>
        <w:bidi w:val="0"/>
        <w:spacing w:before="180" w:after="283"/>
        <w:jc w:val="both"/>
        <w:rPr>
          <w:rFonts w:ascii="Arial" w:hAnsi="Arial"/>
          <w:color w:val="000000"/>
          <w:sz w:val="20"/>
        </w:rPr>
      </w:pPr>
      <w:r>
        <w:rPr>
          <w:rFonts w:ascii="Arial" w:hAnsi="Arial"/>
          <w:color w:val="000000"/>
          <w:sz w:val="20"/>
        </w:rPr>
        <w:t>Interest and dividends income increased primarily due to higher portfolio balances and higher yields on debt securities. Interest expense increased primarily due to higher finance lease interest expense, offset in part by higher capitalization of debt interest expense. Net recognized gains on investments increased primarily due to lower impairments and higher gains on equity securities in the current period. Net gains on derivatives increased primarily due to gains on equity derivatives in the current period as compared to losses in the prior period. Other, net primarily reflects net recognized gains (losses) on equity method investments, including OpenAI.</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2025 Compared with Six Months Ended December 31, 2024</w:t>
      </w:r>
    </w:p>
    <w:p>
      <w:pPr>
        <w:pStyle w:val="TextBody"/>
        <w:bidi w:val="0"/>
        <w:spacing w:before="180" w:after="283"/>
        <w:jc w:val="both"/>
        <w:rPr>
          <w:rFonts w:ascii="Arial" w:hAnsi="Arial"/>
          <w:color w:val="000000"/>
          <w:sz w:val="20"/>
        </w:rPr>
      </w:pPr>
      <w:r>
        <w:rPr>
          <w:rFonts w:ascii="Arial" w:hAnsi="Arial"/>
          <w:color w:val="000000"/>
          <w:sz w:val="20"/>
        </w:rPr>
        <w:t>Interest and dividends income increased primarily due to higher portfolio balances and higher yields on debt securities. Interest expense increased primarily due to higher finance lease interest expense, offset in part by higher capitalization of debt interest expense. Net recognized losses on investments decreased primarily due to lower impairments, offset in part by losses on equity securities in the current period as compared to gains in the prior period. Net gains on derivatives increased primarily due to gains on equity derivatives in the current period as compared to losses in the prior period. Other, net primarily reflects net recognized gains (losses) on equity method investments, including OpenAI.</w:t>
      </w:r>
    </w:p>
    <w:p>
      <w:pPr>
        <w:pStyle w:val="TextBody"/>
        <w:bidi w:val="0"/>
        <w:spacing w:before="270" w:after="283"/>
        <w:jc w:val="center"/>
        <w:rPr>
          <w:rFonts w:ascii="Arial" w:hAnsi="Arial"/>
          <w:color w:val="000000"/>
          <w:sz w:val="20"/>
          <w:u w:val="single"/>
        </w:rPr>
      </w:pPr>
      <w:r>
        <w:rPr>
          <w:rFonts w:ascii="Arial" w:hAnsi="Arial"/>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was 20% for both the three and six months ended December 31, 2025, and 18% for both the three and six months ended December 31, 2024. The increase in our effective tax rate for the three and six months ended December 31, 2025 compared to the prior year was primarily due to deferred tax expense attributable to the dilution gain from the OpenAI Recapitalization and changes in the mix of our earnings and tax expenses between the U.S. and foreign countries.</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and six months ended December 31, 2025,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Arial" w:hAnsi="Arial"/>
          <w:color w:val="000000"/>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December 31,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pStyle w:val="TextBody"/>
        <w:bidi w:val="0"/>
        <w:spacing w:before="240" w:after="283"/>
        <w:jc w:val="center"/>
        <w:rPr>
          <w:rFonts w:ascii="Arial" w:hAnsi="Arial"/>
          <w:color w:val="000000"/>
          <w:sz w:val="16"/>
        </w:rPr>
      </w:pPr>
      <w:r>
        <w:rPr>
          <w:rFonts w:ascii="Arial" w:hAnsi="Arial"/>
          <w:color w:val="000000"/>
          <w:sz w:val="16"/>
        </w:rPr>
        <w:t>40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NON-GAAP FINANCIAL MEASURES</w:t>
      </w:r>
    </w:p>
    <w:p>
      <w:pPr>
        <w:pStyle w:val="TextBody"/>
        <w:bidi w:val="0"/>
        <w:spacing w:before="180" w:after="283"/>
        <w:jc w:val="both"/>
        <w:rPr>
          <w:rFonts w:ascii="Arial" w:hAnsi="Arial"/>
          <w:color w:val="000000"/>
          <w:sz w:val="20"/>
        </w:rPr>
      </w:pPr>
      <w:r>
        <w:rPr>
          <w:rFonts w:ascii="Arial" w:hAnsi="Arial"/>
          <w:color w:val="000000"/>
          <w:sz w:val="20"/>
        </w:rPr>
        <w:t>Adjusted other income (expense), net, adjusted net income, and adjusted diluted EPS are non-GAAP financial measures which exclude net (gains) losses from investments in OpenAI. We believe these non-GAAP measures aid investors by providing additional insight into our financial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pStyle w:val="TextBody"/>
        <w:bidi w:val="0"/>
        <w:spacing w:before="180" w:after="283"/>
        <w:jc w:val="both"/>
        <w:rPr>
          <w:rFonts w:ascii="Arial" w:hAnsi="Arial"/>
          <w:color w:val="000000"/>
          <w:sz w:val="20"/>
        </w:rPr>
      </w:pPr>
      <w:r>
        <w:rPr>
          <w:rFonts w:ascii="Arial" w:hAnsi="Arial"/>
          <w:color w:val="000000"/>
          <w:sz w:val="20"/>
        </w:rPr>
        <w:t>The following table reconciles our financial results reported in accordance with GAAP to non-GAAP financial results: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38"/>
        <w:gridCol w:w="146"/>
        <w:gridCol w:w="211"/>
        <w:gridCol w:w="691"/>
        <w:gridCol w:w="166"/>
        <w:gridCol w:w="146"/>
        <w:gridCol w:w="211"/>
        <w:gridCol w:w="691"/>
        <w:gridCol w:w="166"/>
        <w:gridCol w:w="146"/>
        <w:gridCol w:w="220"/>
        <w:gridCol w:w="726"/>
        <w:gridCol w:w="146"/>
        <w:gridCol w:w="146"/>
        <w:gridCol w:w="211"/>
        <w:gridCol w:w="691"/>
        <w:gridCol w:w="166"/>
        <w:gridCol w:w="146"/>
        <w:gridCol w:w="211"/>
        <w:gridCol w:w="691"/>
        <w:gridCol w:w="166"/>
        <w:gridCol w:w="146"/>
        <w:gridCol w:w="220"/>
        <w:gridCol w:w="726"/>
        <w:gridCol w:w="681"/>
      </w:tblGrid>
      <w:tr>
        <w:trPr/>
        <w:tc>
          <w:tcPr>
            <w:tcW w:w="23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338"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 except percentages 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9,971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3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from investments in OpenAI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(9,978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(5,917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3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other income (expense), net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66,205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(gains) losses from investments in OpenAI, net of tax of </w:t>
            </w:r>
            <w:r>
              <w:rPr>
                <w:rFonts w:ascii="Arial" w:hAnsi="Arial"/>
                <w:b/>
                <w:color w:val="000000"/>
                <w:sz w:val="20"/>
              </w:rPr>
              <w:t>$2,395</w:t>
            </w:r>
            <w:r>
              <w:rPr>
                <w:rFonts w:ascii="Arial" w:hAnsi="Arial"/>
                <w:color w:val="000000"/>
                <w:sz w:val="20"/>
              </w:rPr>
              <w:t xml:space="preserve">, $(297), </w:t>
            </w:r>
            <w:r>
              <w:rPr>
                <w:rFonts w:ascii="Arial" w:hAnsi="Arial"/>
                <w:b/>
                <w:color w:val="000000"/>
                <w:sz w:val="20"/>
              </w:rPr>
              <w:t>$1,420</w:t>
            </w:r>
            <w:r>
              <w:rPr>
                <w:rFonts w:ascii="Arial" w:hAnsi="Arial"/>
                <w:color w:val="000000"/>
                <w:sz w:val="20"/>
              </w:rPr>
              <w:t>, and $(462)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net income (non-GAAP)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30,875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61,708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from investments in OpenAI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(0.60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3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diluted earnings per share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LIQUIDITY AND CAPITAL RESOURCES</w:t>
      </w:r>
    </w:p>
    <w:p>
      <w:pPr>
        <w:pStyle w:val="TextBody"/>
        <w:bidi w:val="0"/>
        <w:spacing w:before="180" w:after="283"/>
        <w:jc w:val="both"/>
        <w:rPr>
          <w:rFonts w:ascii="Times New Roman" w:hAnsi="Times New Roman"/>
          <w:sz w:val="20"/>
        </w:rPr>
      </w:pPr>
      <w:r>
        <w:rPr>
          <w:rFonts w:ascii="Arial" w:hAnsi="Arial"/>
          <w:color w:val="000000"/>
          <w:sz w:val="20"/>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and material capital expenditures, for at least the next 12 months and thereafter for the foreseeable future.</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Cash, Cash Equivalents, and Investments</w:t>
      </w:r>
    </w:p>
    <w:p>
      <w:pPr>
        <w:pStyle w:val="TextBody"/>
        <w:bidi w:val="0"/>
        <w:spacing w:before="180" w:after="283"/>
        <w:jc w:val="both"/>
        <w:rPr>
          <w:rFonts w:ascii="Arial" w:hAnsi="Arial"/>
          <w:color w:val="000000"/>
          <w:sz w:val="20"/>
        </w:rPr>
      </w:pPr>
      <w:r>
        <w:rPr>
          <w:rFonts w:ascii="Arial" w:hAnsi="Arial"/>
          <w:color w:val="000000"/>
          <w:sz w:val="20"/>
        </w:rPr>
        <w:t>Cash, cash equivalents, and short-term investments totaled $89.5 billion and $94.6 billion as of December 31, 2025 and June 30, 2025, respectively. Equity and other investments were $21.2 billion and $15.4 billion as of December 31, 2025 and June 30, 2025,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pStyle w:val="TextBody"/>
        <w:bidi w:val="0"/>
        <w:spacing w:before="240" w:after="283"/>
        <w:jc w:val="center"/>
        <w:rPr>
          <w:rFonts w:ascii="Arial" w:hAnsi="Arial"/>
          <w:color w:val="000000"/>
          <w:sz w:val="16"/>
        </w:rPr>
      </w:pPr>
      <w:r>
        <w:rPr>
          <w:rFonts w:ascii="Arial" w:hAnsi="Arial"/>
          <w:color w:val="000000"/>
          <w:sz w:val="16"/>
        </w:rPr>
        <w:t>41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Valuation</w:t>
      </w:r>
    </w:p>
    <w:p>
      <w:pPr>
        <w:pStyle w:val="TextBody"/>
        <w:bidi w:val="0"/>
        <w:spacing w:before="180" w:after="283"/>
        <w:jc w:val="both"/>
        <w:rPr>
          <w:rFonts w:ascii="Arial" w:hAnsi="Arial"/>
          <w:color w:val="000000"/>
          <w:sz w:val="20"/>
        </w:rPr>
      </w:pPr>
      <w:r>
        <w:rPr>
          <w:rFonts w:ascii="Arial" w:hAnsi="Arial"/>
          <w:color w:val="000000"/>
          <w:sz w:val="20"/>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pStyle w:val="TextBody"/>
        <w:bidi w:val="0"/>
        <w:spacing w:before="180" w:after="283"/>
        <w:jc w:val="both"/>
        <w:rPr>
          <w:rFonts w:ascii="Arial" w:hAnsi="Arial"/>
          <w:color w:val="000000"/>
          <w:sz w:val="20"/>
        </w:rPr>
      </w:pPr>
      <w:r>
        <w:rPr>
          <w:rFonts w:ascii="Arial" w:hAnsi="Arial"/>
          <w:color w:val="000000"/>
          <w:sz w:val="20"/>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pStyle w:val="TextBody"/>
        <w:bidi w:val="0"/>
        <w:spacing w:before="270" w:after="283"/>
        <w:jc w:val="both"/>
        <w:rPr>
          <w:rFonts w:ascii="Arial" w:hAnsi="Arial"/>
          <w:b/>
          <w:color w:val="000000"/>
          <w:sz w:val="20"/>
        </w:rPr>
      </w:pPr>
      <w:r>
        <w:rPr>
          <w:rFonts w:ascii="Arial" w:hAnsi="Arial"/>
          <w:b/>
          <w:color w:val="000000"/>
          <w:sz w:val="20"/>
        </w:rPr>
        <w:t>Cash Flows</w:t>
      </w:r>
    </w:p>
    <w:p>
      <w:pPr>
        <w:pStyle w:val="TextBody"/>
        <w:bidi w:val="0"/>
        <w:spacing w:before="180" w:after="283"/>
        <w:jc w:val="both"/>
        <w:rPr>
          <w:rFonts w:ascii="Arial" w:hAnsi="Arial"/>
          <w:color w:val="000000"/>
          <w:sz w:val="20"/>
        </w:rPr>
      </w:pPr>
      <w:r>
        <w:rPr>
          <w:rFonts w:ascii="Arial" w:hAnsi="Arial"/>
          <w:color w:val="000000"/>
          <w:sz w:val="20"/>
        </w:rPr>
        <w:t>Cash from operations increased $24.3 billion to $80.8 billion for the six months ended December 31, 2025, primarily due to an increase in cash received from customers, offset in part by an increase in cash paid to suppliers. Cash used in financing increased $1.6 billion to $29.4 billion for the six months ended December 31, 2025, primarily due to a $4.0 billion increase in common stock repurchases, offset in part by a $3.7 billion decrease in cash used for repayments of debt. Cash used in investing increased $28.0 billion to $57.3 billion for the six months ended December 31, 2025, primarily due to an $18.5 billion increase in additions to property and equipment, a $5.9 billion increase in other investing to facilitate the purchase of components, and a $5.7 billion increase in cash used in net investment purchases, sales, and maturities.</w:t>
      </w:r>
    </w:p>
    <w:p>
      <w:pPr>
        <w:pStyle w:val="TextBody"/>
        <w:bidi w:val="0"/>
        <w:spacing w:before="270" w:after="283"/>
        <w:jc w:val="both"/>
        <w:rPr>
          <w:rFonts w:ascii="Arial" w:hAnsi="Arial"/>
          <w:b/>
          <w:color w:val="000000"/>
          <w:sz w:val="20"/>
        </w:rPr>
      </w:pPr>
      <w:r>
        <w:rPr>
          <w:rFonts w:ascii="Arial" w:hAnsi="Arial"/>
          <w:b/>
          <w:color w:val="000000"/>
          <w:sz w:val="20"/>
        </w:rPr>
        <w:t>Debt Proceeds</w:t>
      </w:r>
    </w:p>
    <w:p>
      <w:pPr>
        <w:pStyle w:val="TextBody"/>
        <w:bidi w:val="0"/>
        <w:spacing w:before="180" w:after="283"/>
        <w:jc w:val="both"/>
        <w:rPr>
          <w:rFonts w:ascii="Arial" w:hAnsi="Arial"/>
          <w:color w:val="000000"/>
          <w:sz w:val="20"/>
        </w:rPr>
      </w:pPr>
      <w:r>
        <w:rPr>
          <w:rFonts w:ascii="Arial" w:hAnsi="Arial"/>
          <w:color w:val="000000"/>
          <w:sz w:val="20"/>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9 – Debt of the Notes to Financial Statements (Part I, Item 1 of this Form 10-Q).</w:t>
      </w:r>
    </w:p>
    <w:p>
      <w:pPr>
        <w:pStyle w:val="TextBody"/>
        <w:bidi w:val="0"/>
        <w:spacing w:before="270" w:after="283"/>
        <w:jc w:val="both"/>
        <w:rPr>
          <w:rFonts w:ascii="Arial" w:hAnsi="Arial"/>
          <w:b/>
          <w:color w:val="000000"/>
          <w:sz w:val="20"/>
        </w:rPr>
      </w:pPr>
      <w:r>
        <w:rPr>
          <w:rFonts w:ascii="Arial" w:hAnsi="Arial"/>
          <w:b/>
          <w:color w:val="000000"/>
          <w:sz w:val="20"/>
        </w:rPr>
        <w:t>Unearned Revenue</w:t>
      </w:r>
    </w:p>
    <w:p>
      <w:pPr>
        <w:pStyle w:val="TextBody"/>
        <w:bidi w:val="0"/>
        <w:spacing w:before="180" w:after="283"/>
        <w:jc w:val="both"/>
        <w:rPr>
          <w:rFonts w:ascii="Times New Roman" w:hAnsi="Times New Roman"/>
          <w:sz w:val="20"/>
        </w:rPr>
      </w:pPr>
      <w:r>
        <w:rPr>
          <w:rFonts w:ascii="Arial" w:hAnsi="Arial"/>
          <w:color w:val="000000"/>
          <w:sz w:val="20"/>
        </w:rPr>
        <w:t>Unearned revenue comprises mainly unearned revenue related to volume licensing programs, which may include cloud services and Software Assurance (“SA”).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following table outlines the expected future recognition of unearned revenue as of December 31, 2025:</w:t>
      </w:r>
    </w:p>
    <w:p>
      <w:pPr>
        <w:pStyle w:val="TextBody"/>
        <w:bidi w:val="0"/>
        <w:jc w:val="both"/>
        <w:rPr/>
      </w:pPr>
      <w:r>
        <w:rPr/>
        <w:t> </w:t>
      </w:r>
    </w:p>
    <w:tbl>
      <w:tblPr>
        <w:tblW w:w="3850" w:type="dxa"/>
        <w:jc w:val="left"/>
        <w:tblInd w:w="0" w:type="dxa"/>
        <w:tblLayout w:type="fixed"/>
        <w:tblCellMar>
          <w:top w:w="28" w:type="dxa"/>
          <w:left w:w="28" w:type="dxa"/>
          <w:bottom w:w="28" w:type="dxa"/>
          <w:right w:w="28" w:type="dxa"/>
        </w:tblCellMar>
      </w:tblPr>
      <w:tblGrid>
        <w:gridCol w:w="2121"/>
        <w:gridCol w:w="146"/>
        <w:gridCol w:w="211"/>
        <w:gridCol w:w="691"/>
        <w:gridCol w:w="681"/>
      </w:tblGrid>
      <w:tr>
        <w:trPr/>
        <w:tc>
          <w:tcPr>
            <w:tcW w:w="21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Three Months 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12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March 31,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26,335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15,812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1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September 30,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6,350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December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2,879</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12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Thereafter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2,668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6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490"/>
              <w:jc w:val="both"/>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54,044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11 – Unearned Revenue of the Notes to Financial Statements (Part I, Item 1 of this Form 10-Q).</w:t>
      </w:r>
    </w:p>
    <w:p>
      <w:pPr>
        <w:pStyle w:val="TextBody"/>
        <w:bidi w:val="0"/>
        <w:spacing w:before="270" w:after="283"/>
        <w:jc w:val="both"/>
        <w:rPr>
          <w:rFonts w:ascii="Arial" w:hAnsi="Arial"/>
          <w:b/>
          <w:color w:val="000000"/>
          <w:sz w:val="20"/>
        </w:rPr>
      </w:pPr>
      <w:r>
        <w:rPr>
          <w:rFonts w:ascii="Arial" w:hAnsi="Arial"/>
          <w:b/>
          <w:color w:val="000000"/>
          <w:sz w:val="20"/>
        </w:rPr>
        <w:t>Material Cash Requirements and Other Obligations</w:t>
      </w:r>
    </w:p>
    <w:p>
      <w:pPr>
        <w:pStyle w:val="TextBody"/>
        <w:bidi w:val="0"/>
        <w:spacing w:before="270" w:after="283"/>
        <w:jc w:val="both"/>
        <w:rPr>
          <w:rFonts w:ascii="Arial" w:hAnsi="Arial"/>
          <w:b/>
          <w:i/>
          <w:color w:val="000000"/>
          <w:sz w:val="20"/>
        </w:rPr>
      </w:pPr>
      <w:r>
        <w:rPr>
          <w:rFonts w:ascii="Arial" w:hAnsi="Arial"/>
          <w:b/>
          <w:i/>
          <w:color w:val="000000"/>
          <w:sz w:val="20"/>
        </w:rPr>
        <w:t>Share Repurchases</w:t>
      </w:r>
    </w:p>
    <w:p>
      <w:pPr>
        <w:pStyle w:val="TextBody"/>
        <w:bidi w:val="0"/>
        <w:spacing w:before="180" w:after="283"/>
        <w:jc w:val="both"/>
        <w:rPr>
          <w:rFonts w:ascii="Arial" w:hAnsi="Arial"/>
          <w:color w:val="000000"/>
          <w:sz w:val="20"/>
        </w:rPr>
      </w:pPr>
      <w:r>
        <w:rPr>
          <w:rFonts w:ascii="Arial" w:hAnsi="Arial"/>
          <w:color w:val="000000"/>
          <w:sz w:val="20"/>
        </w:rPr>
        <w:t>For the six months ended December 31, 2025 and 2024, we repurchased 20 million shares and 15 million shares of our common stock for $9.9 billion and $6.3 billion, respectively, through our share repurchase program. All repurchases were made using cash resources. As of December 31, 2025, $47.4 billion remained of our $60 billion share repurchase program. Refer to Note 14 – Stockholders’ Equity of the Notes to Financial Statements (Part I, Item 1 of this Form 10-Q).</w:t>
      </w:r>
    </w:p>
    <w:p>
      <w:pPr>
        <w:pStyle w:val="TextBody"/>
        <w:bidi w:val="0"/>
        <w:spacing w:before="270" w:after="283"/>
        <w:jc w:val="both"/>
        <w:rPr>
          <w:rFonts w:ascii="Arial" w:hAnsi="Arial"/>
          <w:b/>
          <w:i/>
          <w:color w:val="000000"/>
          <w:sz w:val="20"/>
        </w:rPr>
      </w:pPr>
      <w:r>
        <w:rPr>
          <w:rFonts w:ascii="Arial" w:hAnsi="Arial"/>
          <w:b/>
          <w:i/>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For the six months ended December 31, 2025 and 2024, our Board of Directors declared dividends totaling $13.5 billion and $12.3 billion, respectively. We intend to continue returning capital to shareholders in the form of dividends, subject to declaration by our Board of Directors. Refer to Note 14 – Stockholders’ Equity of the Notes to Financial Statements (Part I, Item 1 of this Form 10-Q).</w:t>
      </w:r>
    </w:p>
    <w:p>
      <w:pPr>
        <w:pStyle w:val="TextBody"/>
        <w:bidi w:val="0"/>
        <w:spacing w:before="270" w:after="283"/>
        <w:jc w:val="both"/>
        <w:rPr>
          <w:rFonts w:ascii="Arial" w:hAnsi="Arial"/>
          <w:b/>
          <w:i/>
          <w:color w:val="000000"/>
          <w:sz w:val="20"/>
        </w:rPr>
      </w:pPr>
      <w:r>
        <w:rPr>
          <w:rFonts w:ascii="Arial" w:hAnsi="Arial"/>
          <w:b/>
          <w:i/>
          <w:color w:val="000000"/>
          <w:sz w:val="20"/>
        </w:rPr>
        <w:t>Other Planned Uses of Capital</w:t>
      </w:r>
    </w:p>
    <w:p>
      <w:pPr>
        <w:pStyle w:val="TextBody"/>
        <w:bidi w:val="0"/>
        <w:spacing w:before="180" w:after="283"/>
        <w:jc w:val="both"/>
        <w:rPr>
          <w:rFonts w:ascii="Arial" w:hAnsi="Arial"/>
          <w:color w:val="000000"/>
          <w:sz w:val="20"/>
        </w:rPr>
      </w:pPr>
      <w:r>
        <w:rPr>
          <w:rFonts w:ascii="Arial" w:hAnsi="Arial"/>
          <w:color w:val="000000"/>
          <w:sz w:val="20"/>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will continue to invest in capital expenditures to support growth in our cloud offerings and our investments in AI infrastructure and training.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pStyle w:val="TextBody"/>
        <w:bidi w:val="0"/>
        <w:spacing w:before="270" w:after="283"/>
        <w:jc w:val="center"/>
        <w:rPr>
          <w:rFonts w:ascii="Arial" w:hAnsi="Arial"/>
          <w:color w:val="000000"/>
          <w:sz w:val="20"/>
          <w:u w:val="single"/>
        </w:rPr>
      </w:pPr>
      <w:r>
        <w:rPr>
          <w:rFonts w:ascii="Arial" w:hAnsi="Arial"/>
          <w:color w:val="000000"/>
          <w:sz w:val="20"/>
          <w:u w:val="single"/>
        </w:rPr>
        <w:t>RECENT ACCOUNTING GUIDANCE</w:t>
      </w:r>
    </w:p>
    <w:p>
      <w:pPr>
        <w:pStyle w:val="TextBody"/>
        <w:bidi w:val="0"/>
        <w:spacing w:before="180" w:after="283"/>
        <w:jc w:val="both"/>
        <w:rPr>
          <w:rFonts w:ascii="Arial" w:hAnsi="Arial"/>
          <w:color w:val="000000"/>
          <w:sz w:val="20"/>
        </w:rPr>
      </w:pPr>
      <w:r>
        <w:rPr>
          <w:rFonts w:ascii="Arial" w:hAnsi="Arial"/>
          <w:color w:val="000000"/>
          <w:sz w:val="20"/>
        </w:rPr>
        <w:t>Refer to Note 1 – Accounting Policies of the Notes to Financial Statements (Part I, Item 1 of this Form 10-Q).</w:t>
      </w:r>
    </w:p>
    <w:p>
      <w:pPr>
        <w:pStyle w:val="TextBody"/>
        <w:bidi w:val="0"/>
        <w:spacing w:before="270" w:after="283"/>
        <w:jc w:val="center"/>
        <w:rPr>
          <w:rFonts w:ascii="Arial" w:hAnsi="Arial"/>
          <w:color w:val="000000"/>
          <w:sz w:val="20"/>
          <w:u w:val="single"/>
        </w:rPr>
      </w:pPr>
      <w:r>
        <w:rPr>
          <w:rFonts w:ascii="Arial" w:hAnsi="Arial"/>
          <w:color w:val="000000"/>
          <w:sz w:val="20"/>
          <w:u w:val="single"/>
        </w:rPr>
        <w:t>CRITICAL ACCOUNTING ESTIMATES</w:t>
      </w:r>
    </w:p>
    <w:p>
      <w:pPr>
        <w:pStyle w:val="TextBody"/>
        <w:bidi w:val="0"/>
        <w:spacing w:before="180" w:after="283"/>
        <w:jc w:val="both"/>
        <w:rPr>
          <w:rFonts w:ascii="Arial" w:hAnsi="Arial"/>
          <w:color w:val="000000"/>
          <w:sz w:val="20"/>
        </w:rPr>
      </w:pPr>
      <w:r>
        <w:rPr>
          <w:rFonts w:ascii="Arial" w:hAnsi="Arial"/>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and income taxes.</w:t>
      </w:r>
    </w:p>
    <w:p>
      <w:pPr>
        <w:pStyle w:val="TextBody"/>
        <w:bidi w:val="0"/>
        <w:spacing w:before="240" w:after="283"/>
        <w:jc w:val="center"/>
        <w:rPr>
          <w:rFonts w:ascii="Arial" w:hAnsi="Arial"/>
          <w:color w:val="000000"/>
          <w:sz w:val="16"/>
        </w:rPr>
      </w:pPr>
      <w:r>
        <w:rPr>
          <w:rFonts w:ascii="Arial" w:hAnsi="Arial"/>
          <w:color w:val="000000"/>
          <w:sz w:val="16"/>
        </w:rPr>
        <w:t>43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Revenue Recognition</w:t>
      </w:r>
    </w:p>
    <w:p>
      <w:pPr>
        <w:pStyle w:val="TextBody"/>
        <w:bidi w:val="0"/>
        <w:spacing w:before="180" w:after="283"/>
        <w:jc w:val="both"/>
        <w:rPr>
          <w:rFonts w:ascii="Arial" w:hAnsi="Arial"/>
          <w:color w:val="000000"/>
          <w:sz w:val="20"/>
        </w:rPr>
      </w:pPr>
      <w:r>
        <w:rPr>
          <w:rFonts w:ascii="Arial" w:hAnsi="Arial"/>
          <w:color w:val="000000"/>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pStyle w:val="TextBody"/>
        <w:bidi w:val="0"/>
        <w:spacing w:before="180" w:after="283"/>
        <w:jc w:val="both"/>
        <w:rPr>
          <w:rFonts w:ascii="Arial" w:hAnsi="Arial"/>
          <w:color w:val="000000"/>
          <w:sz w:val="20"/>
        </w:rPr>
      </w:pPr>
      <w:r>
        <w:rPr>
          <w:rFonts w:ascii="Arial" w:hAnsi="Arial"/>
          <w:color w:val="000000"/>
          <w:sz w:val="20"/>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pStyle w:val="TextBody"/>
        <w:bidi w:val="0"/>
        <w:spacing w:before="180" w:after="283"/>
        <w:jc w:val="both"/>
        <w:rPr>
          <w:rFonts w:ascii="Arial" w:hAnsi="Arial"/>
          <w:color w:val="000000"/>
          <w:sz w:val="20"/>
        </w:rPr>
      </w:pPr>
      <w:r>
        <w:rPr>
          <w:rFonts w:ascii="Arial" w:hAnsi="Arial"/>
          <w:color w:val="000000"/>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pStyle w:val="TextBody"/>
        <w:bidi w:val="0"/>
        <w:spacing w:before="180" w:after="283"/>
        <w:jc w:val="both"/>
        <w:rPr>
          <w:rFonts w:ascii="Arial" w:hAnsi="Arial"/>
          <w:color w:val="000000"/>
          <w:sz w:val="20"/>
        </w:rPr>
      </w:pPr>
      <w:r>
        <w:rPr>
          <w:rFonts w:ascii="Arial" w:hAnsi="Arial"/>
          <w:color w:val="000000"/>
          <w:sz w:val="20"/>
        </w:rPr>
        <w:t>Due to the various benefits from and the nature of our SA program, judgment is required to assess the pattern of delivery, including the exercise pattern of certain benefits across our portfolio of customers.</w:t>
      </w:r>
    </w:p>
    <w:p>
      <w:pPr>
        <w:pStyle w:val="TextBody"/>
        <w:bidi w:val="0"/>
        <w:spacing w:before="180" w:after="283"/>
        <w:jc w:val="both"/>
        <w:rPr>
          <w:rFonts w:ascii="Arial" w:hAnsi="Arial"/>
          <w:color w:val="000000"/>
          <w:sz w:val="20"/>
        </w:rPr>
      </w:pPr>
      <w:r>
        <w:rPr>
          <w:rFonts w:ascii="Arial" w:hAnsi="Arial"/>
          <w:color w:val="000000"/>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pStyle w:val="TextBody"/>
        <w:bidi w:val="0"/>
        <w:spacing w:before="180" w:after="283"/>
        <w:jc w:val="both"/>
        <w:rPr>
          <w:rFonts w:ascii="Arial" w:hAnsi="Arial"/>
          <w:color w:val="000000"/>
          <w:sz w:val="20"/>
        </w:rPr>
      </w:pPr>
      <w:r>
        <w:rPr>
          <w:rFonts w:ascii="Arial" w:hAnsi="Arial"/>
          <w:color w:val="000000"/>
          <w:sz w:val="20"/>
        </w:rPr>
        <w:t>Remaining performance obligations represent the revenue we expect to recognize for our products and services for which control has not yet been transferred to customers. We estimate total consideration to be received at the outset of the agreement and throughout the term of the agreement. Estimating the total consideration and revenue that will be allocated to remaining performance obligation can involve significant judgments, including identifying and assessing variable consideration and potential renegotiation of commitments. We consider factors such as the nature of the terms and duration of the contract across our portfolio of contracts.</w:t>
      </w:r>
    </w:p>
    <w:p>
      <w:pPr>
        <w:pStyle w:val="TextBody"/>
        <w:bidi w:val="0"/>
        <w:spacing w:before="270" w:after="283"/>
        <w:jc w:val="both"/>
        <w:rPr>
          <w:rFonts w:ascii="Arial" w:hAnsi="Arial"/>
          <w:b/>
          <w:color w:val="000000"/>
          <w:sz w:val="20"/>
        </w:rPr>
      </w:pPr>
      <w:r>
        <w:rPr>
          <w:rFonts w:ascii="Arial" w:hAnsi="Arial"/>
          <w:b/>
          <w:color w:val="000000"/>
          <w:sz w:val="20"/>
        </w:rPr>
        <w:t>Impairment of Investment Securities</w:t>
      </w:r>
    </w:p>
    <w:p>
      <w:pPr>
        <w:pStyle w:val="TextBody"/>
        <w:bidi w:val="0"/>
        <w:spacing w:before="180" w:after="283"/>
        <w:jc w:val="both"/>
        <w:rPr>
          <w:rFonts w:ascii="Arial" w:hAnsi="Arial"/>
          <w:color w:val="000000"/>
          <w:sz w:val="20"/>
        </w:rPr>
      </w:pPr>
      <w:r>
        <w:rPr>
          <w:rFonts w:ascii="Arial" w:hAnsi="Arial"/>
          <w:color w:val="000000"/>
          <w:sz w:val="20"/>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180" w:after="283"/>
        <w:jc w:val="both"/>
        <w:rPr>
          <w:rFonts w:ascii="Arial" w:hAnsi="Arial"/>
          <w:color w:val="000000"/>
          <w:sz w:val="20"/>
        </w:rPr>
      </w:pPr>
      <w:r>
        <w:rPr>
          <w:rFonts w:ascii="Arial" w:hAnsi="Arial"/>
          <w:color w:val="000000"/>
          <w:sz w:val="20"/>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pStyle w:val="TextBody"/>
        <w:bidi w:val="0"/>
        <w:spacing w:before="240" w:after="283"/>
        <w:jc w:val="center"/>
        <w:rPr>
          <w:rFonts w:ascii="Arial" w:hAnsi="Arial"/>
          <w:color w:val="000000"/>
          <w:sz w:val="16"/>
        </w:rPr>
      </w:pPr>
      <w:r>
        <w:rPr>
          <w:rFonts w:ascii="Arial" w:hAnsi="Arial"/>
          <w:color w:val="000000"/>
          <w:sz w:val="16"/>
        </w:rPr>
        <w:t>44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Goodwill</w:t>
      </w:r>
    </w:p>
    <w:p>
      <w:pPr>
        <w:pStyle w:val="TextBody"/>
        <w:bidi w:val="0"/>
        <w:spacing w:before="180" w:after="283"/>
        <w:jc w:val="both"/>
        <w:rPr>
          <w:rFonts w:ascii="Arial" w:hAnsi="Arial"/>
          <w:color w:val="000000"/>
          <w:sz w:val="20"/>
        </w:rPr>
      </w:pPr>
      <w:r>
        <w:rPr>
          <w:rFonts w:ascii="Arial" w:hAnsi="Arial"/>
          <w:color w:val="000000"/>
          <w:sz w:val="20"/>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pStyle w:val="TextBody"/>
        <w:bidi w:val="0"/>
        <w:spacing w:before="180" w:after="283"/>
        <w:jc w:val="both"/>
        <w:rPr>
          <w:rFonts w:ascii="Arial" w:hAnsi="Arial"/>
          <w:color w:val="000000"/>
          <w:sz w:val="20"/>
        </w:rPr>
      </w:pPr>
      <w:r>
        <w:rPr>
          <w:rFonts w:ascii="Arial" w:hAnsi="Arial"/>
          <w:color w:val="000000"/>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pStyle w:val="TextBody"/>
        <w:bidi w:val="0"/>
        <w:spacing w:before="180" w:after="283"/>
        <w:jc w:val="both"/>
        <w:rPr>
          <w:rFonts w:ascii="Arial" w:hAnsi="Arial"/>
          <w:color w:val="000000"/>
          <w:sz w:val="20"/>
        </w:rPr>
      </w:pPr>
      <w:r>
        <w:rPr>
          <w:rFonts w:ascii="Arial" w:hAnsi="Arial"/>
          <w:color w:val="000000"/>
          <w:sz w:val="20"/>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pStyle w:val="TextBody"/>
        <w:bidi w:val="0"/>
        <w:spacing w:before="270" w:after="283"/>
        <w:jc w:val="both"/>
        <w:rPr>
          <w:rFonts w:ascii="Arial" w:hAnsi="Arial"/>
          <w:b/>
          <w:color w:val="000000"/>
          <w:sz w:val="20"/>
        </w:rPr>
      </w:pPr>
      <w:r>
        <w:rPr>
          <w:rFonts w:ascii="Arial" w:hAnsi="Arial"/>
          <w:b/>
          <w:color w:val="000000"/>
          <w:sz w:val="20"/>
        </w:rPr>
        <w:t>Research and Development Costs</w:t>
      </w:r>
    </w:p>
    <w:p>
      <w:pPr>
        <w:pStyle w:val="TextBody"/>
        <w:bidi w:val="0"/>
        <w:spacing w:before="180" w:after="283"/>
        <w:jc w:val="both"/>
        <w:rPr>
          <w:rFonts w:ascii="Times New Roman" w:hAnsi="Times New Roman"/>
          <w:sz w:val="20"/>
        </w:rPr>
      </w:pPr>
      <w:r>
        <w:rPr>
          <w:rFonts w:ascii="Arial" w:hAnsi="Arial"/>
          <w:color w:val="000000"/>
          <w:sz w:val="20"/>
        </w:rPr>
        <w:t>Costs incurred internally in researching and developing a software product to be marketed or sold to external users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Legal and Other Contingencies</w:t>
      </w:r>
    </w:p>
    <w:p>
      <w:pPr>
        <w:pStyle w:val="TextBody"/>
        <w:bidi w:val="0"/>
        <w:spacing w:before="180" w:after="283"/>
        <w:jc w:val="both"/>
        <w:rPr>
          <w:rFonts w:ascii="Arial" w:hAnsi="Arial"/>
          <w:color w:val="000000"/>
          <w:sz w:val="20"/>
        </w:rPr>
      </w:pPr>
      <w:r>
        <w:rPr>
          <w:rFonts w:ascii="Arial" w:hAnsi="Arial"/>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Income Taxes</w:t>
      </w:r>
    </w:p>
    <w:p>
      <w:pPr>
        <w:pStyle w:val="TextBody"/>
        <w:bidi w:val="0"/>
        <w:spacing w:before="180" w:after="283"/>
        <w:jc w:val="both"/>
        <w:rPr>
          <w:rFonts w:ascii="Times New Roman" w:hAnsi="Times New Roman"/>
          <w:sz w:val="20"/>
        </w:rPr>
      </w:pPr>
      <w:r>
        <w:rPr>
          <w:rFonts w:ascii="Arial" w:hAnsi="Arial"/>
          <w:color w:val="000000"/>
          <w:sz w:val="20"/>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3, 4</w:t>
      </w:r>
    </w:p>
    <w:p>
      <w:pPr>
        <w:pStyle w:val="TextBody"/>
        <w:bidi w:val="0"/>
        <w:jc w:val="left"/>
        <w:rPr/>
      </w:pPr>
      <w:r>
        <w:rPr/>
        <w:t> </w:t>
      </w:r>
    </w:p>
    <w:p>
      <w:pPr>
        <w:pStyle w:val="TextBody"/>
        <w:bidi w:val="0"/>
        <w:jc w:val="center"/>
        <w:rPr>
          <w:rFonts w:ascii="Arial" w:hAnsi="Arial"/>
          <w:b/>
          <w:color w:val="000000"/>
          <w:sz w:val="24"/>
        </w:rPr>
      </w:pPr>
      <w:bookmarkStart w:id="13" w:name="item_3_quantitative_qualitative_disclosu"/>
      <w:bookmarkEnd w:id="13"/>
      <w:r>
        <w:rPr>
          <w:rFonts w:ascii="Arial" w:hAnsi="Arial"/>
          <w:b/>
          <w:color w:val="000000"/>
          <w:sz w:val="24"/>
        </w:rPr>
        <w:t>ITEM 3. QUANTITATIVE AND QUALITATIVE DISCLOSURES ABOUT MARKET RISK</w:t>
      </w:r>
    </w:p>
    <w:p>
      <w:pPr>
        <w:pStyle w:val="TextBody"/>
        <w:bidi w:val="0"/>
        <w:spacing w:before="180" w:after="283"/>
        <w:jc w:val="center"/>
        <w:rPr>
          <w:rFonts w:ascii="Arial" w:hAnsi="Arial"/>
          <w:color w:val="000000"/>
          <w:sz w:val="20"/>
          <w:u w:val="single"/>
        </w:rPr>
      </w:pPr>
      <w:r>
        <w:rPr>
          <w:rFonts w:ascii="Arial" w:hAnsi="Arial"/>
          <w:color w:val="000000"/>
          <w:sz w:val="20"/>
          <w:u w:val="single"/>
        </w:rPr>
        <w:t>RISKS</w:t>
      </w:r>
    </w:p>
    <w:p>
      <w:pPr>
        <w:pStyle w:val="TextBody"/>
        <w:bidi w:val="0"/>
        <w:spacing w:before="180" w:after="283"/>
        <w:jc w:val="both"/>
        <w:rPr>
          <w:rFonts w:ascii="Arial" w:hAnsi="Arial"/>
          <w:color w:val="000000"/>
          <w:sz w:val="20"/>
        </w:rPr>
      </w:pPr>
      <w:r>
        <w:rPr>
          <w:rFonts w:ascii="Arial" w:hAnsi="Arial"/>
          <w:color w:val="000000"/>
          <w:sz w:val="20"/>
        </w:rPr>
        <w:t>We are exposed to economic risk from foreign exchange rates, interest rates, credit risk, and equity prices. We use derivatives instruments to manage these risks, however, they may still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Foreign Currencies</w:t>
      </w:r>
    </w:p>
    <w:p>
      <w:pPr>
        <w:pStyle w:val="TextBody"/>
        <w:bidi w:val="0"/>
        <w:spacing w:before="180" w:after="283"/>
        <w:jc w:val="both"/>
        <w:rPr>
          <w:rFonts w:ascii="Arial" w:hAnsi="Arial"/>
          <w:color w:val="000000"/>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pStyle w:val="TextBody"/>
        <w:bidi w:val="0"/>
        <w:spacing w:before="270" w:after="283"/>
        <w:jc w:val="both"/>
        <w:rPr>
          <w:rFonts w:ascii="Arial" w:hAnsi="Arial"/>
          <w:b/>
          <w:color w:val="000000"/>
          <w:sz w:val="20"/>
        </w:rPr>
      </w:pPr>
      <w:r>
        <w:rPr>
          <w:rFonts w:ascii="Arial" w:hAnsi="Arial"/>
          <w:b/>
          <w:color w:val="000000"/>
          <w:sz w:val="20"/>
        </w:rPr>
        <w:t>Interest Rate</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pStyle w:val="TextBody"/>
        <w:bidi w:val="0"/>
        <w:spacing w:before="270" w:after="283"/>
        <w:jc w:val="both"/>
        <w:rPr>
          <w:rFonts w:ascii="Arial" w:hAnsi="Arial"/>
          <w:b/>
          <w:color w:val="000000"/>
          <w:sz w:val="20"/>
        </w:rPr>
      </w:pPr>
      <w:r>
        <w:rPr>
          <w:rFonts w:ascii="Arial" w:hAnsi="Arial"/>
          <w:b/>
          <w:color w:val="000000"/>
          <w:sz w:val="20"/>
        </w:rPr>
        <w:t>Credit</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manage credit exposures relative to broad-based indices to facilitate portfolio diversification.</w:t>
      </w:r>
    </w:p>
    <w:p>
      <w:pPr>
        <w:pStyle w:val="TextBody"/>
        <w:bidi w:val="0"/>
        <w:spacing w:before="270" w:after="283"/>
        <w:jc w:val="both"/>
        <w:rPr>
          <w:rFonts w:ascii="Arial" w:hAnsi="Arial"/>
          <w:b/>
          <w:color w:val="000000"/>
          <w:sz w:val="20"/>
        </w:rPr>
      </w:pPr>
      <w:r>
        <w:rPr>
          <w:rFonts w:ascii="Arial" w:hAnsi="Arial"/>
          <w:b/>
          <w:color w:val="000000"/>
          <w:sz w:val="20"/>
        </w:rPr>
        <w:t>Equity</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price risk.</w:t>
      </w:r>
    </w:p>
    <w:p>
      <w:pPr>
        <w:pStyle w:val="TextBody"/>
        <w:bidi w:val="0"/>
        <w:spacing w:before="270" w:after="283"/>
        <w:jc w:val="center"/>
        <w:rPr>
          <w:rFonts w:ascii="Arial" w:hAnsi="Arial"/>
          <w:color w:val="000000"/>
          <w:sz w:val="20"/>
          <w:u w:val="single"/>
        </w:rPr>
      </w:pPr>
      <w:r>
        <w:rPr>
          <w:rFonts w:ascii="Arial" w:hAnsi="Arial"/>
          <w:color w:val="000000"/>
          <w:sz w:val="20"/>
          <w:u w:val="single"/>
        </w:rPr>
        <w:t>SENSITIVITY ANALYSIS</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potential loss in future earnings or fair values, including associated derivatives, resulting from hypothetical changes in relevant market rates or prices: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38"/>
        <w:gridCol w:w="146"/>
        <w:gridCol w:w="146"/>
        <w:gridCol w:w="4119"/>
        <w:gridCol w:w="146"/>
        <w:gridCol w:w="239"/>
        <w:gridCol w:w="854"/>
        <w:gridCol w:w="166"/>
        <w:gridCol w:w="146"/>
        <w:gridCol w:w="481"/>
        <w:gridCol w:w="485"/>
        <w:gridCol w:w="439"/>
      </w:tblGrid>
      <w:tr>
        <w:trPr/>
        <w:tc>
          <w:tcPr>
            <w:tcW w:w="2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8654"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6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Risk Categories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Hypothetical Change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Impact</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1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3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9"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1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U.S. treasury interest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3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Credit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credit spreads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9"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1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equity market prices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bookmarkStart w:id="14" w:name="item_4_controls_procedures"/>
      <w:bookmarkEnd w:id="14"/>
      <w:r>
        <w:rPr>
          <w:rFonts w:ascii="Arial" w:hAnsi="Arial"/>
          <w:b/>
          <w:color w:val="000000"/>
          <w:sz w:val="24"/>
        </w:rPr>
        <w:t>ITEM 4. CONTROLS</w:t>
      </w:r>
      <w:r>
        <w:rPr>
          <w:rFonts w:ascii="Times New Roman" w:hAnsi="Times New Roman"/>
          <w:color w:val="000000"/>
          <w:sz w:val="20"/>
        </w:rPr>
        <w:t xml:space="preserve"> </w:t>
      </w:r>
      <w:r>
        <w:rPr>
          <w:rFonts w:ascii="Arial" w:hAnsi="Arial"/>
          <w:b/>
          <w:color w:val="000000"/>
          <w:sz w:val="24"/>
        </w:rPr>
        <w:t>AND PROCEDURES</w:t>
      </w:r>
    </w:p>
    <w:p>
      <w:pPr>
        <w:pStyle w:val="TextBody"/>
        <w:bidi w:val="0"/>
        <w:spacing w:before="180" w:after="283"/>
        <w:jc w:val="both"/>
        <w:rPr>
          <w:rFonts w:ascii="Arial" w:hAnsi="Arial"/>
          <w:color w:val="000000"/>
          <w:sz w:val="20"/>
        </w:rPr>
      </w:pPr>
      <w:r>
        <w:rPr>
          <w:rFonts w:ascii="Arial" w:hAnsi="Arial"/>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16"/>
        </w:rPr>
      </w:pPr>
      <w:r>
        <w:rPr>
          <w:rFonts w:ascii="Arial" w:hAnsi="Arial"/>
          <w:color w:val="000000"/>
          <w:sz w:val="16"/>
        </w:rPr>
        <w:t>46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 1A</w:t>
      </w:r>
    </w:p>
    <w:p>
      <w:pPr>
        <w:pStyle w:val="TextBody"/>
        <w:bidi w:val="0"/>
        <w:jc w:val="left"/>
        <w:rPr/>
      </w:pPr>
      <w:r>
        <w:rPr/>
        <w:t> </w:t>
      </w:r>
    </w:p>
    <w:p>
      <w:pPr>
        <w:pStyle w:val="TextBody"/>
        <w:bidi w:val="0"/>
        <w:jc w:val="center"/>
        <w:rPr>
          <w:rFonts w:ascii="Times New Roman" w:hAnsi="Times New Roman"/>
          <w:sz w:val="20"/>
        </w:rPr>
      </w:pPr>
      <w:bookmarkStart w:id="15" w:name="part_ii_or_information"/>
      <w:bookmarkEnd w:id="15"/>
      <w:r>
        <w:rPr>
          <w:rFonts w:ascii="Arial" w:hAnsi="Arial"/>
          <w:b/>
          <w:color w:val="000000"/>
          <w:sz w:val="20"/>
        </w:rPr>
        <w:t>PART II. 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180" w:after="283"/>
        <w:jc w:val="center"/>
        <w:rPr>
          <w:rFonts w:ascii="Arial" w:hAnsi="Arial"/>
          <w:b/>
          <w:color w:val="000000"/>
          <w:sz w:val="24"/>
        </w:rPr>
      </w:pPr>
      <w:bookmarkStart w:id="16" w:name="item_1_legal_proceedings"/>
      <w:bookmarkEnd w:id="16"/>
      <w:r>
        <w:rPr>
          <w:rFonts w:ascii="Arial" w:hAnsi="Arial"/>
          <w:b/>
          <w:color w:val="000000"/>
          <w:sz w:val="24"/>
        </w:rPr>
        <w:t>ITEM 1. LEGAL PROCEEDINGS</w:t>
      </w:r>
    </w:p>
    <w:p>
      <w:pPr>
        <w:pStyle w:val="TextBody"/>
        <w:bidi w:val="0"/>
        <w:spacing w:before="180" w:after="283"/>
        <w:jc w:val="both"/>
        <w:rPr>
          <w:rFonts w:ascii="Arial" w:hAnsi="Arial"/>
          <w:color w:val="000000"/>
          <w:sz w:val="20"/>
        </w:rPr>
      </w:pPr>
      <w:r>
        <w:rPr>
          <w:rFonts w:ascii="Arial" w:hAnsi="Arial"/>
          <w:color w:val="000000"/>
          <w:sz w:val="20"/>
        </w:rPr>
        <w:t>Refer to Note 13 – Contingencies of the Notes to Financial Statements (Part I, Item 1 of this Form 10-Q) for information regarding legal proceedings in which we are involved.</w:t>
      </w:r>
    </w:p>
    <w:p>
      <w:pPr>
        <w:pStyle w:val="TextBody"/>
        <w:bidi w:val="0"/>
        <w:spacing w:before="270" w:after="283"/>
        <w:jc w:val="center"/>
        <w:rPr>
          <w:rFonts w:ascii="Arial" w:hAnsi="Arial"/>
          <w:b/>
          <w:color w:val="000000"/>
          <w:sz w:val="24"/>
        </w:rPr>
      </w:pPr>
      <w:bookmarkStart w:id="17" w:name="item_1a_risk_factors"/>
      <w:bookmarkEnd w:id="17"/>
      <w:r>
        <w:rPr>
          <w:rFonts w:ascii="Arial" w:hAnsi="Arial"/>
          <w:b/>
          <w:color w:val="000000"/>
          <w:sz w:val="24"/>
        </w:rPr>
        <w:t>ITEM 1A. RISK FACTORS</w:t>
      </w:r>
    </w:p>
    <w:p>
      <w:pPr>
        <w:pStyle w:val="TextBody"/>
        <w:bidi w:val="0"/>
        <w:spacing w:before="180" w:after="283"/>
        <w:jc w:val="both"/>
        <w:rPr>
          <w:rFonts w:ascii="Arial" w:hAnsi="Arial"/>
          <w:color w:val="000000"/>
          <w:sz w:val="20"/>
        </w:rPr>
      </w:pPr>
      <w:r>
        <w:rPr>
          <w:rFonts w:ascii="Arial" w:hAnsi="Arial"/>
          <w:color w:val="000000"/>
          <w:sz w:val="20"/>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pStyle w:val="TextBody"/>
        <w:bidi w:val="0"/>
        <w:spacing w:before="270" w:after="283"/>
        <w:jc w:val="center"/>
        <w:rPr>
          <w:rFonts w:ascii="Arial" w:hAnsi="Arial"/>
          <w:color w:val="000000"/>
          <w:sz w:val="20"/>
          <w:u w:val="single"/>
        </w:rPr>
      </w:pPr>
      <w:r>
        <w:rPr>
          <w:rFonts w:ascii="Arial" w:hAnsi="Arial"/>
          <w:color w:val="000000"/>
          <w:sz w:val="20"/>
          <w:u w:val="single"/>
        </w:rPr>
        <w:t>STRATEGIC AND COMPETITIVE RISKS</w:t>
      </w:r>
    </w:p>
    <w:p>
      <w:pPr>
        <w:pStyle w:val="TextBody"/>
        <w:bidi w:val="0"/>
        <w:spacing w:before="180" w:after="283"/>
        <w:jc w:val="both"/>
        <w:rPr>
          <w:rFonts w:ascii="Arial" w:hAnsi="Arial"/>
          <w:b/>
          <w:color w:val="000000"/>
          <w:sz w:val="20"/>
        </w:rPr>
      </w:pPr>
      <w:r>
        <w:rPr>
          <w:rFonts w:ascii="Arial" w:hAnsi="Arial"/>
          <w:b/>
          <w:color w:val="000000"/>
          <w:sz w:val="20"/>
        </w:rPr>
        <w:t>We face intense competition across all markets for our products and services, which could adversely affect our results of operations.</w:t>
      </w:r>
    </w:p>
    <w:p>
      <w:pPr>
        <w:pStyle w:val="TextBody"/>
        <w:bidi w:val="0"/>
        <w:spacing w:before="180" w:after="283"/>
        <w:jc w:val="both"/>
        <w:rPr>
          <w:rFonts w:ascii="Arial" w:hAnsi="Arial"/>
          <w:b/>
          <w:i/>
          <w:color w:val="000000"/>
          <w:sz w:val="20"/>
        </w:rPr>
      </w:pPr>
      <w:r>
        <w:rPr>
          <w:rFonts w:ascii="Arial" w:hAnsi="Arial"/>
          <w:b/>
          <w:i/>
          <w:color w:val="000000"/>
          <w:sz w:val="20"/>
        </w:rPr>
        <w:t>Competition in the technology sector</w:t>
      </w:r>
    </w:p>
    <w:p>
      <w:pPr>
        <w:pStyle w:val="TextBody"/>
        <w:bidi w:val="0"/>
        <w:spacing w:before="180" w:after="283"/>
        <w:jc w:val="both"/>
        <w:rPr>
          <w:rFonts w:ascii="Arial" w:hAnsi="Arial"/>
          <w:color w:val="000000"/>
          <w:sz w:val="20"/>
        </w:rPr>
      </w:pPr>
      <w:r>
        <w:rPr>
          <w:rFonts w:ascii="Arial" w:hAnsi="Arial"/>
          <w:color w:val="000000"/>
          <w:sz w:val="20"/>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could adversely affect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Competition among platform-based ecosystems</w:t>
      </w:r>
    </w:p>
    <w:p>
      <w:pPr>
        <w:pStyle w:val="TextBody"/>
        <w:bidi w:val="0"/>
        <w:spacing w:before="180" w:after="283"/>
        <w:jc w:val="both"/>
        <w:rPr>
          <w:rFonts w:ascii="Arial" w:hAnsi="Arial"/>
          <w:color w:val="000000"/>
          <w:sz w:val="20"/>
        </w:rPr>
      </w:pPr>
      <w:r>
        <w:rPr>
          <w:rFonts w:ascii="Arial" w:hAnsi="Arial"/>
          <w:color w:val="000000"/>
          <w:sz w:val="20"/>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meet consumer demand and to achieve and maintain attractive margins. We face significant competition from firms that provide competing platforms.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Shifting a portion of our business to a vertically-integrated model may increase our cost of revenue and reduce our operating margins.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pStyle w:val="TextBody"/>
        <w:bidi w:val="0"/>
        <w:spacing w:before="240" w:after="283"/>
        <w:jc w:val="center"/>
        <w:rPr>
          <w:rFonts w:ascii="Arial" w:hAnsi="Arial"/>
          <w:color w:val="000000"/>
          <w:sz w:val="16"/>
        </w:rPr>
      </w:pPr>
      <w:r>
        <w:rPr>
          <w:rFonts w:ascii="Arial" w:hAnsi="Arial"/>
          <w:color w:val="000000"/>
          <w:sz w:val="16"/>
        </w:rPr>
        <w:t>47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pStyle w:val="TextBody"/>
        <w:bidi w:val="0"/>
        <w:spacing w:before="180" w:after="283"/>
        <w:jc w:val="both"/>
        <w:rPr>
          <w:rFonts w:ascii="Arial" w:hAnsi="Arial"/>
          <w:color w:val="000000"/>
          <w:sz w:val="20"/>
        </w:rPr>
      </w:pPr>
      <w:r>
        <w:rPr>
          <w:rFonts w:ascii="Arial" w:hAnsi="Arial"/>
          <w:color w:val="000000"/>
          <w:sz w:val="20"/>
        </w:rPr>
        <w:t>For all of these reasons, we may not be able to compete successfully against our current and future competitors, which could adversely affect our business, operations,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Business model competition</w:t>
      </w:r>
    </w:p>
    <w:p>
      <w:pPr>
        <w:pStyle w:val="TextBody"/>
        <w:bidi w:val="0"/>
        <w:spacing w:before="180" w:after="283"/>
        <w:jc w:val="both"/>
        <w:rPr>
          <w:rFonts w:ascii="Arial" w:hAnsi="Arial"/>
          <w:color w:val="000000"/>
          <w:sz w:val="20"/>
        </w:rPr>
      </w:pPr>
      <w:r>
        <w:rPr>
          <w:rFonts w:ascii="Arial" w:hAnsi="Arial"/>
          <w:color w:val="000000"/>
          <w:sz w:val="20"/>
        </w:rPr>
        <w:t>Companies compete with us based on a growing variety of business models.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material part of our business involves cloud-based services available across the spectrum of computing devices. We and our competitors continue to devote significant resources to developing and deploying cloud-based strategies and services for consumers and business customers, and pricing and delivery models are evolving.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are investing in artificial intelligence (“AI”) across the entire company and infusing generative AI capabilities into our consumer and commercial offerings. AI technology and services are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Some companies compete with us by modifying and then distributing open-source software at little or no cost to end users, developing, making available, or using AI models that are open, and earning revenue on advertising or integrated products and services. These firms do not bear the full costs of research and development for the open-source products. Some open-source products mimic the features and functionality of our products.</w:t>
      </w:r>
    </w:p>
    <w:p>
      <w:pPr>
        <w:pStyle w:val="TextBody"/>
        <w:bidi w:val="0"/>
        <w:spacing w:before="180" w:after="283"/>
        <w:jc w:val="both"/>
        <w:rPr>
          <w:rFonts w:ascii="Arial" w:hAnsi="Arial"/>
          <w:color w:val="000000"/>
          <w:sz w:val="20"/>
        </w:rPr>
      </w:pPr>
      <w:r>
        <w:rPr>
          <w:rFonts w:ascii="Arial" w:hAnsi="Arial"/>
          <w:color w:val="000000"/>
          <w:sz w:val="20"/>
        </w:rPr>
        <w:t>The competitive pressures described above may cause decreased sales volumes, price reductions, and/or increased operating costs, such as for research and development, marketing, and sales incentives, which could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Our focus on cloud-based and AI services presents execution and competitive risks.</w:t>
      </w:r>
      <w:r>
        <w:rPr>
          <w:rFonts w:ascii="Times New Roman" w:hAnsi="Times New Roman"/>
          <w:color w:val="000000"/>
          <w:sz w:val="20"/>
        </w:rPr>
        <w:t xml:space="preserve"> </w:t>
      </w:r>
      <w:r>
        <w:rPr>
          <w:rFonts w:ascii="Arial" w:hAnsi="Arial"/>
          <w:color w:val="000000"/>
          <w:sz w:val="20"/>
        </w:rPr>
        <w:t>We are incurring significant costs to build and maintain infrastructure to support cloud-based and AI services, reducing operating margins. Whether we succeed in cloud-based and AI services depends on our execution in several areas, including: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bring to market compelling cloud-based and AI services and products that generate increasing traffic and market share.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Maintaining the utility, compatibility, and performance of our cloud-based and AI services on the growing array of computing devices, including PCs, smartphones, tablets, gaming consoles, and other devices.</w:t>
      </w:r>
    </w:p>
    <w:p>
      <w:pPr>
        <w:pStyle w:val="TextBody"/>
        <w:bidi w:val="0"/>
        <w:spacing w:before="240" w:after="283"/>
        <w:jc w:val="center"/>
        <w:rPr>
          <w:rFonts w:ascii="Arial" w:hAnsi="Arial"/>
          <w:color w:val="000000"/>
          <w:sz w:val="16"/>
        </w:rPr>
      </w:pPr>
      <w:r>
        <w:rPr>
          <w:rFonts w:ascii="Arial" w:hAnsi="Arial"/>
          <w:color w:val="000000"/>
          <w:sz w:val="16"/>
        </w:rPr>
        <w:t>48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enhance the attractiveness of our cloud platforms to third-party developers.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Ensuring our cloud-based services meet the reliability expectations and specific requirements of our customers and maintain the security of their data as well as help them meet their own compliance needs.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Making our suite of cloud-based services platform-agnostic, available on a wide range of devices and ecosystems, including those of our competitors.</w:t>
      </w:r>
    </w:p>
    <w:p>
      <w:pPr>
        <w:pStyle w:val="TextBody"/>
        <w:bidi w:val="0"/>
        <w:spacing w:before="180" w:after="283"/>
        <w:jc w:val="both"/>
        <w:rPr>
          <w:rFonts w:ascii="Arial" w:hAnsi="Arial"/>
          <w:color w:val="000000"/>
          <w:sz w:val="20"/>
        </w:rPr>
      </w:pPr>
      <w:r>
        <w:rPr>
          <w:rFonts w:ascii="Arial" w:hAnsi="Arial"/>
          <w:color w:val="000000"/>
          <w:sz w:val="20"/>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could adversely affect our operations,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Our AI systems offer users powerful tools and capabilities. However, there may be instances where these systems are used in ways that are unintended or inappropriate. In addition, some users may also engage in fraudulent or abusive activities through our cloud-based and AI services, such as unauthorized account access, payment fraud, or terms of service violations including cryptocurrency mining or launching cyberattacks. While we are committed to detecting and controlling such misuse of our cloud-based and AI services, our efforts may not be effective, and we may incur reputational damage or experience adverse impacts to our business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RISKS RELATING TO THE EVOLUTION OF OUR BUSINESS</w:t>
      </w:r>
    </w:p>
    <w:p>
      <w:pPr>
        <w:pStyle w:val="TextBody"/>
        <w:bidi w:val="0"/>
        <w:spacing w:before="180" w:after="283"/>
        <w:jc w:val="both"/>
        <w:rPr>
          <w:rFonts w:ascii="Times New Roman" w:hAnsi="Times New Roman"/>
          <w:sz w:val="20"/>
        </w:rPr>
      </w:pPr>
      <w:r>
        <w:rPr>
          <w:rFonts w:ascii="Arial" w:hAnsi="Arial"/>
          <w:b/>
          <w:color w:val="000000"/>
          <w:sz w:val="20"/>
        </w:rPr>
        <w:t>We make significant investments in products and services that may not achieve expected returns.</w:t>
      </w:r>
      <w:r>
        <w:rPr>
          <w:rFonts w:ascii="Times New Roman" w:hAnsi="Times New Roman"/>
          <w:color w:val="000000"/>
          <w:sz w:val="20"/>
        </w:rPr>
        <w:t xml:space="preserve"> </w:t>
      </w:r>
      <w:r>
        <w:rPr>
          <w:rFonts w:ascii="Arial" w:hAnsi="Arial"/>
          <w:color w:val="000000"/>
          <w:sz w:val="20"/>
        </w:rPr>
        <w:t>We will continue to make significant investments in research, development, and marketing for existing products, services, and technologies, including AI-based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Acquisitions, joint ventures, and strategic alliances could have an adverse effect on our business.</w:t>
      </w:r>
      <w:r>
        <w:rPr>
          <w:rFonts w:ascii="Times New Roman" w:hAnsi="Times New Roman"/>
          <w:color w:val="000000"/>
          <w:sz w:val="20"/>
        </w:rPr>
        <w:t xml:space="preserve"> </w:t>
      </w:r>
      <w:r>
        <w:rPr>
          <w:rFonts w:ascii="Arial" w:hAnsi="Arial"/>
          <w:color w:val="000000"/>
          <w:sz w:val="20"/>
        </w:rPr>
        <w:t>We expect to continue making acquisitions and entering into joint ventures and strategic alliances as part of our long-term business strategy. For example,</w:t>
      </w:r>
      <w:r>
        <w:rPr>
          <w:rFonts w:ascii="Times New Roman" w:hAnsi="Times New Roman"/>
          <w:color w:val="212529"/>
          <w:sz w:val="20"/>
        </w:rPr>
        <w:t xml:space="preserve"> </w:t>
      </w:r>
      <w:r>
        <w:rPr>
          <w:rFonts w:ascii="Arial" w:hAnsi="Arial"/>
          <w:color w:val="212529"/>
          <w:sz w:val="20"/>
        </w:rPr>
        <w:t xml:space="preserve">in </w:t>
      </w:r>
      <w:r>
        <w:rPr>
          <w:rFonts w:ascii="Arial" w:hAnsi="Arial"/>
          <w:color w:val="000000"/>
          <w:sz w:val="20"/>
        </w:rPr>
        <w:t>October</w:t>
      </w:r>
      <w:r>
        <w:rPr>
          <w:rFonts w:ascii="Times New Roman" w:hAnsi="Times New Roman"/>
          <w:color w:val="212529"/>
          <w:sz w:val="20"/>
        </w:rPr>
        <w:t xml:space="preserve"> </w:t>
      </w:r>
      <w:r>
        <w:rPr>
          <w:rFonts w:ascii="Arial" w:hAnsi="Arial"/>
          <w:color w:val="212529"/>
          <w:sz w:val="20"/>
        </w:rPr>
        <w:t xml:space="preserve">2023 we </w:t>
      </w:r>
      <w:r>
        <w:rPr>
          <w:rFonts w:ascii="Arial" w:hAnsi="Arial"/>
          <w:color w:val="000000"/>
          <w:sz w:val="20"/>
        </w:rPr>
        <w:t xml:space="preserve">completed our acquisition of </w:t>
      </w:r>
      <w:r>
        <w:rPr>
          <w:rFonts w:ascii="Arial" w:hAnsi="Arial"/>
          <w:color w:val="212529"/>
          <w:sz w:val="20"/>
        </w:rPr>
        <w:t xml:space="preserve">Activision Blizzard, Inc. </w:t>
      </w:r>
      <w:r>
        <w:rPr>
          <w:rFonts w:ascii="Arial" w:hAnsi="Arial"/>
          <w:color w:val="000000"/>
          <w:sz w:val="20"/>
        </w:rPr>
        <w:t>We have a long-term strategic partnership with OpenAI, and in October 2025 we announced a significant update to this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digital safety, responsible AI, and cybersecurity. It may take longer than expected to realize the full economic benefits from these transactions and arrangements, such as increased revenue or enhanced efficiencies, or the benefits may ultimately be smaller than we expected, which could cause an impairment of goodwill or intangibles.</w:t>
      </w:r>
    </w:p>
    <w:p>
      <w:pPr>
        <w:pStyle w:val="TextBody"/>
        <w:bidi w:val="0"/>
        <w:spacing w:before="240" w:after="283"/>
        <w:jc w:val="center"/>
        <w:rPr>
          <w:rFonts w:ascii="Arial" w:hAnsi="Arial"/>
          <w:color w:val="000000"/>
          <w:sz w:val="16"/>
        </w:rPr>
      </w:pPr>
      <w:r>
        <w:rPr>
          <w:rFonts w:ascii="Arial" w:hAnsi="Arial"/>
          <w:color w:val="000000"/>
          <w:sz w:val="16"/>
        </w:rPr>
        <w:t>49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have recorded, and may in the future be required to record, a significant charge in our consolidated financial statements during the period in which any impairment of our goodwill or amortizable intangible assets is determined, negatively affecting our results of operations. In addition, an acquisition may be subject to challenge even after it has been completed. These events could adversely affect our business, operations, financial condition,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CYBERSECURITY, DATA PRIVACY, AND PLATFORM ABUSE RISKS</w:t>
      </w:r>
    </w:p>
    <w:p>
      <w:pPr>
        <w:pStyle w:val="TextBody"/>
        <w:bidi w:val="0"/>
        <w:spacing w:before="180" w:after="283"/>
        <w:jc w:val="both"/>
        <w:rPr>
          <w:rFonts w:ascii="Arial" w:hAnsi="Arial"/>
          <w:b/>
          <w:color w:val="000000"/>
          <w:sz w:val="20"/>
        </w:rPr>
      </w:pPr>
      <w:r>
        <w:rPr>
          <w:rFonts w:ascii="Arial" w:hAnsi="Arial"/>
          <w:b/>
          <w:color w:val="000000"/>
          <w:sz w:val="20"/>
        </w:rPr>
        <w:t>Cyberattacks and security vulnerabilities could lead to reduced revenue, increased costs, liability claims, or harm to our reputation or competitive position.</w:t>
      </w:r>
    </w:p>
    <w:p>
      <w:pPr>
        <w:pStyle w:val="TextBody"/>
        <w:bidi w:val="0"/>
        <w:spacing w:before="180" w:after="283"/>
        <w:jc w:val="both"/>
        <w:rPr>
          <w:rFonts w:ascii="Arial" w:hAnsi="Arial"/>
          <w:b/>
          <w:i/>
          <w:color w:val="000000"/>
          <w:sz w:val="20"/>
        </w:rPr>
      </w:pPr>
      <w:r>
        <w:rPr>
          <w:rFonts w:ascii="Arial" w:hAnsi="Arial"/>
          <w:b/>
          <w:i/>
          <w:color w:val="000000"/>
          <w:sz w:val="20"/>
        </w:rPr>
        <w:t>Security of our information technology</w:t>
      </w:r>
    </w:p>
    <w:p>
      <w:pPr>
        <w:pStyle w:val="TextBody"/>
        <w:bidi w:val="0"/>
        <w:spacing w:before="180" w:after="283"/>
        <w:jc w:val="both"/>
        <w:rPr>
          <w:rFonts w:ascii="Arial" w:hAnsi="Arial"/>
          <w:color w:val="000000"/>
          <w:sz w:val="20"/>
        </w:rPr>
      </w:pPr>
      <w:r>
        <w:rPr>
          <w:rFonts w:ascii="Arial" w:hAnsi="Arial"/>
          <w:color w:val="000000"/>
          <w:sz w:val="20"/>
        </w:rPr>
        <w:t>Threats to security can take a variety of forms. Threat actors, including individual and groups of hackers and sophisticated organizations, including nation-states, state-sponsored organizations, or cybercriminal groups, continuously undertake attacks that pose threats to our customers and our internal infrastructure, and we have experienced cybersecurity incidents in which such actors have gained unauthorized access to our systems and data, including customer systems and data. These actors use a wide variety of methods, which include developing and deploying malicious software; exploiting known and potential vulnerabilities or intentionally designed processes in our or third-party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information it obtained to gain unauthorized access to some of our source code repositories and internal systems, and the threat actor could continue to utilize this and other information to attempt to gain access to our systems or otherwise adversely affect our business and results of operations. This incident has and may continue to result in harm to our reputation and customer relationships. Nation-state and state-sponsored actors can sustain malicious activities for extended periods and deploy significant resources to plan and carry out attacks. Nation-state attacks against us, our customers, or our partners have and may continue to intensify due to our transparency to our customers, other stakeholders, and the public about cyberattacks, and during elections or periods of intense diplomatic or armed conflict. Challenges or failures to update or apply security patches to all hardware and devices connected to our systems, including end-of-life and end-of-support equipment, have and may continue to result in unauthorized access to our systems and data in the future. Cyber incidents and attacks, individually or in the aggregate, could adversely affect our financial condition, results of operations, competitive position, and reputation, or expose us to legal or regulatory risk.</w:t>
      </w:r>
    </w:p>
    <w:p>
      <w:pPr>
        <w:pStyle w:val="TextBody"/>
        <w:bidi w:val="0"/>
        <w:spacing w:before="180" w:after="283"/>
        <w:jc w:val="both"/>
        <w:rPr>
          <w:rFonts w:ascii="Arial" w:hAnsi="Arial"/>
          <w:color w:val="000000"/>
          <w:sz w:val="20"/>
        </w:rPr>
      </w:pPr>
      <w:r>
        <w:rPr>
          <w:rFonts w:ascii="Arial" w:hAnsi="Arial"/>
          <w:color w:val="000000"/>
          <w:sz w:val="20"/>
        </w:rPr>
        <w:t>Inadequate account security or organizational security practices, including those of companies we have acquired or those of the third parties we utilize, have resulted and may result in unauthorized access to our systems and data, including customer systems and data. For example, passwords may not be rotated and employee access may not be updated or removed on a timely basis. Employees or third parties may intentionally compromise our or our users’ security or systems or reveal confidential information, and laws in foreign jurisdictions may compel actions by such parties against our interests and could limit our recourse. Malicious actors may employ the supply chain to introduce malware through software updates or compromised supplier accounts or hardware.</w:t>
      </w:r>
    </w:p>
    <w:p>
      <w:pPr>
        <w:pStyle w:val="TextBody"/>
        <w:bidi w:val="0"/>
        <w:spacing w:before="240" w:after="283"/>
        <w:jc w:val="center"/>
        <w:rPr>
          <w:rFonts w:ascii="Arial" w:hAnsi="Arial"/>
          <w:color w:val="000000"/>
          <w:sz w:val="16"/>
        </w:rPr>
      </w:pPr>
      <w:r>
        <w:rPr>
          <w:rFonts w:ascii="Arial" w:hAnsi="Arial"/>
          <w:color w:val="000000"/>
          <w:sz w:val="16"/>
        </w:rPr>
        <w:t>50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Cyberthreats are constantly evolving and becoming increasingly sophisticated and complex, increasing the difficulty of detecting and successfully defending against them. Threat actors may also utilize emerging technologies, such as AI and machine learning. Our current capabilities may not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pStyle w:val="TextBody"/>
        <w:bidi w:val="0"/>
        <w:spacing w:before="180" w:after="283"/>
        <w:jc w:val="both"/>
        <w:rPr>
          <w:rFonts w:ascii="Arial" w:hAnsi="Arial"/>
          <w:color w:val="000000"/>
          <w:sz w:val="20"/>
        </w:rPr>
      </w:pPr>
      <w:r>
        <w:rPr>
          <w:rFonts w:ascii="Arial" w:hAnsi="Arial"/>
          <w:color w:val="000000"/>
          <w:sz w:val="20"/>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or third-party systems may create new attack surfaces or methods for adversaries. Our business policies and internal security controls may not keep pace with these changes as new threats emerge or the emerging cybersecurity regulations in jurisdictions worldwide.</w:t>
      </w:r>
    </w:p>
    <w:p>
      <w:pPr>
        <w:pStyle w:val="TextBody"/>
        <w:bidi w:val="0"/>
        <w:spacing w:before="270" w:after="283"/>
        <w:jc w:val="both"/>
        <w:rPr>
          <w:rFonts w:ascii="Arial" w:hAnsi="Arial"/>
          <w:b/>
          <w:i/>
          <w:color w:val="000000"/>
          <w:sz w:val="20"/>
        </w:rPr>
      </w:pPr>
      <w:r>
        <w:rPr>
          <w:rFonts w:ascii="Arial" w:hAnsi="Arial"/>
          <w:b/>
          <w:i/>
          <w:color w:val="000000"/>
          <w:sz w:val="20"/>
        </w:rPr>
        <w:t>Security of our products, services, devices, and customers’ data</w:t>
      </w:r>
    </w:p>
    <w:p>
      <w:pPr>
        <w:pStyle w:val="TextBody"/>
        <w:bidi w:val="0"/>
        <w:spacing w:before="180" w:after="283"/>
        <w:jc w:val="both"/>
        <w:rPr>
          <w:rFonts w:ascii="Arial" w:hAnsi="Arial"/>
          <w:color w:val="000000"/>
          <w:sz w:val="20"/>
        </w:rPr>
      </w:pPr>
      <w:r>
        <w:rPr>
          <w:rFonts w:ascii="Arial" w:hAnsi="Arial"/>
          <w:color w:val="000000"/>
          <w:sz w:val="20"/>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The reliability of our cloud-based services and the protection of customer data depend on the security of our infrastructure, which includes hardware, software, and other elements provided by third parties. Adversaries tend to focus their efforts on the most popular operating systems, programs, and services, including many of ours, as well as customers with sensitive data, and we expect that to continue. In addition, adversaries can attack our customers’ on-premises or cloud environments, sometimes exploiting previously unknown (“zero-day”) vulnerabilities. Product vulnerabilities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Weaknesses in our development processes can result in vulnerabilities in our products. Open-source software can also contain vulnerabilities that may make our products susceptible to cyberattacks as we increasingly incorporate open-source software into our products. Additionally, features that rely on generative AI can be susceptible to security threats.</w:t>
      </w:r>
    </w:p>
    <w:p>
      <w:pPr>
        <w:pStyle w:val="TextBody"/>
        <w:bidi w:val="0"/>
        <w:spacing w:before="240" w:after="283"/>
        <w:jc w:val="center"/>
        <w:rPr>
          <w:rFonts w:ascii="Arial" w:hAnsi="Arial"/>
          <w:color w:val="000000"/>
          <w:sz w:val="16"/>
        </w:rPr>
      </w:pPr>
      <w:r>
        <w:rPr>
          <w:rFonts w:ascii="Arial" w:hAnsi="Arial"/>
          <w:color w:val="000000"/>
          <w:sz w:val="16"/>
        </w:rPr>
        <w:t>51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customers operate complex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of our services for a product, service, standard, or feature solely because a more secure alternative is available. Failure to utilize the most current security advances and standards can increase our customers’ vulnerability to attack. Further,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pStyle w:val="TextBody"/>
        <w:bidi w:val="0"/>
        <w:spacing w:before="180" w:after="283"/>
        <w:jc w:val="both"/>
        <w:rPr>
          <w:rFonts w:ascii="Arial" w:hAnsi="Arial"/>
          <w:color w:val="000000"/>
          <w:sz w:val="20"/>
        </w:rPr>
      </w:pPr>
      <w:r>
        <w:rPr>
          <w:rFonts w:ascii="Arial" w:hAnsi="Arial"/>
          <w:color w:val="000000"/>
          <w:sz w:val="20"/>
        </w:rPr>
        <w:t>Cyberattacks could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pStyle w:val="TextBody"/>
        <w:bidi w:val="0"/>
        <w:spacing w:before="180" w:after="283"/>
        <w:jc w:val="both"/>
        <w:rPr>
          <w:rFonts w:ascii="Arial" w:hAnsi="Arial"/>
          <w:color w:val="000000"/>
          <w:sz w:val="20"/>
        </w:rPr>
      </w:pPr>
      <w:r>
        <w:rPr>
          <w:rFonts w:ascii="Arial" w:hAnsi="Arial"/>
          <w:color w:val="000000"/>
          <w:sz w:val="20"/>
        </w:rPr>
        <w:t>Any of the foregoing events could result in reputational harm, loss of revenue, increased costs, or otherwise adversely affect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Development and deployment of defensive measures</w:t>
      </w:r>
    </w:p>
    <w:p>
      <w:pPr>
        <w:pStyle w:val="TextBody"/>
        <w:bidi w:val="0"/>
        <w:spacing w:before="180" w:after="283"/>
        <w:jc w:val="both"/>
        <w:rPr>
          <w:rFonts w:ascii="Arial" w:hAnsi="Arial"/>
          <w:color w:val="000000"/>
          <w:sz w:val="20"/>
        </w:rPr>
      </w:pPr>
      <w:r>
        <w:rPr>
          <w:rFonts w:ascii="Arial" w:hAnsi="Arial"/>
          <w:color w:val="000000"/>
          <w:sz w:val="20"/>
        </w:rPr>
        <w:t>To defend against security threats to our internal infrastructure, our cloud-based services, and our customers’ systems, we must take a complex and multifaceted approach. This includes continuously engineering more secure products and services, and enhancing security, threat detection, and reliability features. We must also escalate and improve our development processes and the deployment of software updates to address security vulnerabilities in our own products as well as those provided by others in a timely manner. In addition, we must develop mitigation technologies that help to secure customers from attacks even when software updates are not deployed, and maintain the digital security infrastructure that protects the integrity of our network, products, and services. Further, we must provide security tools such as firewalls, anti-virus software, and advanced security and information about the need to deploy security measures and the impact of doing so.</w:t>
      </w:r>
    </w:p>
    <w:p>
      <w:pPr>
        <w:pStyle w:val="TextBody"/>
        <w:bidi w:val="0"/>
        <w:spacing w:before="180" w:after="283"/>
        <w:jc w:val="both"/>
        <w:rPr>
          <w:rFonts w:ascii="Arial" w:hAnsi="Arial"/>
          <w:color w:val="000000"/>
          <w:sz w:val="20"/>
        </w:rPr>
      </w:pPr>
      <w:r>
        <w:rPr>
          <w:rFonts w:ascii="Arial" w:hAnsi="Arial"/>
          <w:color w:val="000000"/>
          <w:sz w:val="20"/>
        </w:rPr>
        <w:t>The cost of these measures to protect products and customer-facing services could reduce our operating margins. If we fail to do these things well, actual or perceived security vulnerabilities in our processes, products, and services, data corruption issues, or reduced performance could harm our reputation and lead customers to exercise contractual or other remedies against us, reduce or delay future purchases of products or subscriptions to services, or to use competing products or services. Customers and third parties granted access to customer systems may fail to update their systems, continue to run software or operating systems we no longer support, may fail to timely install or enable security patches, or may otherwise fail to adopt adequate security practices. Customers may also spend more on protecting their existing computer systems from attack, which could delay adoption of additional products or services. Customers in certain industries such as financial services, health care, and government have enhanced or specialized expectations and requirements to which we must develop and engineer our products and services.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pStyle w:val="TextBody"/>
        <w:bidi w:val="0"/>
        <w:spacing w:before="180" w:after="283"/>
        <w:jc w:val="both"/>
        <w:rPr>
          <w:rFonts w:ascii="Arial" w:hAnsi="Arial"/>
          <w:color w:val="000000"/>
          <w:sz w:val="20"/>
        </w:rPr>
      </w:pPr>
      <w:r>
        <w:rPr>
          <w:rFonts w:ascii="Arial" w:hAnsi="Arial"/>
          <w:color w:val="000000"/>
          <w:sz w:val="20"/>
        </w:rPr>
        <w:t>Our products operate in conjunction with and are dependent on products and components across a broad ecosystem of third parties. If there is a security vulnerability in one of these components, and if there is a security exploit targeting it, we could experience adverse impacts to our results of operations, reputation, or competitive position.</w:t>
      </w:r>
    </w:p>
    <w:p>
      <w:pPr>
        <w:pStyle w:val="TextBody"/>
        <w:bidi w:val="0"/>
        <w:spacing w:before="240" w:after="283"/>
        <w:jc w:val="center"/>
        <w:rPr>
          <w:rFonts w:ascii="Arial" w:hAnsi="Arial"/>
          <w:color w:val="000000"/>
          <w:sz w:val="16"/>
        </w:rPr>
      </w:pPr>
      <w:r>
        <w:rPr>
          <w:rFonts w:ascii="Arial" w:hAnsi="Arial"/>
          <w:color w:val="000000"/>
          <w:sz w:val="16"/>
        </w:rPr>
        <w:t>52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Disclosure and misuse of personal data could result in liability and harm our reputation.</w:t>
      </w:r>
      <w:r>
        <w:rPr>
          <w:rFonts w:ascii="Times New Roman" w:hAnsi="Times New Roman"/>
          <w:color w:val="000000"/>
          <w:sz w:val="20"/>
        </w:rPr>
        <w:t xml:space="preserve"> </w:t>
      </w:r>
      <w:r>
        <w:rPr>
          <w:rFonts w:ascii="Arial" w:hAnsi="Arial"/>
          <w:color w:val="000000"/>
          <w:sz w:val="20"/>
        </w:rPr>
        <w:t>As we continue to grow the number, breadth, 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pStyle w:val="TextBody"/>
        <w:bidi w:val="0"/>
        <w:spacing w:before="180" w:after="283"/>
        <w:jc w:val="both"/>
        <w:rPr>
          <w:rFonts w:ascii="Times New Roman" w:hAnsi="Times New Roman"/>
          <w:sz w:val="20"/>
        </w:rPr>
      </w:pPr>
      <w:r>
        <w:rPr>
          <w:rFonts w:ascii="Arial" w:hAnsi="Arial"/>
          <w:b/>
          <w:color w:val="000000"/>
          <w:sz w:val="20"/>
        </w:rPr>
        <w:t>We may not be able to protect information in our products and services from use by others</w:t>
      </w:r>
      <w:r>
        <w:rPr>
          <w:rFonts w:ascii="Arial" w:hAnsi="Arial"/>
          <w:color w:val="000000"/>
          <w:sz w:val="20"/>
        </w:rPr>
        <w:t>. LinkedIn and other Microsoft products 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pStyle w:val="TextBody"/>
        <w:bidi w:val="0"/>
        <w:spacing w:before="270" w:after="283"/>
        <w:jc w:val="both"/>
        <w:rPr>
          <w:rFonts w:ascii="Arial" w:hAnsi="Arial"/>
          <w:b/>
          <w:color w:val="000000"/>
          <w:sz w:val="20"/>
        </w:rPr>
      </w:pPr>
      <w:r>
        <w:rPr>
          <w:rFonts w:ascii="Arial" w:hAnsi="Arial"/>
          <w:b/>
          <w:color w:val="000000"/>
          <w:sz w:val="20"/>
        </w:rPr>
        <w:t>Abuse of our platforms may harm our reputation or user engagement.</w:t>
      </w:r>
    </w:p>
    <w:p>
      <w:pPr>
        <w:pStyle w:val="TextBody"/>
        <w:bidi w:val="0"/>
        <w:spacing w:before="180" w:after="283"/>
        <w:jc w:val="both"/>
        <w:rPr>
          <w:rFonts w:ascii="Arial" w:hAnsi="Arial"/>
          <w:b/>
          <w:i/>
          <w:color w:val="000000"/>
          <w:sz w:val="20"/>
        </w:rPr>
      </w:pPr>
      <w:r>
        <w:rPr>
          <w:rFonts w:ascii="Arial" w:hAnsi="Arial"/>
          <w:b/>
          <w:i/>
          <w:color w:val="000000"/>
          <w:sz w:val="20"/>
        </w:rPr>
        <w:t>Advertising, professional, marketplace, and gaming platform abuses</w:t>
      </w:r>
    </w:p>
    <w:p>
      <w:pPr>
        <w:pStyle w:val="TextBody"/>
        <w:bidi w:val="0"/>
        <w:spacing w:before="180" w:after="283"/>
        <w:jc w:val="both"/>
        <w:rPr>
          <w:rFonts w:ascii="Arial" w:hAnsi="Arial"/>
          <w:color w:val="000000"/>
          <w:sz w:val="20"/>
        </w:rPr>
      </w:pPr>
      <w:r>
        <w:rPr>
          <w:rFonts w:ascii="Arial" w:hAnsi="Arial"/>
          <w:color w:val="000000"/>
          <w:sz w:val="20"/>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Other digital safety abuses</w:t>
      </w:r>
    </w:p>
    <w:p>
      <w:pPr>
        <w:pStyle w:val="TextBody"/>
        <w:bidi w:val="0"/>
        <w:spacing w:before="180" w:after="283"/>
        <w:jc w:val="both"/>
        <w:rPr>
          <w:rFonts w:ascii="Arial" w:hAnsi="Arial"/>
          <w:color w:val="000000"/>
          <w:sz w:val="20"/>
        </w:rPr>
      </w:pPr>
      <w:r>
        <w:rPr>
          <w:rFonts w:ascii="Arial" w:hAnsi="Arial"/>
          <w:color w:val="000000"/>
          <w:sz w:val="20"/>
        </w:rPr>
        <w:t>Our consumer services as well as our enterprise services may be used to find, generate, store,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have been enacted to make platforms responsible for preventing or eliminating harmful content online. At the same time, regulations and other initiatives regarding freedom of expression may conflict with such content moderation regulations. Further, duties to address risks to children are driving new obligations for age verification and parental controls across the online ecosystem, including within app stores and operating systems. The legal and regulatory environment in this area is complex and continues to evolve across multiple jurisdictions. As a result, there is considerable uncertainty regarding both current and future compliance obligations. Failure to comply with content requirements may subject us to enhanced regulatory oversight, civil or criminal liability, or reputational damage, which could adversely affect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53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Our products and services, how they are used by customers, and how third-party products and services interact with them, may present security, privacy, and execution risks. </w:t>
      </w:r>
      <w:r>
        <w:rPr>
          <w:rFonts w:ascii="Arial" w:hAnsi="Arial"/>
          <w:color w:val="000000"/>
          <w:sz w:val="20"/>
        </w:rPr>
        <w:t>Our products and services may contain defects in design, manufacture, or operation that make them insecure or ineffective for their intended purposes. For example, customers control our products and services, including our AI products, within their environments, and may deploy them in high-risk scenarios or utilize them inappropriately.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pStyle w:val="TextBody"/>
        <w:bidi w:val="0"/>
        <w:spacing w:before="180" w:after="283"/>
        <w:jc w:val="both"/>
        <w:rPr>
          <w:rFonts w:ascii="Times New Roman" w:hAnsi="Times New Roman"/>
          <w:sz w:val="20"/>
        </w:rPr>
      </w:pPr>
      <w:r>
        <w:rPr>
          <w:rFonts w:ascii="Arial" w:hAnsi="Arial"/>
          <w:b/>
          <w:color w:val="000000"/>
          <w:sz w:val="20"/>
        </w:rPr>
        <w:t>Issues in the development, deployment, and use of AI may result in reputational or competitive harm or liability.</w:t>
      </w:r>
      <w:r>
        <w:rPr>
          <w:rFonts w:ascii="Times New Roman" w:hAnsi="Times New Roman"/>
          <w:color w:val="000000"/>
          <w:sz w:val="20"/>
        </w:rPr>
        <w:t xml:space="preserve"> </w:t>
      </w:r>
      <w:r>
        <w:rPr>
          <w:rFonts w:ascii="Arial" w:hAnsi="Arial"/>
          <w:color w:val="000000"/>
          <w:sz w:val="20"/>
        </w:rPr>
        <w:t>We are building AI 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or inaccurate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or other forms of human oversight may be required, including for agentic AI systems that can take actions autonomously. Companion or highly-personalized AI systems may result in over-reliance or dependence by users that is harmful. Our implementation of AI systems could result in legal liability, regulatory action, litigation, brand, reputational, or competitive harm, or other adverse impacts. These risks may stem from issues related to AI model and system capabilities, intellectual property, data privacy, product liability, and other claims associated with AI training, outputs, and system behavior. They are further compounded by the evolving regulatory landscape, with new laws emerging globally and increased scrutiny from regulators and lawmakers. Certain AI technologies and use cases present ethical issues or may have broad or uneven impacts on society or vulnerable groups within society. There is also rising divergence globally in how to address these issues and impacts, with the result that we will need to navigate a web of different tensions across geographies. If we enable or offer AI solutions that have unintended consequences, unintended usage or customization by our customers and partners, are contrary to our responsible AI policies and practices, or are otherwise controversial because of the impact on human rights, privacy, employment, or other social, economic, or political issues, our reputation, competitive position, business, financial condition, and results of operations could be adversely affected.</w:t>
      </w:r>
    </w:p>
    <w:p>
      <w:pPr>
        <w:pStyle w:val="TextBody"/>
        <w:bidi w:val="0"/>
        <w:spacing w:before="240" w:after="283"/>
        <w:jc w:val="center"/>
        <w:rPr>
          <w:rFonts w:ascii="Arial" w:hAnsi="Arial"/>
          <w:color w:val="000000"/>
          <w:sz w:val="16"/>
        </w:rPr>
      </w:pPr>
      <w:r>
        <w:rPr>
          <w:rFonts w:ascii="Arial" w:hAnsi="Arial"/>
          <w:color w:val="000000"/>
          <w:sz w:val="16"/>
        </w:rPr>
        <w:t>54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OPERATIONAL RISKS</w:t>
      </w:r>
    </w:p>
    <w:p>
      <w:pPr>
        <w:pStyle w:val="TextBody"/>
        <w:bidi w:val="0"/>
        <w:spacing w:before="180" w:after="283"/>
        <w:jc w:val="both"/>
        <w:rPr>
          <w:rFonts w:ascii="Times New Roman" w:hAnsi="Times New Roman"/>
          <w:sz w:val="20"/>
        </w:rPr>
      </w:pPr>
      <w:r>
        <w:rPr>
          <w:rFonts w:ascii="Arial" w:hAnsi="Arial"/>
          <w:b/>
          <w:color w:val="000000"/>
          <w:sz w:val="20"/>
        </w:rPr>
        <w:t>We may have excessive outages, data losses, and disruptions of our online services if we fail to maintain an adequate operations infrastructure.</w:t>
      </w:r>
      <w:r>
        <w:rPr>
          <w:rFonts w:ascii="Times New Roman" w:hAnsi="Times New Roman"/>
          <w:color w:val="000000"/>
          <w:sz w:val="20"/>
        </w:rPr>
        <w:t xml:space="preserve"> </w:t>
      </w:r>
      <w:r>
        <w:rPr>
          <w:rFonts w:ascii="Arial" w:hAnsi="Arial"/>
          <w:color w:val="000000"/>
          <w:sz w:val="20"/>
        </w:rPr>
        <w:t>Our increasing user traffic, growth in services, and the complexity of our products and services demand more computing 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including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We also face community opposition, local moratoriums, and hyper-local dissent that may impede or delay infrastructure development.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could adversely affect our business, operations,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We may experience supply or quality problems.</w:t>
      </w:r>
      <w:r>
        <w:rPr>
          <w:rFonts w:ascii="Times New Roman" w:hAnsi="Times New Roman"/>
          <w:color w:val="000000"/>
          <w:sz w:val="20"/>
        </w:rPr>
        <w:t xml:space="preserve"> </w:t>
      </w:r>
      <w:r>
        <w:rPr>
          <w:rFonts w:ascii="Arial" w:hAnsi="Arial"/>
          <w:color w:val="000000"/>
          <w:sz w:val="20"/>
        </w:rPr>
        <w:t>There are limited suppliers for certain device and datacenter components. We continue to 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If components are delayed or become unavailable or more expensive, whether because of supplier capacity constraint, industry shortages, legal or regulatory changes that restrict supply sources, or other reasons, we may not obtain timely replacement supplies, resulting in reduced sales, higher costs, or inadequate datacenter capacity to support the delivery and continued development of our products and services. Component shortages, excess or obsolete inventory, or price reductions resulting in inventory adjustments may increase our cost of revenue. Datacenter servers, Xbox consoles, Surface devices, and other hardware are assembled in Asia and other geographies that may be subject to disruptions in the supply chain, resulting in shortages which could adversely affect our business, operations, financial condition, and results of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software products and services also have and may in the future experience quality or reliability problems. The processes we use to develop our software are imperfect. Like all software, our software contains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Weaknesses in our processes could result in defects we do not detect and fix in pre-release testing, which could cause reduced sales, damage to our reputation, repair or remediation costs, delays in the release of new products or versions, or legal liability, and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pStyle w:val="TextBody"/>
        <w:bidi w:val="0"/>
        <w:spacing w:before="180" w:after="283"/>
        <w:jc w:val="both"/>
        <w:rPr>
          <w:rFonts w:ascii="Times New Roman" w:hAnsi="Times New Roman"/>
          <w:sz w:val="20"/>
        </w:rPr>
      </w:pPr>
      <w:r>
        <w:rPr>
          <w:rFonts w:ascii="Arial" w:hAnsi="Arial"/>
          <w:color w:val="000000"/>
          <w:sz w:val="20"/>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LEGAL, REGULATORY, AND LITIGATION RISKS</w:t>
      </w:r>
    </w:p>
    <w:p>
      <w:pPr>
        <w:pStyle w:val="TextBody"/>
        <w:bidi w:val="0"/>
        <w:spacing w:before="180" w:after="283"/>
        <w:jc w:val="both"/>
        <w:rPr>
          <w:rFonts w:ascii="Times New Roman" w:hAnsi="Times New Roman"/>
          <w:sz w:val="20"/>
        </w:rPr>
      </w:pPr>
      <w:r>
        <w:rPr>
          <w:rFonts w:ascii="Arial" w:hAnsi="Arial"/>
          <w:b/>
          <w:color w:val="000000"/>
          <w:sz w:val="20"/>
        </w:rPr>
        <w:t xml:space="preserve">We are subject to a variety of new, existing, and evolving legal and regulatory requirements that could adversely affect our results of operations. </w:t>
      </w:r>
      <w:r>
        <w:rPr>
          <w:rFonts w:ascii="Arial" w:hAnsi="Arial"/>
          <w:color w:val="000000"/>
          <w:sz w:val="20"/>
        </w:rPr>
        <w:t>We are subject to a wide range of laws, regulations, and legal requirements in the U.S. and globally, including those that may apply to our products and online services offerings, and those that impose requirements related to user privacy, telecommunications, data storage and protection, digital accessibility, advertising, and online safety. Laws in several jurisdictions, including EU Member State laws under the European Electronic Communications Code, increasingly define certain of our services as regulated services. This trend may continue with our offerings becoming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w:t>
      </w:r>
    </w:p>
    <w:p>
      <w:pPr>
        <w:pStyle w:val="TextBody"/>
        <w:bidi w:val="0"/>
        <w:spacing w:before="180" w:after="283"/>
        <w:jc w:val="both"/>
        <w:rPr>
          <w:rFonts w:ascii="Times New Roman" w:hAnsi="Times New Roman"/>
          <w:sz w:val="20"/>
        </w:rPr>
      </w:pPr>
      <w:r>
        <w:rPr>
          <w:rFonts w:ascii="Arial" w:hAnsi="Arial"/>
          <w:color w:val="000000"/>
          <w:sz w:val="20"/>
        </w:rPr>
        <w:t>New, existing, and evolving laws and regulations, or interpretations or applications of existing laws and regulations in a manner inconsistent with our interpretations of such laws and regulations or our practices, may result in modification of our products and services, altered business models and operations, increased costs, reputational damage, and civil or criminal liability. Examples include laws and regulations regarding:</w:t>
      </w:r>
      <w:r>
        <w:rPr>
          <w:rFonts w:ascii="Times New Roman" w:hAnsi="Times New Roman"/>
          <w:color w:val="000000"/>
          <w:sz w:val="20"/>
        </w:rPr>
        <w:t xml:space="preserve">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Competition laws and new market regulation:</w:t>
      </w:r>
      <w:r>
        <w:rPr>
          <w:color w:val="000000"/>
        </w:rPr>
        <w:t xml:space="preserve"> </w:t>
      </w:r>
      <w:r>
        <w:rPr>
          <w:rFonts w:ascii="Arial" w:hAnsi="Arial"/>
          <w:color w:val="000000"/>
          <w:sz w:val="20"/>
        </w:rPr>
        <w:t>Government agencies closely scrutinize us under U.S. and foreign competition 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 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AI:</w:t>
      </w:r>
      <w:r>
        <w:rPr>
          <w:color w:val="000000"/>
        </w:rPr>
        <w:t xml:space="preserve"> </w:t>
      </w:r>
      <w:r>
        <w:rPr>
          <w:rFonts w:ascii="Arial" w:hAnsi="Arial"/>
          <w:color w:val="000000"/>
          <w:sz w:val="20"/>
        </w:rPr>
        <w:t xml:space="preserve">Legislative and regulatory action is evolving with respect to AI, which could increase costs or restrict opportunity. For example, the EU’s AI Act may increase costs or impact the provision or operation of our AI models and services in the European market. AI regulatory areas include model and system development and deployment, frontier model safety, transparency, content provenance, digital replicas, and AI companions.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Anti-corruption:</w:t>
      </w:r>
      <w:r>
        <w:rPr>
          <w:color w:val="000000"/>
        </w:rPr>
        <w:t xml:space="preserve"> </w:t>
      </w:r>
      <w:r>
        <w:rPr>
          <w:rFonts w:ascii="Arial" w:hAnsi="Arial"/>
          <w:color w:val="000000"/>
          <w:sz w:val="20"/>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and our compliance with Anti-Corruption Laws. Periodically, we receive such reports directly and investigate them and also cooperate with investigations by U.S. and foreign law enforcement authorities.</w:t>
      </w:r>
    </w:p>
    <w:p>
      <w:pPr>
        <w:pStyle w:val="TextBody"/>
        <w:bidi w:val="0"/>
        <w:spacing w:before="240" w:after="283"/>
        <w:jc w:val="center"/>
        <w:rPr>
          <w:rFonts w:ascii="Arial" w:hAnsi="Arial"/>
          <w:color w:val="000000"/>
          <w:sz w:val="16"/>
        </w:rPr>
      </w:pPr>
      <w:r>
        <w:rPr>
          <w:rFonts w:ascii="Arial" w:hAnsi="Arial"/>
          <w:color w:val="000000"/>
          <w:sz w:val="16"/>
        </w:rPr>
        <w:t>56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Trade:</w:t>
      </w:r>
      <w:r>
        <w:rPr>
          <w:color w:val="000000"/>
        </w:rPr>
        <w:t xml:space="preserve"> </w:t>
      </w:r>
      <w:r>
        <w:rPr>
          <w:rFonts w:ascii="Arial" w:hAnsi="Arial"/>
          <w:color w:val="000000"/>
          <w:sz w:val="20"/>
        </w:rPr>
        <w:t>Increasing trade laws, policies, sanctions, and other regulatory requirements also affect our operations in and outside the U.S. relating to trade and investment. Economic sanctions in the U.S., the EU, and other countries could prohibit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Restrictions on data flows and outbound investment and customer sensitivities may limit our ability to leverage parts of our global engineering footprint to provide services in certain jurisdictions. Increased geopolitical instabilities and changing U.S. Administration priorities create an unpredictable trade landscape. U.S. tariff, shifting AI export controls policies, and disagreements among governments on sanctions policies toward third countries, could increase operational costs, create uncertainty in the continuity of our products, and accelerate sovereignty initiatives among international partners and customers. The volatility of U.S. tariffs has triggered economic uncertainty and could impact cloud and devices supply chain cost competitiveness. The potential replacement of the recently rescinded AI Diffusion Rule, expanded export license conditions, and other potential AI-related rulemakings could adversely affect Microsoft’s business, strategy, and operations. Periods of intense diplomatic or armed conflict like the ongoing conflict in Ukraine and the Israel-Hamas conflict could continue to result in (1) new and rapidly evolving sanctions and trade restrictions, which may impair trade with sanctioned individuals and countries, and (2) negative impacts to regional trade ecosystems among our customers, partners, and us.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Cybersecurity:</w:t>
      </w:r>
      <w:r>
        <w:rPr>
          <w:color w:val="000000"/>
        </w:rPr>
        <w:t xml:space="preserve"> </w:t>
      </w:r>
      <w:r>
        <w:rPr>
          <w:rFonts w:ascii="Arial" w:hAnsi="Arial"/>
          <w:color w:val="000000"/>
          <w:sz w:val="20"/>
        </w:rPr>
        <w:t>Legislative and regulatory actions related to cybersecurity may increase the costs associated with developing, implementing, or securing our products and services. The legal and regulatory environment in this area is complex and continues to evolve across multiple jurisdictions. As a result, there is considerable uncertainty regarding both current and future compliance obligations. This uncertainty increases the risk that we may incur additional operational costs, face regulatory enforcement actions, or encounter challenges in the development and deployment of our products.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Handling of personal data:</w:t>
      </w:r>
      <w:r>
        <w:rPr>
          <w:color w:val="000000"/>
        </w:rPr>
        <w:t xml:space="preserve"> </w:t>
      </w:r>
      <w:r>
        <w:rPr>
          <w:rFonts w:ascii="Arial" w:hAnsi="Arial"/>
          <w:color w:val="000000"/>
          <w:sz w:val="20"/>
        </w:rPr>
        <w:t>Legal requirements relating to the collection, storage, handling, and transfer of personal data globally continue to evolve. The growth of our Internet- and cloud-based services internationally relies on the movement of data across national boundaries. Data protection authorities and governments in the EU and other markets have and may again restrict and/or block the use of services that involve the transfer of data across borders. New and evolving rules and restrictions on the flow of data across borders could increase the cost and complexity of delivering our products and services. In addition, the EU General Data Protection Regulation and other similar regulations impose a range of compliance obligations regarding the handling of personal data. New requirements related to the use of data, including the Data Act, add additional rules and restrictions on the use of data in our products and services.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Environmental, Social, and Governance:</w:t>
      </w:r>
      <w:r>
        <w:rPr>
          <w:color w:val="000000"/>
        </w:rPr>
        <w:t xml:space="preserve"> </w:t>
      </w:r>
      <w:r>
        <w:rPr>
          <w:rFonts w:ascii="Arial" w:hAnsi="Arial"/>
          <w:color w:val="000000"/>
          <w:sz w:val="20"/>
        </w:rPr>
        <w:t>Laws, regulations, and policies relating to environmental, social, and governance matters are being developed and formalized in Europe, the U.S., and elsewhere, which may include greenhouse gas emissions and energy usage caps, as well as specific, target-driven environmental, social, and governance frameworks and disclosure requirements. In addition, in 2020 we announced goals to become carbon negative, water positive, and zero waste by 2030. AI development and deployment has and may continue to raise energy use and emissions, making it harder to meet these goals. Any failure or perceived failure to meet our sustainability goals, or to meet various sustainability regulatory requirements, could result in claims and lawsuits, regulatory actions, penalties, or damage to our reputation, each of which could adversely affect our business, operations,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How these laws and regulations apply to our business is often unclear, subject to change, and sometimes may be inconsistent from jurisdiction to jurisdiction. In addition, governments’ approach to enforcement, and our products and services, are continuing to evolve. Compliance with existing, expanding, or new laws and regulations may involve significant costs and operational efforts, or require changes in products or business practices that could adversely affect our results of operations. Noncompliance could result in the imposition of penalties, criminal sanctions, or orders to cease the alleged noncompliant activity. If our products do not meet customer expectations or legal requirements, we could face regulatory or legal actions, and our business, operations, financial condition, and results of operations could be adversely affected.</w:t>
      </w:r>
    </w:p>
    <w:p>
      <w:pPr>
        <w:pStyle w:val="TextBody"/>
        <w:bidi w:val="0"/>
        <w:spacing w:before="240" w:after="283"/>
        <w:jc w:val="center"/>
        <w:rPr>
          <w:rFonts w:ascii="Arial" w:hAnsi="Arial"/>
          <w:color w:val="000000"/>
          <w:sz w:val="16"/>
        </w:rPr>
      </w:pPr>
      <w:r>
        <w:rPr>
          <w:rFonts w:ascii="Arial" w:hAnsi="Arial"/>
          <w:color w:val="000000"/>
          <w:sz w:val="16"/>
        </w:rPr>
        <w:t>57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We have claims and lawsuits against us that may result in adverse outcomes.</w:t>
      </w:r>
      <w:r>
        <w:rPr>
          <w:rFonts w:ascii="Times New Roman" w:hAnsi="Times New Roman"/>
          <w:color w:val="000000"/>
          <w:sz w:val="20"/>
        </w:rPr>
        <w:t xml:space="preserve"> </w:t>
      </w:r>
      <w:r>
        <w:rPr>
          <w:rFonts w:ascii="Arial" w:hAnsi="Arial"/>
          <w:color w:val="000000"/>
          <w:sz w:val="20"/>
        </w:rPr>
        <w:t>We are subject to a variety of claims and lawsuits. These 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An adverse impact to our financial condition and results of operations could occur for the period in which the effect of an unfavorable outcome becomes probable and reasonably estimable.</w:t>
      </w:r>
    </w:p>
    <w:p>
      <w:pPr>
        <w:pStyle w:val="TextBody"/>
        <w:bidi w:val="0"/>
        <w:spacing w:before="180" w:after="283"/>
        <w:jc w:val="both"/>
        <w:rPr>
          <w:rFonts w:ascii="Times New Roman" w:hAnsi="Times New Roman"/>
          <w:sz w:val="20"/>
        </w:rPr>
      </w:pPr>
      <w:r>
        <w:rPr>
          <w:rFonts w:ascii="Arial" w:hAnsi="Arial"/>
          <w:b/>
          <w:color w:val="000000"/>
          <w:sz w:val="20"/>
        </w:rPr>
        <w:t>Our business with government customers may present additional uncertainties.</w:t>
      </w:r>
      <w:r>
        <w:rPr>
          <w:rFonts w:ascii="Times New Roman" w:hAnsi="Times New Roman"/>
          <w:color w:val="000000"/>
          <w:sz w:val="20"/>
        </w:rPr>
        <w:t xml:space="preserve"> </w:t>
      </w:r>
      <w:r>
        <w:rPr>
          <w:rFonts w:ascii="Arial" w:hAnsi="Arial"/>
          <w:color w:val="000000"/>
          <w:sz w:val="20"/>
        </w:rPr>
        <w:t>We derive substantial revenue from government contracts. Government contracts and regulatory requirements can present risks and challenges not present in private commercial agreements. For instance, we are subject to government audits and investigations relating to these contracts, and we are required to provide assurance and attestations about our products and processes. If we do not satisfy contractual or regulatory requirements,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pStyle w:val="TextBody"/>
        <w:bidi w:val="0"/>
        <w:spacing w:before="180" w:after="283"/>
        <w:jc w:val="both"/>
        <w:rPr>
          <w:rFonts w:ascii="Times New Roman" w:hAnsi="Times New Roman"/>
          <w:sz w:val="20"/>
        </w:rPr>
      </w:pPr>
      <w:r>
        <w:rPr>
          <w:rFonts w:ascii="Arial" w:hAnsi="Arial"/>
          <w:b/>
          <w:color w:val="000000"/>
          <w:sz w:val="20"/>
        </w:rPr>
        <w:t>We may have additional tax liabilities.</w:t>
      </w:r>
      <w:r>
        <w:rPr>
          <w:rFonts w:ascii="Times New Roman" w:hAnsi="Times New Roman"/>
          <w:color w:val="000000"/>
          <w:sz w:val="20"/>
        </w:rPr>
        <w:t xml:space="preserve"> </w:t>
      </w:r>
      <w:r>
        <w:rPr>
          <w:rFonts w:ascii="Arial" w:hAnsi="Arial"/>
          <w:color w:val="000000"/>
          <w:sz w:val="20"/>
        </w:rPr>
        <w:t>We are subject to income taxes in the U.S. and many foreign jurisdictions. Significant judgment is 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pStyle w:val="TextBody"/>
        <w:bidi w:val="0"/>
        <w:spacing w:before="180" w:after="283"/>
        <w:jc w:val="both"/>
        <w:rPr>
          <w:rFonts w:ascii="Arial" w:hAnsi="Arial"/>
          <w:color w:val="000000"/>
          <w:sz w:val="20"/>
        </w:rPr>
      </w:pPr>
      <w:r>
        <w:rPr>
          <w:rFonts w:ascii="Arial" w:hAnsi="Arial"/>
          <w:color w:val="000000"/>
          <w:sz w:val="20"/>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pStyle w:val="TextBody"/>
        <w:bidi w:val="0"/>
        <w:spacing w:before="180" w:after="283"/>
        <w:jc w:val="both"/>
        <w:rPr>
          <w:rFonts w:ascii="Arial" w:hAnsi="Arial"/>
          <w:color w:val="000000"/>
          <w:sz w:val="20"/>
        </w:rPr>
      </w:pPr>
      <w:r>
        <w:rPr>
          <w:rFonts w:ascii="Arial" w:hAnsi="Arial"/>
          <w:color w:val="000000"/>
          <w:sz w:val="20"/>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could adversely affect our financial condition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INTELLECTUAL PROPERTY RISKS</w:t>
      </w:r>
    </w:p>
    <w:p>
      <w:pPr>
        <w:pStyle w:val="TextBody"/>
        <w:bidi w:val="0"/>
        <w:spacing w:before="180" w:after="283"/>
        <w:jc w:val="both"/>
        <w:rPr>
          <w:rFonts w:ascii="Times New Roman" w:hAnsi="Times New Roman"/>
          <w:sz w:val="20"/>
        </w:rPr>
      </w:pPr>
      <w:r>
        <w:rPr>
          <w:rFonts w:ascii="Arial" w:hAnsi="Arial"/>
          <w:b/>
          <w:color w:val="000000"/>
          <w:sz w:val="20"/>
        </w:rPr>
        <w:t xml:space="preserve">We face risks related to the protection and utilization of our intellectual property that may result in our business and operating results being harmed. </w:t>
      </w:r>
      <w:r>
        <w:rPr>
          <w:rFonts w:ascii="Arial" w:hAnsi="Arial"/>
          <w:color w:val="000000"/>
          <w:sz w:val="20"/>
        </w:rPr>
        <w:t>Protecting our intellectual property rights and combating unlicensed copying and use of our software, source code, and other intellectual property on a global basis is difficult. Similarly, the absence of harmonized patent laws makes it more difficult to ensure consistent respect for patent rights.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Changes in the law may continue to weaken our ability to prevent the use of patented technology. Our increasing engagement with open-source software will also cause us to license our intellectual property rights broadly in certain situations. If we are unable to protect our intellectual property, our results of operations could be adversely affected.</w:t>
      </w:r>
    </w:p>
    <w:p>
      <w:pPr>
        <w:pStyle w:val="TextBody"/>
        <w:bidi w:val="0"/>
        <w:spacing w:before="180" w:after="283"/>
        <w:jc w:val="both"/>
        <w:rPr>
          <w:rFonts w:ascii="Arial" w:hAnsi="Arial"/>
          <w:color w:val="000000"/>
          <w:sz w:val="20"/>
        </w:rPr>
      </w:pPr>
      <w:r>
        <w:rPr>
          <w:rFonts w:ascii="Arial" w:hAnsi="Arial"/>
          <w:color w:val="000000"/>
          <w:sz w:val="20"/>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increases the security risks described elsewhere in these risk factors.</w:t>
      </w:r>
    </w:p>
    <w:p>
      <w:pPr>
        <w:pStyle w:val="TextBody"/>
        <w:bidi w:val="0"/>
        <w:spacing w:before="180" w:after="283"/>
        <w:jc w:val="both"/>
        <w:rPr>
          <w:rFonts w:ascii="Times New Roman" w:hAnsi="Times New Roman"/>
          <w:sz w:val="20"/>
        </w:rPr>
      </w:pPr>
      <w:r>
        <w:rPr>
          <w:rFonts w:ascii="Arial" w:hAnsi="Arial"/>
          <w:b/>
          <w:color w:val="000000"/>
          <w:sz w:val="20"/>
        </w:rPr>
        <w:t>Third parties may claim that we infringe their intellectual property.</w:t>
      </w:r>
      <w:r>
        <w:rPr>
          <w:rFonts w:ascii="Times New Roman" w:hAnsi="Times New Roman"/>
          <w:color w:val="000000"/>
          <w:sz w:val="20"/>
        </w:rPr>
        <w:t xml:space="preserve"> </w:t>
      </w:r>
      <w:r>
        <w:rPr>
          <w:rFonts w:ascii="Arial" w:hAnsi="Arial"/>
          <w:color w:val="000000"/>
          <w:sz w:val="20"/>
        </w:rPr>
        <w:t>From time to time, others claim we infringe their intellectual property 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GENERAL RISKS</w:t>
      </w:r>
    </w:p>
    <w:p>
      <w:pPr>
        <w:pStyle w:val="TextBody"/>
        <w:bidi w:val="0"/>
        <w:spacing w:before="180" w:after="283"/>
        <w:jc w:val="both"/>
        <w:rPr>
          <w:rFonts w:ascii="Times New Roman" w:hAnsi="Times New Roman"/>
          <w:sz w:val="20"/>
        </w:rPr>
      </w:pPr>
      <w:r>
        <w:rPr>
          <w:rFonts w:ascii="Arial" w:hAnsi="Arial"/>
          <w:b/>
          <w:color w:val="000000"/>
          <w:sz w:val="20"/>
        </w:rPr>
        <w:t>If our reputation or our brands are damaged, our business and results of operations may be harmed</w:t>
      </w:r>
      <w:r>
        <w:rPr>
          <w:rFonts w:ascii="Arial" w:hAnsi="Arial"/>
          <w:color w:val="000000"/>
          <w:sz w:val="20"/>
        </w:rPr>
        <w:t>. Our reputation and brands are 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The introduction of new features, products, services, or terms of service that customers, users, or partners do not like.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Public scrutiny of our decisions regarding user privacy, data practices, content, or development and deployment of AI.</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Data security breaches, cybersecurity incidents, responsible AI failures, compliance failures, or actions of partners or individual employees.</w:t>
      </w:r>
    </w:p>
    <w:p>
      <w:pPr>
        <w:pStyle w:val="TextBody"/>
        <w:bidi w:val="0"/>
        <w:spacing w:before="180" w:after="283"/>
        <w:jc w:val="both"/>
        <w:rPr>
          <w:rFonts w:ascii="Arial" w:hAnsi="Arial"/>
          <w:color w:val="000000"/>
          <w:sz w:val="20"/>
        </w:rPr>
      </w:pPr>
      <w:r>
        <w:rPr>
          <w:rFonts w:ascii="Arial" w:hAnsi="Arial"/>
          <w:color w:val="000000"/>
          <w:sz w:val="20"/>
        </w:rPr>
        <w:t>Social media may increase the likelihood, speed, and magnitude of negative brand events. If our brands or reputation are damaged, it could adversely affect our business, results of operations, or ability to attract the most highly qualified employees.</w:t>
      </w:r>
    </w:p>
    <w:p>
      <w:pPr>
        <w:pStyle w:val="TextBody"/>
        <w:bidi w:val="0"/>
        <w:spacing w:before="180" w:after="283"/>
        <w:jc w:val="both"/>
        <w:rPr>
          <w:rFonts w:ascii="Times New Roman" w:hAnsi="Times New Roman"/>
          <w:sz w:val="20"/>
        </w:rPr>
      </w:pPr>
      <w:r>
        <w:rPr>
          <w:rFonts w:ascii="Arial" w:hAnsi="Arial"/>
          <w:b/>
          <w:color w:val="000000"/>
          <w:sz w:val="20"/>
        </w:rPr>
        <w:t>Adverse economic or market conditions could harm our business.</w:t>
      </w:r>
      <w:r>
        <w:rPr>
          <w:rFonts w:ascii="Times New Roman" w:hAnsi="Times New Roman"/>
          <w:color w:val="000000"/>
          <w:sz w:val="20"/>
        </w:rPr>
        <w:t xml:space="preserve"> </w:t>
      </w:r>
      <w:r>
        <w:rPr>
          <w:rFonts w:ascii="Arial" w:hAnsi="Arial"/>
          <w:color w:val="000000"/>
          <w:sz w:val="20"/>
        </w:rPr>
        <w:t>Worsening economic conditions, including inflation, recession, pandemic, or other changes in economic conditions, may cause lower IT spending and adversely affect our results of operations. If demand for computing power, PCs, servers, and other computing devices declines, or consumer or business spending for those products declines, our results of operations could be adversely affected.</w:t>
      </w:r>
    </w:p>
    <w:p>
      <w:pPr>
        <w:pStyle w:val="TextBody"/>
        <w:bidi w:val="0"/>
        <w:spacing w:before="180" w:after="283"/>
        <w:jc w:val="both"/>
        <w:rPr>
          <w:rFonts w:ascii="Arial" w:hAnsi="Arial"/>
          <w:color w:val="000000"/>
          <w:sz w:val="20"/>
        </w:rPr>
      </w:pPr>
      <w:r>
        <w:rPr>
          <w:rFonts w:ascii="Arial" w:hAnsi="Arial"/>
          <w:color w:val="000000"/>
          <w:sz w:val="20"/>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pStyle w:val="TextBody"/>
        <w:bidi w:val="0"/>
        <w:spacing w:before="180" w:after="283"/>
        <w:jc w:val="both"/>
        <w:rPr>
          <w:rFonts w:ascii="Arial" w:hAnsi="Arial"/>
          <w:color w:val="000000"/>
          <w:sz w:val="20"/>
        </w:rPr>
      </w:pPr>
      <w:r>
        <w:rPr>
          <w:rFonts w:ascii="Arial" w:hAnsi="Arial"/>
          <w:color w:val="000000"/>
          <w:sz w:val="20"/>
        </w:rPr>
        <w:t>Challenging economic conditions also may impair the ability of our customers to pay for products and services they have purchased. As a result, allowances for doubtful accounts and write-offs of accounts receivable may increase.</w:t>
      </w:r>
    </w:p>
    <w:p>
      <w:pPr>
        <w:pStyle w:val="TextBody"/>
        <w:bidi w:val="0"/>
        <w:spacing w:before="240" w:after="283"/>
        <w:jc w:val="center"/>
        <w:rPr>
          <w:rFonts w:ascii="Arial" w:hAnsi="Arial"/>
          <w:color w:val="000000"/>
          <w:sz w:val="16"/>
        </w:rPr>
      </w:pPr>
      <w:r>
        <w:rPr>
          <w:rFonts w:ascii="Arial" w:hAnsi="Arial"/>
          <w:color w:val="000000"/>
          <w:sz w:val="16"/>
        </w:rPr>
        <w:t>59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could be adversely affected and we could determine that more of our investments have experienced a decline in fair value, requiring impairment charges that could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Catastrophic events or geopolitical conditions could disrupt our business.</w:t>
      </w:r>
      <w:r>
        <w:rPr>
          <w:rFonts w:ascii="Times New Roman" w:hAnsi="Times New Roman"/>
          <w:color w:val="000000"/>
          <w:sz w:val="20"/>
        </w:rPr>
        <w:t xml:space="preserve"> </w:t>
      </w:r>
      <w:r>
        <w:rPr>
          <w:rFonts w:ascii="Arial" w:hAnsi="Arial"/>
          <w:color w:val="000000"/>
          <w:sz w:val="20"/>
        </w:rPr>
        <w:t>A disruption or failure of our systems, operations, or supply 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pStyle w:val="TextBody"/>
        <w:bidi w:val="0"/>
        <w:spacing w:before="180" w:after="283"/>
        <w:jc w:val="both"/>
        <w:rPr>
          <w:rFonts w:ascii="Arial" w:hAnsi="Arial"/>
          <w:color w:val="000000"/>
          <w:sz w:val="20"/>
        </w:rPr>
      </w:pPr>
      <w:r>
        <w:rPr>
          <w:rFonts w:ascii="Arial" w:hAnsi="Arial"/>
          <w:color w:val="000000"/>
          <w:sz w:val="20"/>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could adversely affect our results of operations. Changes in geopolitical conditions also increase the security risks described elsewhere in these risk factors.</w:t>
      </w:r>
    </w:p>
    <w:p>
      <w:pPr>
        <w:pStyle w:val="TextBody"/>
        <w:bidi w:val="0"/>
        <w:spacing w:before="180" w:after="283"/>
        <w:jc w:val="both"/>
        <w:rPr>
          <w:rFonts w:ascii="Arial" w:hAnsi="Arial"/>
          <w:color w:val="000000"/>
          <w:sz w:val="20"/>
        </w:rPr>
      </w:pPr>
      <w:r>
        <w:rPr>
          <w:rFonts w:ascii="Arial" w:hAnsi="Arial"/>
          <w:color w:val="000000"/>
          <w:sz w:val="20"/>
        </w:rPr>
        <w:t>The occurrence of regional epidemics or a global pandemic, such as COVID-19, could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pStyle w:val="TextBody"/>
        <w:bidi w:val="0"/>
        <w:spacing w:before="180" w:after="283"/>
        <w:jc w:val="both"/>
        <w:rPr>
          <w:rFonts w:ascii="Arial" w:hAnsi="Arial"/>
          <w:color w:val="000000"/>
          <w:sz w:val="20"/>
        </w:rPr>
      </w:pPr>
      <w:r>
        <w:rPr>
          <w:rFonts w:ascii="Arial" w:hAnsi="Arial"/>
          <w:color w:val="000000"/>
          <w:sz w:val="20"/>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pStyle w:val="TextBody"/>
        <w:bidi w:val="0"/>
        <w:spacing w:before="180" w:after="283"/>
        <w:jc w:val="both"/>
        <w:rPr>
          <w:rFonts w:ascii="Times New Roman" w:hAnsi="Times New Roman"/>
          <w:sz w:val="20"/>
        </w:rPr>
      </w:pPr>
      <w:r>
        <w:rPr>
          <w:rFonts w:ascii="Arial" w:hAnsi="Arial"/>
          <w:b/>
          <w:color w:val="000000"/>
          <w:sz w:val="20"/>
        </w:rPr>
        <w:t>Our global business exposes us to operational and economic risks.</w:t>
      </w:r>
      <w:r>
        <w:rPr>
          <w:rFonts w:ascii="Times New Roman" w:hAnsi="Times New Roman"/>
          <w:color w:val="000000"/>
          <w:sz w:val="20"/>
        </w:rPr>
        <w:t xml:space="preserve"> </w:t>
      </w:r>
      <w:r>
        <w:rPr>
          <w:rFonts w:ascii="Arial" w:hAnsi="Arial"/>
          <w:color w:val="000000"/>
          <w:sz w:val="20"/>
        </w:rPr>
        <w:t>Our customers, employees, and infrastructure are located throughout the world and a significant part of our revenue comes from international sales. The global nature of our business creates operational, economic, and geopolitical risks. Global, regional, and local economic developments, monetary policy, geopolitical tension, particularly between the U.S. and Europe, restrictions on international trade, such as tariffs and other controls on imports or exports, inflation, and recession, as well as political and military disputes, could adversely affect our results of operations.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60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disagreements among governments on export controls and sanctions toward third countries, investment restrictions, or other developments that make it more difficult to operate and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could adversely affect our results of operations.</w:t>
      </w:r>
    </w:p>
    <w:p>
      <w:pPr>
        <w:pStyle w:val="TextBody"/>
        <w:bidi w:val="0"/>
        <w:spacing w:before="180" w:after="283"/>
        <w:jc w:val="both"/>
        <w:rPr>
          <w:rFonts w:ascii="Times New Roman" w:hAnsi="Times New Roman"/>
          <w:sz w:val="20"/>
        </w:rPr>
      </w:pPr>
      <w:r>
        <w:rPr>
          <w:rFonts w:ascii="Arial" w:hAnsi="Arial"/>
          <w:b/>
          <w:color w:val="000000"/>
          <w:sz w:val="20"/>
        </w:rPr>
        <w:t>Our business depends on our ability to attract and retain talented employees.</w:t>
      </w:r>
      <w:r>
        <w:rPr>
          <w:rFonts w:ascii="Times New Roman" w:hAnsi="Times New Roman"/>
          <w:color w:val="000000"/>
          <w:sz w:val="20"/>
        </w:rPr>
        <w:t xml:space="preserve"> </w:t>
      </w:r>
      <w:r>
        <w:rPr>
          <w:rFonts w:ascii="Arial" w:hAnsi="Arial"/>
          <w:color w:val="000000"/>
          <w:sz w:val="20"/>
        </w:rPr>
        <w:t>Our business is based on successfully attracting, training, and retaining talented employees representing diverse backgrounds, experiences, and skill sets. The market for highly skilled workers and leaders in our industry is extremely competitive. Maintaining our brand and reputation, as well as an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those derived from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could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pStyle w:val="TextBody"/>
        <w:bidi w:val="0"/>
        <w:spacing w:before="240" w:after="283"/>
        <w:jc w:val="center"/>
        <w:rPr>
          <w:rFonts w:ascii="Arial" w:hAnsi="Arial"/>
          <w:color w:val="000000"/>
          <w:sz w:val="16"/>
        </w:rPr>
      </w:pPr>
      <w:r>
        <w:rPr>
          <w:rFonts w:ascii="Arial" w:hAnsi="Arial"/>
          <w:color w:val="000000"/>
          <w:sz w:val="16"/>
        </w:rPr>
        <w:t>61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Arial" w:hAnsi="Arial"/>
          <w:b/>
          <w:color w:val="000000"/>
          <w:sz w:val="24"/>
        </w:rPr>
      </w:pPr>
      <w:bookmarkStart w:id="18" w:name="item_2_unregistered_sales_equity_securit"/>
      <w:bookmarkEnd w:id="18"/>
      <w:r>
        <w:rPr>
          <w:rFonts w:ascii="Arial" w:hAnsi="Arial"/>
          <w:b/>
          <w:color w:val="000000"/>
          <w:sz w:val="24"/>
        </w:rPr>
        <w:t>ITEM 2. UNREGISTERED SALES OF EQUITY SECURITIES AND USE OF PROCEEDS</w:t>
      </w:r>
    </w:p>
    <w:p>
      <w:pPr>
        <w:pStyle w:val="TextBody"/>
        <w:bidi w:val="0"/>
        <w:spacing w:before="180" w:after="283"/>
        <w:jc w:val="center"/>
        <w:rPr>
          <w:rFonts w:ascii="Arial" w:hAnsi="Arial"/>
          <w:color w:val="000000"/>
          <w:sz w:val="20"/>
          <w:u w:val="single"/>
        </w:rPr>
      </w:pPr>
      <w:r>
        <w:rPr>
          <w:rFonts w:ascii="Arial" w:hAnsi="Arial"/>
          <w:color w:val="000000"/>
          <w:sz w:val="20"/>
          <w:u w:val="single"/>
        </w:rPr>
        <w:t>SHARE REPURCHASES AND DIVIDENDS</w:t>
      </w:r>
    </w:p>
    <w:p>
      <w:pPr>
        <w:pStyle w:val="TextBody"/>
        <w:bidi w:val="0"/>
        <w:spacing w:before="180" w:after="283"/>
        <w:jc w:val="both"/>
        <w:rPr>
          <w:rFonts w:ascii="Arial" w:hAnsi="Arial"/>
          <w:color w:val="000000"/>
          <w:sz w:val="20"/>
        </w:rPr>
      </w:pPr>
      <w:r>
        <w:rPr>
          <w:rFonts w:ascii="Arial" w:hAnsi="Arial"/>
          <w:color w:val="000000"/>
          <w:sz w:val="20"/>
        </w:rPr>
        <w:t>Following are our monthly share repurchases for the second quarter of fiscal year 2026:</w:t>
      </w:r>
    </w:p>
    <w:p>
      <w:pPr>
        <w:pStyle w:val="TextBody"/>
        <w:bidi w:val="0"/>
        <w:jc w:val="both"/>
        <w:rPr/>
      </w:pPr>
      <w:r>
        <w:rPr/>
        <w:t> </w:t>
      </w:r>
    </w:p>
    <w:tbl>
      <w:tblPr>
        <w:tblW w:w="9898"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211"/>
        <w:gridCol w:w="691"/>
        <w:gridCol w:w="146"/>
        <w:gridCol w:w="146"/>
        <w:gridCol w:w="168"/>
        <w:gridCol w:w="1227"/>
        <w:gridCol w:w="146"/>
        <w:gridCol w:w="146"/>
        <w:gridCol w:w="256"/>
        <w:gridCol w:w="1169"/>
        <w:gridCol w:w="191"/>
      </w:tblGrid>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w:t>
              <w:br/>
              <w:t>of Shares</w:t>
            </w:r>
          </w:p>
          <w:p>
            <w:pPr>
              <w:pStyle w:val="TableContents"/>
              <w:bidi w:val="0"/>
              <w:spacing w:before="0" w:after="283"/>
              <w:jc w:val="right"/>
              <w:rPr>
                <w:rFonts w:ascii="Arial" w:hAnsi="Arial"/>
                <w:b/>
                <w:color w:val="000000"/>
                <w:sz w:val="15"/>
              </w:rPr>
            </w:pPr>
            <w:r>
              <w:rPr>
                <w:rFonts w:ascii="Arial" w:hAnsi="Arial"/>
                <w:b/>
                <w:color w:val="000000"/>
                <w:sz w:val="15"/>
              </w:rPr>
              <w:t>Purchased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Average</w:t>
            </w:r>
          </w:p>
          <w:p>
            <w:pPr>
              <w:pStyle w:val="TableContents"/>
              <w:bidi w:val="0"/>
              <w:jc w:val="right"/>
              <w:rPr>
                <w:rFonts w:ascii="Arial" w:hAnsi="Arial"/>
                <w:b/>
                <w:color w:val="000000"/>
                <w:sz w:val="15"/>
              </w:rPr>
            </w:pPr>
            <w:r>
              <w:rPr>
                <w:rFonts w:ascii="Arial" w:hAnsi="Arial"/>
                <w:b/>
                <w:color w:val="000000"/>
                <w:sz w:val="15"/>
              </w:rPr>
              <w:t>Price Paid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rFonts w:ascii="Arial" w:hAnsi="Arial"/>
                <w:b/>
                <w:color w:val="000000"/>
                <w:sz w:val="15"/>
              </w:rPr>
            </w:pPr>
            <w:r>
              <w:rPr>
                <w:rFonts w:ascii="Arial" w:hAnsi="Arial"/>
                <w:b/>
                <w:color w:val="000000"/>
                <w:sz w:val="15"/>
              </w:rPr>
              <w:t>of Shares</w:t>
            </w:r>
          </w:p>
          <w:p>
            <w:pPr>
              <w:pStyle w:val="TableContents"/>
              <w:bidi w:val="0"/>
              <w:jc w:val="right"/>
              <w:rPr>
                <w:rFonts w:ascii="Arial" w:hAnsi="Arial"/>
                <w:b/>
                <w:color w:val="000000"/>
                <w:sz w:val="15"/>
              </w:rPr>
            </w:pPr>
            <w:r>
              <w:rPr>
                <w:rFonts w:ascii="Arial" w:hAnsi="Arial"/>
                <w:b/>
                <w:color w:val="000000"/>
                <w:sz w:val="15"/>
              </w:rPr>
              <w:t>Purchased as</w:t>
            </w:r>
          </w:p>
          <w:p>
            <w:pPr>
              <w:pStyle w:val="TableContents"/>
              <w:bidi w:val="0"/>
              <w:jc w:val="right"/>
              <w:rPr>
                <w:rFonts w:ascii="Arial" w:hAnsi="Arial"/>
                <w:b/>
                <w:color w:val="000000"/>
                <w:sz w:val="15"/>
              </w:rPr>
            </w:pPr>
            <w:r>
              <w:rPr>
                <w:rFonts w:ascii="Arial" w:hAnsi="Arial"/>
                <w:b/>
                <w:color w:val="000000"/>
                <w:sz w:val="15"/>
              </w:rPr>
              <w:t>Part of Publicly</w:t>
            </w:r>
          </w:p>
          <w:p>
            <w:pPr>
              <w:pStyle w:val="TableContents"/>
              <w:bidi w:val="0"/>
              <w:jc w:val="right"/>
              <w:rPr>
                <w:rFonts w:ascii="Arial" w:hAnsi="Arial"/>
                <w:b/>
                <w:color w:val="000000"/>
                <w:sz w:val="15"/>
              </w:rPr>
            </w:pPr>
            <w:r>
              <w:rPr>
                <w:rFonts w:ascii="Arial" w:hAnsi="Arial"/>
                <w:b/>
                <w:color w:val="000000"/>
                <w:sz w:val="15"/>
              </w:rPr>
              <w:t>Announced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Approximate</w:t>
            </w:r>
          </w:p>
          <w:p>
            <w:pPr>
              <w:pStyle w:val="TableContents"/>
              <w:bidi w:val="0"/>
              <w:jc w:val="right"/>
              <w:rPr>
                <w:rFonts w:ascii="Arial" w:hAnsi="Arial"/>
                <w:b/>
                <w:color w:val="000000"/>
                <w:sz w:val="15"/>
              </w:rPr>
            </w:pPr>
            <w:r>
              <w:rPr>
                <w:rFonts w:ascii="Arial" w:hAnsi="Arial"/>
                <w:b/>
                <w:color w:val="000000"/>
                <w:sz w:val="15"/>
              </w:rPr>
              <w:t>Dollar Value of</w:t>
            </w:r>
          </w:p>
          <w:p>
            <w:pPr>
              <w:pStyle w:val="TableContents"/>
              <w:bidi w:val="0"/>
              <w:jc w:val="right"/>
              <w:rPr>
                <w:rFonts w:ascii="Arial" w:hAnsi="Arial"/>
                <w:b/>
                <w:color w:val="000000"/>
                <w:sz w:val="15"/>
              </w:rPr>
            </w:pPr>
            <w:r>
              <w:rPr>
                <w:rFonts w:ascii="Arial" w:hAnsi="Arial"/>
                <w:b/>
                <w:color w:val="000000"/>
                <w:sz w:val="15"/>
              </w:rPr>
              <w:t>Shares That May</w:t>
            </w:r>
          </w:p>
          <w:p>
            <w:pPr>
              <w:pStyle w:val="TableContents"/>
              <w:bidi w:val="0"/>
              <w:jc w:val="right"/>
              <w:rPr>
                <w:rFonts w:ascii="Arial" w:hAnsi="Arial"/>
                <w:b/>
                <w:color w:val="000000"/>
                <w:sz w:val="15"/>
              </w:rPr>
            </w:pPr>
            <w:r>
              <w:rPr>
                <w:rFonts w:ascii="Arial" w:hAnsi="Arial"/>
                <w:b/>
                <w:color w:val="000000"/>
                <w:sz w:val="15"/>
              </w:rPr>
              <w:t>Yet Be Purchased</w:t>
            </w:r>
          </w:p>
          <w:p>
            <w:pPr>
              <w:pStyle w:val="TableContents"/>
              <w:bidi w:val="0"/>
              <w:jc w:val="right"/>
              <w:rPr>
                <w:rFonts w:ascii="Arial" w:hAnsi="Arial"/>
                <w:b/>
                <w:color w:val="000000"/>
                <w:sz w:val="15"/>
              </w:rPr>
            </w:pPr>
            <w:r>
              <w:rPr>
                <w:rFonts w:ascii="Arial" w:hAnsi="Arial"/>
                <w:b/>
                <w:color w:val="000000"/>
                <w:sz w:val="15"/>
              </w:rPr>
              <w:t>Under the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October 1, 2025 – October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3,523,401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520.90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3,523,401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6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51,559</w:t>
            </w:r>
          </w:p>
        </w:tc>
        <w:tc>
          <w:tcPr>
            <w:tcW w:w="1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November 1, 2025 – November 30,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2,903,047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496.71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2,903,047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50,117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December 1, 2025 – December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5,558,939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483.31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5,558,939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47,430</w:t>
            </w:r>
          </w:p>
        </w:tc>
        <w:tc>
          <w:tcPr>
            <w:tcW w:w="1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11,985,387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11,985,387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 during the second quarter of fiscal year 2026:</w:t>
      </w:r>
    </w:p>
    <w:p>
      <w:pPr>
        <w:pStyle w:val="TextBody"/>
        <w:bidi w:val="0"/>
        <w:jc w:val="both"/>
        <w:rPr/>
      </w:pPr>
      <w:r>
        <w:rPr/>
        <w:t> </w:t>
      </w:r>
    </w:p>
    <w:tbl>
      <w:tblPr>
        <w:tblW w:w="8712" w:type="dxa"/>
        <w:jc w:val="left"/>
        <w:tblInd w:w="0" w:type="dxa"/>
        <w:tblLayout w:type="fixed"/>
        <w:tblCellMar>
          <w:top w:w="28" w:type="dxa"/>
          <w:left w:w="28" w:type="dxa"/>
          <w:bottom w:w="28" w:type="dxa"/>
          <w:right w:w="28" w:type="dxa"/>
        </w:tblCellMar>
      </w:tblPr>
      <w:tblGrid>
        <w:gridCol w:w="1756"/>
        <w:gridCol w:w="146"/>
        <w:gridCol w:w="146"/>
        <w:gridCol w:w="1741"/>
        <w:gridCol w:w="146"/>
        <w:gridCol w:w="146"/>
        <w:gridCol w:w="146"/>
        <w:gridCol w:w="1486"/>
        <w:gridCol w:w="146"/>
        <w:gridCol w:w="146"/>
        <w:gridCol w:w="211"/>
        <w:gridCol w:w="841"/>
        <w:gridCol w:w="146"/>
        <w:gridCol w:w="146"/>
        <w:gridCol w:w="211"/>
        <w:gridCol w:w="961"/>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December 2,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February 19,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March 12,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6,760</w:t>
            </w:r>
          </w:p>
        </w:tc>
        <w:tc>
          <w:tcPr>
            <w:tcW w:w="1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returned $12.7 billion to shareholders in the form of share repurchases and dividends in the second quarter of fiscal year 2026. Refer to Note 14 – Stockholders’ Equity of the Notes to Financial Statements (Part I, Item 1 of this Form 10-Q) for further discussion regarding share repurchases and dividends.</w:t>
      </w:r>
    </w:p>
    <w:p>
      <w:pPr>
        <w:pStyle w:val="TextBody"/>
        <w:bidi w:val="0"/>
        <w:spacing w:before="240" w:after="283"/>
        <w:jc w:val="center"/>
        <w:rPr>
          <w:rFonts w:ascii="Arial" w:hAnsi="Arial"/>
          <w:color w:val="000000"/>
          <w:sz w:val="16"/>
        </w:rPr>
      </w:pPr>
      <w:r>
        <w:rPr>
          <w:rFonts w:ascii="Arial" w:hAnsi="Arial"/>
          <w:color w:val="000000"/>
          <w:sz w:val="16"/>
        </w:rPr>
        <w:t>62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5</w:t>
      </w:r>
    </w:p>
    <w:p>
      <w:pPr>
        <w:pStyle w:val="TextBody"/>
        <w:bidi w:val="0"/>
        <w:jc w:val="left"/>
        <w:rPr/>
      </w:pPr>
      <w:r>
        <w:rPr/>
        <w:t> </w:t>
      </w:r>
    </w:p>
    <w:p>
      <w:pPr>
        <w:pStyle w:val="TextBody"/>
        <w:bidi w:val="0"/>
        <w:jc w:val="center"/>
        <w:rPr>
          <w:rFonts w:ascii="Arial" w:hAnsi="Arial"/>
          <w:b/>
          <w:color w:val="000000"/>
          <w:sz w:val="24"/>
        </w:rPr>
      </w:pPr>
      <w:bookmarkStart w:id="19" w:name="item_5"/>
      <w:bookmarkEnd w:id="19"/>
      <w:r>
        <w:rPr>
          <w:rFonts w:ascii="Arial" w:hAnsi="Arial"/>
          <w:b/>
          <w:color w:val="000000"/>
          <w:sz w:val="24"/>
        </w:rPr>
        <w:t>ITEM 5. OTHER INFORMATION</w:t>
      </w:r>
    </w:p>
    <w:p>
      <w:pPr>
        <w:pStyle w:val="TextBody"/>
        <w:bidi w:val="0"/>
        <w:spacing w:before="180" w:after="283"/>
        <w:jc w:val="both"/>
        <w:rPr>
          <w:rFonts w:ascii="Arial" w:hAnsi="Arial"/>
          <w:b/>
          <w:color w:val="000000"/>
          <w:sz w:val="20"/>
        </w:rPr>
      </w:pPr>
      <w:r>
        <w:rPr>
          <w:rFonts w:ascii="Arial" w:hAnsi="Arial"/>
          <w:b/>
          <w:color w:val="000000"/>
          <w:sz w:val="20"/>
        </w:rPr>
        <w:t>Insider Trading Arrangements</w:t>
      </w:r>
    </w:p>
    <w:p>
      <w:pPr>
        <w:pStyle w:val="TextBody"/>
        <w:bidi w:val="0"/>
        <w:spacing w:before="180" w:after="283"/>
        <w:jc w:val="both"/>
        <w:rPr>
          <w:rFonts w:ascii="Times New Roman" w:hAnsi="Times New Roman"/>
          <w:sz w:val="20"/>
        </w:rPr>
      </w:pPr>
      <w:r>
        <w:rPr>
          <w:rFonts w:ascii="Arial" w:hAnsi="Arial"/>
          <w:color w:val="000000"/>
          <w:sz w:val="20"/>
        </w:rPr>
        <w:t>None of our officers or directors, as defined in Rule 16a-1(f) of the Securities Exchange Act of 1934, adopted, modified, or terminated</w:t>
      </w:r>
      <w:r>
        <w:rPr>
          <w:rFonts w:ascii="Times New Roman" w:hAnsi="Times New Roman"/>
          <w:color w:val="000000"/>
          <w:sz w:val="20"/>
        </w:rPr>
        <w:t xml:space="preserve"> </w:t>
      </w:r>
      <w:r>
        <w:rPr>
          <w:rFonts w:ascii="Arial" w:hAnsi="Arial"/>
          <w:color w:val="000000"/>
          <w:sz w:val="20"/>
        </w:rPr>
        <w:t>a “Rule 10b5-1</w:t>
      </w:r>
      <w:r>
        <w:rPr>
          <w:rFonts w:ascii="Times New Roman" w:hAnsi="Times New Roman"/>
          <w:color w:val="000000"/>
          <w:sz w:val="20"/>
        </w:rPr>
        <w:t xml:space="preserve"> </w:t>
      </w:r>
      <w:r>
        <w:rPr>
          <w:rFonts w:ascii="Arial" w:hAnsi="Arial"/>
          <w:color w:val="000000"/>
          <w:sz w:val="20"/>
        </w:rPr>
        <w:t>trading arrangement” or a “non-Rule 10b5-1</w:t>
      </w:r>
      <w:r>
        <w:rPr>
          <w:rFonts w:ascii="Times New Roman" w:hAnsi="Times New Roman"/>
          <w:color w:val="000000"/>
          <w:sz w:val="20"/>
        </w:rPr>
        <w:t xml:space="preserve"> </w:t>
      </w:r>
      <w:r>
        <w:rPr>
          <w:rFonts w:ascii="Arial" w:hAnsi="Arial"/>
          <w:color w:val="000000"/>
          <w:sz w:val="20"/>
        </w:rPr>
        <w:t>trading arrangement,” as defined in Item 408 of Regulation S-K, during the three months ended December 31, 2025.</w:t>
      </w:r>
    </w:p>
    <w:p>
      <w:pPr>
        <w:pStyle w:val="TextBody"/>
        <w:bidi w:val="0"/>
        <w:spacing w:before="270" w:after="283"/>
        <w:jc w:val="both"/>
        <w:rPr>
          <w:rFonts w:ascii="Arial" w:hAnsi="Arial"/>
          <w:b/>
          <w:color w:val="000000"/>
          <w:sz w:val="20"/>
        </w:rPr>
      </w:pPr>
      <w:r>
        <w:rPr>
          <w:rFonts w:ascii="Arial" w:hAnsi="Arial"/>
          <w:b/>
          <w:color w:val="000000"/>
          <w:sz w:val="20"/>
        </w:rPr>
        <w:t>Disclosure Pursuant to Section 13(r) of the Securities Exchange Act of 1934</w:t>
      </w:r>
    </w:p>
    <w:p>
      <w:pPr>
        <w:pStyle w:val="TextBody"/>
        <w:bidi w:val="0"/>
        <w:spacing w:before="180" w:after="283"/>
        <w:jc w:val="both"/>
        <w:rPr>
          <w:rFonts w:ascii="Arial" w:hAnsi="Arial"/>
          <w:color w:val="000000"/>
          <w:sz w:val="20"/>
        </w:rPr>
      </w:pPr>
      <w:r>
        <w:rPr>
          <w:rFonts w:ascii="Arial" w:hAnsi="Arial"/>
          <w:color w:val="000000"/>
          <w:sz w:val="20"/>
        </w:rPr>
        <w:t>Pursuant to Section 13(r) of the Securities Exchange Act of 1934, we are required to disclose knowing transactions or dealings involving specific sanctions programs administered by the U.S. Office of Foreign Assets Control (“OFAC”). We disclose the following activities in connection with two Taiwanese entities sanctioned under the Weapons of Mass Destruction Proliferators Regulations. During the quarter ended December 31, 2025, our affiliate in the Asia-Pacific region communicated with these entities about suspension of services following their OFAC designations and allowed these entities to retrieve customer data from our servers in the Asia-Pacific region. No revenue or profit was generated by these activities. We have already terminated these reported activities as of the date of this filing.</w:t>
      </w:r>
    </w:p>
    <w:p>
      <w:pPr>
        <w:pStyle w:val="TextBody"/>
        <w:bidi w:val="0"/>
        <w:spacing w:before="240" w:after="283"/>
        <w:jc w:val="center"/>
        <w:rPr>
          <w:rFonts w:ascii="Arial" w:hAnsi="Arial"/>
          <w:color w:val="000000"/>
          <w:sz w:val="16"/>
        </w:rPr>
      </w:pPr>
      <w:r>
        <w:rPr>
          <w:rFonts w:ascii="Arial" w:hAnsi="Arial"/>
          <w:color w:val="000000"/>
          <w:sz w:val="16"/>
        </w:rPr>
        <w:t>63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6</w:t>
      </w:r>
    </w:p>
    <w:p>
      <w:pPr>
        <w:pStyle w:val="TextBody"/>
        <w:bidi w:val="0"/>
        <w:jc w:val="left"/>
        <w:rPr/>
      </w:pPr>
      <w:r>
        <w:rPr/>
        <w:t> </w:t>
      </w:r>
    </w:p>
    <w:p>
      <w:pPr>
        <w:pStyle w:val="TextBody"/>
        <w:bidi w:val="0"/>
        <w:jc w:val="center"/>
        <w:rPr>
          <w:rFonts w:ascii="Arial" w:hAnsi="Arial"/>
          <w:b/>
          <w:color w:val="000000"/>
          <w:sz w:val="24"/>
        </w:rPr>
      </w:pPr>
      <w:bookmarkStart w:id="20" w:name="item_6_exhibits"/>
      <w:bookmarkEnd w:id="20"/>
      <w:r>
        <w:rPr>
          <w:rFonts w:ascii="Arial" w:hAnsi="Arial"/>
          <w:b/>
          <w:color w:val="000000"/>
          <w:sz w:val="24"/>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5440"/>
        <w:gridCol w:w="146"/>
        <w:gridCol w:w="751"/>
        <w:gridCol w:w="146"/>
        <w:gridCol w:w="481"/>
        <w:gridCol w:w="146"/>
        <w:gridCol w:w="616"/>
        <w:gridCol w:w="146"/>
        <w:gridCol w:w="616"/>
        <w:gridCol w:w="146"/>
        <w:gridCol w:w="671"/>
      </w:tblGrid>
      <w:tr>
        <w:trPr/>
        <w:tc>
          <w:tcPr>
            <w:tcW w:w="7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1" w:type="dxa"/>
            <w:tcBorders/>
            <w:shd w:fill="FFFFFF" w:val="clear"/>
            <w:vAlign w:val="center"/>
          </w:tcPr>
          <w:p>
            <w:pPr>
              <w:pStyle w:val="TableContents"/>
              <w:bidi w:val="0"/>
              <w:spacing w:before="0" w:after="283"/>
              <w:jc w:val="left"/>
              <w:rPr>
                <w:sz w:val="4"/>
                <w:szCs w:val="4"/>
              </w:rPr>
            </w:pPr>
            <w:r>
              <w:rPr>
                <w:sz w:val="4"/>
                <w:szCs w:val="4"/>
              </w:rPr>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754"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jc w:val="center"/>
              <w:rPr>
                <w:rFonts w:ascii="Times New Roman" w:hAnsi="Times New Roman"/>
                <w:sz w:val="15"/>
              </w:rPr>
            </w:pPr>
            <w:r>
              <w:rPr>
                <w:rFonts w:ascii="Arial" w:hAnsi="Arial"/>
                <w:b/>
                <w:color w:val="000000"/>
                <w:sz w:val="15"/>
              </w:rPr>
              <w:t>Filed</w:t>
            </w:r>
            <w:r>
              <w:rPr>
                <w:rFonts w:ascii="Times New Roman" w:hAnsi="Times New Roman"/>
                <w:color w:val="000000"/>
                <w:sz w:val="15"/>
              </w:rPr>
              <w:t xml:space="preserve"> </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r>
      <w:tr>
        <w:trPr/>
        <w:tc>
          <w:tcPr>
            <w:tcW w:w="7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pPr>
            <w:hyperlink w:anchor="msft-ex15_1.htm">
              <w:r>
                <w:rPr>
                  <w:rStyle w:val="InternetLink"/>
                  <w:rFonts w:ascii="Arial" w:hAnsi="Arial"/>
                  <w:color w:val="000000"/>
                  <w:sz w:val="20"/>
                </w:rPr>
                <w:t>Letter regarding unaudited interim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1_1.htm">
              <w:r>
                <w:rPr>
                  <w:rStyle w:val="InternetLink"/>
                  <w:rFonts w:ascii="Arial" w:hAnsi="Arial"/>
                  <w:color w:val="000000"/>
                  <w:sz w:val="20"/>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1_2.htm">
              <w:r>
                <w:rPr>
                  <w:rStyle w:val="InternetLink"/>
                  <w:rFonts w:ascii="Arial" w:hAnsi="Arial"/>
                  <w:color w:val="000000"/>
                  <w:sz w:val="20"/>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2_1.htm">
              <w:r>
                <w:rPr>
                  <w:rStyle w:val="InternetLink"/>
                  <w:rFonts w:ascii="Arial" w:hAnsi="Arial"/>
                  <w:color w:val="000000"/>
                  <w:sz w:val="20"/>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2_2.htm">
              <w:r>
                <w:rPr>
                  <w:rStyle w:val="InternetLink"/>
                  <w:rFonts w:ascii="Arial" w:hAnsi="Arial"/>
                  <w:color w:val="000000"/>
                  <w:sz w:val="20"/>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 </w:t>
      </w:r>
      <w:r>
        <w:rPr>
          <w:rFonts w:ascii="Arial" w:hAnsi="Arial"/>
          <w:i/>
          <w:color w:val="000000"/>
          <w:sz w:val="20"/>
        </w:rPr>
        <w:t>Furnished, not filed.</w:t>
      </w:r>
    </w:p>
    <w:p>
      <w:pPr>
        <w:pStyle w:val="TextBody"/>
        <w:bidi w:val="0"/>
        <w:jc w:val="left"/>
        <w:rPr/>
      </w:pPr>
      <w:r>
        <w:rPr/>
        <w:t> </w:t>
      </w:r>
    </w:p>
    <w:p>
      <w:pPr>
        <w:pStyle w:val="TextBody"/>
        <w:bidi w:val="0"/>
        <w:spacing w:before="70" w:after="283"/>
        <w:jc w:val="both"/>
        <w:rPr>
          <w:rFonts w:ascii="Arial" w:hAnsi="Arial"/>
          <w:b/>
          <w:color w:val="000000"/>
          <w:sz w:val="20"/>
        </w:rPr>
      </w:pPr>
      <w:r>
        <w:rPr>
          <w:rFonts w:ascii="Arial" w:hAnsi="Arial"/>
          <w:b/>
          <w:color w:val="000000"/>
          <w:sz w:val="20"/>
        </w:rPr>
        <w:t>Items 3 and 4 are not applicable and have been omitted.</w:t>
      </w:r>
    </w:p>
    <w:p>
      <w:pPr>
        <w:pStyle w:val="TextBody"/>
        <w:bidi w:val="0"/>
        <w:spacing w:before="240" w:after="283"/>
        <w:jc w:val="center"/>
        <w:rPr>
          <w:rFonts w:ascii="Arial" w:hAnsi="Arial"/>
          <w:color w:val="000000"/>
          <w:sz w:val="16"/>
        </w:rPr>
      </w:pPr>
      <w:r>
        <w:rPr>
          <w:rFonts w:ascii="Arial" w:hAnsi="Arial"/>
          <w:color w:val="000000"/>
          <w:sz w:val="16"/>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111" w:type="dxa"/>
        <w:jc w:val="left"/>
        <w:tblInd w:w="0" w:type="dxa"/>
        <w:tblLayout w:type="fixed"/>
        <w:tblCellMar>
          <w:top w:w="28" w:type="dxa"/>
          <w:left w:w="28" w:type="dxa"/>
          <w:bottom w:w="28" w:type="dxa"/>
          <w:right w:w="28" w:type="dxa"/>
        </w:tblCellMar>
      </w:tblPr>
      <w:tblGrid>
        <w:gridCol w:w="7111"/>
      </w:tblGrid>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M</w:t>
            </w:r>
            <w:r>
              <w:rPr>
                <w:rFonts w:ascii="Arial" w:hAnsi="Arial"/>
                <w:color w:val="000000"/>
                <w:sz w:val="15"/>
              </w:rPr>
              <w:t>ICROSOFT</w:t>
            </w:r>
            <w:r>
              <w:rPr>
                <w:rFonts w:ascii="Times New Roman" w:hAnsi="Times New Roman"/>
                <w:color w:val="000000"/>
                <w:sz w:val="20"/>
              </w:rPr>
              <w:t> </w:t>
            </w:r>
            <w:r>
              <w:rPr>
                <w:rFonts w:ascii="Arial" w:hAnsi="Arial"/>
                <w:color w:val="000000"/>
                <w:sz w:val="20"/>
              </w:rPr>
              <w:t>C</w:t>
            </w:r>
            <w:r>
              <w:rPr>
                <w:rFonts w:ascii="Arial" w:hAnsi="Arial"/>
                <w:color w:val="000000"/>
                <w:sz w:val="15"/>
              </w:rPr>
              <w:t>ORPORATION</w:t>
            </w:r>
          </w:p>
        </w:tc>
      </w:tr>
      <w:tr>
        <w:trPr/>
        <w:tc>
          <w:tcPr>
            <w:tcW w:w="7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A</w:t>
            </w:r>
            <w:r>
              <w:rPr>
                <w:rFonts w:ascii="Arial" w:hAnsi="Arial"/>
                <w:color w:val="000000"/>
                <w:sz w:val="15"/>
              </w:rPr>
              <w:t>LICE</w:t>
            </w:r>
            <w:r>
              <w:rPr>
                <w:rFonts w:ascii="Times New Roman" w:hAnsi="Times New Roman"/>
                <w:color w:val="000000"/>
                <w:sz w:val="20"/>
              </w:rPr>
              <w:t> </w:t>
            </w:r>
            <w:r>
              <w:rPr>
                <w:rFonts w:ascii="Arial" w:hAnsi="Arial"/>
                <w:color w:val="000000"/>
                <w:sz w:val="20"/>
              </w:rPr>
              <w:t>L. J</w:t>
            </w:r>
            <w:r>
              <w:rPr>
                <w:rFonts w:ascii="Arial" w:hAnsi="Arial"/>
                <w:color w:val="000000"/>
                <w:sz w:val="15"/>
              </w:rPr>
              <w:t>OLLA</w:t>
            </w:r>
          </w:p>
        </w:tc>
      </w:tr>
      <w:tr>
        <w:trPr/>
        <w:tc>
          <w:tcPr>
            <w:tcW w:w="711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Alice L. Jolla</w:t>
            </w:r>
          </w:p>
        </w:tc>
      </w:tr>
      <w:tr>
        <w:trPr/>
        <w:tc>
          <w:tcPr>
            <w:tcW w:w="7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Vice President and Chief Accounting Officer (Duly Authorized Officer)</w:t>
            </w:r>
          </w:p>
        </w:tc>
      </w:tr>
      <w:tr>
        <w:trPr/>
        <w:tc>
          <w:tcPr>
            <w:tcW w:w="7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28, 2026</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65</w:t>
      </w:r>
    </w:p>
    <w:p>
      <w:pPr>
        <w:pStyle w:val="HorizontalLine"/>
        <w:pBdr>
          <w:bottom w:val="double" w:sz="2" w:space="0" w:color="808080"/>
        </w:pBdr>
        <w:bidi w:val="0"/>
        <w:spacing w:before="0" w:after="283"/>
        <w:jc w:val="left"/>
        <w:rPr/>
      </w:pPr>
      <w:r>
        <w:rPr/>
      </w:r>
    </w:p>
    <w:p>
      <w:pPr>
        <w:pStyle w:val="TextBody"/>
        <w:bidi w:val="0"/>
        <w:jc w:val="left"/>
        <w:rPr/>
      </w:pPr>
      <w:bookmarkStart w:id="22" w:name="msft-ex15_1.htm"/>
      <w:bookmarkStart w:id="23" w:name="ksmsftex15_1"/>
      <w:bookmarkEnd w:id="22"/>
      <w:bookmarkEnd w:id="23"/>
      <w:r>
        <w:rPr/>
        <w:t> </w:t>
      </w:r>
      <w:r>
        <w:br w:type="page"/>
      </w:r>
    </w:p>
    <w:p>
      <w:pPr>
        <w:pStyle w:val="TextBody"/>
        <w:bidi w:val="0"/>
        <w:jc w:val="right"/>
        <w:rPr>
          <w:rFonts w:ascii="Times New Roman" w:hAnsi="Times New Roman"/>
          <w:sz w:val="20"/>
        </w:rPr>
      </w:pPr>
      <w:r>
        <w:rPr>
          <w:rFonts w:ascii="Arial" w:hAnsi="Arial"/>
          <w:color w:val="000000"/>
          <w:sz w:val="20"/>
        </w:rPr>
        <w:t>Exhibit 15.1</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January 28, 2026</w:t>
      </w:r>
    </w:p>
    <w:p>
      <w:pPr>
        <w:pStyle w:val="TextBody"/>
        <w:bidi w:val="0"/>
        <w:spacing w:before="180" w:after="283"/>
        <w:jc w:val="both"/>
        <w:rPr>
          <w:rFonts w:ascii="Times New Roman" w:hAnsi="Times New Roman"/>
          <w:sz w:val="20"/>
        </w:rPr>
      </w:pPr>
      <w:r>
        <w:rPr>
          <w:rFonts w:ascii="Arial" w:hAnsi="Arial"/>
          <w:color w:val="000000"/>
          <w:sz w:val="20"/>
        </w:rPr>
        <w:t>The Board of Directors and Stockholders of Microsoft Corporation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One Microsoft Way</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Redmond, WA 98052-6399</w:t>
      </w:r>
    </w:p>
    <w:p>
      <w:pPr>
        <w:pStyle w:val="TextBody"/>
        <w:bidi w:val="0"/>
        <w:spacing w:before="180" w:after="180"/>
        <w:jc w:val="both"/>
        <w:rPr>
          <w:rFonts w:ascii="Times New Roman" w:hAnsi="Times New Roman"/>
          <w:sz w:val="20"/>
        </w:rPr>
      </w:pPr>
      <w:r>
        <w:rPr>
          <w:rFonts w:ascii="Arial" w:hAnsi="Arial"/>
          <w:color w:val="000000"/>
          <w:sz w:val="20"/>
        </w:rPr>
        <w:t>We are aware that our report dated January 28, 2026, on our review of the interim financial information of Microsoft Corporation and subsidiaries (“Microsoft”) appearing in Microsoft’s Quarterly Report on Form 10-Q for the quarter ended December 31, 2025, is incorporated by reference in Registration Statement Nos. 333-109185, 333-118764, 333-52852, 333-132100, 333-161516, 333-75243, 333-185757, 333-221833, 333-292490, and 333-292496 on Form S-8 and Registration Statement No. 333-283760 on Form S-3.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Seattle, Washington</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4" w:name="msft-ex31_1.htm"/>
      <w:bookmarkStart w:id="25" w:name="ksmsftex31_1"/>
      <w:bookmarkEnd w:id="24"/>
      <w:bookmarkEnd w:id="25"/>
      <w:r>
        <w:rPr>
          <w:rFonts w:ascii="Arial" w:hAnsi="Arial"/>
          <w:color w:val="000000"/>
          <w:sz w:val="20"/>
        </w:rPr>
        <w:t>Exhibit 31.1</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Satya Nadella,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January 28, 2026</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6" w:name="msft-ex31_2.htm"/>
      <w:bookmarkStart w:id="27" w:name="ksmsftex31_2"/>
      <w:bookmarkEnd w:id="26"/>
      <w:bookmarkEnd w:id="27"/>
      <w:r>
        <w:rPr>
          <w:rFonts w:ascii="Arial" w:hAnsi="Arial"/>
          <w:color w:val="000000"/>
          <w:sz w:val="20"/>
        </w:rPr>
        <w:t>Exhibit 31.2</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Amy E. Hood,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January 28, 2026</w:t>
      </w:r>
    </w:p>
    <w:p>
      <w:pPr>
        <w:pStyle w:val="HorizontalLine"/>
        <w:pBdr>
          <w:bottom w:val="double" w:sz="2" w:space="0" w:color="808080"/>
        </w:pBdr>
        <w:bidi w:val="0"/>
        <w:spacing w:before="0" w:after="283"/>
        <w:jc w:val="left"/>
        <w:rPr/>
      </w:pPr>
      <w:r>
        <w:rPr/>
      </w:r>
    </w:p>
    <w:p>
      <w:pPr>
        <w:pStyle w:val="TextBody"/>
        <w:bidi w:val="0"/>
        <w:jc w:val="left"/>
        <w:rPr/>
      </w:pPr>
      <w:bookmarkStart w:id="28" w:name="msft-ex32_1.htm"/>
      <w:bookmarkStart w:id="29" w:name="ksmsftex32_1"/>
      <w:bookmarkEnd w:id="28"/>
      <w:bookmarkEnd w:id="29"/>
      <w:r>
        <w:rPr/>
        <w:t> </w:t>
      </w:r>
      <w:r>
        <w:br w:type="page"/>
      </w:r>
    </w:p>
    <w:p>
      <w:pPr>
        <w:pStyle w:val="TextBody"/>
        <w:bidi w:val="0"/>
        <w:jc w:val="right"/>
        <w:rPr>
          <w:rFonts w:ascii="Times New Roman" w:hAnsi="Times New Roman"/>
          <w:sz w:val="20"/>
        </w:rPr>
      </w:pPr>
      <w:r>
        <w:rPr>
          <w:rFonts w:ascii="Arial" w:hAnsi="Arial"/>
          <w:color w:val="000000"/>
          <w:sz w:val="20"/>
        </w:rPr>
        <w:t>Exhibit 32.1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December 31, 2025, as filed with the Securities and Exchange Commission (the “Report”), Satya Nadella, Chief Executive Officer of the Company, does hereby certify, pursuant to § 906 of the Sarbanes-Oxley Act of 2002 (18 U.S.C. § 1350), that to his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January 28, 2026</w:t>
      </w:r>
    </w:p>
    <w:p>
      <w:pPr>
        <w:pStyle w:val="TextBody"/>
        <w:bidi w:val="0"/>
        <w:spacing w:before="180" w:after="283"/>
        <w:jc w:val="both"/>
        <w:rPr>
          <w:rFonts w:ascii="Times New Roman" w:hAnsi="Times New Roman"/>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sft-ex32_2.htm"/>
      <w:bookmarkStart w:id="31" w:name="ksmsftex32_2"/>
      <w:bookmarkEnd w:id="30"/>
      <w:bookmarkEnd w:id="31"/>
      <w:r>
        <w:rPr/>
        <w:t> </w:t>
      </w:r>
      <w:r>
        <w:br w:type="page"/>
      </w:r>
    </w:p>
    <w:p>
      <w:pPr>
        <w:pStyle w:val="TextBody"/>
        <w:bidi w:val="0"/>
        <w:jc w:val="right"/>
        <w:rPr>
          <w:rFonts w:ascii="Times New Roman" w:hAnsi="Times New Roman"/>
          <w:sz w:val="20"/>
        </w:rPr>
      </w:pPr>
      <w:r>
        <w:rPr>
          <w:rFonts w:ascii="Arial" w:hAnsi="Arial"/>
          <w:color w:val="000000"/>
          <w:sz w:val="20"/>
        </w:rPr>
        <w:t>Exhibit 32.2</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December 31, 2025, as filed with the Securities and Exchange Commission (the “Report”), Amy E. Hood, Chief Financial Officer of the Company, does hereby certify, pursuant to § 906 of the Sarbanes-Oxley Act of 2002 (18 U.S.C. § 1350), that to her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January 28, 2026</w:t>
      </w:r>
    </w:p>
    <w:p>
      <w:pPr>
        <w:pStyle w:val="TextBody"/>
        <w:bidi w:val="0"/>
        <w:spacing w:before="180" w:after="283"/>
        <w:jc w:val="both"/>
        <w:rPr>
          <w:rFonts w:ascii="Arial" w:hAnsi="Arial"/>
          <w:color w:val="000000"/>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32147</Words>
  <Characters>178681</Characters>
  <CharactersWithSpaces>217481</CharactersWithSpaces>
  <Paragraphs>15316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