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6" w:lineRule="exact"/>
        <w:rPr>
          <w:sz w:val="24"/>
          <w:szCs w:val="24"/>
          <w:color w:val="auto"/>
        </w:rPr>
      </w:pPr>
    </w:p>
    <w:p>
      <w:pPr>
        <w:ind w:left="340" w:right="8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-229235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4"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-618490</wp:posOffset>
            </wp:positionV>
            <wp:extent cx="57785" cy="6318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825"/>
                    </a:xfrm>
                    <a:prstGeom prst="rect">
                      <a:avLst/>
                    </a:prstGeom>
                    <a:noFill/>
                  </pic:spPr>
                </pic:pic>
              </a:graphicData>
            </a:graphic>
          </wp:anchor>
        </w:drawing>
        <w:drawing>
          <wp:anchor simplePos="0" relativeHeight="251657728" behindDoc="1" locked="0" layoutInCell="0" allowOverlap="1">
            <wp:simplePos x="0" y="0"/>
            <wp:positionH relativeFrom="column">
              <wp:posOffset>3952240</wp:posOffset>
            </wp:positionH>
            <wp:positionV relativeFrom="paragraph">
              <wp:posOffset>-618490</wp:posOffset>
            </wp:positionV>
            <wp:extent cx="57785" cy="6318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82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733425</wp:posOffset>
            </wp:positionV>
            <wp:extent cx="6995160" cy="49091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4909185"/>
                    </a:xfrm>
                    <a:prstGeom prst="rect">
                      <a:avLst/>
                    </a:prstGeom>
                    <a:noFill/>
                  </pic:spPr>
                </pic:pic>
              </a:graphicData>
            </a:graphic>
          </wp:anchor>
        </w:drawing>
      </w:r>
    </w:p>
    <w:p>
      <w:pPr>
        <w:spacing w:after="0" w:line="1162"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40" w:type="dxa"/>
            <w:vAlign w:val="bottom"/>
            <w:gridSpan w:val="3"/>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780" w:type="dxa"/>
            <w:vAlign w:val="bottom"/>
            <w:gridSpan w:val="2"/>
            <w:vMerge w:val="restart"/>
          </w:tcPr>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MacGregor Catherine</w:t>
              </w:r>
            </w:hyperlink>
          </w:p>
        </w:tc>
        <w:tc>
          <w:tcPr>
            <w:tcW w:w="6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tcPr>
          <w:p>
            <w:pPr>
              <w:ind w:left="80"/>
              <w:spacing w:after="0" w:line="102"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MICROSOFT CORP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MSFT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2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7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740" w:type="dxa"/>
            <w:vAlign w:val="bottom"/>
            <w:tcBorders>
              <w:bottom w:val="single" w:sz="8" w:color="0000EE"/>
            </w:tcBorders>
          </w:tcPr>
          <w:p>
            <w:pPr>
              <w:spacing w:after="0"/>
              <w:rPr>
                <w:sz w:val="6"/>
                <w:szCs w:val="6"/>
                <w:color w:val="auto"/>
              </w:rPr>
            </w:pPr>
          </w:p>
        </w:tc>
        <w:tc>
          <w:tcPr>
            <w:tcW w:w="202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1780" w:type="dxa"/>
            <w:vAlign w:val="bottom"/>
            <w:tcBorders>
              <w:bottom w:val="single" w:sz="8" w:color="0000EE"/>
            </w:tcBorders>
            <w:gridSpan w:val="2"/>
            <w:vMerge w:val="continue"/>
          </w:tcPr>
          <w:p>
            <w:pPr>
              <w:spacing w:after="0"/>
              <w:rPr>
                <w:sz w:val="5"/>
                <w:szCs w:val="5"/>
                <w:color w:val="auto"/>
              </w:rPr>
            </w:pPr>
          </w:p>
        </w:tc>
        <w:tc>
          <w:tcPr>
            <w:tcW w:w="640" w:type="dxa"/>
            <w:vAlign w:val="bottom"/>
            <w:vMerge w:val="restart"/>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740" w:type="dxa"/>
            <w:vAlign w:val="bottom"/>
          </w:tcPr>
          <w:p>
            <w:pPr>
              <w:spacing w:after="0"/>
              <w:rPr>
                <w:sz w:val="5"/>
                <w:szCs w:val="5"/>
                <w:color w:val="auto"/>
              </w:rPr>
            </w:pPr>
          </w:p>
        </w:tc>
        <w:tc>
          <w:tcPr>
            <w:tcW w:w="2020" w:type="dxa"/>
            <w:vAlign w:val="bottom"/>
          </w:tcPr>
          <w:p>
            <w:pPr>
              <w:spacing w:after="0"/>
              <w:rPr>
                <w:sz w:val="5"/>
                <w:szCs w:val="5"/>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vMerge w:val="continue"/>
          </w:tcPr>
          <w:p>
            <w:pPr>
              <w:spacing w:after="0"/>
              <w:rPr>
                <w:sz w:val="6"/>
                <w:szCs w:val="6"/>
                <w:color w:val="auto"/>
              </w:rPr>
            </w:pPr>
          </w:p>
        </w:tc>
        <w:tc>
          <w:tcPr>
            <w:tcW w:w="1780" w:type="dxa"/>
            <w:vAlign w:val="bottom"/>
            <w:gridSpan w:val="2"/>
          </w:tcPr>
          <w:p>
            <w:pPr>
              <w:spacing w:after="0"/>
              <w:rPr>
                <w:sz w:val="6"/>
                <w:szCs w:val="6"/>
                <w:color w:val="auto"/>
              </w:rPr>
            </w:pPr>
          </w:p>
        </w:tc>
        <w:tc>
          <w:tcPr>
            <w:tcW w:w="640" w:type="dxa"/>
            <w:vAlign w:val="bottom"/>
            <w:vMerge w:val="continue"/>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740" w:type="dxa"/>
            <w:vAlign w:val="bottom"/>
          </w:tcPr>
          <w:p>
            <w:pPr>
              <w:spacing w:after="0"/>
              <w:rPr>
                <w:sz w:val="6"/>
                <w:szCs w:val="6"/>
                <w:color w:val="auto"/>
              </w:rPr>
            </w:pPr>
          </w:p>
        </w:tc>
        <w:tc>
          <w:tcPr>
            <w:tcW w:w="202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780" w:type="dxa"/>
            <w:vAlign w:val="bottom"/>
            <w:tcBorders>
              <w:top w:val="single" w:sz="8" w:color="EEEEEE"/>
            </w:tcBorders>
          </w:tcPr>
          <w:p>
            <w:pPr>
              <w:spacing w:after="0" w:line="20" w:lineRule="exact"/>
              <w:rPr>
                <w:sz w:val="1"/>
                <w:szCs w:val="1"/>
                <w:color w:val="auto"/>
              </w:rPr>
            </w:pPr>
          </w:p>
        </w:tc>
        <w:tc>
          <w:tcPr>
            <w:tcW w:w="100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12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40" w:type="dxa"/>
            <w:vAlign w:val="bottom"/>
            <w:tcBorders>
              <w:top w:val="single" w:sz="8" w:color="2C2C2C"/>
            </w:tcBorders>
            <w:gridSpan w:val="3"/>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1820" w:type="dxa"/>
            <w:vAlign w:val="bottom"/>
            <w:vMerge w:val="continue"/>
          </w:tcPr>
          <w:p>
            <w:pPr>
              <w:spacing w:after="0" w:line="20" w:lineRule="exact"/>
              <w:rPr>
                <w:sz w:val="1"/>
                <w:szCs w:val="1"/>
                <w:color w:val="auto"/>
              </w:rPr>
            </w:pPr>
          </w:p>
        </w:tc>
        <w:tc>
          <w:tcPr>
            <w:tcW w:w="14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4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2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3840" w:type="dxa"/>
            <w:vAlign w:val="bottom"/>
            <w:gridSpan w:val="3"/>
            <w:vMerge w:val="continue"/>
          </w:tcPr>
          <w:p>
            <w:pPr>
              <w:spacing w:after="0"/>
              <w:rPr>
                <w:sz w:val="11"/>
                <w:szCs w:val="11"/>
                <w:color w:val="auto"/>
              </w:rPr>
            </w:pPr>
          </w:p>
        </w:tc>
        <w:tc>
          <w:tcPr>
            <w:tcW w:w="1820" w:type="dxa"/>
            <w:vAlign w:val="bottom"/>
          </w:tcPr>
          <w:p>
            <w:pPr>
              <w:ind w:left="580"/>
              <w:spacing w:after="0" w:line="128" w:lineRule="exact"/>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line="12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40" w:type="dxa"/>
            <w:vAlign w:val="bottom"/>
            <w:gridSpan w:val="2"/>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19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09/10/2025</w:t>
            </w:r>
          </w:p>
        </w:tc>
        <w:tc>
          <w:tcPr>
            <w:tcW w:w="202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MICROSOFT CORPORATION</w:t>
            </w:r>
          </w:p>
        </w:tc>
        <w:tc>
          <w:tcPr>
            <w:tcW w:w="1900" w:type="dxa"/>
            <w:vAlign w:val="bottom"/>
            <w:gridSpan w:val="3"/>
            <w:vMerge w:val="continue"/>
          </w:tcPr>
          <w:p>
            <w:pPr>
              <w:spacing w:after="0"/>
              <w:rPr>
                <w:sz w:val="10"/>
                <w:szCs w:val="10"/>
                <w:color w:val="auto"/>
              </w:rPr>
            </w:pPr>
          </w:p>
        </w:tc>
        <w:tc>
          <w:tcPr>
            <w:tcW w:w="20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66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44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ONE MICROSOFT WAY</w:t>
            </w: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740" w:type="dxa"/>
            <w:vAlign w:val="bottom"/>
            <w:tcBorders>
              <w:bottom w:val="single" w:sz="8" w:color="2C2C2C"/>
            </w:tcBorders>
          </w:tcPr>
          <w:p>
            <w:pPr>
              <w:spacing w:after="0"/>
              <w:rPr>
                <w:sz w:val="11"/>
                <w:szCs w:val="11"/>
                <w:color w:val="auto"/>
              </w:rPr>
            </w:pPr>
          </w:p>
        </w:tc>
        <w:tc>
          <w:tcPr>
            <w:tcW w:w="202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440" w:type="dxa"/>
            <w:vAlign w:val="bottom"/>
            <w:gridSpan w:val="4"/>
            <w:vMerge w:val="continue"/>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40" w:type="dxa"/>
            <w:vAlign w:val="bottom"/>
            <w:gridSpan w:val="3"/>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17" w:lineRule="exact"/>
        <w:rPr>
          <w:sz w:val="20"/>
          <w:szCs w:val="20"/>
          <w:color w:val="auto"/>
        </w:rPr>
      </w:pPr>
    </w:p>
    <w:tbl>
      <w:tblPr>
        <w:tblLayout w:type="fixed"/>
        <w:tblInd w:w="80" w:type="dxa"/>
        <w:tblCellMar>
          <w:top w:w="0" w:type="dxa"/>
          <w:left w:w="0" w:type="dxa"/>
          <w:bottom w:w="0" w:type="dxa"/>
          <w:right w:w="0" w:type="dxa"/>
        </w:tblCellMar>
      </w:tblPr>
      <w:tr>
        <w:trPr>
          <w:trHeight w:val="167"/>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REDMOND</w:t>
            </w:r>
          </w:p>
        </w:tc>
        <w:tc>
          <w:tcPr>
            <w:tcW w:w="100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WA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98052-6399</w:t>
            </w:r>
          </w:p>
        </w:tc>
      </w:tr>
      <w:tr>
        <w:trPr>
          <w:trHeight w:val="146"/>
        </w:trPr>
        <w:tc>
          <w:tcPr>
            <w:tcW w:w="20" w:type="dxa"/>
            <w:vAlign w:val="bottom"/>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(City)</w:t>
            </w:r>
          </w:p>
        </w:tc>
        <w:tc>
          <w:tcPr>
            <w:tcW w:w="1000" w:type="dxa"/>
            <w:vAlign w:val="bottom"/>
          </w:tcPr>
          <w:p>
            <w:pPr>
              <w:ind w:left="20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74" w:lineRule="exact"/>
        <w:rPr>
          <w:sz w:val="20"/>
          <w:szCs w:val="20"/>
          <w:color w:val="auto"/>
        </w:rPr>
      </w:pPr>
    </w:p>
    <w:p>
      <w:pPr>
        <w:sectPr>
          <w:pgSz w:w="11900" w:h="16838" w:orient="portrait"/>
          <w:cols w:equalWidth="0" w:num="2">
            <w:col w:w="7560" w:space="720"/>
            <w:col w:w="280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840"/>
              <w:spacing w:after="0"/>
              <w:rPr>
                <w:sz w:val="20"/>
                <w:szCs w:val="20"/>
                <w:color w:val="auto"/>
              </w:rPr>
            </w:pPr>
            <w:r>
              <w:rPr>
                <w:rFonts w:ascii="Arial" w:cs="Arial" w:eastAsia="Arial" w:hAnsi="Arial"/>
                <w:sz w:val="11"/>
                <w:szCs w:val="11"/>
                <w:b w:val="1"/>
                <w:bCs w:val="1"/>
                <w:color w:val="auto"/>
              </w:rPr>
              <w:t>2. Transaction</w:t>
            </w:r>
          </w:p>
        </w:tc>
        <w:tc>
          <w:tcPr>
            <w:tcW w:w="94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4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20" w:type="dxa"/>
            <w:vAlign w:val="bottom"/>
          </w:tcPr>
          <w:p>
            <w:pPr>
              <w:spacing w:after="0"/>
              <w:rPr>
                <w:sz w:val="13"/>
                <w:szCs w:val="13"/>
                <w:color w:val="auto"/>
              </w:rPr>
            </w:pPr>
          </w:p>
        </w:tc>
        <w:tc>
          <w:tcPr>
            <w:tcW w:w="1760" w:type="dxa"/>
            <w:vAlign w:val="bottom"/>
            <w:gridSpan w:val="3"/>
          </w:tcPr>
          <w:p>
            <w:pPr>
              <w:spacing w:after="0"/>
              <w:rPr>
                <w:sz w:val="20"/>
                <w:szCs w:val="20"/>
                <w:color w:val="auto"/>
              </w:rPr>
            </w:pPr>
            <w:r>
              <w:rPr>
                <w:rFonts w:ascii="Arial" w:cs="Arial" w:eastAsia="Arial" w:hAnsi="Arial"/>
                <w:sz w:val="11"/>
                <w:szCs w:val="11"/>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40"/>
              <w:spacing w:after="0"/>
              <w:rPr>
                <w:sz w:val="20"/>
                <w:szCs w:val="20"/>
                <w:color w:val="auto"/>
              </w:rPr>
            </w:pPr>
            <w:r>
              <w:rPr>
                <w:rFonts w:ascii="Arial" w:cs="Arial" w:eastAsia="Arial" w:hAnsi="Arial"/>
                <w:sz w:val="11"/>
                <w:szCs w:val="11"/>
                <w:b w:val="1"/>
                <w:bCs w:val="1"/>
                <w:color w:val="auto"/>
                <w:w w:val="92"/>
              </w:rPr>
              <w:t>Date</w:t>
            </w:r>
          </w:p>
        </w:tc>
        <w:tc>
          <w:tcPr>
            <w:tcW w:w="760" w:type="dxa"/>
            <w:vAlign w:val="bottom"/>
          </w:tcPr>
          <w:p>
            <w:pPr>
              <w:spacing w:after="0"/>
              <w:rPr>
                <w:sz w:val="10"/>
                <w:szCs w:val="10"/>
                <w:color w:val="auto"/>
              </w:rPr>
            </w:pPr>
          </w:p>
        </w:tc>
        <w:tc>
          <w:tcPr>
            <w:tcW w:w="94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0"/>
                <w:szCs w:val="10"/>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w:t>
            </w:r>
          </w:p>
        </w:tc>
        <w:tc>
          <w:tcPr>
            <w:tcW w:w="1760" w:type="dxa"/>
            <w:vAlign w:val="bottom"/>
            <w:gridSpan w:val="3"/>
          </w:tcPr>
          <w:p>
            <w:pPr>
              <w:spacing w:after="0"/>
              <w:rPr>
                <w:sz w:val="20"/>
                <w:szCs w:val="20"/>
                <w:color w:val="auto"/>
              </w:rPr>
            </w:pPr>
            <w:r>
              <w:rPr>
                <w:rFonts w:ascii="Arial" w:cs="Arial" w:eastAsia="Arial" w:hAnsi="Arial"/>
                <w:sz w:val="11"/>
                <w:szCs w:val="11"/>
                <w:b w:val="1"/>
                <w:bCs w:val="1"/>
                <w:color w:val="auto"/>
              </w:rPr>
              <w:t>Disposed Of (D) (Instr. 3, 4 and</w:t>
            </w:r>
          </w:p>
        </w:tc>
        <w:tc>
          <w:tcPr>
            <w:tcW w:w="10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2"/>
          </w:tcPr>
          <w:p>
            <w:pPr>
              <w:ind w:left="84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(Instr.</w:t>
            </w:r>
          </w:p>
        </w:tc>
        <w:tc>
          <w:tcPr>
            <w:tcW w:w="480" w:type="dxa"/>
            <w:vAlign w:val="bottom"/>
          </w:tcPr>
          <w:p>
            <w:pPr>
              <w:spacing w:after="0"/>
              <w:rPr>
                <w:sz w:val="20"/>
                <w:szCs w:val="20"/>
                <w:color w:val="auto"/>
              </w:rPr>
            </w:pPr>
            <w:r>
              <w:rPr>
                <w:rFonts w:ascii="Arial" w:cs="Arial" w:eastAsia="Arial" w:hAnsi="Arial"/>
                <w:sz w:val="11"/>
                <w:szCs w:val="11"/>
                <w:b w:val="1"/>
                <w:bCs w:val="1"/>
                <w:color w:val="auto"/>
              </w:rPr>
              <w:t>5)</w:t>
            </w: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80" w:type="dxa"/>
            <w:vAlign w:val="bottom"/>
            <w:gridSpan w:val="4"/>
          </w:tcPr>
          <w:p>
            <w:pPr>
              <w:ind w:left="60"/>
              <w:spacing w:after="0"/>
              <w:rPr>
                <w:sz w:val="20"/>
                <w:szCs w:val="20"/>
                <w:color w:val="auto"/>
              </w:rPr>
            </w:pPr>
            <w:r>
              <w:rPr>
                <w:rFonts w:ascii="Arial" w:cs="Arial" w:eastAsia="Arial" w:hAnsi="Arial"/>
                <w:sz w:val="11"/>
                <w:szCs w:val="11"/>
                <w:b w:val="1"/>
                <w:bCs w:val="1"/>
                <w:color w:val="auto"/>
              </w:rPr>
              <w:t>(Month/Day/Year)  8)</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220" w:type="dxa"/>
            <w:vAlign w:val="bottom"/>
          </w:tcPr>
          <w:p>
            <w:pPr>
              <w:spacing w:after="0"/>
              <w:rPr>
                <w:sz w:val="11"/>
                <w:szCs w:val="11"/>
                <w:color w:val="auto"/>
              </w:rPr>
            </w:pPr>
          </w:p>
        </w:tc>
        <w:tc>
          <w:tcPr>
            <w:tcW w:w="480" w:type="dxa"/>
            <w:vAlign w:val="bottom"/>
            <w:vMerge w:val="restart"/>
          </w:tcPr>
          <w:p>
            <w:pPr>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320"/>
              <w:spacing w:after="0"/>
              <w:rPr>
                <w:sz w:val="20"/>
                <w:szCs w:val="20"/>
                <w:color w:val="auto"/>
              </w:rPr>
            </w:pPr>
            <w:r>
              <w:rPr>
                <w:rFonts w:ascii="Arial" w:cs="Arial" w:eastAsia="Arial" w:hAnsi="Arial"/>
                <w:sz w:val="11"/>
                <w:szCs w:val="11"/>
                <w:b w:val="1"/>
                <w:bCs w:val="1"/>
                <w:color w:val="auto"/>
              </w:rPr>
              <w:t>(A) or</w:t>
            </w:r>
          </w:p>
        </w:tc>
        <w:tc>
          <w:tcPr>
            <w:tcW w:w="620" w:type="dxa"/>
            <w:vAlign w:val="bottom"/>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vMerge w:val="continue"/>
          </w:tcPr>
          <w:p>
            <w:pPr>
              <w:spacing w:after="0"/>
              <w:rPr>
                <w:sz w:val="8"/>
                <w:szCs w:val="8"/>
                <w:color w:val="auto"/>
              </w:rPr>
            </w:pPr>
          </w:p>
        </w:tc>
        <w:tc>
          <w:tcPr>
            <w:tcW w:w="660" w:type="dxa"/>
            <w:vAlign w:val="bottom"/>
            <w:vMerge w:val="restart"/>
          </w:tcPr>
          <w:p>
            <w:pPr>
              <w:ind w:left="320"/>
              <w:spacing w:after="0"/>
              <w:rPr>
                <w:sz w:val="20"/>
                <w:szCs w:val="20"/>
                <w:color w:val="auto"/>
              </w:rPr>
            </w:pPr>
            <w:r>
              <w:rPr>
                <w:rFonts w:ascii="Arial" w:cs="Arial" w:eastAsia="Arial" w:hAnsi="Arial"/>
                <w:sz w:val="11"/>
                <w:szCs w:val="11"/>
                <w:b w:val="1"/>
                <w:bCs w:val="1"/>
                <w:color w:val="auto"/>
              </w:rPr>
              <w:t>(D)</w:t>
            </w:r>
          </w:p>
        </w:tc>
        <w:tc>
          <w:tcPr>
            <w:tcW w:w="6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20" w:type="dxa"/>
            <w:vAlign w:val="bottom"/>
            <w:gridSpan w:val="2"/>
          </w:tcPr>
          <w:p>
            <w:pPr>
              <w:ind w:left="620"/>
              <w:spacing w:after="0"/>
              <w:rPr>
                <w:sz w:val="20"/>
                <w:szCs w:val="20"/>
                <w:color w:val="auto"/>
              </w:rPr>
            </w:pPr>
            <w:r>
              <w:rPr>
                <w:rFonts w:ascii="Times New Roman" w:cs="Times New Roman" w:eastAsia="Times New Roman" w:hAnsi="Times New Roman"/>
                <w:sz w:val="17"/>
                <w:szCs w:val="17"/>
                <w:color w:val="0000FF"/>
                <w:w w:val="93"/>
              </w:rPr>
              <w:t>0</w:t>
            </w:r>
          </w:p>
        </w:tc>
        <w:tc>
          <w:tcPr>
            <w:tcW w:w="5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2900" w:type="dxa"/>
            <w:vAlign w:val="bottom"/>
            <w:tcBorders>
              <w:bottom w:val="single" w:sz="8" w:color="2C2C2C"/>
            </w:tcBorders>
            <w:gridSpan w:val="5"/>
          </w:tcPr>
          <w:p>
            <w:pPr>
              <w:spacing w:after="0"/>
              <w:rPr>
                <w:sz w:val="8"/>
                <w:szCs w:val="8"/>
                <w:color w:val="auto"/>
              </w:rPr>
            </w:pPr>
          </w:p>
        </w:tc>
        <w:tc>
          <w:tcPr>
            <w:tcW w:w="2700" w:type="dxa"/>
            <w:vAlign w:val="bottom"/>
            <w:tcBorders>
              <w:bottom w:val="single" w:sz="8" w:color="2C2C2C"/>
            </w:tcBorders>
            <w:gridSpan w:val="6"/>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0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440" w:type="dxa"/>
            <w:vAlign w:val="bottom"/>
            <w:tcBorders>
              <w:bottom w:val="single" w:sz="8" w:color="2C2C2C"/>
            </w:tcBorders>
            <w:gridSpan w:val="4"/>
          </w:tcPr>
          <w:p>
            <w:pPr>
              <w:spacing w:after="0"/>
              <w:rPr>
                <w:sz w:val="2"/>
                <w:szCs w:val="2"/>
                <w:color w:val="auto"/>
              </w:rPr>
            </w:pPr>
          </w:p>
        </w:tc>
        <w:tc>
          <w:tcPr>
            <w:tcW w:w="128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4"/>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80" w:type="dxa"/>
            <w:vAlign w:val="bottom"/>
            <w:gridSpan w:val="2"/>
          </w:tcPr>
          <w:p>
            <w:pPr>
              <w:ind w:left="40"/>
              <w:spacing w:after="0"/>
              <w:rPr>
                <w:sz w:val="20"/>
                <w:szCs w:val="20"/>
                <w:color w:val="auto"/>
              </w:rPr>
            </w:pPr>
            <w:r>
              <w:rPr>
                <w:rFonts w:ascii="Arial" w:cs="Arial" w:eastAsia="Arial" w:hAnsi="Arial"/>
                <w:sz w:val="11"/>
                <w:szCs w:val="11"/>
                <w:b w:val="1"/>
                <w:bCs w:val="1"/>
                <w:color w:val="auto"/>
              </w:rPr>
              <w:t>7. Title and Amount</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120"/>
              <w:spacing w:after="0"/>
              <w:rPr>
                <w:sz w:val="20"/>
                <w:szCs w:val="20"/>
                <w:color w:val="auto"/>
              </w:rPr>
            </w:pPr>
            <w:r>
              <w:rPr>
                <w:rFonts w:ascii="Arial" w:cs="Arial" w:eastAsia="Arial" w:hAnsi="Arial"/>
                <w:sz w:val="11"/>
                <w:szCs w:val="11"/>
                <w:b w:val="1"/>
                <w:bCs w:val="1"/>
                <w:color w:val="auto"/>
                <w:w w:val="98"/>
              </w:rPr>
              <w:t>Derivative</w:t>
            </w:r>
          </w:p>
        </w:tc>
        <w:tc>
          <w:tcPr>
            <w:tcW w:w="280" w:type="dxa"/>
            <w:vAlign w:val="bottom"/>
          </w:tcPr>
          <w:p>
            <w:pPr>
              <w:spacing w:after="0"/>
              <w:rPr>
                <w:sz w:val="11"/>
                <w:szCs w:val="11"/>
                <w:color w:val="auto"/>
              </w:rPr>
            </w:pPr>
          </w:p>
        </w:tc>
        <w:tc>
          <w:tcPr>
            <w:tcW w:w="96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480" w:type="dxa"/>
            <w:vAlign w:val="bottom"/>
          </w:tcPr>
          <w:p>
            <w:pPr>
              <w:spacing w:after="0"/>
              <w:rPr>
                <w:sz w:val="11"/>
                <w:szCs w:val="11"/>
                <w:color w:val="auto"/>
              </w:rPr>
            </w:pPr>
          </w:p>
        </w:tc>
        <w:tc>
          <w:tcPr>
            <w:tcW w:w="1280" w:type="dxa"/>
            <w:vAlign w:val="bottom"/>
            <w:gridSpan w:val="2"/>
          </w:tcPr>
          <w:p>
            <w:pPr>
              <w:ind w:left="40"/>
              <w:spacing w:after="0"/>
              <w:rPr>
                <w:sz w:val="20"/>
                <w:szCs w:val="20"/>
                <w:color w:val="auto"/>
              </w:rPr>
            </w:pPr>
            <w:r>
              <w:rPr>
                <w:rFonts w:ascii="Arial" w:cs="Arial" w:eastAsia="Arial" w:hAnsi="Arial"/>
                <w:sz w:val="11"/>
                <w:szCs w:val="11"/>
                <w:b w:val="1"/>
                <w:bCs w:val="1"/>
                <w:color w:val="auto"/>
              </w:rPr>
              <w:t>of Securities</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20"/>
              <w:spacing w:after="0"/>
              <w:rPr>
                <w:sz w:val="20"/>
                <w:szCs w:val="20"/>
                <w:color w:val="auto"/>
              </w:rPr>
            </w:pPr>
            <w:r>
              <w:rPr>
                <w:rFonts w:ascii="Arial" w:cs="Arial" w:eastAsia="Arial" w:hAnsi="Arial"/>
                <w:sz w:val="11"/>
                <w:szCs w:val="11"/>
                <w:b w:val="1"/>
                <w:bCs w:val="1"/>
                <w:color w:val="auto"/>
                <w:w w:val="98"/>
              </w:rPr>
              <w:t>Securities</w:t>
            </w:r>
          </w:p>
        </w:tc>
        <w:tc>
          <w:tcPr>
            <w:tcW w:w="280" w:type="dxa"/>
            <w:vAlign w:val="bottom"/>
          </w:tcPr>
          <w:p>
            <w:pPr>
              <w:spacing w:after="0"/>
              <w:rPr>
                <w:sz w:val="11"/>
                <w:szCs w:val="11"/>
                <w:color w:val="auto"/>
              </w:rPr>
            </w:pPr>
          </w:p>
        </w:tc>
        <w:tc>
          <w:tcPr>
            <w:tcW w:w="9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480" w:type="dxa"/>
            <w:vAlign w:val="bottom"/>
          </w:tcPr>
          <w:p>
            <w:pPr>
              <w:spacing w:after="0"/>
              <w:rPr>
                <w:sz w:val="11"/>
                <w:szCs w:val="11"/>
                <w:color w:val="auto"/>
              </w:rPr>
            </w:pP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Acquired (A)</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80" w:type="dxa"/>
            <w:vAlign w:val="bottom"/>
            <w:gridSpan w:val="2"/>
          </w:tcPr>
          <w:p>
            <w:pPr>
              <w:ind w:left="40"/>
              <w:spacing w:after="0"/>
              <w:rPr>
                <w:sz w:val="20"/>
                <w:szCs w:val="20"/>
                <w:color w:val="auto"/>
              </w:rPr>
            </w:pPr>
            <w:r>
              <w:rPr>
                <w:rFonts w:ascii="Arial" w:cs="Arial" w:eastAsia="Arial" w:hAnsi="Arial"/>
                <w:sz w:val="11"/>
                <w:szCs w:val="11"/>
                <w:b w:val="1"/>
                <w:bCs w:val="1"/>
                <w:color w:val="auto"/>
              </w:rPr>
              <w:t>Derivative Security</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or 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80" w:type="dxa"/>
            <w:vAlign w:val="bottom"/>
            <w:gridSpan w:val="2"/>
          </w:tcPr>
          <w:p>
            <w:pPr>
              <w:ind w:left="40"/>
              <w:spacing w:after="0"/>
              <w:rPr>
                <w:sz w:val="20"/>
                <w:szCs w:val="20"/>
                <w:color w:val="auto"/>
              </w:rPr>
            </w:pPr>
            <w:r>
              <w:rPr>
                <w:rFonts w:ascii="Arial" w:cs="Arial" w:eastAsia="Arial" w:hAnsi="Arial"/>
                <w:sz w:val="11"/>
                <w:szCs w:val="11"/>
                <w:b w:val="1"/>
                <w:bCs w:val="1"/>
                <w:color w:val="auto"/>
              </w:rPr>
              <w:t>(Instr. 3 and 4)</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of (D) (Instr.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3, 4 and 5)</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120"/>
              <w:spacing w:after="0"/>
              <w:rPr>
                <w:sz w:val="20"/>
                <w:szCs w:val="20"/>
                <w:color w:val="auto"/>
              </w:rPr>
            </w:pPr>
            <w:r>
              <w:rPr>
                <w:rFonts w:ascii="Arial" w:cs="Arial" w:eastAsia="Arial" w:hAnsi="Arial"/>
                <w:sz w:val="11"/>
                <w:szCs w:val="11"/>
                <w:b w:val="1"/>
                <w:bCs w:val="1"/>
                <w:color w:val="auto"/>
              </w:rPr>
              <w:t>(A)</w:t>
            </w:r>
          </w:p>
        </w:tc>
        <w:tc>
          <w:tcPr>
            <w:tcW w:w="280" w:type="dxa"/>
            <w:vAlign w:val="bottom"/>
          </w:tcPr>
          <w:p>
            <w:pPr>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220" w:type="dxa"/>
            <w:vAlign w:val="bottom"/>
          </w:tcPr>
          <w:p>
            <w:pPr>
              <w:spacing w:after="0"/>
              <w:rPr>
                <w:sz w:val="15"/>
                <w:szCs w:val="15"/>
                <w:color w:val="auto"/>
              </w:rPr>
            </w:pPr>
          </w:p>
        </w:tc>
        <w:tc>
          <w:tcPr>
            <w:tcW w:w="48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(2)</w:t>
            </w: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jc w:val="right"/>
              <w:ind w:right="15"/>
              <w:spacing w:after="0"/>
              <w:rPr>
                <w:sz w:val="20"/>
                <w:szCs w:val="20"/>
                <w:color w:val="auto"/>
              </w:rPr>
            </w:pPr>
            <w:r>
              <w:rPr>
                <w:rFonts w:ascii="Times New Roman" w:cs="Times New Roman" w:eastAsia="Times New Roman" w:hAnsi="Times New Roman"/>
                <w:sz w:val="17"/>
                <w:szCs w:val="17"/>
                <w:color w:val="0000FF"/>
                <w:w w:val="94"/>
              </w:rPr>
              <w:t>187.361</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1"/>
                <w:szCs w:val="11"/>
                <w:color w:val="auto"/>
              </w:rPr>
            </w:pPr>
          </w:p>
        </w:tc>
        <w:tc>
          <w:tcPr>
            <w:tcW w:w="1060" w:type="dxa"/>
            <w:vAlign w:val="bottom"/>
          </w:tcPr>
          <w:p>
            <w:pPr>
              <w:jc w:val="right"/>
              <w:ind w:right="160"/>
              <w:spacing w:after="0" w:line="128" w:lineRule="exact"/>
              <w:rPr>
                <w:sz w:val="20"/>
                <w:szCs w:val="20"/>
                <w:color w:val="auto"/>
              </w:rPr>
            </w:pPr>
            <w:r>
              <w:rPr>
                <w:rFonts w:ascii="Times New Roman" w:cs="Times New Roman" w:eastAsia="Times New Roman" w:hAnsi="Times New Roman"/>
                <w:sz w:val="13"/>
                <w:szCs w:val="13"/>
                <w:color w:val="0000FF"/>
              </w:rPr>
              <w:t>09/10/2025</w:t>
            </w:r>
          </w:p>
        </w:tc>
        <w:tc>
          <w:tcPr>
            <w:tcW w:w="1080" w:type="dxa"/>
            <w:vAlign w:val="bottom"/>
          </w:tcPr>
          <w:p>
            <w:pPr>
              <w:spacing w:after="0"/>
              <w:rPr>
                <w:sz w:val="11"/>
                <w:szCs w:val="11"/>
                <w:color w:val="auto"/>
              </w:rPr>
            </w:pPr>
          </w:p>
        </w:tc>
        <w:tc>
          <w:tcPr>
            <w:tcW w:w="760" w:type="dxa"/>
            <w:vAlign w:val="bottom"/>
          </w:tcPr>
          <w:p>
            <w:pPr>
              <w:ind w:left="160"/>
              <w:spacing w:after="0" w:line="128" w:lineRule="exact"/>
              <w:rPr>
                <w:sz w:val="20"/>
                <w:szCs w:val="20"/>
                <w:color w:val="auto"/>
              </w:rPr>
            </w:pPr>
            <w:r>
              <w:rPr>
                <w:rFonts w:ascii="Times New Roman" w:cs="Times New Roman" w:eastAsia="Times New Roman" w:hAnsi="Times New Roman"/>
                <w:sz w:val="13"/>
                <w:szCs w:val="13"/>
                <w:color w:val="0000FF"/>
              </w:rPr>
              <w:t>A</w:t>
            </w:r>
          </w:p>
        </w:tc>
        <w:tc>
          <w:tcPr>
            <w:tcW w:w="660" w:type="dxa"/>
            <w:vAlign w:val="bottom"/>
          </w:tcPr>
          <w:p>
            <w:pPr>
              <w:jc w:val="right"/>
              <w:ind w:right="82"/>
              <w:spacing w:after="0" w:line="128" w:lineRule="exact"/>
              <w:rPr>
                <w:sz w:val="20"/>
                <w:szCs w:val="20"/>
                <w:color w:val="auto"/>
              </w:rPr>
            </w:pPr>
            <w:r>
              <w:rPr>
                <w:rFonts w:ascii="Times New Roman" w:cs="Times New Roman" w:eastAsia="Times New Roman" w:hAnsi="Times New Roman"/>
                <w:sz w:val="13"/>
                <w:szCs w:val="13"/>
                <w:color w:val="0000FF"/>
              </w:rPr>
              <w:t>187.361</w:t>
            </w:r>
          </w:p>
        </w:tc>
        <w:tc>
          <w:tcPr>
            <w:tcW w:w="28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720" w:type="dxa"/>
            <w:vAlign w:val="bottom"/>
            <w:gridSpan w:val="2"/>
          </w:tcPr>
          <w:p>
            <w:pPr>
              <w:ind w:left="280"/>
              <w:spacing w:after="0" w:line="12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ind w:left="160"/>
              <w:spacing w:after="0" w:line="128" w:lineRule="exact"/>
              <w:rPr>
                <w:sz w:val="20"/>
                <w:szCs w:val="20"/>
                <w:color w:val="auto"/>
              </w:rPr>
            </w:pPr>
            <w:r>
              <w:rPr>
                <w:rFonts w:ascii="Times New Roman" w:cs="Times New Roman" w:eastAsia="Times New Roman" w:hAnsi="Times New Roman"/>
                <w:sz w:val="13"/>
                <w:szCs w:val="13"/>
                <w:color w:val="0000FF"/>
              </w:rPr>
              <w:t>1,485.401</w:t>
            </w:r>
          </w:p>
        </w:tc>
        <w:tc>
          <w:tcPr>
            <w:tcW w:w="660" w:type="dxa"/>
            <w:vAlign w:val="bottom"/>
          </w:tcPr>
          <w:p>
            <w:pPr>
              <w:ind w:left="340"/>
              <w:spacing w:after="0" w:line="128"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ind w:left="14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vMerge w:val="restart"/>
          </w:tcPr>
          <w:p>
            <w:pPr>
              <w:jc w:val="center"/>
              <w:ind w:right="82"/>
              <w:spacing w:after="0"/>
              <w:rPr>
                <w:sz w:val="20"/>
                <w:szCs w:val="20"/>
                <w:color w:val="auto"/>
              </w:rPr>
            </w:pPr>
            <w:r>
              <w:rPr>
                <w:rFonts w:ascii="Times New Roman" w:cs="Times New Roman" w:eastAsia="Times New Roman" w:hAnsi="Times New Roman"/>
                <w:sz w:val="13"/>
                <w:szCs w:val="13"/>
                <w:color w:val="0000FF"/>
              </w:rPr>
              <w:t>2.46</w:t>
            </w:r>
            <w:r>
              <w:rPr>
                <w:rFonts w:ascii="Times New Roman" w:cs="Times New Roman" w:eastAsia="Times New Roman" w:hAnsi="Times New Roman"/>
                <w:sz w:val="21"/>
                <w:szCs w:val="21"/>
                <w:color w:val="008000"/>
                <w:vertAlign w:val="superscript"/>
              </w:rPr>
              <w:t>(3)</w:t>
            </w:r>
          </w:p>
        </w:tc>
        <w:tc>
          <w:tcPr>
            <w:tcW w:w="280" w:type="dxa"/>
            <w:vAlign w:val="bottom"/>
          </w:tcPr>
          <w:p>
            <w:pPr>
              <w:spacing w:after="0"/>
              <w:rPr>
                <w:sz w:val="15"/>
                <w:szCs w:val="15"/>
                <w:color w:val="auto"/>
              </w:rPr>
            </w:pPr>
          </w:p>
        </w:tc>
        <w:tc>
          <w:tcPr>
            <w:tcW w:w="74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220" w:type="dxa"/>
            <w:vAlign w:val="bottom"/>
          </w:tcPr>
          <w:p>
            <w:pPr>
              <w:spacing w:after="0"/>
              <w:rPr>
                <w:sz w:val="15"/>
                <w:szCs w:val="15"/>
                <w:color w:val="auto"/>
              </w:rPr>
            </w:pPr>
          </w:p>
        </w:tc>
        <w:tc>
          <w:tcPr>
            <w:tcW w:w="48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(2)</w:t>
            </w: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jc w:val="right"/>
              <w:ind w:right="135"/>
              <w:spacing w:after="0"/>
              <w:rPr>
                <w:sz w:val="20"/>
                <w:szCs w:val="20"/>
                <w:color w:val="auto"/>
              </w:rPr>
            </w:pPr>
            <w:r>
              <w:rPr>
                <w:rFonts w:ascii="Times New Roman" w:cs="Times New Roman" w:eastAsia="Times New Roman" w:hAnsi="Times New Roman"/>
                <w:sz w:val="17"/>
                <w:szCs w:val="17"/>
                <w:color w:val="0000FF"/>
              </w:rPr>
              <w:t>2.46</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5"/>
                <w:szCs w:val="5"/>
                <w:color w:val="auto"/>
              </w:rPr>
            </w:pPr>
          </w:p>
        </w:tc>
        <w:tc>
          <w:tcPr>
            <w:tcW w:w="1060" w:type="dxa"/>
            <w:vAlign w:val="bottom"/>
            <w:vMerge w:val="restart"/>
          </w:tcPr>
          <w:p>
            <w:pPr>
              <w:jc w:val="right"/>
              <w:ind w:right="180"/>
              <w:spacing w:after="0" w:line="140" w:lineRule="exact"/>
              <w:rPr>
                <w:sz w:val="20"/>
                <w:szCs w:val="20"/>
                <w:color w:val="auto"/>
              </w:rPr>
            </w:pPr>
            <w:r>
              <w:rPr>
                <w:rFonts w:ascii="Times New Roman" w:cs="Times New Roman" w:eastAsia="Times New Roman" w:hAnsi="Times New Roman"/>
                <w:sz w:val="13"/>
                <w:szCs w:val="13"/>
                <w:color w:val="0000FF"/>
              </w:rPr>
              <w:t>09/11/2025</w:t>
            </w:r>
          </w:p>
        </w:tc>
        <w:tc>
          <w:tcPr>
            <w:tcW w:w="1080" w:type="dxa"/>
            <w:vAlign w:val="bottom"/>
          </w:tcPr>
          <w:p>
            <w:pPr>
              <w:spacing w:after="0"/>
              <w:rPr>
                <w:sz w:val="5"/>
                <w:szCs w:val="5"/>
                <w:color w:val="auto"/>
              </w:rPr>
            </w:pPr>
          </w:p>
        </w:tc>
        <w:tc>
          <w:tcPr>
            <w:tcW w:w="760" w:type="dxa"/>
            <w:vAlign w:val="bottom"/>
            <w:vMerge w:val="restart"/>
          </w:tcPr>
          <w:p>
            <w:pPr>
              <w:ind w:left="160"/>
              <w:spacing w:after="0" w:line="140" w:lineRule="exact"/>
              <w:rPr>
                <w:sz w:val="20"/>
                <w:szCs w:val="20"/>
                <w:color w:val="auto"/>
              </w:rPr>
            </w:pPr>
            <w:r>
              <w:rPr>
                <w:rFonts w:ascii="Times New Roman" w:cs="Times New Roman" w:eastAsia="Times New Roman" w:hAnsi="Times New Roman"/>
                <w:sz w:val="13"/>
                <w:szCs w:val="13"/>
                <w:color w:val="0000FF"/>
              </w:rPr>
              <w:t>A</w:t>
            </w:r>
          </w:p>
        </w:tc>
        <w:tc>
          <w:tcPr>
            <w:tcW w:w="6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720" w:type="dxa"/>
            <w:vAlign w:val="bottom"/>
            <w:gridSpan w:val="2"/>
            <w:vMerge w:val="restart"/>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vMerge w:val="restart"/>
          </w:tcPr>
          <w:p>
            <w:pPr>
              <w:ind w:left="160"/>
              <w:spacing w:after="0" w:line="140" w:lineRule="exact"/>
              <w:rPr>
                <w:sz w:val="20"/>
                <w:szCs w:val="20"/>
                <w:color w:val="auto"/>
              </w:rPr>
            </w:pPr>
            <w:r>
              <w:rPr>
                <w:rFonts w:ascii="Times New Roman" w:cs="Times New Roman" w:eastAsia="Times New Roman" w:hAnsi="Times New Roman"/>
                <w:sz w:val="13"/>
                <w:szCs w:val="13"/>
                <w:color w:val="0000FF"/>
              </w:rPr>
              <w:t>1,487.862</w:t>
            </w:r>
          </w:p>
        </w:tc>
        <w:tc>
          <w:tcPr>
            <w:tcW w:w="660" w:type="dxa"/>
            <w:vAlign w:val="bottom"/>
            <w:vMerge w:val="restart"/>
          </w:tcPr>
          <w:p>
            <w:pPr>
              <w:ind w:left="34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480" w:type="dxa"/>
            <w:vAlign w:val="bottom"/>
            <w:vMerge w:val="continue"/>
          </w:tcPr>
          <w:p>
            <w:pPr>
              <w:spacing w:after="0"/>
              <w:rPr>
                <w:sz w:val="6"/>
                <w:szCs w:val="6"/>
                <w:color w:val="auto"/>
              </w:rPr>
            </w:pPr>
          </w:p>
        </w:tc>
        <w:tc>
          <w:tcPr>
            <w:tcW w:w="66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480" w:type="dxa"/>
            <w:vAlign w:val="bottom"/>
          </w:tcPr>
          <w:p>
            <w:pPr>
              <w:spacing w:after="0"/>
              <w:rPr>
                <w:sz w:val="6"/>
                <w:szCs w:val="6"/>
                <w:color w:val="auto"/>
              </w:rPr>
            </w:pP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-2090420</wp:posOffset>
            </wp:positionV>
            <wp:extent cx="28575" cy="20955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2095500"/>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0"/>
          <w:szCs w:val="20"/>
          <w:color w:val="auto"/>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Microsoft common stock.</w:t>
      </w:r>
    </w:p>
    <w:p>
      <w:pPr>
        <w:spacing w:after="0" w:line="41" w:lineRule="exact"/>
        <w:rPr>
          <w:rFonts w:ascii="Times New Roman" w:cs="Times New Roman" w:eastAsia="Times New Roman" w:hAnsi="Times New Roman"/>
          <w:sz w:val="13"/>
          <w:szCs w:val="13"/>
          <w:color w:val="008000"/>
        </w:rPr>
      </w:pPr>
    </w:p>
    <w:p>
      <w:pPr>
        <w:ind w:left="40" w:right="600"/>
        <w:spacing w:after="0" w:line="250"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are fully vested. Delivery of the shares to the reporting person will be made on the 1st anniversary after the date of the reporting person's separation from service to the Board of Directors.</w:t>
      </w:r>
    </w:p>
    <w:p>
      <w:pPr>
        <w:spacing w:after="0" w:line="19"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Dividend equivalent rights accrue when and as dividends are paid on the Company's common stock and become exercisable proportionately with the restricted stock units to which they relate.</w:t>
      </w:r>
    </w:p>
    <w:p>
      <w:pPr>
        <w:ind w:left="6600"/>
        <w:spacing w:after="0" w:line="182" w:lineRule="auto"/>
        <w:rPr>
          <w:sz w:val="20"/>
          <w:szCs w:val="20"/>
          <w:color w:val="auto"/>
        </w:rPr>
      </w:pPr>
      <w:r>
        <w:rPr>
          <w:rFonts w:ascii="Times New Roman" w:cs="Times New Roman" w:eastAsia="Times New Roman" w:hAnsi="Times New Roman"/>
          <w:sz w:val="17"/>
          <w:szCs w:val="17"/>
          <w:color w:val="0000FF"/>
        </w:rPr>
        <w:t xml:space="preserve">Julia Stark, Attorney-in-Fact for </w:t>
      </w:r>
      <w:r>
        <w:rPr>
          <w:rFonts w:ascii="Times New Roman" w:cs="Times New Roman" w:eastAsia="Times New Roman" w:hAnsi="Times New Roman"/>
          <w:sz w:val="33"/>
          <w:szCs w:val="33"/>
          <w:color w:val="0000FF"/>
          <w:vertAlign w:val="subscript"/>
        </w:rPr>
        <w:t>09/12/2025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-26035</wp:posOffset>
            </wp:positionV>
            <wp:extent cx="13544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445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Catherine MacGregor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-21590</wp:posOffset>
            </wp:positionV>
            <wp:extent cx="9194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919480" cy="8255"/>
                    </a:xfrm>
                    <a:prstGeom prst="rect">
                      <a:avLst/>
                    </a:prstGeom>
                    <a:noFill/>
                  </pic:spPr>
                </pic:pic>
              </a:graphicData>
            </a:graphic>
          </wp:anchor>
        </w:drawing>
        <w:drawing>
          <wp:anchor simplePos="0" relativeHeight="251657728" behindDoc="1" locked="0" layoutInCell="0" allowOverlap="1">
            <wp:simplePos x="0" y="0"/>
            <wp:positionH relativeFrom="column">
              <wp:posOffset>5588635</wp:posOffset>
            </wp:positionH>
            <wp:positionV relativeFrom="paragraph">
              <wp:posOffset>-86360</wp:posOffset>
            </wp:positionV>
            <wp:extent cx="4787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78790" cy="8255"/>
                    </a:xfrm>
                    <a:prstGeom prst="rect">
                      <a:avLst/>
                    </a:prstGeom>
                    <a:noFill/>
                  </pic:spPr>
                </pic:pic>
              </a:graphicData>
            </a:graphic>
          </wp:anchor>
        </w:drawing>
      </w:r>
    </w:p>
    <w:p>
      <w:pPr>
        <w:spacing w:after="0" w:line="21"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left="40" w:right="3700"/>
        <w:spacing w:after="0" w:line="332"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6"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September 16, 2024</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Securities and Exchange Commission</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100 F Street, N.E.</w:t>
      </w:r>
    </w:p>
    <w:p>
      <w:pPr>
        <w:spacing w:after="0"/>
        <w:tabs>
          <w:tab w:leader="none" w:pos="1760" w:val="left"/>
        </w:tabs>
        <w:rPr>
          <w:sz w:val="20"/>
          <w:szCs w:val="20"/>
          <w:color w:val="auto"/>
        </w:rPr>
      </w:pPr>
      <w:r>
        <w:rPr>
          <w:rFonts w:ascii="Courier New" w:cs="Courier New" w:eastAsia="Courier New" w:hAnsi="Courier New"/>
          <w:sz w:val="17"/>
          <w:szCs w:val="17"/>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159"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7"/>
          <w:szCs w:val="17"/>
          <w:color w:val="auto"/>
        </w:rPr>
        <w:t>Re:</w:t>
      </w:r>
      <w:r>
        <w:rPr>
          <w:sz w:val="20"/>
          <w:szCs w:val="20"/>
          <w:color w:val="auto"/>
        </w:rPr>
        <w:tab/>
      </w:r>
      <w:r>
        <w:rPr>
          <w:rFonts w:ascii="Courier New" w:cs="Courier New" w:eastAsia="Courier New" w:hAnsi="Courier New"/>
          <w:sz w:val="17"/>
          <w:szCs w:val="17"/>
          <w:color w:val="auto"/>
        </w:rPr>
        <w:t>Microsoft Corporation - Power of Attorney</w:t>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To whom it may concern:</w:t>
      </w:r>
    </w:p>
    <w:p>
      <w:pPr>
        <w:spacing w:after="0" w:line="189" w:lineRule="exact"/>
        <w:rPr>
          <w:sz w:val="20"/>
          <w:szCs w:val="20"/>
          <w:color w:val="auto"/>
        </w:rPr>
      </w:pPr>
    </w:p>
    <w:p>
      <w:pPr>
        <w:ind w:right="3839"/>
        <w:spacing w:after="0" w:line="250" w:lineRule="auto"/>
        <w:rPr>
          <w:sz w:val="20"/>
          <w:szCs w:val="20"/>
          <w:color w:val="auto"/>
        </w:rPr>
      </w:pPr>
      <w:r>
        <w:rPr>
          <w:rFonts w:ascii="Courier New" w:cs="Courier New" w:eastAsia="Courier New" w:hAnsi="Courier New"/>
          <w:sz w:val="17"/>
          <w:szCs w:val="17"/>
          <w:color w:val="auto"/>
        </w:rPr>
        <w:t>I revoke my prior Microsoft Corporation - Power of Attorney. This will confirm that, effective as of the date above, I have granted each of the individuals listed below the</w:t>
      </w:r>
    </w:p>
    <w:p>
      <w:pPr>
        <w:spacing w:after="0" w:line="1" w:lineRule="exact"/>
        <w:rPr>
          <w:sz w:val="20"/>
          <w:szCs w:val="20"/>
          <w:color w:val="auto"/>
        </w:rPr>
      </w:pPr>
    </w:p>
    <w:p>
      <w:pPr>
        <w:ind w:right="3839"/>
        <w:spacing w:after="0" w:line="252" w:lineRule="auto"/>
        <w:rPr>
          <w:sz w:val="20"/>
          <w:szCs w:val="20"/>
          <w:color w:val="auto"/>
        </w:rPr>
      </w:pPr>
      <w:r>
        <w:rPr>
          <w:rFonts w:ascii="Courier New" w:cs="Courier New" w:eastAsia="Courier New" w:hAnsi="Courier New"/>
          <w:sz w:val="16"/>
          <w:szCs w:val="16"/>
          <w:color w:val="auto"/>
        </w:rPr>
        <w:t>authority to, on my behalf, execute and file the Statement of Changes in Beneficial Ownership of Securities (Form 4) and the Annual Statement of Changes in Beneficial Ownership (Form 5),</w:t>
      </w:r>
    </w:p>
    <w:p>
      <w:pPr>
        <w:spacing w:after="0" w:line="2" w:lineRule="exact"/>
        <w:rPr>
          <w:sz w:val="20"/>
          <w:szCs w:val="20"/>
          <w:color w:val="auto"/>
        </w:rPr>
      </w:pPr>
    </w:p>
    <w:p>
      <w:pPr>
        <w:ind w:right="3239"/>
        <w:spacing w:after="0" w:line="252" w:lineRule="auto"/>
        <w:rPr>
          <w:sz w:val="20"/>
          <w:szCs w:val="20"/>
          <w:color w:val="auto"/>
        </w:rPr>
      </w:pPr>
      <w:r>
        <w:rPr>
          <w:rFonts w:ascii="Courier New" w:cs="Courier New" w:eastAsia="Courier New" w:hAnsi="Courier New"/>
          <w:sz w:val="17"/>
          <w:szCs w:val="17"/>
          <w:color w:val="auto"/>
        </w:rPr>
        <w:t>in connection with transactions in Microsoft Corporation securities, as my Attorney-In-Fact. Such power of attorney shall remain in full force and effect until either (i) I am no longer subject to the reporting requirements under Section 16 of the Securities Act of 1933, as amended or (ii) I have provided you with written notice withdrawing this authority.</w:t>
      </w:r>
    </w:p>
    <w:p>
      <w:pPr>
        <w:spacing w:after="0" w:line="94" w:lineRule="exact"/>
        <w:rPr>
          <w:sz w:val="20"/>
          <w:szCs w:val="20"/>
          <w:color w:val="auto"/>
        </w:rPr>
      </w:pPr>
    </w:p>
    <w:p>
      <w:pPr>
        <w:ind w:right="3639"/>
        <w:spacing w:after="0" w:line="346" w:lineRule="auto"/>
        <w:rPr>
          <w:sz w:val="20"/>
          <w:szCs w:val="20"/>
          <w:color w:val="auto"/>
        </w:rPr>
      </w:pPr>
      <w:r>
        <w:rPr>
          <w:rFonts w:ascii="Courier New" w:cs="Courier New" w:eastAsia="Courier New" w:hAnsi="Courier New"/>
          <w:sz w:val="17"/>
          <w:szCs w:val="17"/>
          <w:color w:val="auto"/>
        </w:rPr>
        <w:t>The individuals who are authorized to act as my Attorney-In-Fact under this Power of Attorney are as follows:</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Julia Stark</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Benjamin O. Orndorff</w:t>
      </w:r>
    </w:p>
    <w:p>
      <w:pPr>
        <w:spacing w:after="0" w:line="238" w:lineRule="auto"/>
        <w:rPr>
          <w:sz w:val="20"/>
          <w:szCs w:val="20"/>
          <w:color w:val="auto"/>
        </w:rPr>
      </w:pPr>
      <w:r>
        <w:rPr>
          <w:rFonts w:ascii="Courier New" w:cs="Courier New" w:eastAsia="Courier New" w:hAnsi="Courier New"/>
          <w:sz w:val="17"/>
          <w:szCs w:val="17"/>
          <w:color w:val="auto"/>
        </w:rPr>
        <w:t>Michael Pressman</w:t>
      </w:r>
    </w:p>
    <w:p>
      <w:pPr>
        <w:spacing w:after="0" w:line="238" w:lineRule="auto"/>
        <w:rPr>
          <w:sz w:val="20"/>
          <w:szCs w:val="20"/>
          <w:color w:val="auto"/>
        </w:rPr>
      </w:pPr>
      <w:r>
        <w:rPr>
          <w:rFonts w:ascii="Courier New" w:cs="Courier New" w:eastAsia="Courier New" w:hAnsi="Courier New"/>
          <w:sz w:val="17"/>
          <w:szCs w:val="17"/>
          <w:color w:val="auto"/>
        </w:rPr>
        <w:t>Keith R. Dolliver</w:t>
      </w:r>
    </w:p>
    <w:p>
      <w:pPr>
        <w:spacing w:after="0"/>
        <w:rPr>
          <w:sz w:val="20"/>
          <w:szCs w:val="20"/>
          <w:color w:val="auto"/>
        </w:rPr>
      </w:pPr>
      <w:r>
        <w:rPr>
          <w:rFonts w:ascii="Courier New" w:cs="Courier New" w:eastAsia="Courier New" w:hAnsi="Courier New"/>
          <w:sz w:val="17"/>
          <w:szCs w:val="17"/>
          <w:color w:val="auto"/>
        </w:rPr>
        <w:t>Christyne Mayberry</w:t>
      </w:r>
    </w:p>
    <w:p>
      <w:pPr>
        <w:spacing w:after="0" w:line="159" w:lineRule="exact"/>
        <w:rPr>
          <w:sz w:val="20"/>
          <w:szCs w:val="20"/>
          <w:color w:val="auto"/>
        </w:rPr>
      </w:pPr>
    </w:p>
    <w:p>
      <w:pPr>
        <w:ind w:right="3139"/>
        <w:spacing w:after="0" w:line="318" w:lineRule="auto"/>
        <w:rPr>
          <w:sz w:val="20"/>
          <w:szCs w:val="20"/>
          <w:color w:val="auto"/>
        </w:rPr>
      </w:pPr>
      <w:r>
        <w:rPr>
          <w:rFonts w:ascii="Courier New" w:cs="Courier New" w:eastAsia="Courier New" w:hAnsi="Courier New"/>
          <w:sz w:val="16"/>
          <w:szCs w:val="16"/>
          <w:color w:val="auto"/>
        </w:rPr>
        <w:t>This Power of Attorney is effective immediately upon filing with the Securities Exchange Commission and for purposes of my future Form 4 and Form 5 filings relating to Microsoft securities and transactions.</w:t>
      </w:r>
    </w:p>
    <w:p>
      <w:pPr>
        <w:spacing w:after="0" w:line="4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Sincerely,</w:t>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Catherine MacGregor</w:t>
      </w:r>
    </w:p>
    <w:p>
      <w:pPr>
        <w:spacing w:after="0" w:line="2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Catherine MacGregor</w:t>
      </w:r>
    </w:p>
    <w:sectPr>
      <w:pgSz w:w="11900" w:h="16838" w:orient="portrait"/>
      <w:cols w:equalWidth="0" w:num="1">
        <w:col w:w="9999"/>
      </w:cols>
      <w:pgMar w:left="460" w:top="87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415757" TargetMode="External"/><Relationship Id="rId14" Type="http://schemas.openxmlformats.org/officeDocument/2006/relationships/hyperlink" Target="http://www.sec.gov/cgi-bin/browse-edgar?action=getcompany&amp;CIK=000078901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2025-09-12T17:10:50Z</dcterms:created>
  <dcterms:modified xsi:type="dcterms:W3CDTF">2025-09-12T17:10:50Z</dcterms:modified>
</cp:coreProperties>
</file>