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4652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52645"/>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PRITZKER PENNY S</w:t>
              </w:r>
            </w:hyperlink>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MICROSOFT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MSFT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4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6"/>
            <w:vMerge w:val="restart"/>
          </w:tcPr>
          <w:p>
            <w:pPr>
              <w:spacing w:after="0"/>
              <w:rPr>
                <w:sz w:val="20"/>
                <w:szCs w:val="20"/>
                <w:color w:val="auto"/>
              </w:rPr>
            </w:pPr>
            <w:r>
              <w:rPr>
                <w:rFonts w:ascii="Arial" w:cs="Arial" w:eastAsia="Arial" w:hAnsi="Arial"/>
                <w:sz w:val="17"/>
                <w:szCs w:val="17"/>
                <w:color w:val="0000FF"/>
              </w:rPr>
              <w:t>C/O MICROSOFT CORPORATION</w:t>
            </w:r>
          </w:p>
        </w:tc>
        <w:tc>
          <w:tcPr>
            <w:tcW w:w="1460" w:type="dxa"/>
            <w:vAlign w:val="bottom"/>
            <w:gridSpan w:val="5"/>
          </w:tcPr>
          <w:p>
            <w:pPr>
              <w:ind w:left="280"/>
              <w:spacing w:after="0"/>
              <w:rPr>
                <w:sz w:val="20"/>
                <w:szCs w:val="20"/>
                <w:color w:val="auto"/>
              </w:rPr>
            </w:pPr>
            <w:r>
              <w:rPr>
                <w:rFonts w:ascii="Arial" w:cs="Arial" w:eastAsia="Arial" w:hAnsi="Arial"/>
                <w:sz w:val="17"/>
                <w:szCs w:val="17"/>
                <w:color w:val="0000FF"/>
              </w:rPr>
              <w:t>03/10/2022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ONE MICROSOFT WAY</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9"/>
            <w:vMerge w:val="continue"/>
          </w:tcPr>
          <w:p>
            <w:pPr>
              <w:spacing w:after="0"/>
              <w:rPr>
                <w:sz w:val="7"/>
                <w:szCs w:val="7"/>
                <w:color w:val="auto"/>
              </w:rPr>
            </w:pPr>
          </w:p>
        </w:tc>
        <w:tc>
          <w:tcPr>
            <w:tcW w:w="20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vMerge w:val="restart"/>
          </w:tcPr>
          <w:p>
            <w:pPr>
              <w:spacing w:after="0"/>
              <w:rPr>
                <w:sz w:val="4"/>
                <w:szCs w:val="4"/>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ind w:left="260"/>
              <w:spacing w:after="0"/>
              <w:rPr>
                <w:sz w:val="20"/>
                <w:szCs w:val="20"/>
                <w:color w:val="auto"/>
              </w:rPr>
            </w:pPr>
            <w:r>
              <w:rPr>
                <w:rFonts w:ascii="Arial" w:cs="Arial" w:eastAsia="Arial" w:hAnsi="Arial"/>
                <w:sz w:val="17"/>
                <w:szCs w:val="17"/>
                <w:color w:val="0000FF"/>
                <w:w w:val="87"/>
              </w:rPr>
              <w:t>X</w:t>
            </w:r>
          </w:p>
        </w:tc>
        <w:tc>
          <w:tcPr>
            <w:tcW w:w="40" w:type="dxa"/>
            <w:vAlign w:val="bottom"/>
          </w:tcPr>
          <w:p>
            <w:pPr>
              <w:spacing w:after="0"/>
              <w:rPr>
                <w:sz w:val="17"/>
                <w:szCs w:val="17"/>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REDMOND</w:t>
            </w: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WA</w:t>
            </w:r>
          </w:p>
        </w:tc>
        <w:tc>
          <w:tcPr>
            <w:tcW w:w="1080" w:type="dxa"/>
            <w:vAlign w:val="bottom"/>
          </w:tcPr>
          <w:p>
            <w:pPr>
              <w:ind w:left="20"/>
              <w:spacing w:after="0"/>
              <w:rPr>
                <w:sz w:val="20"/>
                <w:szCs w:val="20"/>
                <w:color w:val="auto"/>
              </w:rPr>
            </w:pPr>
            <w:r>
              <w:rPr>
                <w:rFonts w:ascii="Arial" w:cs="Arial" w:eastAsia="Arial" w:hAnsi="Arial"/>
                <w:sz w:val="17"/>
                <w:szCs w:val="17"/>
                <w:color w:val="0000FF"/>
              </w:rPr>
              <w:t>98052-6399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80"/>
              <w:spacing w:after="0" w:line="128"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6760" w:type="dxa"/>
            <w:vAlign w:val="bottom"/>
            <w:tcBorders>
              <w:top w:val="single" w:sz="8" w:color="2C2C2C"/>
            </w:tcBorders>
            <w:gridSpan w:val="18"/>
          </w:tcPr>
          <w:p>
            <w:pPr>
              <w:ind w:left="3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2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50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Arial" w:cs="Arial" w:eastAsia="Arial" w:hAnsi="Arial"/>
                <w:sz w:val="17"/>
                <w:szCs w:val="17"/>
                <w:color w:val="0000FF"/>
              </w:rPr>
              <w:t>12,000</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0000FF"/>
              </w:rPr>
              <w:t>20.179</w:t>
            </w:r>
            <w:r>
              <w:rPr>
                <w:rFonts w:ascii="Arial" w:cs="Arial" w:eastAsia="Arial" w:hAnsi="Arial"/>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20.179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right"/>
              <w:ind w:right="157"/>
              <w:spacing w:after="0" w:line="124" w:lineRule="exact"/>
              <w:rPr>
                <w:sz w:val="20"/>
                <w:szCs w:val="20"/>
                <w:color w:val="auto"/>
              </w:rPr>
            </w:pPr>
            <w:r>
              <w:rPr>
                <w:rFonts w:ascii="Arial" w:cs="Arial" w:eastAsia="Arial" w:hAnsi="Arial"/>
                <w:sz w:val="13"/>
                <w:szCs w:val="13"/>
                <w:color w:val="0000FF"/>
              </w:rPr>
              <w:t>03/10/2022</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160"/>
              <w:spacing w:after="0" w:line="124" w:lineRule="exact"/>
              <w:rPr>
                <w:sz w:val="20"/>
                <w:szCs w:val="20"/>
                <w:color w:val="auto"/>
              </w:rPr>
            </w:pPr>
            <w:r>
              <w:rPr>
                <w:rFonts w:ascii="Arial" w:cs="Arial" w:eastAsia="Arial" w:hAnsi="Arial"/>
                <w:sz w:val="13"/>
                <w:szCs w:val="13"/>
                <w:color w:val="0000FF"/>
              </w:rPr>
              <w:t>9,315.487</w:t>
            </w: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Microsoft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 equivalent rights accrue when and as dividends are paid on the Company's common stock and become exercisable proportionately with the restricted stock units to which they relate.</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are fully vested. Delivery of the shares to the reporting person will be made 30 days after the date of the reporting person's separation from service to the Board of Directors.</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Ann Habernigg,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03/11/2022</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Arial" w:cs="Arial" w:eastAsia="Arial" w:hAnsi="Arial"/>
                <w:sz w:val="17"/>
                <w:szCs w:val="17"/>
                <w:color w:val="0000FF"/>
              </w:rPr>
              <w:t>fact for Penny S. Pritzker</w:t>
            </w:r>
          </w:p>
        </w:tc>
        <w:tc>
          <w:tcPr>
            <w:tcW w:w="26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87398"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2022-03-11T17:29:56Z</dcterms:created>
  <dcterms:modified xsi:type="dcterms:W3CDTF">2022-03-11T17:29:56Z</dcterms:modified>
</cp:coreProperties>
</file>