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66675</wp:posOffset>
            </wp:positionV>
            <wp:extent cx="161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97790</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1"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7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540" w:type="dxa"/>
        <w:tblCellMar>
          <w:top w:w="0" w:type="dxa"/>
          <w:left w:w="0" w:type="dxa"/>
          <w:bottom w:w="0" w:type="dxa"/>
          <w:right w:w="0" w:type="dxa"/>
        </w:tblCellMar>
      </w:tblPr>
      <w:tr>
        <w:trPr>
          <w:trHeight w:val="215"/>
        </w:trPr>
        <w:tc>
          <w:tcPr>
            <w:tcW w:w="318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5180" w:type="dxa"/>
            <w:vAlign w:val="bottom"/>
            <w:gridSpan w:val="3"/>
          </w:tcPr>
          <w:p>
            <w:pPr>
              <w:spacing w:after="0"/>
              <w:rPr>
                <w:sz w:val="20"/>
                <w:szCs w:val="20"/>
                <w:color w:val="auto"/>
              </w:rPr>
            </w:pPr>
            <w:r>
              <w:rPr>
                <w:rFonts w:ascii="Arial" w:cs="Arial" w:eastAsia="Arial" w:hAnsi="Arial"/>
                <w:sz w:val="16"/>
                <w:szCs w:val="16"/>
                <w:b w:val="1"/>
                <w:bCs w:val="1"/>
                <w:color w:val="auto"/>
              </w:rPr>
              <w:t>to</w:t>
            </w:r>
          </w:p>
        </w:tc>
      </w:tr>
      <w:tr>
        <w:trPr>
          <w:trHeight w:val="276"/>
        </w:trPr>
        <w:tc>
          <w:tcPr>
            <w:tcW w:w="3180" w:type="dxa"/>
            <w:vAlign w:val="bottom"/>
          </w:tcPr>
          <w:p>
            <w:pPr>
              <w:spacing w:after="0"/>
              <w:rPr>
                <w:sz w:val="24"/>
                <w:szCs w:val="24"/>
                <w:color w:val="auto"/>
              </w:rPr>
            </w:pPr>
          </w:p>
        </w:tc>
        <w:tc>
          <w:tcPr>
            <w:tcW w:w="5180" w:type="dxa"/>
            <w:vAlign w:val="bottom"/>
            <w:gridSpan w:val="3"/>
          </w:tcPr>
          <w:p>
            <w:pPr>
              <w:jc w:val="center"/>
              <w:ind w:right="1313"/>
              <w:spacing w:after="0"/>
              <w:rPr>
                <w:sz w:val="20"/>
                <w:szCs w:val="20"/>
                <w:color w:val="auto"/>
              </w:rPr>
            </w:pPr>
            <w:r>
              <w:rPr>
                <w:rFonts w:ascii="Arial" w:cs="Arial" w:eastAsia="Arial" w:hAnsi="Arial"/>
                <w:sz w:val="18"/>
                <w:szCs w:val="18"/>
                <w:b w:val="1"/>
                <w:bCs w:val="1"/>
                <w:color w:val="auto"/>
                <w:w w:val="99"/>
              </w:rPr>
              <w:t>Commission File Number 001-37845</w:t>
            </w:r>
          </w:p>
        </w:tc>
      </w:tr>
      <w:tr>
        <w:trPr>
          <w:trHeight w:val="95"/>
        </w:trPr>
        <w:tc>
          <w:tcPr>
            <w:tcW w:w="3820" w:type="dxa"/>
            <w:vAlign w:val="bottom"/>
            <w:gridSpan w:val="2"/>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r>
      <w:tr>
        <w:trPr>
          <w:trHeight w:val="583"/>
        </w:trPr>
        <w:tc>
          <w:tcPr>
            <w:tcW w:w="8360" w:type="dxa"/>
            <w:vAlign w:val="bottom"/>
            <w:gridSpan w:val="4"/>
          </w:tcPr>
          <w:p>
            <w:pPr>
              <w:jc w:val="center"/>
              <w:ind w:left="1690"/>
              <w:spacing w:after="0"/>
              <w:rPr>
                <w:sz w:val="20"/>
                <w:szCs w:val="20"/>
                <w:color w:val="auto"/>
              </w:rPr>
            </w:pPr>
            <w:r>
              <w:rPr>
                <w:rFonts w:ascii="Arial" w:cs="Arial" w:eastAsia="Arial" w:hAnsi="Arial"/>
                <w:sz w:val="43"/>
                <w:szCs w:val="43"/>
                <w:b w:val="1"/>
                <w:bCs w:val="1"/>
                <w:color w:val="auto"/>
                <w:w w:val="99"/>
              </w:rPr>
              <w:t>MICROSOFT CORPORATION</w:t>
            </w:r>
          </w:p>
        </w:tc>
      </w:tr>
      <w:tr>
        <w:trPr>
          <w:trHeight w:val="86"/>
        </w:trPr>
        <w:tc>
          <w:tcPr>
            <w:tcW w:w="3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r>
      <w:tr>
        <w:trPr>
          <w:trHeight w:val="220"/>
        </w:trPr>
        <w:tc>
          <w:tcPr>
            <w:tcW w:w="3180" w:type="dxa"/>
            <w:vAlign w:val="bottom"/>
          </w:tcPr>
          <w:p>
            <w:pPr>
              <w:jc w:val="center"/>
              <w:ind w:left="1150"/>
              <w:spacing w:after="0"/>
              <w:rPr>
                <w:sz w:val="20"/>
                <w:szCs w:val="20"/>
                <w:color w:val="auto"/>
              </w:rPr>
            </w:pPr>
            <w:r>
              <w:rPr>
                <w:rFonts w:ascii="Arial" w:cs="Arial" w:eastAsia="Arial" w:hAnsi="Arial"/>
                <w:sz w:val="15"/>
                <w:szCs w:val="15"/>
                <w:b w:val="1"/>
                <w:bCs w:val="1"/>
                <w:color w:val="auto"/>
                <w:w w:val="99"/>
              </w:rPr>
              <w:t>WASHINGTON</w:t>
            </w:r>
          </w:p>
        </w:tc>
        <w:tc>
          <w:tcPr>
            <w:tcW w:w="5180" w:type="dxa"/>
            <w:vAlign w:val="bottom"/>
            <w:gridSpan w:val="3"/>
          </w:tcPr>
          <w:p>
            <w:pPr>
              <w:jc w:val="right"/>
              <w:spacing w:after="0"/>
              <w:rPr>
                <w:sz w:val="20"/>
                <w:szCs w:val="20"/>
                <w:color w:val="auto"/>
              </w:rPr>
            </w:pPr>
            <w:r>
              <w:rPr>
                <w:rFonts w:ascii="Arial" w:cs="Arial" w:eastAsia="Arial" w:hAnsi="Arial"/>
                <w:sz w:val="15"/>
                <w:szCs w:val="15"/>
                <w:b w:val="1"/>
                <w:bCs w:val="1"/>
                <w:color w:val="auto"/>
              </w:rPr>
              <w:t>91-1144442</w:t>
            </w:r>
          </w:p>
        </w:tc>
      </w:tr>
      <w:tr>
        <w:trPr>
          <w:trHeight w:val="178"/>
        </w:trPr>
        <w:tc>
          <w:tcPr>
            <w:tcW w:w="3180" w:type="dxa"/>
            <w:vAlign w:val="bottom"/>
          </w:tcPr>
          <w:p>
            <w:pPr>
              <w:jc w:val="center"/>
              <w:ind w:left="1150"/>
              <w:spacing w:after="0"/>
              <w:rPr>
                <w:sz w:val="20"/>
                <w:szCs w:val="20"/>
                <w:color w:val="auto"/>
              </w:rPr>
            </w:pPr>
            <w:r>
              <w:rPr>
                <w:rFonts w:ascii="Arial" w:cs="Arial" w:eastAsia="Arial" w:hAnsi="Arial"/>
                <w:sz w:val="13"/>
                <w:szCs w:val="13"/>
                <w:b w:val="1"/>
                <w:bCs w:val="1"/>
                <w:color w:val="auto"/>
              </w:rPr>
              <w:t>(STATE OF INCORPORATION)</w:t>
            </w:r>
          </w:p>
        </w:tc>
        <w:tc>
          <w:tcPr>
            <w:tcW w:w="6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0" w:type="dxa"/>
            <w:vAlign w:val="bottom"/>
          </w:tcPr>
          <w:p>
            <w:pPr>
              <w:jc w:val="center"/>
              <w:ind w:left="1133"/>
              <w:spacing w:after="0"/>
              <w:rPr>
                <w:sz w:val="20"/>
                <w:szCs w:val="20"/>
                <w:color w:val="auto"/>
              </w:rPr>
            </w:pPr>
            <w:r>
              <w:rPr>
                <w:rFonts w:ascii="Arial" w:cs="Arial" w:eastAsia="Arial" w:hAnsi="Arial"/>
                <w:sz w:val="13"/>
                <w:szCs w:val="13"/>
                <w:b w:val="1"/>
                <w:bCs w:val="1"/>
                <w:color w:val="auto"/>
              </w:rPr>
              <w:t>(I.R.S. ID)</w:t>
            </w:r>
          </w:p>
        </w:tc>
      </w:tr>
    </w:tbl>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ONE MICROSOFT WAY, REDMOND, WASHINGTON 98052-6399</w:t>
      </w:r>
    </w:p>
    <w:p>
      <w:pPr>
        <w:spacing w:after="0" w:line="19" w:lineRule="exact"/>
        <w:rPr>
          <w:sz w:val="24"/>
          <w:szCs w:val="24"/>
          <w:color w:val="auto"/>
        </w:rPr>
      </w:pPr>
    </w:p>
    <w:p>
      <w:pPr>
        <w:ind w:left="5500" w:hanging="368"/>
        <w:spacing w:after="0"/>
        <w:tabs>
          <w:tab w:leader="none" w:pos="550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882-8080</w:t>
      </w:r>
    </w:p>
    <w:p>
      <w:pPr>
        <w:spacing w:after="0" w:line="1" w:lineRule="exact"/>
        <w:rPr>
          <w:rFonts w:ascii="Arial" w:cs="Arial" w:eastAsia="Arial" w:hAnsi="Arial"/>
          <w:sz w:val="14"/>
          <w:szCs w:val="14"/>
          <w:b w:val="1"/>
          <w:bCs w:val="1"/>
          <w:color w:val="auto"/>
        </w:rPr>
      </w:pPr>
    </w:p>
    <w:p>
      <w:pPr>
        <w:ind w:left="46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www.microsoft.com/investor</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5"/>
                <w:szCs w:val="15"/>
                <w:color w:val="auto"/>
              </w:rPr>
              <w:t>Title of each class</w:t>
            </w:r>
          </w:p>
        </w:tc>
        <w:tc>
          <w:tcPr>
            <w:tcW w:w="2360" w:type="dxa"/>
            <w:vAlign w:val="bottom"/>
          </w:tcPr>
          <w:p>
            <w:pPr>
              <w:jc w:val="center"/>
              <w:ind w:right="4"/>
              <w:spacing w:after="0"/>
              <w:rPr>
                <w:sz w:val="20"/>
                <w:szCs w:val="20"/>
                <w:color w:val="auto"/>
              </w:rPr>
            </w:pPr>
            <w:r>
              <w:rPr>
                <w:rFonts w:ascii="Arial" w:cs="Arial" w:eastAsia="Arial" w:hAnsi="Arial"/>
                <w:sz w:val="15"/>
                <w:szCs w:val="15"/>
                <w:color w:val="auto"/>
              </w:rPr>
              <w:t>Trading Symbol</w:t>
            </w:r>
          </w:p>
        </w:tc>
        <w:tc>
          <w:tcPr>
            <w:tcW w:w="3360" w:type="dxa"/>
            <w:vAlign w:val="bottom"/>
          </w:tcPr>
          <w:p>
            <w:pPr>
              <w:jc w:val="center"/>
              <w:ind w:left="624"/>
              <w:spacing w:after="0"/>
              <w:rPr>
                <w:sz w:val="20"/>
                <w:szCs w:val="20"/>
                <w:color w:val="auto"/>
              </w:rPr>
            </w:pPr>
            <w:r>
              <w:rPr>
                <w:rFonts w:ascii="Arial" w:cs="Arial" w:eastAsia="Arial" w:hAnsi="Arial"/>
                <w:sz w:val="15"/>
                <w:szCs w:val="15"/>
                <w:color w:val="auto"/>
              </w:rPr>
              <w:t>Name of exchange on which registered</w:t>
            </w:r>
          </w:p>
        </w:tc>
      </w:tr>
      <w:tr>
        <w:trPr>
          <w:trHeight w:val="189"/>
        </w:trPr>
        <w:tc>
          <w:tcPr>
            <w:tcW w:w="4500" w:type="dxa"/>
            <w:vAlign w:val="bottom"/>
          </w:tcPr>
          <w:p>
            <w:pPr>
              <w:spacing w:after="0"/>
              <w:rPr>
                <w:sz w:val="20"/>
                <w:szCs w:val="20"/>
                <w:color w:val="auto"/>
              </w:rPr>
            </w:pPr>
            <w:r>
              <w:rPr>
                <w:rFonts w:ascii="Arial" w:cs="Arial" w:eastAsia="Arial" w:hAnsi="Arial"/>
                <w:sz w:val="15"/>
                <w:szCs w:val="15"/>
                <w:b w:val="1"/>
                <w:bCs w:val="1"/>
                <w:color w:val="auto"/>
              </w:rPr>
              <w:t>Common stock, $0.00000625 par value per share</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b w:val="1"/>
                <w:bCs w:val="1"/>
                <w:color w:val="auto"/>
              </w:rPr>
              <w:t>3.125% Notes due 2028</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202"/>
        </w:trPr>
        <w:tc>
          <w:tcPr>
            <w:tcW w:w="450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r>
        <w:trPr>
          <w:trHeight w:val="230"/>
        </w:trPr>
        <w:tc>
          <w:tcPr>
            <w:tcW w:w="4500" w:type="dxa"/>
            <w:vAlign w:val="bottom"/>
          </w:tcPr>
          <w:p>
            <w:pPr>
              <w:spacing w:after="0"/>
              <w:rPr>
                <w:sz w:val="20"/>
                <w:szCs w:val="20"/>
                <w:color w:val="auto"/>
              </w:rPr>
            </w:pPr>
            <w:r>
              <w:rPr>
                <w:rFonts w:ascii="Arial" w:cs="Arial" w:eastAsia="Arial" w:hAnsi="Arial"/>
                <w:sz w:val="15"/>
                <w:szCs w:val="15"/>
                <w:color w:val="auto"/>
              </w:rPr>
              <w:t>Securities registered pursuant to Section 12(g) of the Act:</w:t>
            </w:r>
          </w:p>
        </w:tc>
        <w:tc>
          <w:tcPr>
            <w:tcW w:w="23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5"/>
                <w:szCs w:val="15"/>
                <w:b w:val="1"/>
                <w:bCs w:val="1"/>
                <w:color w:val="auto"/>
              </w:rPr>
              <w:t>NONE</w:t>
            </w:r>
          </w:p>
        </w:tc>
        <w:tc>
          <w:tcPr>
            <w:tcW w:w="236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pacing w:after="0" w:line="45" w:lineRule="exact"/>
        <w:rPr>
          <w:sz w:val="24"/>
          <w:szCs w:val="24"/>
          <w:color w:val="auto"/>
        </w:rPr>
      </w:pPr>
    </w:p>
    <w:p>
      <w:pPr>
        <w:jc w:val="both"/>
        <w:spacing w:after="0" w:line="23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 w:leader="none" w:pos="138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88"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22" w:right="339" w:bottom="1440" w:gutter="0" w:footer="0" w:header="0"/>
        </w:sectPr>
      </w:pPr>
    </w:p>
    <w:p>
      <w:pPr>
        <w:spacing w:after="0" w:line="3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67" w:lineRule="exact"/>
        <w:rPr>
          <w:sz w:val="24"/>
          <w:szCs w:val="24"/>
          <w:color w:val="auto"/>
        </w:rPr>
      </w:pPr>
    </w:p>
    <w:p>
      <w:pPr>
        <w:sectPr>
          <w:pgSz w:w="11900" w:h="16838" w:orient="portrait"/>
          <w:cols w:equalWidth="0" w:num="2">
            <w:col w:w="7640" w:space="720"/>
            <w:col w:w="2880"/>
          </w:cols>
          <w:pgMar w:left="320" w:top="522" w:right="3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71" w:lineRule="exact"/>
        <w:rPr>
          <w:sz w:val="24"/>
          <w:szCs w:val="24"/>
          <w:color w:val="auto"/>
        </w:rPr>
      </w:pPr>
    </w:p>
    <w:p>
      <w:pPr>
        <w:sectPr>
          <w:pgSz w:w="11900" w:h="16838" w:orient="portrait"/>
          <w:cols w:equalWidth="0" w:num="2">
            <w:col w:w="7640" w:space="720"/>
            <w:col w:w="2880"/>
          </w:cols>
          <w:pgMar w:left="320" w:top="522" w:right="339" w:bottom="1440" w:gutter="0" w:footer="0" w:header="0"/>
          <w:type w:val="continuous"/>
        </w:sectPr>
      </w:pPr>
    </w:p>
    <w:p>
      <w:pPr>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1" w:lineRule="exact"/>
        <w:rPr>
          <w:sz w:val="24"/>
          <w:szCs w:val="24"/>
          <w:color w:val="auto"/>
        </w:rPr>
      </w:pPr>
    </w:p>
    <w:p>
      <w:pPr>
        <w:ind w:right="2360"/>
        <w:spacing w:after="0" w:line="23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120" w:type="dxa"/>
            <w:vAlign w:val="bottom"/>
          </w:tcPr>
          <w:p>
            <w:pPr>
              <w:spacing w:after="0"/>
              <w:rPr>
                <w:sz w:val="20"/>
                <w:szCs w:val="20"/>
                <w:color w:val="auto"/>
              </w:rPr>
            </w:pPr>
            <w:r>
              <w:rPr>
                <w:rFonts w:ascii="Arial" w:cs="Arial" w:eastAsia="Arial" w:hAnsi="Arial"/>
                <w:sz w:val="13"/>
                <w:szCs w:val="13"/>
                <w:b w:val="1"/>
                <w:bCs w:val="1"/>
                <w:color w:val="auto"/>
              </w:rPr>
              <w:t>Class</w:t>
            </w:r>
          </w:p>
        </w:tc>
        <w:tc>
          <w:tcPr>
            <w:tcW w:w="5120" w:type="dxa"/>
            <w:vAlign w:val="bottom"/>
          </w:tcPr>
          <w:p>
            <w:pPr>
              <w:ind w:left="2740"/>
              <w:spacing w:after="0"/>
              <w:rPr>
                <w:sz w:val="20"/>
                <w:szCs w:val="20"/>
                <w:color w:val="auto"/>
              </w:rPr>
            </w:pPr>
            <w:r>
              <w:rPr>
                <w:rFonts w:ascii="Arial" w:cs="Arial" w:eastAsia="Arial" w:hAnsi="Arial"/>
                <w:sz w:val="13"/>
                <w:szCs w:val="13"/>
                <w:b w:val="1"/>
                <w:bCs w:val="1"/>
                <w:color w:val="auto"/>
              </w:rPr>
              <w:t>Outstanding as of October 21, 2021</w:t>
            </w:r>
          </w:p>
        </w:tc>
      </w:tr>
      <w:tr>
        <w:trPr>
          <w:trHeight w:val="28"/>
        </w:trPr>
        <w:tc>
          <w:tcPr>
            <w:tcW w:w="61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196"/>
        </w:trPr>
        <w:tc>
          <w:tcPr>
            <w:tcW w:w="6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Common Stock, $0.00000625 par value per share</w:t>
            </w:r>
          </w:p>
        </w:tc>
        <w:tc>
          <w:tcPr>
            <w:tcW w:w="5120" w:type="dxa"/>
            <w:vAlign w:val="bottom"/>
            <w:tcBorders>
              <w:bottom w:val="single" w:sz="8" w:color="auto"/>
            </w:tcBorders>
          </w:tcPr>
          <w:p>
            <w:pPr>
              <w:ind w:left="3540"/>
              <w:spacing w:after="0"/>
              <w:rPr>
                <w:sz w:val="20"/>
                <w:szCs w:val="20"/>
                <w:color w:val="auto"/>
              </w:rPr>
            </w:pPr>
            <w:r>
              <w:rPr>
                <w:rFonts w:ascii="Arial" w:cs="Arial" w:eastAsia="Arial" w:hAnsi="Arial"/>
                <w:sz w:val="15"/>
                <w:szCs w:val="15"/>
                <w:color w:val="auto"/>
              </w:rPr>
              <w:t>7,507,980,444 shares</w:t>
            </w:r>
          </w:p>
        </w:tc>
      </w:tr>
      <w:tr>
        <w:trPr>
          <w:trHeight w:val="675"/>
        </w:trPr>
        <w:tc>
          <w:tcPr>
            <w:tcW w:w="61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2280" w:type="dxa"/>
            <w:vAlign w:val="bottom"/>
            <w:tcBorders>
              <w:bottom w:val="single" w:sz="8" w:color="0000EE"/>
            </w:tcBorders>
            <w:gridSpan w:val="7"/>
          </w:tcPr>
          <w:p>
            <w:pPr>
              <w:spacing w:after="0" w:line="203"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INFORMATION</w:t>
              </w:r>
            </w:hyperlink>
          </w:p>
        </w:tc>
        <w:tc>
          <w:tcPr>
            <w:tcW w:w="720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Statements</w:t>
              </w:r>
            </w:hyperlink>
          </w:p>
        </w:tc>
        <w:tc>
          <w:tcPr>
            <w:tcW w:w="680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81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Income Statements for the Three Months Ended September 30, 2021 and 2020</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b)</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764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Comprehensive Income Statements for the Three Months Ended September 30, 2021 and 2020</w:t>
              </w:r>
            </w:hyperlink>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81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Balance Sheets as of September 30, 2021 and June 30, 2021</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d)</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66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Cash Flows Statements for the Three Months Ended September 30, 2021 and 2020</w:t>
              </w:r>
            </w:hyperlink>
          </w:p>
        </w:tc>
        <w:tc>
          <w:tcPr>
            <w:tcW w:w="148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e)</w:t>
            </w:r>
          </w:p>
        </w:tc>
        <w:tc>
          <w:tcPr>
            <w:tcW w:w="81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Stockholders’ Equity Statements for the Three Months Ended September 30, 2021 and 2020</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f)</w:t>
            </w:r>
          </w:p>
        </w:tc>
        <w:tc>
          <w:tcPr>
            <w:tcW w:w="736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80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g)</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16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Report of Independent Registered Public Accounting Firm</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Management’s Discussion and Analysis of Financial Condition and Results of Operations</w:t>
              </w:r>
            </w:hyperlink>
          </w:p>
        </w:tc>
        <w:tc>
          <w:tcPr>
            <w:tcW w:w="140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48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378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47">
              <w:r>
                <w:rPr>
                  <w:rFonts w:ascii="Arial" w:cs="Arial" w:eastAsia="Arial" w:hAnsi="Arial"/>
                  <w:sz w:val="18"/>
                  <w:szCs w:val="18"/>
                  <w:b w:val="1"/>
                  <w:bCs w:val="1"/>
                  <w:color w:val="0000EE"/>
                  <w:w w:val="98"/>
                </w:rPr>
                <w:t>OTHER INFORMATION</w:t>
              </w:r>
            </w:hyperlink>
          </w:p>
        </w:tc>
        <w:tc>
          <w:tcPr>
            <w:tcW w:w="7540" w:type="dxa"/>
            <w:vAlign w:val="bottom"/>
            <w:gridSpan w:val="16"/>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24"/>
                <w:szCs w:val="24"/>
                <w:color w:val="auto"/>
              </w:rPr>
            </w:pPr>
          </w:p>
        </w:tc>
        <w:tc>
          <w:tcPr>
            <w:tcW w:w="700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Unregistered Sales of Equity Securities and Use of Proceeds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364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25"/>
        </w:trPr>
        <w:tc>
          <w:tcPr>
            <w:tcW w:w="106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63">
              <w:r>
                <w:rPr>
                  <w:rFonts w:ascii="Arial" w:cs="Arial" w:eastAsia="Arial" w:hAnsi="Arial"/>
                  <w:sz w:val="18"/>
                  <w:szCs w:val="18"/>
                  <w:b w:val="1"/>
                  <w:bCs w:val="1"/>
                  <w:color w:val="0000EE"/>
                  <w:w w:val="98"/>
                </w:rPr>
                <w:t>SIGNATURE</w:t>
              </w:r>
            </w:hyperlink>
          </w:p>
        </w:tc>
        <w:tc>
          <w:tcPr>
            <w:tcW w:w="8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7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2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500" w:type="dxa"/>
            <w:vAlign w:val="bottom"/>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16,631</w:t>
            </w:r>
          </w:p>
        </w:tc>
        <w:tc>
          <w:tcPr>
            <w:tcW w:w="660" w:type="dxa"/>
            <w:vAlign w:val="bottom"/>
            <w:gridSpan w:val="2"/>
          </w:tcPr>
          <w:p>
            <w:pPr>
              <w:jc w:val="right"/>
              <w:ind w:right="46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15,803</w:t>
            </w: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28,686</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21,351</w:t>
            </w:r>
          </w:p>
        </w:tc>
        <w:tc>
          <w:tcPr>
            <w:tcW w:w="0" w:type="dxa"/>
            <w:vAlign w:val="bottom"/>
          </w:tcPr>
          <w:p>
            <w:pPr>
              <w:spacing w:after="0"/>
              <w:rPr>
                <w:sz w:val="1"/>
                <w:szCs w:val="1"/>
                <w:color w:val="auto"/>
              </w:rPr>
            </w:pPr>
          </w:p>
        </w:tc>
      </w:tr>
      <w:tr>
        <w:trPr>
          <w:trHeight w:val="68"/>
        </w:trPr>
        <w:tc>
          <w:tcPr>
            <w:tcW w:w="79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9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45,317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37,154</w:t>
            </w:r>
          </w:p>
        </w:tc>
        <w:tc>
          <w:tcPr>
            <w:tcW w:w="0" w:type="dxa"/>
            <w:vAlign w:val="bottom"/>
          </w:tcPr>
          <w:p>
            <w:pPr>
              <w:spacing w:after="0"/>
              <w:rPr>
                <w:sz w:val="1"/>
                <w:szCs w:val="1"/>
                <w:color w:val="auto"/>
              </w:rPr>
            </w:pPr>
          </w:p>
        </w:tc>
      </w:tr>
      <w:tr>
        <w:trPr>
          <w:trHeight w:val="54"/>
        </w:trPr>
        <w:tc>
          <w:tcPr>
            <w:tcW w:w="7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2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50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3,792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9,854</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68"/>
        </w:trPr>
        <w:tc>
          <w:tcPr>
            <w:tcW w:w="79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92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5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13,646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11,002</w:t>
            </w:r>
          </w:p>
        </w:tc>
        <w:tc>
          <w:tcPr>
            <w:tcW w:w="0" w:type="dxa"/>
            <w:vAlign w:val="bottom"/>
          </w:tcPr>
          <w:p>
            <w:pPr>
              <w:spacing w:after="0"/>
              <w:rPr>
                <w:sz w:val="1"/>
                <w:szCs w:val="1"/>
                <w:color w:val="auto"/>
              </w:rPr>
            </w:pPr>
          </w:p>
        </w:tc>
      </w:tr>
      <w:tr>
        <w:trPr>
          <w:trHeight w:val="54"/>
        </w:trPr>
        <w:tc>
          <w:tcPr>
            <w:tcW w:w="7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Gross margin</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31,671</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26,152</w:t>
            </w:r>
          </w:p>
        </w:tc>
        <w:tc>
          <w:tcPr>
            <w:tcW w:w="0" w:type="dxa"/>
            <w:vAlign w:val="bottom"/>
          </w:tcPr>
          <w:p>
            <w:pPr>
              <w:spacing w:after="0"/>
              <w:rPr>
                <w:sz w:val="1"/>
                <w:szCs w:val="1"/>
                <w:color w:val="auto"/>
              </w:rPr>
            </w:pP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5,599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4,547</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50"/>
        </w:trPr>
        <w:tc>
          <w:tcPr>
            <w:tcW w:w="7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68"/>
        </w:trPr>
        <w:tc>
          <w:tcPr>
            <w:tcW w:w="79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20,238</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50"/>
        </w:trPr>
        <w:tc>
          <w:tcPr>
            <w:tcW w:w="7920" w:type="dxa"/>
            <w:vAlign w:val="bottom"/>
          </w:tcPr>
          <w:p>
            <w:pPr>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68"/>
        </w:trPr>
        <w:tc>
          <w:tcPr>
            <w:tcW w:w="79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Income before income taxes</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20,524</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16,124</w:t>
            </w:r>
          </w:p>
        </w:tc>
        <w:tc>
          <w:tcPr>
            <w:tcW w:w="0" w:type="dxa"/>
            <w:vAlign w:val="bottom"/>
          </w:tcPr>
          <w:p>
            <w:pPr>
              <w:spacing w:after="0"/>
              <w:rPr>
                <w:sz w:val="1"/>
                <w:szCs w:val="1"/>
                <w:color w:val="auto"/>
              </w:rPr>
            </w:pPr>
          </w:p>
        </w:tc>
      </w:tr>
      <w:tr>
        <w:trPr>
          <w:trHeight w:val="250"/>
        </w:trPr>
        <w:tc>
          <w:tcPr>
            <w:tcW w:w="7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68"/>
        </w:trPr>
        <w:tc>
          <w:tcPr>
            <w:tcW w:w="79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20,505</w:t>
            </w:r>
          </w:p>
        </w:tc>
        <w:tc>
          <w:tcPr>
            <w:tcW w:w="66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74"/>
        </w:trPr>
        <w:tc>
          <w:tcPr>
            <w:tcW w:w="79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79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Basic</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2.73</w:t>
            </w:r>
          </w:p>
        </w:tc>
        <w:tc>
          <w:tcPr>
            <w:tcW w:w="66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8"/>
        </w:trPr>
        <w:tc>
          <w:tcPr>
            <w:tcW w:w="7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2.71</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98"/>
        </w:trPr>
        <w:tc>
          <w:tcPr>
            <w:tcW w:w="792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Weighted average shares outstanding:</w:t>
            </w:r>
          </w:p>
        </w:tc>
        <w:tc>
          <w:tcPr>
            <w:tcW w:w="50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2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50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7,513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Diluted</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7,567</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68"/>
        </w:trPr>
        <w:tc>
          <w:tcPr>
            <w:tcW w:w="79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465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20,505</w:t>
            </w:r>
          </w:p>
        </w:tc>
        <w:tc>
          <w:tcPr>
            <w:tcW w:w="58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74"/>
        </w:trPr>
        <w:tc>
          <w:tcPr>
            <w:tcW w:w="800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800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Net change related to derivatives</w:t>
            </w: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Net change related to investments</w:t>
            </w:r>
          </w:p>
        </w:tc>
        <w:tc>
          <w:tcPr>
            <w:tcW w:w="500" w:type="dxa"/>
            <w:vAlign w:val="bottom"/>
          </w:tcPr>
          <w:p>
            <w:pPr>
              <w:spacing w:after="0"/>
              <w:rPr>
                <w:sz w:val="16"/>
                <w:szCs w:val="16"/>
                <w:color w:val="auto"/>
              </w:rPr>
            </w:pPr>
          </w:p>
        </w:tc>
        <w:tc>
          <w:tcPr>
            <w:tcW w:w="10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(422)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Translation adjustments and other</w:t>
            </w: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(119)</w:t>
            </w:r>
          </w:p>
        </w:tc>
        <w:tc>
          <w:tcPr>
            <w:tcW w:w="8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50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(539)</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19,966</w:t>
            </w:r>
          </w:p>
        </w:tc>
        <w:tc>
          <w:tcPr>
            <w:tcW w:w="58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 w:right="35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jc w:val="right"/>
        <w:spacing w:after="0"/>
        <w:tabs>
          <w:tab w:leader="none" w:pos="520" w:val="left"/>
        </w:tabs>
        <w:rPr>
          <w:sz w:val="20"/>
          <w:szCs w:val="20"/>
          <w:color w:val="auto"/>
        </w:rPr>
      </w:pPr>
      <w:r>
        <w:rPr>
          <w:rFonts w:ascii="Arial" w:cs="Arial" w:eastAsia="Arial" w:hAnsi="Arial"/>
          <w:sz w:val="13"/>
          <w:szCs w:val="13"/>
          <w:b w:val="1"/>
          <w:bCs w:val="1"/>
          <w:color w:val="auto"/>
        </w:rPr>
        <w:t>September 30,</w:t>
      </w:r>
      <w:r>
        <w:rPr>
          <w:sz w:val="20"/>
          <w:szCs w:val="20"/>
          <w:color w:val="auto"/>
        </w:rPr>
        <w:tab/>
      </w:r>
      <w:r>
        <w:rPr>
          <w:rFonts w:ascii="Arial" w:cs="Arial" w:eastAsia="Arial" w:hAnsi="Arial"/>
          <w:sz w:val="13"/>
          <w:szCs w:val="13"/>
          <w:b w:val="1"/>
          <w:bCs w:val="1"/>
          <w:color w:val="auto"/>
        </w:rPr>
        <w:t>June 30,</w:t>
      </w:r>
    </w:p>
    <w:p>
      <w:pPr>
        <w:spacing w:after="0" w:line="40" w:lineRule="exact"/>
        <w:rPr>
          <w:sz w:val="20"/>
          <w:szCs w:val="20"/>
          <w:color w:val="auto"/>
        </w:rPr>
      </w:pPr>
    </w:p>
    <w:p>
      <w:pPr>
        <w:jc w:val="both"/>
        <w:ind w:left="9180"/>
        <w:spacing w:after="0"/>
        <w:tabs>
          <w:tab w:leader="none" w:pos="1082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2021</w:t>
      </w:r>
    </w:p>
    <w:p>
      <w:pPr>
        <w:sectPr>
          <w:pgSz w:w="11900" w:h="16838" w:orient="portrait"/>
          <w:cols w:equalWidth="0" w:num="1">
            <w:col w:w="11140"/>
          </w:cols>
          <w:pgMar w:left="320" w:top="138" w:right="439" w:bottom="1440" w:gutter="0" w:footer="0" w:header="0"/>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19,165</w:t>
            </w:r>
          </w:p>
        </w:tc>
        <w:tc>
          <w:tcPr>
            <w:tcW w:w="0" w:type="dxa"/>
            <w:vAlign w:val="bottom"/>
          </w:tcPr>
          <w:p>
            <w:pPr>
              <w:spacing w:after="0"/>
              <w:rPr>
                <w:sz w:val="1"/>
                <w:szCs w:val="1"/>
                <w:color w:val="auto"/>
              </w:rPr>
            </w:pPr>
          </w:p>
        </w:tc>
      </w:tr>
      <w:tr>
        <w:trPr>
          <w:trHeight w:val="167"/>
        </w:trPr>
        <w:tc>
          <w:tcPr>
            <w:tcW w:w="8000" w:type="dxa"/>
            <w:vAlign w:val="bottom"/>
          </w:tcPr>
          <w:p>
            <w:pPr>
              <w:ind w:left="220"/>
              <w:spacing w:after="0" w:line="167" w:lineRule="exact"/>
              <w:rPr>
                <w:sz w:val="20"/>
                <w:szCs w:val="20"/>
                <w:color w:val="auto"/>
              </w:rPr>
            </w:pPr>
            <w:r>
              <w:rPr>
                <w:rFonts w:ascii="Arial" w:cs="Arial" w:eastAsia="Arial" w:hAnsi="Arial"/>
                <w:sz w:val="18"/>
                <w:szCs w:val="18"/>
                <w:color w:val="auto"/>
              </w:rPr>
              <w:t>Cash and cash equivalents</w:t>
            </w:r>
          </w:p>
        </w:tc>
        <w:tc>
          <w:tcPr>
            <w:tcW w:w="4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111,450</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Total cash, cash equivalents, and short-term investments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130,615</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$536</w:t>
            </w:r>
            <w:r>
              <w:rPr>
                <w:rFonts w:ascii="Arial" w:cs="Arial" w:eastAsia="Arial" w:hAnsi="Arial"/>
                <w:sz w:val="18"/>
                <w:szCs w:val="18"/>
                <w:color w:val="auto"/>
              </w:rPr>
              <w:t xml:space="preserve"> and $751</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27,349</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3,411</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12,951</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174,326</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$52,469</w:t>
            </w:r>
            <w:r>
              <w:rPr>
                <w:rFonts w:ascii="Arial" w:cs="Arial" w:eastAsia="Arial" w:hAnsi="Arial"/>
                <w:sz w:val="18"/>
                <w:szCs w:val="18"/>
                <w:color w:val="auto"/>
              </w:rPr>
              <w:t xml:space="preserve"> and $51,351</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63,772</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11,575</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Equity investments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6,393</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50,455</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7,794</w:t>
            </w:r>
          </w:p>
        </w:tc>
        <w:tc>
          <w:tcPr>
            <w:tcW w:w="0" w:type="dxa"/>
            <w:vAlign w:val="bottom"/>
          </w:tcPr>
          <w:p>
            <w:pPr>
              <w:spacing w:after="0"/>
              <w:rPr>
                <w:sz w:val="1"/>
                <w:szCs w:val="1"/>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21,103</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335,418</w:t>
            </w:r>
          </w:p>
        </w:tc>
        <w:tc>
          <w:tcPr>
            <w:tcW w:w="0" w:type="dxa"/>
            <w:vAlign w:val="bottom"/>
          </w:tcPr>
          <w:p>
            <w:pPr>
              <w:spacing w:after="0"/>
              <w:rPr>
                <w:sz w:val="1"/>
                <w:szCs w:val="1"/>
                <w:color w:val="auto"/>
              </w:rPr>
            </w:pPr>
          </w:p>
        </w:tc>
      </w:tr>
      <w:tr>
        <w:trPr>
          <w:trHeight w:val="61"/>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14,832</w:t>
            </w:r>
          </w:p>
        </w:tc>
        <w:tc>
          <w:tcPr>
            <w:tcW w:w="0" w:type="dxa"/>
            <w:vAlign w:val="bottom"/>
          </w:tcPr>
          <w:p>
            <w:pPr>
              <w:spacing w:after="0"/>
              <w:rPr>
                <w:sz w:val="1"/>
                <w:szCs w:val="1"/>
                <w:color w:val="auto"/>
              </w:rPr>
            </w:pPr>
          </w:p>
        </w:tc>
      </w:tr>
      <w:tr>
        <w:trPr>
          <w:trHeight w:val="167"/>
        </w:trPr>
        <w:tc>
          <w:tcPr>
            <w:tcW w:w="8000" w:type="dxa"/>
            <w:vAlign w:val="bottom"/>
          </w:tcPr>
          <w:p>
            <w:pPr>
              <w:ind w:left="220"/>
              <w:spacing w:after="0" w:line="167" w:lineRule="exact"/>
              <w:rPr>
                <w:sz w:val="20"/>
                <w:szCs w:val="20"/>
                <w:color w:val="auto"/>
              </w:rPr>
            </w:pPr>
            <w:r>
              <w:rPr>
                <w:rFonts w:ascii="Arial" w:cs="Arial" w:eastAsia="Arial" w:hAnsi="Arial"/>
                <w:sz w:val="18"/>
                <w:szCs w:val="18"/>
                <w:color w:val="auto"/>
              </w:rPr>
              <w:t>Accounts payable</w:t>
            </w:r>
          </w:p>
        </w:tc>
        <w:tc>
          <w:tcPr>
            <w:tcW w:w="4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3,249</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Accrued compensation</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6,894</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Short-term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6,272</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Short-term unearned revenue</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38,465</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10,816</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80,528</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50,039</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25,715</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unearned revenue</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2,550</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10,050</w:t>
            </w:r>
          </w:p>
        </w:tc>
        <w:tc>
          <w:tcPr>
            <w:tcW w:w="0" w:type="dxa"/>
            <w:vAlign w:val="bottom"/>
          </w:tcPr>
          <w:p>
            <w:pPr>
              <w:spacing w:after="0"/>
              <w:rPr>
                <w:sz w:val="1"/>
                <w:szCs w:val="1"/>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14,346</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183,440</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000" w:type="dxa"/>
            <w:vAlign w:val="bottom"/>
          </w:tcPr>
          <w:p>
            <w:pPr>
              <w:spacing w:after="0" w:line="167" w:lineRule="exact"/>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83,751</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7,510</w:t>
            </w:r>
            <w:r>
              <w:rPr>
                <w:rFonts w:ascii="Arial" w:cs="Arial" w:eastAsia="Arial" w:hAnsi="Arial"/>
                <w:sz w:val="18"/>
                <w:szCs w:val="18"/>
                <w:color w:val="auto"/>
              </w:rPr>
              <w:t xml:space="preserve"> and 7,519</w:t>
            </w:r>
          </w:p>
        </w:tc>
        <w:tc>
          <w:tcPr>
            <w:tcW w:w="4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66,944</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1,283</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151,978</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335,418</w:t>
            </w: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-5596890</wp:posOffset>
            </wp:positionV>
            <wp:extent cx="713232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-5356860</wp:posOffset>
            </wp:positionV>
            <wp:extent cx="71323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-5022850</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-3968115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1323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-847725</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900" w:hanging="89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14,224</w:t>
      </w:r>
    </w:p>
    <w:p>
      <w:pPr>
        <w:ind w:left="800"/>
        <w:spacing w:after="0"/>
        <w:rPr>
          <w:rFonts w:ascii="Arial" w:cs="Arial" w:eastAsia="Arial" w:hAnsi="Arial"/>
          <w:sz w:val="18"/>
          <w:szCs w:val="18"/>
          <w:color w:val="auto"/>
        </w:rPr>
      </w:pPr>
      <w:r>
        <w:rPr>
          <w:rFonts w:ascii="Arial" w:cs="Arial" w:eastAsia="Arial" w:hAnsi="Arial"/>
          <w:sz w:val="18"/>
          <w:szCs w:val="18"/>
          <w:color w:val="auto"/>
        </w:rPr>
        <w:t>116,110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130,334</w:t>
      </w:r>
    </w:p>
    <w:p>
      <w:pPr>
        <w:jc w:val="right"/>
        <w:spacing w:after="0" w:line="219" w:lineRule="auto"/>
        <w:rPr>
          <w:sz w:val="20"/>
          <w:szCs w:val="20"/>
          <w:color w:val="auto"/>
        </w:rPr>
      </w:pPr>
      <w:r>
        <w:rPr>
          <w:rFonts w:ascii="Arial" w:cs="Arial" w:eastAsia="Arial" w:hAnsi="Arial"/>
          <w:sz w:val="18"/>
          <w:szCs w:val="18"/>
          <w:color w:val="auto"/>
        </w:rPr>
        <w:t>38,043</w:t>
      </w:r>
    </w:p>
    <w:p>
      <w:pPr>
        <w:jc w:val="right"/>
        <w:spacing w:after="0" w:line="219" w:lineRule="auto"/>
        <w:rPr>
          <w:sz w:val="20"/>
          <w:szCs w:val="20"/>
          <w:color w:val="auto"/>
        </w:rPr>
      </w:pPr>
      <w:r>
        <w:rPr>
          <w:rFonts w:ascii="Arial" w:cs="Arial" w:eastAsia="Arial" w:hAnsi="Arial"/>
          <w:sz w:val="18"/>
          <w:szCs w:val="18"/>
          <w:color w:val="auto"/>
        </w:rPr>
        <w:t>2,636</w:t>
      </w:r>
    </w:p>
    <w:p>
      <w:pPr>
        <w:jc w:val="right"/>
        <w:spacing w:after="0"/>
        <w:rPr>
          <w:sz w:val="20"/>
          <w:szCs w:val="20"/>
          <w:color w:val="auto"/>
        </w:rPr>
      </w:pPr>
      <w:r>
        <w:rPr>
          <w:rFonts w:ascii="Arial" w:cs="Arial" w:eastAsia="Arial" w:hAnsi="Arial"/>
          <w:sz w:val="18"/>
          <w:szCs w:val="18"/>
          <w:color w:val="auto"/>
        </w:rPr>
        <w:t>13,393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184,406</w:t>
      </w:r>
    </w:p>
    <w:p>
      <w:pPr>
        <w:jc w:val="right"/>
        <w:spacing w:after="0" w:line="219" w:lineRule="auto"/>
        <w:rPr>
          <w:sz w:val="20"/>
          <w:szCs w:val="20"/>
          <w:color w:val="auto"/>
        </w:rPr>
      </w:pPr>
      <w:r>
        <w:rPr>
          <w:rFonts w:ascii="Arial" w:cs="Arial" w:eastAsia="Arial" w:hAnsi="Arial"/>
          <w:sz w:val="18"/>
          <w:szCs w:val="18"/>
          <w:color w:val="auto"/>
        </w:rPr>
        <w:t>59,715</w:t>
      </w:r>
    </w:p>
    <w:p>
      <w:pPr>
        <w:jc w:val="right"/>
        <w:spacing w:after="0" w:line="219" w:lineRule="auto"/>
        <w:rPr>
          <w:sz w:val="20"/>
          <w:szCs w:val="20"/>
          <w:color w:val="auto"/>
        </w:rPr>
      </w:pPr>
      <w:r>
        <w:rPr>
          <w:rFonts w:ascii="Arial" w:cs="Arial" w:eastAsia="Arial" w:hAnsi="Arial"/>
          <w:sz w:val="18"/>
          <w:szCs w:val="18"/>
          <w:color w:val="auto"/>
        </w:rPr>
        <w:t>11,088</w:t>
      </w:r>
    </w:p>
    <w:p>
      <w:pPr>
        <w:jc w:val="right"/>
        <w:spacing w:after="0" w:line="219" w:lineRule="auto"/>
        <w:rPr>
          <w:sz w:val="20"/>
          <w:szCs w:val="20"/>
          <w:color w:val="auto"/>
        </w:rPr>
      </w:pPr>
      <w:r>
        <w:rPr>
          <w:rFonts w:ascii="Arial" w:cs="Arial" w:eastAsia="Arial" w:hAnsi="Arial"/>
          <w:sz w:val="18"/>
          <w:szCs w:val="18"/>
          <w:color w:val="auto"/>
        </w:rPr>
        <w:t>5,984</w:t>
      </w:r>
    </w:p>
    <w:p>
      <w:pPr>
        <w:jc w:val="right"/>
        <w:spacing w:after="0" w:line="219" w:lineRule="auto"/>
        <w:rPr>
          <w:sz w:val="20"/>
          <w:szCs w:val="20"/>
          <w:color w:val="auto"/>
        </w:rPr>
      </w:pPr>
      <w:r>
        <w:rPr>
          <w:rFonts w:ascii="Arial" w:cs="Arial" w:eastAsia="Arial" w:hAnsi="Arial"/>
          <w:sz w:val="18"/>
          <w:szCs w:val="18"/>
          <w:color w:val="auto"/>
        </w:rPr>
        <w:t>49,711</w:t>
      </w:r>
    </w:p>
    <w:p>
      <w:pPr>
        <w:jc w:val="right"/>
        <w:spacing w:after="0" w:line="219" w:lineRule="auto"/>
        <w:rPr>
          <w:sz w:val="20"/>
          <w:szCs w:val="20"/>
          <w:color w:val="auto"/>
        </w:rPr>
      </w:pPr>
      <w:r>
        <w:rPr>
          <w:rFonts w:ascii="Arial" w:cs="Arial" w:eastAsia="Arial" w:hAnsi="Arial"/>
          <w:sz w:val="18"/>
          <w:szCs w:val="18"/>
          <w:color w:val="auto"/>
        </w:rPr>
        <w:t>7,800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1" w:lineRule="exact"/>
        <w:rPr>
          <w:sz w:val="20"/>
          <w:szCs w:val="20"/>
          <w:color w:val="auto"/>
        </w:rPr>
      </w:pPr>
    </w:p>
    <w:p>
      <w:pPr>
        <w:ind w:left="800" w:hanging="793"/>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333,779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900" w:hanging="89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15,163</w:t>
      </w:r>
    </w:p>
    <w:p>
      <w:pPr>
        <w:ind w:left="1000"/>
        <w:spacing w:after="0" w:line="219" w:lineRule="auto"/>
        <w:rPr>
          <w:rFonts w:ascii="Arial" w:cs="Arial" w:eastAsia="Arial" w:hAnsi="Arial"/>
          <w:sz w:val="18"/>
          <w:szCs w:val="18"/>
          <w:color w:val="auto"/>
        </w:rPr>
      </w:pPr>
      <w:r>
        <w:rPr>
          <w:rFonts w:ascii="Arial" w:cs="Arial" w:eastAsia="Arial" w:hAnsi="Arial"/>
          <w:sz w:val="18"/>
          <w:szCs w:val="18"/>
          <w:color w:val="auto"/>
        </w:rPr>
        <w:t>8,072</w:t>
      </w:r>
    </w:p>
    <w:p>
      <w:pPr>
        <w:jc w:val="right"/>
        <w:spacing w:after="0" w:line="219" w:lineRule="auto"/>
        <w:rPr>
          <w:sz w:val="20"/>
          <w:szCs w:val="20"/>
          <w:color w:val="auto"/>
        </w:rPr>
      </w:pPr>
      <w:r>
        <w:rPr>
          <w:rFonts w:ascii="Arial" w:cs="Arial" w:eastAsia="Arial" w:hAnsi="Arial"/>
          <w:sz w:val="18"/>
          <w:szCs w:val="18"/>
          <w:color w:val="auto"/>
        </w:rPr>
        <w:t>10,057</w:t>
      </w:r>
    </w:p>
    <w:p>
      <w:pPr>
        <w:jc w:val="right"/>
        <w:spacing w:after="0" w:line="219" w:lineRule="auto"/>
        <w:rPr>
          <w:sz w:val="20"/>
          <w:szCs w:val="20"/>
          <w:color w:val="auto"/>
        </w:rPr>
      </w:pPr>
      <w:r>
        <w:rPr>
          <w:rFonts w:ascii="Arial" w:cs="Arial" w:eastAsia="Arial" w:hAnsi="Arial"/>
          <w:sz w:val="18"/>
          <w:szCs w:val="18"/>
          <w:color w:val="auto"/>
        </w:rPr>
        <w:t>2,174</w:t>
      </w:r>
    </w:p>
    <w:p>
      <w:pPr>
        <w:jc w:val="right"/>
        <w:spacing w:after="0" w:line="219" w:lineRule="auto"/>
        <w:rPr>
          <w:sz w:val="20"/>
          <w:szCs w:val="20"/>
          <w:color w:val="auto"/>
        </w:rPr>
      </w:pPr>
      <w:r>
        <w:rPr>
          <w:rFonts w:ascii="Arial" w:cs="Arial" w:eastAsia="Arial" w:hAnsi="Arial"/>
          <w:sz w:val="18"/>
          <w:szCs w:val="18"/>
          <w:color w:val="auto"/>
        </w:rPr>
        <w:t>41,525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88,657</w:t>
      </w:r>
    </w:p>
    <w:p>
      <w:pPr>
        <w:jc w:val="right"/>
        <w:spacing w:after="0" w:line="219" w:lineRule="auto"/>
        <w:rPr>
          <w:sz w:val="20"/>
          <w:szCs w:val="20"/>
          <w:color w:val="auto"/>
        </w:rPr>
      </w:pPr>
      <w:r>
        <w:rPr>
          <w:rFonts w:ascii="Arial" w:cs="Arial" w:eastAsia="Arial" w:hAnsi="Arial"/>
          <w:sz w:val="18"/>
          <w:szCs w:val="18"/>
          <w:color w:val="auto"/>
        </w:rPr>
        <w:t>50,074</w:t>
      </w:r>
    </w:p>
    <w:p>
      <w:pPr>
        <w:jc w:val="right"/>
        <w:spacing w:after="0" w:line="219" w:lineRule="auto"/>
        <w:rPr>
          <w:sz w:val="20"/>
          <w:szCs w:val="20"/>
          <w:color w:val="auto"/>
        </w:rPr>
      </w:pPr>
      <w:r>
        <w:rPr>
          <w:rFonts w:ascii="Arial" w:cs="Arial" w:eastAsia="Arial" w:hAnsi="Arial"/>
          <w:sz w:val="18"/>
          <w:szCs w:val="18"/>
          <w:color w:val="auto"/>
        </w:rPr>
        <w:t>27,190</w:t>
      </w:r>
    </w:p>
    <w:p>
      <w:pPr>
        <w:jc w:val="right"/>
        <w:spacing w:after="0" w:line="219" w:lineRule="auto"/>
        <w:rPr>
          <w:sz w:val="20"/>
          <w:szCs w:val="20"/>
          <w:color w:val="auto"/>
        </w:rPr>
      </w:pPr>
      <w:r>
        <w:rPr>
          <w:rFonts w:ascii="Arial" w:cs="Arial" w:eastAsia="Arial" w:hAnsi="Arial"/>
          <w:sz w:val="18"/>
          <w:szCs w:val="18"/>
          <w:color w:val="auto"/>
        </w:rPr>
        <w:t>2,616</w:t>
      </w:r>
    </w:p>
    <w:p>
      <w:pPr>
        <w:jc w:val="right"/>
        <w:spacing w:after="0" w:line="219" w:lineRule="auto"/>
        <w:rPr>
          <w:sz w:val="20"/>
          <w:szCs w:val="20"/>
          <w:color w:val="auto"/>
        </w:rPr>
      </w:pPr>
      <w:r>
        <w:rPr>
          <w:rFonts w:ascii="Arial" w:cs="Arial" w:eastAsia="Arial" w:hAnsi="Arial"/>
          <w:sz w:val="18"/>
          <w:szCs w:val="18"/>
          <w:color w:val="auto"/>
        </w:rPr>
        <w:t>198</w:t>
      </w:r>
    </w:p>
    <w:p>
      <w:pPr>
        <w:jc w:val="right"/>
        <w:spacing w:after="0" w:line="219" w:lineRule="auto"/>
        <w:rPr>
          <w:sz w:val="20"/>
          <w:szCs w:val="20"/>
          <w:color w:val="auto"/>
        </w:rPr>
      </w:pPr>
      <w:r>
        <w:rPr>
          <w:rFonts w:ascii="Arial" w:cs="Arial" w:eastAsia="Arial" w:hAnsi="Arial"/>
          <w:sz w:val="18"/>
          <w:szCs w:val="18"/>
          <w:color w:val="auto"/>
        </w:rPr>
        <w:t>9,629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191,791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83,111</w:t>
      </w:r>
    </w:p>
    <w:p>
      <w:pPr>
        <w:jc w:val="right"/>
        <w:spacing w:after="0" w:line="219" w:lineRule="auto"/>
        <w:rPr>
          <w:sz w:val="20"/>
          <w:szCs w:val="20"/>
          <w:color w:val="auto"/>
        </w:rPr>
      </w:pPr>
      <w:r>
        <w:rPr>
          <w:rFonts w:ascii="Arial" w:cs="Arial" w:eastAsia="Arial" w:hAnsi="Arial"/>
          <w:sz w:val="18"/>
          <w:szCs w:val="18"/>
          <w:color w:val="auto"/>
        </w:rPr>
        <w:t>57,055</w:t>
      </w:r>
    </w:p>
    <w:p>
      <w:pPr>
        <w:jc w:val="right"/>
        <w:spacing w:after="0"/>
        <w:rPr>
          <w:sz w:val="20"/>
          <w:szCs w:val="20"/>
          <w:color w:val="auto"/>
        </w:rPr>
      </w:pPr>
      <w:r>
        <w:rPr>
          <w:rFonts w:ascii="Arial" w:cs="Arial" w:eastAsia="Arial" w:hAnsi="Arial"/>
          <w:sz w:val="18"/>
          <w:szCs w:val="18"/>
          <w:color w:val="auto"/>
        </w:rPr>
        <w:t>1,822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141,988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11" w:lineRule="exact"/>
        <w:rPr>
          <w:sz w:val="20"/>
          <w:szCs w:val="20"/>
          <w:color w:val="auto"/>
        </w:rPr>
      </w:pPr>
    </w:p>
    <w:p>
      <w:pPr>
        <w:ind w:left="800" w:hanging="79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333,779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480" w:space="200"/>
            <w:col w:w="1460"/>
          </w:cols>
          <w:pgMar w:left="320" w:top="138" w:right="4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8" w:right="439" w:bottom="1440" w:gutter="0" w:footer="0" w:header="0"/>
          <w:type w:val="continuous"/>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r>
      <w:tr>
        <w:trPr>
          <w:trHeight w:val="55"/>
        </w:trPr>
        <w:tc>
          <w:tcPr>
            <w:tcW w:w="8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48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20,505</w:t>
            </w:r>
          </w:p>
        </w:tc>
        <w:tc>
          <w:tcPr>
            <w:tcW w:w="56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13,893</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Adjustments to reconcile net income to net cash from operations:</w:t>
            </w:r>
          </w:p>
        </w:tc>
        <w:tc>
          <w:tcPr>
            <w:tcW w:w="48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Depreciation, amortization, and other</w:t>
            </w:r>
          </w:p>
        </w:tc>
        <w:tc>
          <w:tcPr>
            <w:tcW w:w="48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3,212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2,645</w:t>
            </w: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1,702</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1,456</w:t>
            </w: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Net recognized gains on investments and derivatives</w:t>
            </w:r>
          </w:p>
        </w:tc>
        <w:tc>
          <w:tcPr>
            <w:tcW w:w="48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(364)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(128)</w:t>
            </w: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(5,970)</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w:t>
            </w: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0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receivable</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10,486</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8,843</w:t>
            </w:r>
          </w:p>
        </w:tc>
      </w:tr>
      <w:tr>
        <w:trPr>
          <w:trHeight w:val="189"/>
        </w:trPr>
        <w:tc>
          <w:tcPr>
            <w:tcW w:w="8000" w:type="dxa"/>
            <w:vAlign w:val="bottom"/>
          </w:tcPr>
          <w:p>
            <w:pPr>
              <w:ind w:left="440"/>
              <w:spacing w:after="0" w:line="189" w:lineRule="exact"/>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(777)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(808)</w:t>
            </w:r>
          </w:p>
        </w:tc>
      </w:tr>
      <w:tr>
        <w:trPr>
          <w:trHeight w:val="189"/>
        </w:trPr>
        <w:tc>
          <w:tcPr>
            <w:tcW w:w="80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940</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(54)</w:t>
            </w:r>
          </w:p>
        </w:tc>
      </w:tr>
      <w:tr>
        <w:trPr>
          <w:trHeight w:val="189"/>
        </w:trPr>
        <w:tc>
          <w:tcPr>
            <w:tcW w:w="8000" w:type="dxa"/>
            <w:vAlign w:val="bottom"/>
          </w:tcPr>
          <w:p>
            <w:pPr>
              <w:ind w:left="440"/>
              <w:spacing w:after="0" w:line="189" w:lineRule="exact"/>
              <w:rPr>
                <w:sz w:val="20"/>
                <w:szCs w:val="20"/>
                <w:color w:val="auto"/>
              </w:rPr>
            </w:pPr>
            <w:r>
              <w:rPr>
                <w:rFonts w:ascii="Arial" w:cs="Arial" w:eastAsia="Arial" w:hAnsi="Arial"/>
                <w:sz w:val="18"/>
                <w:szCs w:val="18"/>
                <w:color w:val="auto"/>
              </w:rPr>
              <w:t>Other long-term assets</w:t>
            </w:r>
          </w:p>
        </w:tc>
        <w:tc>
          <w:tcPr>
            <w:tcW w:w="48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(598)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(62)</w:t>
            </w:r>
          </w:p>
        </w:tc>
      </w:tr>
      <w:tr>
        <w:trPr>
          <w:trHeight w:val="189"/>
        </w:trPr>
        <w:tc>
          <w:tcPr>
            <w:tcW w:w="80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payable</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(471)</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315</w:t>
            </w:r>
          </w:p>
        </w:tc>
      </w:tr>
      <w:tr>
        <w:trPr>
          <w:trHeight w:val="189"/>
        </w:trPr>
        <w:tc>
          <w:tcPr>
            <w:tcW w:w="8000" w:type="dxa"/>
            <w:vAlign w:val="bottom"/>
          </w:tcPr>
          <w:p>
            <w:pPr>
              <w:ind w:left="440"/>
              <w:spacing w:after="0" w:line="189" w:lineRule="exact"/>
              <w:rPr>
                <w:sz w:val="20"/>
                <w:szCs w:val="20"/>
                <w:color w:val="auto"/>
              </w:rPr>
            </w:pPr>
            <w:r>
              <w:rPr>
                <w:rFonts w:ascii="Arial" w:cs="Arial" w:eastAsia="Arial" w:hAnsi="Arial"/>
                <w:sz w:val="18"/>
                <w:szCs w:val="18"/>
                <w:color w:val="auto"/>
              </w:rPr>
              <w:t>Unearned revenue</w:t>
            </w:r>
          </w:p>
        </w:tc>
        <w:tc>
          <w:tcPr>
            <w:tcW w:w="48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(2,885)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(3,064)</w:t>
            </w:r>
          </w:p>
        </w:tc>
      </w:tr>
      <w:tr>
        <w:trPr>
          <w:trHeight w:val="189"/>
        </w:trPr>
        <w:tc>
          <w:tcPr>
            <w:tcW w:w="80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Income taxes</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2,653</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(983)</w:t>
            </w:r>
          </w:p>
        </w:tc>
      </w:tr>
      <w:tr>
        <w:trPr>
          <w:trHeight w:val="189"/>
        </w:trPr>
        <w:tc>
          <w:tcPr>
            <w:tcW w:w="8000" w:type="dxa"/>
            <w:vAlign w:val="bottom"/>
          </w:tcPr>
          <w:p>
            <w:pPr>
              <w:ind w:left="440"/>
              <w:spacing w:after="0" w:line="189" w:lineRule="exact"/>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(4,143)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(2,951)</w:t>
            </w:r>
          </w:p>
        </w:tc>
      </w:tr>
      <w:tr>
        <w:trPr>
          <w:trHeight w:val="189"/>
        </w:trPr>
        <w:tc>
          <w:tcPr>
            <w:tcW w:w="80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Other long-term liabilities</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250</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244</w:t>
            </w:r>
          </w:p>
        </w:tc>
      </w:tr>
      <w:tr>
        <w:trPr>
          <w:trHeight w:val="68"/>
        </w:trPr>
        <w:tc>
          <w:tcPr>
            <w:tcW w:w="8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800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48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24,540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19,335</w:t>
            </w:r>
          </w:p>
        </w:tc>
      </w:tr>
      <w:tr>
        <w:trPr>
          <w:trHeight w:val="54"/>
        </w:trPr>
        <w:tc>
          <w:tcPr>
            <w:tcW w:w="8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Financing</w:t>
            </w:r>
          </w:p>
        </w:tc>
        <w:tc>
          <w:tcPr>
            <w:tcW w:w="48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Repayments of debt</w:t>
            </w:r>
          </w:p>
        </w:tc>
        <w:tc>
          <w:tcPr>
            <w:tcW w:w="48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(4,826)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612</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545</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48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(7,684)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(6,743)</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(4,206)</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(3,856)</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r>
      <w:tr>
        <w:trPr>
          <w:trHeight w:val="68"/>
        </w:trPr>
        <w:tc>
          <w:tcPr>
            <w:tcW w:w="80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660"/>
              <w:spacing w:after="0" w:line="189" w:lineRule="exact"/>
              <w:rPr>
                <w:sz w:val="20"/>
                <w:szCs w:val="20"/>
                <w:color w:val="auto"/>
              </w:rPr>
            </w:pPr>
            <w:r>
              <w:rPr>
                <w:rFonts w:ascii="Arial" w:cs="Arial" w:eastAsia="Arial" w:hAnsi="Arial"/>
                <w:sz w:val="18"/>
                <w:szCs w:val="18"/>
                <w:color w:val="auto"/>
              </w:rPr>
              <w:t>Net cash used in financing</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(16,276)</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(10,289)</w:t>
            </w:r>
          </w:p>
        </w:tc>
      </w:tr>
      <w:tr>
        <w:trPr>
          <w:trHeight w:val="68"/>
        </w:trPr>
        <w:tc>
          <w:tcPr>
            <w:tcW w:w="8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50"/>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w:t>
            </w: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(5,810)</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(4,907)</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Acquisition of companies, net of cash acquired, and purchases of intangible and other assets</w:t>
            </w:r>
          </w:p>
        </w:tc>
        <w:tc>
          <w:tcPr>
            <w:tcW w:w="48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(1,206)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(481)</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Purchases of investments</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(10,309)</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(14,580)</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Maturities of investments</w:t>
            </w:r>
          </w:p>
        </w:tc>
        <w:tc>
          <w:tcPr>
            <w:tcW w:w="48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8,862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14,266</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of investments</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5,630</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2,414</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(417)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(2,083)</w:t>
            </w:r>
          </w:p>
        </w:tc>
      </w:tr>
      <w:tr>
        <w:trPr>
          <w:trHeight w:val="68"/>
        </w:trPr>
        <w:tc>
          <w:tcPr>
            <w:tcW w:w="80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660"/>
              <w:spacing w:after="0" w:line="189" w:lineRule="exact"/>
              <w:rPr>
                <w:sz w:val="20"/>
                <w:szCs w:val="20"/>
                <w:color w:val="auto"/>
              </w:rPr>
            </w:pPr>
            <w:r>
              <w:rPr>
                <w:rFonts w:ascii="Arial" w:cs="Arial" w:eastAsia="Arial" w:hAnsi="Arial"/>
                <w:sz w:val="18"/>
                <w:szCs w:val="18"/>
                <w:color w:val="auto"/>
              </w:rPr>
              <w:t>Net cash used in investing</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(3,250)</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(5,371)</w:t>
            </w:r>
          </w:p>
        </w:tc>
      </w:tr>
      <w:tr>
        <w:trPr>
          <w:trHeight w:val="68"/>
        </w:trPr>
        <w:tc>
          <w:tcPr>
            <w:tcW w:w="8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8000" w:type="dxa"/>
            <w:vAlign w:val="bottom"/>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48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(73)</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54"/>
        </w:trPr>
        <w:tc>
          <w:tcPr>
            <w:tcW w:w="8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change in cash and cash equivalents</w:t>
            </w:r>
          </w:p>
        </w:tc>
        <w:tc>
          <w:tcPr>
            <w:tcW w:w="4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4,941</w:t>
            </w:r>
          </w:p>
        </w:tc>
        <w:tc>
          <w:tcPr>
            <w:tcW w:w="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3,629</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14,224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13,576</w:t>
            </w:r>
          </w:p>
        </w:tc>
      </w:tr>
      <w:tr>
        <w:trPr>
          <w:trHeight w:val="68"/>
        </w:trPr>
        <w:tc>
          <w:tcPr>
            <w:tcW w:w="80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end of period</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19,165</w:t>
            </w:r>
          </w:p>
        </w:tc>
        <w:tc>
          <w:tcPr>
            <w:tcW w:w="56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17,205</w:t>
            </w:r>
          </w:p>
        </w:tc>
      </w:tr>
      <w:tr>
        <w:trPr>
          <w:trHeight w:val="75"/>
        </w:trPr>
        <w:tc>
          <w:tcPr>
            <w:tcW w:w="80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4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3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r>
      <w:tr>
        <w:trPr>
          <w:trHeight w:val="55"/>
        </w:trPr>
        <w:tc>
          <w:tcPr>
            <w:tcW w:w="46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3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820" w:type="dxa"/>
            <w:vAlign w:val="bottom"/>
            <w:gridSpan w:val="2"/>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83,111</w:t>
            </w:r>
          </w:p>
        </w:tc>
        <w:tc>
          <w:tcPr>
            <w:tcW w:w="54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80,552</w:t>
            </w: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3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612</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815</w:t>
            </w: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3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(1,677)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(1,732)</w:t>
            </w: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3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1,702</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1,456</w:t>
            </w:r>
          </w:p>
        </w:tc>
      </w:tr>
      <w:tr>
        <w:trPr>
          <w:trHeight w:val="250"/>
        </w:trPr>
        <w:tc>
          <w:tcPr>
            <w:tcW w:w="4640" w:type="dxa"/>
            <w:vAlign w:val="bottom"/>
          </w:tcPr>
          <w:p>
            <w:pPr>
              <w:spacing w:after="0"/>
              <w:rPr>
                <w:sz w:val="20"/>
                <w:szCs w:val="20"/>
                <w:color w:val="auto"/>
              </w:rPr>
            </w:pPr>
            <w:r>
              <w:rPr>
                <w:rFonts w:ascii="Arial" w:cs="Arial" w:eastAsia="Arial" w:hAnsi="Arial"/>
                <w:sz w:val="18"/>
                <w:szCs w:val="18"/>
                <w:color w:val="auto"/>
              </w:rPr>
              <w:t>Other, net</w:t>
            </w:r>
          </w:p>
        </w:tc>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68"/>
        </w:trPr>
        <w:tc>
          <w:tcPr>
            <w:tcW w:w="4640" w:type="dxa"/>
            <w:vAlign w:val="bottom"/>
            <w:tcBorders>
              <w:top w:val="single" w:sz="8" w:color="auto"/>
            </w:tcBorders>
          </w:tcPr>
          <w:p>
            <w:pPr>
              <w:spacing w:after="0"/>
              <w:rPr>
                <w:sz w:val="5"/>
                <w:szCs w:val="5"/>
                <w:color w:val="auto"/>
              </w:rPr>
            </w:pPr>
          </w:p>
        </w:tc>
        <w:tc>
          <w:tcPr>
            <w:tcW w:w="33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3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83,751</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81,089</w:t>
            </w:r>
          </w:p>
        </w:tc>
      </w:tr>
      <w:tr>
        <w:trPr>
          <w:trHeight w:val="68"/>
        </w:trPr>
        <w:tc>
          <w:tcPr>
            <w:tcW w:w="46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57,055</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34,566</w:t>
            </w: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3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20,505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13,893</w:t>
            </w: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3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(4,651)</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(4,231)</w:t>
            </w: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3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(5,965)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(5,003)</w:t>
            </w: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3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(32)</w:t>
            </w:r>
          </w:p>
        </w:tc>
      </w:tr>
      <w:tr>
        <w:trPr>
          <w:trHeight w:val="68"/>
        </w:trPr>
        <w:tc>
          <w:tcPr>
            <w:tcW w:w="46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640" w:type="dxa"/>
            <w:vAlign w:val="bottom"/>
          </w:tcPr>
          <w:p>
            <w:pPr>
              <w:ind w:left="220"/>
              <w:spacing w:after="0"/>
              <w:rPr>
                <w:sz w:val="20"/>
                <w:szCs w:val="20"/>
                <w:color w:val="auto"/>
              </w:rPr>
            </w:pPr>
            <w:r>
              <w:rPr>
                <w:rFonts w:ascii="Arial" w:cs="Arial" w:eastAsia="Arial" w:hAnsi="Arial"/>
                <w:sz w:val="18"/>
                <w:szCs w:val="18"/>
                <w:color w:val="auto"/>
              </w:rPr>
              <w:t>Balance, end of period</w:t>
            </w:r>
          </w:p>
        </w:tc>
        <w:tc>
          <w:tcPr>
            <w:tcW w:w="3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66,944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39,193</w:t>
            </w:r>
          </w:p>
        </w:tc>
      </w:tr>
      <w:tr>
        <w:trPr>
          <w:trHeight w:val="54"/>
        </w:trPr>
        <w:tc>
          <w:tcPr>
            <w:tcW w:w="464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6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Accumulated other comprehensive income</w:t>
            </w:r>
          </w:p>
        </w:tc>
        <w:tc>
          <w:tcPr>
            <w:tcW w:w="3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1,822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3,186</w:t>
            </w: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comprehensive loss</w:t>
            </w:r>
          </w:p>
        </w:tc>
        <w:tc>
          <w:tcPr>
            <w:tcW w:w="3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(539)</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(86)</w:t>
            </w:r>
          </w:p>
        </w:tc>
      </w:tr>
      <w:tr>
        <w:trPr>
          <w:trHeight w:val="250"/>
        </w:trPr>
        <w:tc>
          <w:tcPr>
            <w:tcW w:w="4640" w:type="dxa"/>
            <w:vAlign w:val="bottom"/>
          </w:tcPr>
          <w:p>
            <w:pPr>
              <w:spacing w:after="0"/>
              <w:rPr>
                <w:sz w:val="20"/>
                <w:szCs w:val="20"/>
                <w:color w:val="auto"/>
              </w:rPr>
            </w:pPr>
            <w:r>
              <w:rPr>
                <w:rFonts w:ascii="Arial" w:cs="Arial" w:eastAsia="Arial" w:hAnsi="Arial"/>
                <w:sz w:val="18"/>
                <w:szCs w:val="18"/>
                <w:color w:val="auto"/>
              </w:rPr>
              <w:t>Cumulative effect of accounting changes</w:t>
            </w:r>
          </w:p>
        </w:tc>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68"/>
        </w:trPr>
        <w:tc>
          <w:tcPr>
            <w:tcW w:w="4640" w:type="dxa"/>
            <w:vAlign w:val="bottom"/>
            <w:tcBorders>
              <w:top w:val="single" w:sz="8" w:color="auto"/>
            </w:tcBorders>
          </w:tcPr>
          <w:p>
            <w:pPr>
              <w:spacing w:after="0"/>
              <w:rPr>
                <w:sz w:val="5"/>
                <w:szCs w:val="5"/>
                <w:color w:val="auto"/>
              </w:rPr>
            </w:pPr>
          </w:p>
        </w:tc>
        <w:tc>
          <w:tcPr>
            <w:tcW w:w="33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33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1,283</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3,110</w:t>
            </w:r>
          </w:p>
        </w:tc>
      </w:tr>
      <w:tr>
        <w:trPr>
          <w:trHeight w:val="68"/>
        </w:trPr>
        <w:tc>
          <w:tcPr>
            <w:tcW w:w="464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gridSpan w:val="2"/>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46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151,978</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123,392</w:t>
            </w:r>
          </w:p>
        </w:tc>
      </w:tr>
      <w:tr>
        <w:trPr>
          <w:trHeight w:val="61"/>
        </w:trPr>
        <w:tc>
          <w:tcPr>
            <w:tcW w:w="46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67"/>
        </w:trPr>
        <w:tc>
          <w:tcPr>
            <w:tcW w:w="46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382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0.62</w:t>
            </w:r>
          </w:p>
        </w:tc>
        <w:tc>
          <w:tcPr>
            <w:tcW w:w="5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0.56</w:t>
            </w:r>
          </w:p>
        </w:tc>
      </w:tr>
      <w:tr>
        <w:trPr>
          <w:trHeight w:val="68"/>
        </w:trPr>
        <w:tc>
          <w:tcPr>
            <w:tcW w:w="46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412"/>
        </w:trPr>
        <w:tc>
          <w:tcPr>
            <w:tcW w:w="464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4640" w:type="dxa"/>
            <w:vAlign w:val="bottom"/>
          </w:tcPr>
          <w:p>
            <w:pPr>
              <w:spacing w:after="0"/>
              <w:rPr>
                <w:sz w:val="24"/>
                <w:szCs w:val="24"/>
                <w:color w:val="auto"/>
              </w:rPr>
            </w:pPr>
          </w:p>
        </w:tc>
        <w:tc>
          <w:tcPr>
            <w:tcW w:w="3360" w:type="dxa"/>
            <w:vAlign w:val="bottom"/>
          </w:tcPr>
          <w:p>
            <w:pPr>
              <w:jc w:val="right"/>
              <w:ind w:right="2255"/>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64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2021 Form 10-K filed with the U.S. Securities and Exchange Commission (“SEC”) on July 29,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 including uncertainty in the current economic environment due to COVID-19.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6" w:lineRule="exact"/>
        <w:rPr>
          <w:sz w:val="20"/>
          <w:szCs w:val="20"/>
          <w:color w:val="auto"/>
        </w:rPr>
      </w:pPr>
    </w:p>
    <w:p>
      <w:pPr>
        <w:jc w:val="both"/>
        <w:ind w:left="1060" w:hanging="391"/>
        <w:spacing w:after="0" w:line="250"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28" w:lineRule="exact"/>
        <w:rPr>
          <w:rFonts w:ascii="Arial" w:cs="Arial" w:eastAsia="Arial" w:hAnsi="Arial"/>
          <w:sz w:val="18"/>
          <w:szCs w:val="18"/>
          <w:color w:val="auto"/>
        </w:rPr>
      </w:pPr>
    </w:p>
    <w:p>
      <w:pPr>
        <w:jc w:val="both"/>
        <w:ind w:left="1060" w:hanging="391"/>
        <w:spacing w:after="0" w:line="23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over-the-counter forward, option and swap contracts.</w:t>
      </w:r>
    </w:p>
    <w:p>
      <w:pPr>
        <w:spacing w:after="0" w:line="38" w:lineRule="exact"/>
        <w:rPr>
          <w:rFonts w:ascii="Arial" w:cs="Arial" w:eastAsia="Arial" w:hAnsi="Arial"/>
          <w:sz w:val="18"/>
          <w:szCs w:val="18"/>
          <w:color w:val="auto"/>
        </w:rPr>
      </w:pPr>
    </w:p>
    <w:p>
      <w:pPr>
        <w:jc w:val="both"/>
        <w:ind w:left="1060" w:hanging="391"/>
        <w:spacing w:after="0" w:line="242"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September 30, 2021 and June 30, 2021, other receivables due from suppliers were $854 million and $965 million, respectively, and are included in accounts receivable, net in our consolidated balance sheets.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both September 30, 2021 and June 30, 2021, long-term accounts receivable, net of allowance for doubtful accounts, was $3.4 billion and is included in other long-term assets in our consolidated balance sheets.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September 30, 2021 and June 30, 2021, our financing receivables, net were $3.8 billion and $4.4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2019, the FASB 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We adopted the standard effective July 1, 2021. Adoption of the standard did not have a material impact on our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7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available for common shareholders (A)</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20,505</w:t>
            </w:r>
          </w:p>
        </w:tc>
        <w:tc>
          <w:tcPr>
            <w:tcW w:w="7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75"/>
        </w:trPr>
        <w:tc>
          <w:tcPr>
            <w:tcW w:w="776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76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4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7,513</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189"/>
        </w:trPr>
        <w:tc>
          <w:tcPr>
            <w:tcW w:w="7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4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54</w:t>
            </w:r>
          </w:p>
        </w:tc>
        <w:tc>
          <w:tcPr>
            <w:tcW w:w="2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14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68"/>
        </w:trPr>
        <w:tc>
          <w:tcPr>
            <w:tcW w:w="77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760" w:type="dxa"/>
            <w:vAlign w:val="bottom"/>
          </w:tcPr>
          <w:p>
            <w:pPr>
              <w:spacing w:after="0"/>
              <w:rPr>
                <w:sz w:val="20"/>
                <w:szCs w:val="20"/>
                <w:color w:val="auto"/>
              </w:rPr>
            </w:pPr>
            <w:r>
              <w:rPr>
                <w:rFonts w:ascii="Arial" w:cs="Arial" w:eastAsia="Arial" w:hAnsi="Arial"/>
                <w:sz w:val="18"/>
                <w:szCs w:val="18"/>
                <w:color w:val="auto"/>
              </w:rPr>
              <w:t>Common stock and common stock equivalents (C)</w:t>
            </w:r>
          </w:p>
        </w:tc>
        <w:tc>
          <w:tcPr>
            <w:tcW w:w="4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7,567</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61"/>
        </w:trPr>
        <w:tc>
          <w:tcPr>
            <w:tcW w:w="776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Share</w:t>
            </w: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7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7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2.73</w:t>
            </w:r>
          </w:p>
        </w:tc>
        <w:tc>
          <w:tcPr>
            <w:tcW w:w="7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1.84</w:t>
            </w:r>
          </w:p>
        </w:tc>
        <w:tc>
          <w:tcPr>
            <w:tcW w:w="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2.71</w:t>
            </w:r>
          </w:p>
        </w:tc>
        <w:tc>
          <w:tcPr>
            <w:tcW w:w="7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ind w:right="3720" w:firstLine="3711"/>
        <w:spacing w:after="0" w:line="434"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5"/>
        </w:trPr>
        <w:tc>
          <w:tcPr>
            <w:tcW w:w="55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3080" w:type="dxa"/>
            <w:vAlign w:val="bottom"/>
            <w:gridSpan w:val="2"/>
            <w:shd w:val="clear" w:color="auto" w:fill="E5E5E5"/>
          </w:tcPr>
          <w:p>
            <w:pPr>
              <w:jc w:val="right"/>
              <w:ind w:right="50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520</w:t>
            </w:r>
          </w:p>
        </w:tc>
        <w:tc>
          <w:tcPr>
            <w:tcW w:w="680" w:type="dxa"/>
            <w:vAlign w:val="bottom"/>
            <w:gridSpan w:val="2"/>
            <w:shd w:val="clear" w:color="auto" w:fill="E5E5E5"/>
          </w:tcPr>
          <w:p>
            <w:pPr>
              <w:jc w:val="right"/>
              <w:ind w:right="50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(539)</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24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371</w:t>
            </w:r>
          </w:p>
        </w:tc>
        <w:tc>
          <w:tcPr>
            <w:tcW w:w="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24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(65)</w:t>
            </w:r>
          </w:p>
        </w:tc>
        <w:tc>
          <w:tcPr>
            <w:tcW w:w="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0"/>
                <w:szCs w:val="20"/>
                <w:color w:val="auto"/>
              </w:rPr>
            </w:pPr>
            <w:r>
              <w:rPr>
                <w:rFonts w:ascii="Arial" w:cs="Arial" w:eastAsia="Arial" w:hAnsi="Arial"/>
                <w:sz w:val="18"/>
                <w:szCs w:val="18"/>
                <w:color w:val="auto"/>
              </w:rPr>
              <w:t>Other, net</w:t>
            </w:r>
          </w:p>
        </w:tc>
        <w:tc>
          <w:tcPr>
            <w:tcW w:w="2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5520" w:type="dxa"/>
            <w:vAlign w:val="bottom"/>
            <w:tcBorders>
              <w:top w:val="single" w:sz="8" w:color="auto"/>
            </w:tcBorders>
          </w:tcPr>
          <w:p>
            <w:pPr>
              <w:spacing w:after="0"/>
              <w:rPr>
                <w:sz w:val="5"/>
                <w:szCs w:val="5"/>
                <w:color w:val="auto"/>
              </w:rPr>
            </w:pPr>
          </w:p>
        </w:tc>
        <w:tc>
          <w:tcPr>
            <w:tcW w:w="24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E5E5E5"/>
          </w:tcPr>
          <w:p>
            <w:pPr>
              <w:jc w:val="right"/>
              <w:ind w:right="50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286</w:t>
            </w:r>
          </w:p>
        </w:tc>
        <w:tc>
          <w:tcPr>
            <w:tcW w:w="680" w:type="dxa"/>
            <w:vAlign w:val="bottom"/>
            <w:gridSpan w:val="2"/>
            <w:shd w:val="clear" w:color="auto" w:fill="E5E5E5"/>
          </w:tcPr>
          <w:p>
            <w:pPr>
              <w:jc w:val="right"/>
              <w:ind w:right="50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75"/>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Net Recognized Gains (Losses) on Investments</w:t>
            </w:r>
          </w:p>
        </w:tc>
        <w:tc>
          <w:tcPr>
            <w:tcW w:w="24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9"/>
        </w:trPr>
        <w:tc>
          <w:tcPr>
            <w:tcW w:w="552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20" w:type="dxa"/>
            <w:vAlign w:val="bottom"/>
          </w:tcPr>
          <w:p>
            <w:pPr>
              <w:spacing w:after="0"/>
              <w:rPr>
                <w:sz w:val="20"/>
                <w:szCs w:val="20"/>
                <w:color w:val="auto"/>
              </w:rPr>
            </w:pPr>
            <w:r>
              <w:rPr>
                <w:rFonts w:ascii="Arial" w:cs="Arial" w:eastAsia="Arial" w:hAnsi="Arial"/>
                <w:sz w:val="18"/>
                <w:szCs w:val="18"/>
                <w:color w:val="auto"/>
              </w:rPr>
              <w:t>Net recognized gains (losses) on debt investments were as follows:</w:t>
            </w:r>
          </w:p>
        </w:tc>
        <w:tc>
          <w:tcPr>
            <w:tcW w:w="2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3080" w:type="dxa"/>
            <w:vAlign w:val="bottom"/>
            <w:gridSpan w:val="2"/>
          </w:tcPr>
          <w:p>
            <w:pPr>
              <w:spacing w:after="0"/>
              <w:rPr>
                <w:sz w:val="4"/>
                <w:szCs w:val="4"/>
                <w:color w:val="auto"/>
              </w:rPr>
            </w:pPr>
          </w:p>
        </w:tc>
        <w:tc>
          <w:tcPr>
            <w:tcW w:w="1000" w:type="dxa"/>
            <w:vAlign w:val="bottom"/>
            <w:gridSpan w:val="2"/>
          </w:tcPr>
          <w:p>
            <w:pPr>
              <w:spacing w:after="0"/>
              <w:rPr>
                <w:sz w:val="4"/>
                <w:szCs w:val="4"/>
                <w:color w:val="auto"/>
              </w:rPr>
            </w:pPr>
          </w:p>
        </w:tc>
        <w:tc>
          <w:tcPr>
            <w:tcW w:w="68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3080" w:type="dxa"/>
            <w:vAlign w:val="bottom"/>
            <w:gridSpan w:val="2"/>
            <w:shd w:val="clear" w:color="auto" w:fill="E5E5E5"/>
          </w:tcPr>
          <w:p>
            <w:pPr>
              <w:jc w:val="right"/>
              <w:ind w:right="50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19</w:t>
            </w:r>
          </w:p>
        </w:tc>
        <w:tc>
          <w:tcPr>
            <w:tcW w:w="680" w:type="dxa"/>
            <w:vAlign w:val="bottom"/>
            <w:gridSpan w:val="2"/>
            <w:shd w:val="clear" w:color="auto" w:fill="E5E5E5"/>
          </w:tcPr>
          <w:p>
            <w:pPr>
              <w:jc w:val="right"/>
              <w:ind w:right="50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8"/>
                <w:szCs w:val="18"/>
                <w:color w:val="auto"/>
              </w:rPr>
              <w:t>Realized losses from sales of available-for-sale securities</w:t>
            </w:r>
          </w:p>
        </w:tc>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and allowance for credit losses</w:t>
            </w:r>
          </w:p>
        </w:tc>
        <w:tc>
          <w:tcPr>
            <w:tcW w:w="24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8"/>
        </w:trPr>
        <w:tc>
          <w:tcPr>
            <w:tcW w:w="552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20"/>
              <w:spacing w:after="0"/>
              <w:rPr>
                <w:sz w:val="20"/>
                <w:szCs w:val="20"/>
                <w:color w:val="auto"/>
              </w:rPr>
            </w:pPr>
            <w:r>
              <w:rPr>
                <w:rFonts w:ascii="Arial" w:cs="Arial" w:eastAsia="Arial" w:hAnsi="Arial"/>
                <w:sz w:val="18"/>
                <w:szCs w:val="18"/>
                <w:color w:val="auto"/>
              </w:rPr>
              <w:t>Total</w:t>
            </w:r>
          </w:p>
        </w:tc>
        <w:tc>
          <w:tcPr>
            <w:tcW w:w="3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1"/>
        </w:trPr>
        <w:tc>
          <w:tcPr>
            <w:tcW w:w="5520" w:type="dxa"/>
            <w:vAlign w:val="bottom"/>
            <w:vMerge w:val="restart"/>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24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552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5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55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3080" w:type="dxa"/>
            <w:vAlign w:val="bottom"/>
            <w:gridSpan w:val="2"/>
          </w:tcPr>
          <w:p>
            <w:pPr>
              <w:spacing w:after="0"/>
              <w:rPr>
                <w:sz w:val="4"/>
                <w:szCs w:val="4"/>
                <w:color w:val="auto"/>
              </w:rPr>
            </w:pPr>
          </w:p>
        </w:tc>
        <w:tc>
          <w:tcPr>
            <w:tcW w:w="1000" w:type="dxa"/>
            <w:vAlign w:val="bottom"/>
            <w:gridSpan w:val="2"/>
          </w:tcPr>
          <w:p>
            <w:pPr>
              <w:spacing w:after="0"/>
              <w:rPr>
                <w:sz w:val="4"/>
                <w:szCs w:val="4"/>
                <w:color w:val="auto"/>
              </w:rPr>
            </w:pPr>
          </w:p>
        </w:tc>
        <w:tc>
          <w:tcPr>
            <w:tcW w:w="68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realized gains on investments sold</w:t>
            </w:r>
          </w:p>
        </w:tc>
        <w:tc>
          <w:tcPr>
            <w:tcW w:w="3080" w:type="dxa"/>
            <w:vAlign w:val="bottom"/>
            <w:gridSpan w:val="2"/>
            <w:shd w:val="clear" w:color="auto" w:fill="E5E5E5"/>
          </w:tcPr>
          <w:p>
            <w:pPr>
              <w:jc w:val="right"/>
              <w:ind w:right="50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37</w:t>
            </w:r>
          </w:p>
        </w:tc>
        <w:tc>
          <w:tcPr>
            <w:tcW w:w="680" w:type="dxa"/>
            <w:vAlign w:val="bottom"/>
            <w:gridSpan w:val="2"/>
            <w:shd w:val="clear" w:color="auto" w:fill="E5E5E5"/>
          </w:tcPr>
          <w:p>
            <w:pPr>
              <w:jc w:val="right"/>
              <w:ind w:right="50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8"/>
                <w:szCs w:val="18"/>
                <w:color w:val="auto"/>
              </w:rPr>
              <w:t>Net unrealized gains on investments still held</w:t>
            </w:r>
          </w:p>
        </w:tc>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325</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of investments</w:t>
            </w:r>
          </w:p>
        </w:tc>
        <w:tc>
          <w:tcPr>
            <w:tcW w:w="24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8"/>
        </w:trPr>
        <w:tc>
          <w:tcPr>
            <w:tcW w:w="552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20"/>
              <w:spacing w:after="0"/>
              <w:rPr>
                <w:sz w:val="20"/>
                <w:szCs w:val="20"/>
                <w:color w:val="auto"/>
              </w:rPr>
            </w:pPr>
            <w:r>
              <w:rPr>
                <w:rFonts w:ascii="Arial" w:cs="Arial" w:eastAsia="Arial" w:hAnsi="Arial"/>
                <w:sz w:val="18"/>
                <w:szCs w:val="18"/>
                <w:color w:val="auto"/>
              </w:rPr>
              <w:t>Total</w:t>
            </w:r>
          </w:p>
        </w:tc>
        <w:tc>
          <w:tcPr>
            <w:tcW w:w="3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362</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61"/>
        </w:trPr>
        <w:tc>
          <w:tcPr>
            <w:tcW w:w="5520" w:type="dxa"/>
            <w:vAlign w:val="bottom"/>
          </w:tcPr>
          <w:p>
            <w:pPr>
              <w:spacing w:after="0"/>
              <w:rPr>
                <w:sz w:val="5"/>
                <w:szCs w:val="5"/>
                <w:color w:val="auto"/>
              </w:rPr>
            </w:pPr>
          </w:p>
        </w:tc>
        <w:tc>
          <w:tcPr>
            <w:tcW w:w="2480" w:type="dxa"/>
            <w:vAlign w:val="bottom"/>
            <w:vMerge w:val="restart"/>
          </w:tcPr>
          <w:p>
            <w:pPr>
              <w:jc w:val="right"/>
              <w:ind w:right="2213"/>
              <w:spacing w:after="0"/>
              <w:rPr>
                <w:sz w:val="20"/>
                <w:szCs w:val="20"/>
                <w:color w:val="auto"/>
              </w:rPr>
            </w:pPr>
            <w:r>
              <w:rPr>
                <w:rFonts w:ascii="Arial" w:cs="Arial" w:eastAsia="Arial" w:hAnsi="Arial"/>
                <w:sz w:val="14"/>
                <w:szCs w:val="14"/>
                <w:color w:val="auto"/>
              </w:rPr>
              <w:t>11</w:t>
            </w: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5"/>
        </w:trPr>
        <w:tc>
          <w:tcPr>
            <w:tcW w:w="55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52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Cash</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060" w:type="dxa"/>
            <w:vAlign w:val="bottom"/>
          </w:tcPr>
          <w:p>
            <w:pPr>
              <w:jc w:val="center"/>
              <w:ind w:right="41"/>
              <w:spacing w:after="0"/>
              <w:rPr>
                <w:sz w:val="20"/>
                <w:szCs w:val="20"/>
                <w:color w:val="auto"/>
              </w:rPr>
            </w:pPr>
            <w:r>
              <w:rPr>
                <w:rFonts w:ascii="Arial" w:cs="Arial" w:eastAsia="Arial" w:hAnsi="Arial"/>
                <w:sz w:val="13"/>
                <w:szCs w:val="13"/>
                <w:b w:val="1"/>
                <w:bCs w:val="1"/>
                <w:color w:val="auto"/>
                <w:w w:val="99"/>
              </w:rPr>
              <w:t>Fair Value</w:t>
            </w:r>
          </w:p>
        </w:tc>
        <w:tc>
          <w:tcPr>
            <w:tcW w:w="1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Adjusted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Recorded</w:t>
            </w:r>
          </w:p>
        </w:tc>
        <w:tc>
          <w:tcPr>
            <w:tcW w:w="14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and Cash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Short-term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7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60" w:type="dxa"/>
            <w:vAlign w:val="bottom"/>
          </w:tcPr>
          <w:p>
            <w:pPr>
              <w:jc w:val="center"/>
              <w:ind w:right="41"/>
              <w:spacing w:after="0"/>
              <w:rPr>
                <w:sz w:val="20"/>
                <w:szCs w:val="20"/>
                <w:color w:val="auto"/>
              </w:rPr>
            </w:pPr>
            <w:r>
              <w:rPr>
                <w:rFonts w:ascii="Arial" w:cs="Arial" w:eastAsia="Arial" w:hAnsi="Arial"/>
                <w:sz w:val="13"/>
                <w:szCs w:val="13"/>
                <w:b w:val="1"/>
                <w:bCs w:val="1"/>
                <w:color w:val="auto"/>
              </w:rPr>
              <w:t>Level</w:t>
            </w: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Cost Basis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Basis</w:t>
            </w:r>
          </w:p>
        </w:tc>
        <w:tc>
          <w:tcPr>
            <w:tcW w:w="14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Equivalents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27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3"/>
                <w:szCs w:val="13"/>
                <w:b w:val="1"/>
                <w:bCs w:val="1"/>
                <w:color w:val="auto"/>
              </w:rPr>
              <w:t>September 30, 2021</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8,183</w:t>
            </w: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0</w:t>
            </w: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2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8,183</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4,686</w:t>
            </w:r>
          </w:p>
        </w:tc>
        <w:tc>
          <w:tcPr>
            <w:tcW w:w="2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3,497</w:t>
            </w: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3,054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3,054</w:t>
            </w:r>
          </w:p>
        </w:tc>
        <w:tc>
          <w:tcPr>
            <w:tcW w:w="1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2,809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89,437</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3,382</w:t>
            </w:r>
          </w:p>
        </w:tc>
        <w:tc>
          <w:tcPr>
            <w:tcW w:w="1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(134)</w:t>
            </w: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92,685</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3</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92,682</w:t>
            </w:r>
          </w:p>
        </w:tc>
        <w:tc>
          <w:tcPr>
            <w:tcW w:w="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U.S. agency securities</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2,943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2,944</w:t>
            </w:r>
          </w:p>
        </w:tc>
        <w:tc>
          <w:tcPr>
            <w:tcW w:w="1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1,119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1,825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3,130</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(4)</w:t>
            </w: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3,132</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2,487</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645</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20"/>
                <w:szCs w:val="20"/>
                <w:color w:val="auto"/>
              </w:rPr>
            </w:pPr>
            <w:r>
              <w:rPr>
                <w:rFonts w:ascii="Arial" w:cs="Arial" w:eastAsia="Arial" w:hAnsi="Arial"/>
                <w:sz w:val="16"/>
                <w:szCs w:val="16"/>
                <w:color w:val="auto"/>
              </w:rPr>
              <w:t>Mortgage- and asset-backed</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3,461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20</w:t>
            </w:r>
          </w:p>
        </w:tc>
        <w:tc>
          <w:tcPr>
            <w:tcW w:w="160" w:type="dxa"/>
            <w:vAlign w:val="bottom"/>
          </w:tcPr>
          <w:p>
            <w:pPr>
              <w:spacing w:after="0"/>
              <w:rPr>
                <w:sz w:val="16"/>
                <w:szCs w:val="16"/>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3,474</w:t>
            </w:r>
          </w:p>
        </w:tc>
        <w:tc>
          <w:tcPr>
            <w:tcW w:w="140" w:type="dxa"/>
            <w:vAlign w:val="bottom"/>
          </w:tcPr>
          <w:p>
            <w:pPr>
              <w:spacing w:after="0"/>
              <w:rPr>
                <w:sz w:val="16"/>
                <w:szCs w:val="16"/>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3,474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7"/>
        </w:trPr>
        <w:tc>
          <w:tcPr>
            <w:tcW w:w="278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8,346</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205</w:t>
            </w:r>
          </w:p>
        </w:tc>
        <w:tc>
          <w:tcPr>
            <w:tcW w:w="1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(13)</w:t>
            </w: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8,538</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8,538</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53</w:t>
            </w:r>
          </w:p>
        </w:tc>
        <w:tc>
          <w:tcPr>
            <w:tcW w:w="1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306</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58</w:t>
            </w:r>
          </w:p>
        </w:tc>
        <w:tc>
          <w:tcPr>
            <w:tcW w:w="1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364</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364</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6"/>
                <w:szCs w:val="16"/>
                <w:color w:val="auto"/>
              </w:rPr>
              <w:t>Municipal securities</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42"/>
        </w:trPr>
        <w:tc>
          <w:tcPr>
            <w:tcW w:w="27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106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119,016</w:t>
            </w:r>
          </w:p>
        </w:tc>
        <w:tc>
          <w:tcPr>
            <w:tcW w:w="8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3,672</w:t>
            </w: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(165)</w:t>
            </w:r>
          </w:p>
        </w:tc>
        <w:tc>
          <w:tcPr>
            <w:tcW w:w="2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122,523</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11,104</w:t>
            </w:r>
          </w:p>
        </w:tc>
        <w:tc>
          <w:tcPr>
            <w:tcW w:w="8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111,419</w:t>
            </w:r>
          </w:p>
        </w:tc>
        <w:tc>
          <w:tcPr>
            <w:tcW w:w="6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75"/>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10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7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1,781</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1,198</w:t>
            </w:r>
          </w:p>
        </w:tc>
        <w:tc>
          <w:tcPr>
            <w:tcW w:w="2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583</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6"/>
                <w:szCs w:val="16"/>
                <w:color w:val="auto"/>
              </w:rPr>
              <w:t>Equity investments</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5,810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5,810</w:t>
            </w:r>
          </w:p>
        </w:tc>
        <w:tc>
          <w:tcPr>
            <w:tcW w:w="0" w:type="dxa"/>
            <w:vAlign w:val="bottom"/>
          </w:tcPr>
          <w:p>
            <w:pPr>
              <w:spacing w:after="0"/>
              <w:rPr>
                <w:sz w:val="1"/>
                <w:szCs w:val="1"/>
                <w:color w:val="auto"/>
              </w:rPr>
            </w:pPr>
          </w:p>
        </w:tc>
      </w:tr>
      <w:tr>
        <w:trPr>
          <w:trHeight w:val="42"/>
        </w:trPr>
        <w:tc>
          <w:tcPr>
            <w:tcW w:w="27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10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7,591</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1,198</w:t>
            </w:r>
          </w:p>
        </w:tc>
        <w:tc>
          <w:tcPr>
            <w:tcW w:w="2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6,393</w:t>
            </w:r>
          </w:p>
        </w:tc>
        <w:tc>
          <w:tcPr>
            <w:tcW w:w="0" w:type="dxa"/>
            <w:vAlign w:val="bottom"/>
          </w:tcPr>
          <w:p>
            <w:pPr>
              <w:spacing w:after="0"/>
              <w:rPr>
                <w:sz w:val="1"/>
                <w:szCs w:val="1"/>
                <w:color w:val="auto"/>
              </w:rPr>
            </w:pPr>
          </w:p>
        </w:tc>
      </w:tr>
      <w:tr>
        <w:trPr>
          <w:trHeight w:val="74"/>
        </w:trPr>
        <w:tc>
          <w:tcPr>
            <w:tcW w:w="2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Arial" w:cs="Arial" w:eastAsia="Arial" w:hAnsi="Arial"/>
                <w:sz w:val="16"/>
                <w:szCs w:val="16"/>
                <w:color w:val="auto"/>
              </w:rPr>
              <w:t>Cash</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6,863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6,863</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10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31</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31</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68"/>
        </w:trPr>
        <w:tc>
          <w:tcPr>
            <w:tcW w:w="27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gridSpan w:val="2"/>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80" w:type="dxa"/>
            <w:vAlign w:val="bottom"/>
          </w:tcPr>
          <w:p>
            <w:pPr>
              <w:ind w:left="220"/>
              <w:spacing w:after="0"/>
              <w:rPr>
                <w:sz w:val="20"/>
                <w:szCs w:val="20"/>
                <w:color w:val="auto"/>
              </w:rPr>
            </w:pPr>
            <w:r>
              <w:rPr>
                <w:rFonts w:ascii="Arial" w:cs="Arial" w:eastAsia="Arial" w:hAnsi="Arial"/>
                <w:sz w:val="16"/>
                <w:szCs w:val="16"/>
                <w:color w:val="auto"/>
              </w:rPr>
              <w:t>Total</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137,008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19,165</w:t>
            </w:r>
          </w:p>
        </w:tc>
        <w:tc>
          <w:tcPr>
            <w:tcW w:w="80" w:type="dxa"/>
            <w:vAlign w:val="bottom"/>
          </w:tcPr>
          <w:p>
            <w:pPr>
              <w:spacing w:after="0"/>
              <w:rPr>
                <w:sz w:val="22"/>
                <w:szCs w:val="22"/>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111,450</w:t>
            </w:r>
          </w:p>
        </w:tc>
        <w:tc>
          <w:tcPr>
            <w:tcW w:w="6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6,393</w:t>
            </w: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restart"/>
          </w:tcPr>
          <w:p>
            <w:pPr>
              <w:jc w:val="right"/>
              <w:ind w:right="42"/>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7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020" w:type="dxa"/>
            <w:vAlign w:val="bottom"/>
          </w:tcPr>
          <w:p>
            <w:pPr>
              <w:jc w:val="center"/>
              <w:ind w:right="1"/>
              <w:spacing w:after="0"/>
              <w:rPr>
                <w:sz w:val="20"/>
                <w:szCs w:val="20"/>
                <w:color w:val="auto"/>
              </w:rPr>
            </w:pPr>
            <w:r>
              <w:rPr>
                <w:rFonts w:ascii="Arial" w:cs="Arial" w:eastAsia="Arial" w:hAnsi="Arial"/>
                <w:sz w:val="13"/>
                <w:szCs w:val="13"/>
                <w:b w:val="1"/>
                <w:bCs w:val="1"/>
                <w:color w:val="auto"/>
                <w:w w:val="99"/>
              </w:rPr>
              <w:t>Fair Value</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Adjusted</w:t>
            </w:r>
          </w:p>
        </w:tc>
        <w:tc>
          <w:tcPr>
            <w:tcW w:w="1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Recorded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and Cash</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Short-term</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8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jc w:val="center"/>
              <w:ind w:right="1"/>
              <w:spacing w:after="0"/>
              <w:rPr>
                <w:sz w:val="20"/>
                <w:szCs w:val="20"/>
                <w:color w:val="auto"/>
              </w:rPr>
            </w:pPr>
            <w:r>
              <w:rPr>
                <w:rFonts w:ascii="Arial" w:cs="Arial" w:eastAsia="Arial" w:hAnsi="Arial"/>
                <w:sz w:val="13"/>
                <w:szCs w:val="13"/>
                <w:b w:val="1"/>
                <w:bCs w:val="1"/>
                <w:color w:val="auto"/>
              </w:rPr>
              <w:t>Level</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Cost Basis</w:t>
            </w:r>
          </w:p>
        </w:tc>
        <w:tc>
          <w:tcPr>
            <w:tcW w:w="1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Gains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Basis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Equivalents</w:t>
            </w:r>
          </w:p>
        </w:tc>
        <w:tc>
          <w:tcPr>
            <w:tcW w:w="1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Investments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4,316</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4,316</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2,985</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3,615</w:t>
            </w: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3,615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2,920</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90,664</w:t>
            </w: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3,832</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(111)</w:t>
            </w: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94,385</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92,885</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U.S. agency securities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807</w:t>
            </w: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6,213</w:t>
            </w: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9</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w:t>
            </w: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6,220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5,995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1"/>
        </w:trPr>
        <w:tc>
          <w:tcPr>
            <w:tcW w:w="2800" w:type="dxa"/>
            <w:vAlign w:val="bottom"/>
          </w:tcPr>
          <w:p>
            <w:pPr>
              <w:spacing w:after="0"/>
              <w:rPr>
                <w:sz w:val="20"/>
                <w:szCs w:val="20"/>
                <w:color w:val="auto"/>
              </w:rPr>
            </w:pPr>
            <w:r>
              <w:rPr>
                <w:rFonts w:ascii="Arial" w:cs="Arial" w:eastAsia="Arial" w:hAnsi="Arial"/>
                <w:sz w:val="16"/>
                <w:szCs w:val="16"/>
                <w:color w:val="auto"/>
              </w:rPr>
              <w:t>Mortgage- and asset-backed</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3,442</w:t>
            </w: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3,458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3,458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8,443</w:t>
            </w: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249</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8,683</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8,683</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308</w:t>
            </w: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63</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371</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371</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Municipal securities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0"/>
        </w:trPr>
        <w:tc>
          <w:tcPr>
            <w:tcW w:w="2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117,966</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4,177</w:t>
            </w: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(135)</w:t>
            </w: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122,008</w:t>
            </w:r>
          </w:p>
        </w:tc>
        <w:tc>
          <w:tcPr>
            <w:tcW w:w="8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5,976</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116,032</w:t>
            </w:r>
          </w:p>
        </w:tc>
        <w:tc>
          <w:tcPr>
            <w:tcW w:w="8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4"/>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10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8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1,582</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976</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Equity investments</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5,378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5,378</w:t>
            </w:r>
          </w:p>
        </w:tc>
        <w:tc>
          <w:tcPr>
            <w:tcW w:w="0" w:type="dxa"/>
            <w:vAlign w:val="bottom"/>
          </w:tcPr>
          <w:p>
            <w:pPr>
              <w:spacing w:after="0"/>
              <w:rPr>
                <w:sz w:val="1"/>
                <w:szCs w:val="1"/>
                <w:color w:val="auto"/>
              </w:rPr>
            </w:pPr>
          </w:p>
        </w:tc>
      </w:tr>
      <w:tr>
        <w:trPr>
          <w:trHeight w:val="60"/>
        </w:trPr>
        <w:tc>
          <w:tcPr>
            <w:tcW w:w="2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6,960</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976</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6"/>
                <w:szCs w:val="16"/>
                <w:color w:val="auto"/>
              </w:rPr>
              <w:t>Cash</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7,272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7,272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78</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78</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8"/>
        </w:trPr>
        <w:tc>
          <w:tcPr>
            <w:tcW w:w="2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800" w:type="dxa"/>
            <w:vAlign w:val="bottom"/>
          </w:tcPr>
          <w:p>
            <w:pPr>
              <w:ind w:left="220"/>
              <w:spacing w:after="0"/>
              <w:rPr>
                <w:sz w:val="20"/>
                <w:szCs w:val="20"/>
                <w:color w:val="auto"/>
              </w:rPr>
            </w:pPr>
            <w:r>
              <w:rPr>
                <w:rFonts w:ascii="Arial" w:cs="Arial" w:eastAsia="Arial" w:hAnsi="Arial"/>
                <w:sz w:val="16"/>
                <w:szCs w:val="16"/>
                <w:color w:val="auto"/>
              </w:rPr>
              <w:t>Total</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136,318</w:t>
            </w:r>
          </w:p>
        </w:tc>
        <w:tc>
          <w:tcPr>
            <w:tcW w:w="8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14,224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116,110</w:t>
            </w:r>
          </w:p>
        </w:tc>
        <w:tc>
          <w:tcPr>
            <w:tcW w:w="8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38100</wp:posOffset>
            </wp:positionV>
            <wp:extent cx="263207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32075" cy="17145"/>
                    </a:xfrm>
                    <a:prstGeom prst="rect">
                      <a:avLst/>
                    </a:prstGeom>
                    <a:noFill/>
                  </pic:spPr>
                </pic:pic>
              </a:graphicData>
            </a:graphic>
          </wp:anchor>
        </w:drawing>
      </w:r>
    </w:p>
    <w:p>
      <w:pPr>
        <w:spacing w:after="0" w:line="129"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September 30, 2021 and June 30, 2021, equity investments without readily determinable fair values measured at cost with adjustments for observable changes in price or impairments were $3.5 billion and $3.3 billion,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5"/>
                <w:szCs w:val="15"/>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5"/>
        </w:trPr>
        <w:tc>
          <w:tcPr>
            <w:tcW w:w="3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3"/>
                <w:szCs w:val="13"/>
                <w:b w:val="1"/>
                <w:bCs w:val="1"/>
                <w:color w:val="auto"/>
              </w:rPr>
              <w:t>September 30, 2021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5,420</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604</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6,024</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1,215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1,223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1,240</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1,380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2,030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2,073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9,925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(165)</w:t>
            </w: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7"/>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5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5"/>
                <w:szCs w:val="15"/>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5"/>
        </w:trPr>
        <w:tc>
          <w:tcPr>
            <w:tcW w:w="3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5,294</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(111)</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5,294</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3,148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3,153</w:t>
            </w:r>
          </w:p>
        </w:tc>
        <w:tc>
          <w:tcPr>
            <w:tcW w:w="22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1,211</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1,298</w:t>
            </w: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1,678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1,712</w:t>
            </w:r>
          </w:p>
        </w:tc>
        <w:tc>
          <w:tcPr>
            <w:tcW w:w="22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58</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59</w:t>
            </w: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11,389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11,516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Adjusted</w:t>
            </w:r>
          </w:p>
        </w:tc>
        <w:tc>
          <w:tcPr>
            <w:tcW w:w="46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Estimated</w:t>
            </w:r>
          </w:p>
        </w:tc>
      </w:t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 Basis</w:t>
            </w:r>
          </w:p>
        </w:tc>
        <w:tc>
          <w:tcPr>
            <w:tcW w:w="4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Fair Value</w:t>
            </w:r>
          </w:p>
        </w:tc>
      </w:tr>
      <w:tr>
        <w:trPr>
          <w:trHeight w:val="55"/>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September 30, 2021</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4"/>
        </w:trPr>
        <w:tc>
          <w:tcPr>
            <w:tcW w:w="8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31,699</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31,858</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460" w:type="dxa"/>
            <w:vAlign w:val="bottom"/>
          </w:tcPr>
          <w:p>
            <w:pPr>
              <w:spacing w:after="0"/>
              <w:rPr>
                <w:sz w:val="16"/>
                <w:szCs w:val="16"/>
                <w:color w:val="auto"/>
              </w:rPr>
            </w:pPr>
          </w:p>
        </w:tc>
        <w:tc>
          <w:tcPr>
            <w:tcW w:w="12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60,679</w:t>
            </w:r>
          </w:p>
        </w:tc>
        <w:tc>
          <w:tcPr>
            <w:tcW w:w="46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63,102</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46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23,911</w:t>
            </w:r>
          </w:p>
        </w:tc>
        <w:tc>
          <w:tcPr>
            <w:tcW w:w="4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24,758</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Due after 10 years</w:t>
            </w:r>
          </w:p>
        </w:tc>
        <w:tc>
          <w:tcPr>
            <w:tcW w:w="4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2,727</w:t>
            </w:r>
          </w:p>
        </w:tc>
        <w:tc>
          <w:tcPr>
            <w:tcW w:w="4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2,805</w:t>
            </w:r>
          </w:p>
        </w:tc>
      </w:tr>
      <w:tr>
        <w:trPr>
          <w:trHeight w:val="68"/>
        </w:trPr>
        <w:tc>
          <w:tcPr>
            <w:tcW w:w="80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119,016</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122,523</w:t>
            </w:r>
          </w:p>
        </w:tc>
      </w:tr>
      <w:tr>
        <w:trPr>
          <w:trHeight w:val="74"/>
        </w:trPr>
        <w:tc>
          <w:tcPr>
            <w:tcW w:w="80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past, option and forward contracts were used to hedge a portion of forecasted international revenue and were designated as cash flow hedging instruments. Principal currencies hedged included the Euro, Japanese yen, British pound, Canadian dollar, and Australian dollar.</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 -counter swap and option contracts. These contracts are not designated as hedging instruments and are included in “Other contracts” in the tables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 and are included in “Other contracts” in the tables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September 30, 2021, our long-term unsecured debt rating was AAA, and cash investments were in excess of $1.0 billion. As a result, no collateral was required to be posted.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b w:val="1"/>
                <w:bCs w:val="1"/>
                <w:color w:val="auto"/>
              </w:rPr>
              <w:t>September 30,</w:t>
            </w:r>
          </w:p>
        </w:tc>
        <w:tc>
          <w:tcPr>
            <w:tcW w:w="600" w:type="dxa"/>
            <w:vAlign w:val="bottom"/>
          </w:tcPr>
          <w:p>
            <w:pPr>
              <w:spacing w:after="0"/>
              <w:rPr>
                <w:sz w:val="13"/>
                <w:szCs w:val="13"/>
                <w:color w:val="auto"/>
              </w:rPr>
            </w:pPr>
          </w:p>
        </w:tc>
        <w:tc>
          <w:tcPr>
            <w:tcW w:w="1060" w:type="dxa"/>
            <w:vAlign w:val="bottom"/>
            <w:gridSpan w:val="2"/>
          </w:tcPr>
          <w:p>
            <w:pPr>
              <w:ind w:left="42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43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980" w:type="dxa"/>
            <w:vAlign w:val="bottom"/>
          </w:tcPr>
          <w:p>
            <w:pPr>
              <w:spacing w:after="0"/>
              <w:rPr>
                <w:sz w:val="15"/>
                <w:szCs w:val="15"/>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r>
      <w:tr>
        <w:trPr>
          <w:trHeight w:val="54"/>
        </w:trPr>
        <w:tc>
          <w:tcPr>
            <w:tcW w:w="434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3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34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3980" w:type="dxa"/>
            <w:vAlign w:val="bottom"/>
            <w:shd w:val="clear" w:color="auto" w:fill="E5E5E5"/>
          </w:tcPr>
          <w:p>
            <w:pPr>
              <w:jc w:val="right"/>
              <w:ind w:right="139"/>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635</w:t>
            </w:r>
          </w:p>
        </w:tc>
        <w:tc>
          <w:tcPr>
            <w:tcW w:w="6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635</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3980" w:type="dxa"/>
            <w:vAlign w:val="bottom"/>
          </w:tcPr>
          <w:p>
            <w:pPr>
              <w:spacing w:after="0"/>
              <w:rPr>
                <w:sz w:val="16"/>
                <w:szCs w:val="16"/>
                <w:color w:val="auto"/>
              </w:rPr>
            </w:pPr>
          </w:p>
        </w:tc>
        <w:tc>
          <w:tcPr>
            <w:tcW w:w="126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2,984</w:t>
            </w:r>
          </w:p>
        </w:tc>
        <w:tc>
          <w:tcPr>
            <w:tcW w:w="6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6,081</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 purchased</w:t>
            </w:r>
          </w:p>
        </w:tc>
        <w:tc>
          <w:tcPr>
            <w:tcW w:w="3980" w:type="dxa"/>
            <w:vAlign w:val="bottom"/>
            <w:shd w:val="clear" w:color="auto" w:fill="E5E5E5"/>
          </w:tcPr>
          <w:p>
            <w:pPr>
              <w:spacing w:after="0"/>
              <w:rPr>
                <w:sz w:val="16"/>
                <w:szCs w:val="16"/>
                <w:color w:val="auto"/>
              </w:rPr>
            </w:pPr>
          </w:p>
        </w:tc>
        <w:tc>
          <w:tcPr>
            <w:tcW w:w="126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1,235</w:t>
            </w:r>
          </w:p>
        </w:tc>
        <w:tc>
          <w:tcPr>
            <w:tcW w:w="6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1,247</w:t>
            </w:r>
          </w:p>
        </w:tc>
      </w:tr>
      <w:tr>
        <w:trPr>
          <w:trHeight w:val="229"/>
        </w:trPr>
        <w:tc>
          <w:tcPr>
            <w:tcW w:w="43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3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34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3980" w:type="dxa"/>
            <w:vAlign w:val="bottom"/>
            <w:shd w:val="clear" w:color="auto" w:fill="E5E5E5"/>
          </w:tcPr>
          <w:p>
            <w:pPr>
              <w:spacing w:after="0"/>
              <w:rPr>
                <w:sz w:val="16"/>
                <w:szCs w:val="16"/>
                <w:color w:val="auto"/>
              </w:rPr>
            </w:pPr>
          </w:p>
        </w:tc>
        <w:tc>
          <w:tcPr>
            <w:tcW w:w="126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8,527</w:t>
            </w:r>
          </w:p>
        </w:tc>
        <w:tc>
          <w:tcPr>
            <w:tcW w:w="6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14,223</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3980" w:type="dxa"/>
            <w:vAlign w:val="bottom"/>
          </w:tcPr>
          <w:p>
            <w:pPr>
              <w:spacing w:after="0"/>
              <w:rPr>
                <w:sz w:val="16"/>
                <w:szCs w:val="16"/>
                <w:color w:val="auto"/>
              </w:rPr>
            </w:pPr>
          </w:p>
        </w:tc>
        <w:tc>
          <w:tcPr>
            <w:tcW w:w="126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13,805</w:t>
            </w:r>
          </w:p>
        </w:tc>
        <w:tc>
          <w:tcPr>
            <w:tcW w:w="6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23,391</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 purchased</w:t>
            </w:r>
          </w:p>
        </w:tc>
        <w:tc>
          <w:tcPr>
            <w:tcW w:w="3980" w:type="dxa"/>
            <w:vAlign w:val="bottom"/>
            <w:shd w:val="clear" w:color="auto" w:fill="E5E5E5"/>
          </w:tcPr>
          <w:p>
            <w:pPr>
              <w:spacing w:after="0"/>
              <w:rPr>
                <w:sz w:val="16"/>
                <w:szCs w:val="16"/>
                <w:color w:val="auto"/>
              </w:rPr>
            </w:pPr>
          </w:p>
        </w:tc>
        <w:tc>
          <w:tcPr>
            <w:tcW w:w="126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3,042</w:t>
            </w:r>
          </w:p>
        </w:tc>
        <w:tc>
          <w:tcPr>
            <w:tcW w:w="6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2,456</w:t>
            </w: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Other contracts sold</w:t>
            </w:r>
          </w:p>
        </w:tc>
        <w:tc>
          <w:tcPr>
            <w:tcW w:w="39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b w:val="1"/>
                <w:bCs w:val="1"/>
                <w:color w:val="auto"/>
              </w:rPr>
              <w:t>719</w:t>
            </w:r>
          </w:p>
        </w:tc>
        <w:tc>
          <w:tcPr>
            <w:tcW w:w="6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r>
      <w:tr>
        <w:trPr>
          <w:trHeight w:val="595"/>
        </w:trPr>
        <w:tc>
          <w:tcPr>
            <w:tcW w:w="434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jc w:val="right"/>
              <w:ind w:right="2539"/>
              <w:spacing w:after="0"/>
              <w:rPr>
                <w:sz w:val="20"/>
                <w:szCs w:val="20"/>
                <w:color w:val="auto"/>
              </w:rPr>
            </w:pPr>
            <w:r>
              <w:rPr>
                <w:rFonts w:ascii="Arial" w:cs="Arial" w:eastAsia="Arial" w:hAnsi="Arial"/>
                <w:sz w:val="14"/>
                <w:szCs w:val="14"/>
                <w:color w:val="auto"/>
              </w:rPr>
              <w:t>15</w:t>
            </w:r>
          </w:p>
        </w:tc>
        <w:tc>
          <w:tcPr>
            <w:tcW w:w="1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34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55"/>
        </w:trPr>
        <w:tc>
          <w:tcPr>
            <w:tcW w:w="5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49</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197</w:t>
            </w:r>
          </w:p>
        </w:tc>
        <w:tc>
          <w:tcPr>
            <w:tcW w:w="1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(155)</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227</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Arial" w:cs="Arial" w:eastAsia="Arial" w:hAnsi="Arial"/>
                <w:sz w:val="18"/>
                <w:szCs w:val="18"/>
                <w:color w:val="auto"/>
              </w:rPr>
              <w:t>Other contracts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8"/>
        </w:trPr>
        <w:tc>
          <w:tcPr>
            <w:tcW w:w="59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Gross amounts of derivatives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304</w:t>
            </w:r>
          </w:p>
        </w:tc>
        <w:tc>
          <w:tcPr>
            <w:tcW w:w="1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(248)</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399</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Gross amounts of derivatives offset in the balance sheet</w:t>
            </w:r>
          </w:p>
        </w:tc>
        <w:tc>
          <w:tcPr>
            <w:tcW w:w="280" w:type="dxa"/>
            <w:vAlign w:val="bottom"/>
          </w:tcPr>
          <w:p>
            <w:pPr>
              <w:spacing w:after="0"/>
              <w:rPr>
                <w:sz w:val="16"/>
                <w:szCs w:val="16"/>
                <w:color w:val="auto"/>
              </w:rPr>
            </w:pP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(96)</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97</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(141)</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collateral received</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980" w:type="dxa"/>
            <w:vAlign w:val="bottom"/>
          </w:tcPr>
          <w:p>
            <w:pPr>
              <w:ind w:left="220"/>
              <w:spacing w:after="0"/>
              <w:rPr>
                <w:sz w:val="20"/>
                <w:szCs w:val="20"/>
                <w:color w:val="auto"/>
              </w:rPr>
            </w:pPr>
            <w:r>
              <w:rPr>
                <w:rFonts w:ascii="Arial" w:cs="Arial" w:eastAsia="Arial" w:hAnsi="Arial"/>
                <w:sz w:val="18"/>
                <w:szCs w:val="18"/>
                <w:color w:val="auto"/>
              </w:rPr>
              <w:t>Net amounts of derivatives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1"/>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31</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144</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137</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33</w:t>
            </w:r>
          </w:p>
        </w:tc>
        <w:tc>
          <w:tcPr>
            <w:tcW w:w="1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43</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(141)</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$298 million and $245 million, respectively, as of September 30, 2021, and $395 million and $335 million, respectively, as of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20" w:type="dxa"/>
            <w:vAlign w:val="bottom"/>
          </w:tcPr>
          <w:p>
            <w:pPr>
              <w:spacing w:after="0"/>
              <w:rPr>
                <w:sz w:val="15"/>
                <w:szCs w:val="15"/>
                <w:color w:val="auto"/>
              </w:rPr>
            </w:pPr>
          </w:p>
        </w:tc>
        <w:tc>
          <w:tcPr>
            <w:tcW w:w="900" w:type="dxa"/>
            <w:vAlign w:val="bottom"/>
          </w:tcPr>
          <w:p>
            <w:pPr>
              <w:jc w:val="right"/>
              <w:ind w:right="75"/>
              <w:spacing w:after="0"/>
              <w:rPr>
                <w:sz w:val="20"/>
                <w:szCs w:val="20"/>
                <w:color w:val="auto"/>
              </w:rPr>
            </w:pPr>
            <w:r>
              <w:rPr>
                <w:rFonts w:ascii="Arial" w:cs="Arial" w:eastAsia="Arial" w:hAnsi="Arial"/>
                <w:sz w:val="13"/>
                <w:szCs w:val="13"/>
                <w:b w:val="1"/>
                <w:bCs w:val="1"/>
                <w:color w:val="auto"/>
              </w:rPr>
              <w:t>Level 1</w:t>
            </w:r>
          </w:p>
        </w:tc>
        <w:tc>
          <w:tcPr>
            <w:tcW w:w="480" w:type="dxa"/>
            <w:vAlign w:val="bottom"/>
          </w:tcPr>
          <w:p>
            <w:pPr>
              <w:spacing w:after="0"/>
              <w:rPr>
                <w:sz w:val="15"/>
                <w:szCs w:val="15"/>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5"/>
                <w:szCs w:val="15"/>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5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55"/>
        </w:trPr>
        <w:tc>
          <w:tcPr>
            <w:tcW w:w="35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3"/>
                <w:szCs w:val="13"/>
                <w:b w:val="1"/>
                <w:bCs w:val="1"/>
                <w:color w:val="auto"/>
              </w:rPr>
              <w:t>September 30, 2021</w:t>
            </w:r>
          </w:p>
        </w:tc>
        <w:tc>
          <w:tcPr>
            <w:tcW w:w="2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35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jc w:val="right"/>
              <w:ind w:right="199"/>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75"/>
              <w:spacing w:after="0" w:line="189" w:lineRule="exact"/>
              <w:rPr>
                <w:sz w:val="20"/>
                <w:szCs w:val="20"/>
                <w:color w:val="auto"/>
              </w:rPr>
            </w:pPr>
            <w:r>
              <w:rPr>
                <w:rFonts w:ascii="Arial" w:cs="Arial" w:eastAsia="Arial" w:hAnsi="Arial"/>
                <w:sz w:val="18"/>
                <w:szCs w:val="18"/>
                <w:b w:val="1"/>
                <w:bCs w:val="1"/>
                <w:color w:val="auto"/>
              </w:rPr>
              <w:t>0</w:t>
            </w:r>
          </w:p>
        </w:tc>
        <w:tc>
          <w:tcPr>
            <w:tcW w:w="4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298</w:t>
            </w:r>
          </w:p>
        </w:tc>
        <w:tc>
          <w:tcPr>
            <w:tcW w:w="46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6</w:t>
            </w:r>
          </w:p>
        </w:tc>
        <w:tc>
          <w:tcPr>
            <w:tcW w:w="5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304</w:t>
            </w:r>
          </w:p>
        </w:tc>
      </w:tr>
      <w:tr>
        <w:trPr>
          <w:trHeight w:val="239"/>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b w:val="1"/>
                <w:bCs w:val="1"/>
                <w:color w:val="auto"/>
              </w:rPr>
              <w:t>(3)</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46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5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(248)</w:t>
            </w:r>
          </w:p>
        </w:tc>
      </w:tr>
      <w:tr>
        <w:trPr>
          <w:trHeight w:val="179"/>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2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4"/>
        </w:trPr>
        <w:tc>
          <w:tcPr>
            <w:tcW w:w="35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75"/>
              <w:spacing w:after="0" w:line="189" w:lineRule="exact"/>
              <w:rPr>
                <w:sz w:val="20"/>
                <w:szCs w:val="20"/>
                <w:color w:val="auto"/>
              </w:rPr>
            </w:pPr>
            <w:r>
              <w:rPr>
                <w:rFonts w:ascii="Arial" w:cs="Arial" w:eastAsia="Arial" w:hAnsi="Arial"/>
                <w:sz w:val="18"/>
                <w:szCs w:val="18"/>
                <w:color w:val="auto"/>
              </w:rPr>
              <w:t>0</w:t>
            </w:r>
          </w:p>
        </w:tc>
        <w:tc>
          <w:tcPr>
            <w:tcW w:w="48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396</w:t>
            </w:r>
          </w:p>
        </w:tc>
        <w:tc>
          <w:tcPr>
            <w:tcW w:w="46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3</w:t>
            </w:r>
          </w:p>
        </w:tc>
        <w:tc>
          <w:tcPr>
            <w:tcW w:w="5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399</w:t>
            </w:r>
          </w:p>
        </w:tc>
      </w:t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4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r>
      <w:tr>
        <w:trPr>
          <w:trHeight w:val="40"/>
        </w:trPr>
        <w:tc>
          <w:tcPr>
            <w:tcW w:w="35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589"/>
        </w:trPr>
        <w:tc>
          <w:tcPr>
            <w:tcW w:w="3540" w:type="dxa"/>
            <w:vAlign w:val="bottom"/>
          </w:tcPr>
          <w:p>
            <w:pPr>
              <w:spacing w:after="0"/>
              <w:rPr>
                <w:sz w:val="24"/>
                <w:szCs w:val="24"/>
                <w:color w:val="auto"/>
              </w:rPr>
            </w:pPr>
          </w:p>
        </w:tc>
        <w:tc>
          <w:tcPr>
            <w:tcW w:w="2820" w:type="dxa"/>
            <w:vAlign w:val="bottom"/>
          </w:tcPr>
          <w:p>
            <w:pPr>
              <w:jc w:val="right"/>
              <w:ind w:right="579"/>
              <w:spacing w:after="0"/>
              <w:rPr>
                <w:sz w:val="20"/>
                <w:szCs w:val="20"/>
                <w:color w:val="auto"/>
              </w:rPr>
            </w:pPr>
            <w:r>
              <w:rPr>
                <w:rFonts w:ascii="Arial" w:cs="Arial" w:eastAsia="Arial" w:hAnsi="Arial"/>
                <w:sz w:val="14"/>
                <w:szCs w:val="14"/>
                <w:color w:val="auto"/>
              </w:rPr>
              <w:t>16</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354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820" w:type="dxa"/>
            <w:vAlign w:val="bottom"/>
          </w:tcPr>
          <w:p>
            <w:pPr>
              <w:spacing w:after="0"/>
              <w:rPr>
                <w:sz w:val="15"/>
                <w:szCs w:val="15"/>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2021</w:t>
            </w:r>
          </w:p>
        </w:tc>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5"/>
        </w:trPr>
        <w:tc>
          <w:tcPr>
            <w:tcW w:w="6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6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8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682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1820" w:type="dxa"/>
            <w:vAlign w:val="bottom"/>
          </w:tcPr>
          <w:p>
            <w:pPr>
              <w:jc w:val="right"/>
              <w:ind w:right="43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3"/>
              <w:spacing w:after="0" w:line="189" w:lineRule="exact"/>
              <w:rPr>
                <w:sz w:val="20"/>
                <w:szCs w:val="20"/>
                <w:color w:val="auto"/>
              </w:rPr>
            </w:pPr>
            <w:r>
              <w:rPr>
                <w:rFonts w:ascii="Arial" w:cs="Arial" w:eastAsia="Arial" w:hAnsi="Arial"/>
                <w:sz w:val="18"/>
                <w:szCs w:val="18"/>
                <w:b w:val="1"/>
                <w:bCs w:val="1"/>
                <w:color w:val="auto"/>
              </w:rPr>
              <w:t>3</w:t>
            </w:r>
          </w:p>
        </w:tc>
        <w:tc>
          <w:tcPr>
            <w:tcW w:w="68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(169)</w:t>
            </w:r>
          </w:p>
        </w:tc>
      </w:tr>
      <w:tr>
        <w:trPr>
          <w:trHeight w:val="189"/>
        </w:trPr>
        <w:tc>
          <w:tcPr>
            <w:tcW w:w="68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182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w:t>
            </w:r>
          </w:p>
        </w:tc>
        <w:tc>
          <w:tcPr>
            <w:tcW w:w="6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168</w:t>
            </w:r>
          </w:p>
        </w:tc>
        <w:tc>
          <w:tcPr>
            <w:tcW w:w="100" w:type="dxa"/>
            <w:vAlign w:val="bottom"/>
            <w:shd w:val="clear" w:color="auto" w:fill="E5E5E5"/>
          </w:tcPr>
          <w:p>
            <w:pPr>
              <w:spacing w:after="0"/>
              <w:rPr>
                <w:sz w:val="16"/>
                <w:szCs w:val="16"/>
                <w:color w:val="auto"/>
              </w:rPr>
            </w:pPr>
          </w:p>
        </w:tc>
      </w:tr>
      <w:tr>
        <w:trPr>
          <w:trHeight w:val="248"/>
        </w:trPr>
        <w:tc>
          <w:tcPr>
            <w:tcW w:w="6820" w:type="dxa"/>
            <w:vAlign w:val="bottom"/>
          </w:tcPr>
          <w:p>
            <w:pPr>
              <w:ind w:left="220"/>
              <w:spacing w:after="0"/>
              <w:rPr>
                <w:sz w:val="20"/>
                <w:szCs w:val="20"/>
                <w:color w:val="auto"/>
              </w:rPr>
            </w:pPr>
            <w:r>
              <w:rPr>
                <w:rFonts w:ascii="Arial" w:cs="Arial" w:eastAsia="Arial" w:hAnsi="Arial"/>
                <w:sz w:val="18"/>
                <w:szCs w:val="18"/>
                <w:color w:val="auto"/>
              </w:rPr>
              <w:t>Excluded from effectiveness assessment</w:t>
            </w:r>
          </w:p>
        </w:tc>
        <w:tc>
          <w:tcPr>
            <w:tcW w:w="182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b w:val="1"/>
                <w:bCs w:val="1"/>
                <w:color w:val="auto"/>
              </w:rPr>
              <w:t>4</w:t>
            </w:r>
          </w:p>
        </w:tc>
        <w:tc>
          <w:tcPr>
            <w:tcW w:w="6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r>
      <w:tr>
        <w:trPr>
          <w:trHeight w:val="198"/>
        </w:trPr>
        <w:tc>
          <w:tcPr>
            <w:tcW w:w="682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Interest rate contracts</w:t>
            </w:r>
          </w:p>
        </w:tc>
        <w:tc>
          <w:tcPr>
            <w:tcW w:w="18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189"/>
        </w:trPr>
        <w:tc>
          <w:tcPr>
            <w:tcW w:w="682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18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w:t>
            </w:r>
          </w:p>
        </w:tc>
        <w:tc>
          <w:tcPr>
            <w:tcW w:w="6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r>
      <w:tr>
        <w:trPr>
          <w:trHeight w:val="189"/>
        </w:trPr>
        <w:tc>
          <w:tcPr>
            <w:tcW w:w="68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182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53"/>
              <w:spacing w:after="0" w:line="189" w:lineRule="exact"/>
              <w:rPr>
                <w:sz w:val="20"/>
                <w:szCs w:val="20"/>
                <w:color w:val="auto"/>
              </w:rPr>
            </w:pPr>
            <w:r>
              <w:rPr>
                <w:rFonts w:ascii="Arial" w:cs="Arial" w:eastAsia="Arial" w:hAnsi="Arial"/>
                <w:sz w:val="18"/>
                <w:szCs w:val="18"/>
                <w:b w:val="1"/>
                <w:bCs w:val="1"/>
                <w:color w:val="auto"/>
              </w:rPr>
              <w:t>7</w:t>
            </w:r>
          </w:p>
        </w:tc>
        <w:tc>
          <w:tcPr>
            <w:tcW w:w="6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w:t>
            </w:r>
          </w:p>
        </w:tc>
        <w:tc>
          <w:tcPr>
            <w:tcW w:w="100" w:type="dxa"/>
            <w:vAlign w:val="bottom"/>
            <w:shd w:val="clear" w:color="auto" w:fill="E5E5E5"/>
          </w:tcPr>
          <w:p>
            <w:pPr>
              <w:spacing w:after="0"/>
              <w:rPr>
                <w:sz w:val="16"/>
                <w:szCs w:val="16"/>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
        </w:trPr>
        <w:tc>
          <w:tcPr>
            <w:tcW w:w="6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6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8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239"/>
        </w:trPr>
        <w:tc>
          <w:tcPr>
            <w:tcW w:w="6820" w:type="dxa"/>
            <w:vAlign w:val="bottom"/>
          </w:tcPr>
          <w:p>
            <w:pPr>
              <w:ind w:left="220"/>
              <w:spacing w:after="0"/>
              <w:rPr>
                <w:sz w:val="20"/>
                <w:szCs w:val="20"/>
                <w:color w:val="auto"/>
              </w:rPr>
            </w:pPr>
            <w:r>
              <w:rPr>
                <w:rFonts w:ascii="Arial" w:cs="Arial" w:eastAsia="Arial" w:hAnsi="Arial"/>
                <w:sz w:val="18"/>
                <w:szCs w:val="18"/>
                <w:color w:val="auto"/>
              </w:rPr>
              <w:t>Amount reclassified from accumulated other comprehensive income</w:t>
            </w:r>
          </w:p>
        </w:tc>
        <w:tc>
          <w:tcPr>
            <w:tcW w:w="18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179"/>
        </w:trPr>
        <w:tc>
          <w:tcPr>
            <w:tcW w:w="682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4"/>
        </w:trPr>
        <w:tc>
          <w:tcPr>
            <w:tcW w:w="6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6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82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53"/>
              <w:spacing w:after="0" w:line="189" w:lineRule="exact"/>
              <w:rPr>
                <w:sz w:val="20"/>
                <w:szCs w:val="20"/>
                <w:color w:val="auto"/>
              </w:rPr>
            </w:pPr>
            <w:r>
              <w:rPr>
                <w:rFonts w:ascii="Arial" w:cs="Arial" w:eastAsia="Arial" w:hAnsi="Arial"/>
                <w:sz w:val="18"/>
                <w:szCs w:val="18"/>
                <w:b w:val="1"/>
                <w:bCs w:val="1"/>
                <w:color w:val="auto"/>
              </w:rPr>
              <w:t>177</w:t>
            </w:r>
          </w:p>
        </w:tc>
        <w:tc>
          <w:tcPr>
            <w:tcW w:w="6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58</w:t>
            </w:r>
          </w:p>
        </w:tc>
      </w:tr>
      <w:tr>
        <w:trPr>
          <w:trHeight w:val="250"/>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contracts</w:t>
            </w:r>
          </w:p>
        </w:tc>
        <w:tc>
          <w:tcPr>
            <w:tcW w:w="18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6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6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50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5"/>
        </w:trPr>
        <w:tc>
          <w:tcPr>
            <w:tcW w:w="45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r>
      <w:tr>
        <w:trPr>
          <w:trHeight w:val="250"/>
        </w:trPr>
        <w:tc>
          <w:tcPr>
            <w:tcW w:w="4560" w:type="dxa"/>
            <w:vAlign w:val="bottom"/>
          </w:tcPr>
          <w:p>
            <w:pPr>
              <w:ind w:left="220"/>
              <w:spacing w:after="0"/>
              <w:rPr>
                <w:sz w:val="20"/>
                <w:szCs w:val="20"/>
                <w:color w:val="auto"/>
              </w:rPr>
            </w:pPr>
            <w:r>
              <w:rPr>
                <w:rFonts w:ascii="Arial" w:cs="Arial" w:eastAsia="Arial" w:hAnsi="Arial"/>
                <w:sz w:val="18"/>
                <w:szCs w:val="18"/>
                <w:color w:val="auto"/>
              </w:rPr>
              <w:t>Included in effectiveness assessment</w:t>
            </w:r>
          </w:p>
        </w:tc>
        <w:tc>
          <w:tcPr>
            <w:tcW w:w="3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r>
      <w:tr>
        <w:trPr>
          <w:trHeight w:val="446"/>
        </w:trPr>
        <w:tc>
          <w:tcPr>
            <w:tcW w:w="456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3"/>
          </w:tcPr>
          <w:p>
            <w:pPr>
              <w:jc w:val="right"/>
              <w:ind w:right="1640"/>
              <w:spacing w:after="0"/>
              <w:rPr>
                <w:sz w:val="20"/>
                <w:szCs w:val="20"/>
                <w:color w:val="auto"/>
              </w:rPr>
            </w:pPr>
            <w:r>
              <w:rPr>
                <w:rFonts w:ascii="Arial" w:cs="Arial" w:eastAsia="Arial" w:hAnsi="Arial"/>
                <w:sz w:val="18"/>
                <w:szCs w:val="18"/>
                <w:color w:val="auto"/>
                <w:w w:val="98"/>
              </w:rPr>
              <w:t>NOTE 6 — INVENTORIES</w:t>
            </w: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5"/>
        </w:trPr>
        <w:tc>
          <w:tcPr>
            <w:tcW w:w="456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21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0"/>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
        </w:trPr>
        <w:tc>
          <w:tcPr>
            <w:tcW w:w="45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gridSpan w:val="2"/>
          </w:tcPr>
          <w:p>
            <w:pPr>
              <w:spacing w:after="0"/>
              <w:rPr>
                <w:sz w:val="4"/>
                <w:szCs w:val="4"/>
                <w:color w:val="auto"/>
              </w:rPr>
            </w:pPr>
          </w:p>
        </w:tc>
      </w:tr>
      <w:tr>
        <w:trPr>
          <w:trHeight w:val="193"/>
        </w:trPr>
        <w:tc>
          <w:tcPr>
            <w:tcW w:w="4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September 30,</w:t>
            </w:r>
          </w:p>
        </w:tc>
        <w:tc>
          <w:tcPr>
            <w:tcW w:w="500" w:type="dxa"/>
            <w:vAlign w:val="bottom"/>
          </w:tcPr>
          <w:p>
            <w:pPr>
              <w:spacing w:after="0"/>
              <w:rPr>
                <w:sz w:val="16"/>
                <w:szCs w:val="16"/>
                <w:color w:val="auto"/>
              </w:rPr>
            </w:pPr>
          </w:p>
        </w:tc>
        <w:tc>
          <w:tcPr>
            <w:tcW w:w="1060" w:type="dxa"/>
            <w:vAlign w:val="bottom"/>
            <w:gridSpan w:val="3"/>
          </w:tcPr>
          <w:p>
            <w:pPr>
              <w:ind w:left="42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4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50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r>
      <w:tr>
        <w:trPr>
          <w:trHeight w:val="55"/>
        </w:trPr>
        <w:tc>
          <w:tcPr>
            <w:tcW w:w="45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3780" w:type="dxa"/>
            <w:vAlign w:val="bottom"/>
            <w:gridSpan w:val="3"/>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1,178</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1,190</w:t>
            </w:r>
          </w:p>
        </w:tc>
        <w:tc>
          <w:tcPr>
            <w:tcW w:w="80" w:type="dxa"/>
            <w:vAlign w:val="bottom"/>
            <w:shd w:val="clear" w:color="auto" w:fill="E5E5E5"/>
          </w:tcPr>
          <w:p>
            <w:pPr>
              <w:spacing w:after="0"/>
              <w:rPr>
                <w:sz w:val="16"/>
                <w:szCs w:val="16"/>
                <w:color w:val="auto"/>
              </w:rPr>
            </w:pPr>
          </w:p>
        </w:tc>
      </w:tr>
      <w:tr>
        <w:trPr>
          <w:trHeight w:val="189"/>
        </w:trPr>
        <w:tc>
          <w:tcPr>
            <w:tcW w:w="456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2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74</w:t>
            </w:r>
          </w:p>
        </w:tc>
        <w:tc>
          <w:tcPr>
            <w:tcW w:w="500" w:type="dxa"/>
            <w:vAlign w:val="bottom"/>
          </w:tcPr>
          <w:p>
            <w:pPr>
              <w:spacing w:after="0"/>
              <w:rPr>
                <w:sz w:val="16"/>
                <w:szCs w:val="16"/>
                <w:color w:val="auto"/>
              </w:rPr>
            </w:pPr>
          </w:p>
        </w:tc>
        <w:tc>
          <w:tcPr>
            <w:tcW w:w="9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79</w:t>
            </w:r>
          </w:p>
        </w:tc>
        <w:tc>
          <w:tcPr>
            <w:tcW w:w="80" w:type="dxa"/>
            <w:vAlign w:val="bottom"/>
          </w:tcPr>
          <w:p>
            <w:pPr>
              <w:spacing w:after="0"/>
              <w:rPr>
                <w:sz w:val="16"/>
                <w:szCs w:val="16"/>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2140" w:type="dxa"/>
            <w:vAlign w:val="bottom"/>
            <w:shd w:val="clear" w:color="auto" w:fill="E5E5E5"/>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3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2,159</w:t>
            </w:r>
          </w:p>
        </w:tc>
        <w:tc>
          <w:tcPr>
            <w:tcW w:w="5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1,367</w:t>
            </w:r>
          </w:p>
        </w:tc>
        <w:tc>
          <w:tcPr>
            <w:tcW w:w="80" w:type="dxa"/>
            <w:vAlign w:val="bottom"/>
            <w:shd w:val="clear" w:color="auto" w:fill="E5E5E5"/>
          </w:tcPr>
          <w:p>
            <w:pPr>
              <w:spacing w:after="0"/>
              <w:rPr>
                <w:sz w:val="16"/>
                <w:szCs w:val="16"/>
                <w:color w:val="auto"/>
              </w:rPr>
            </w:pPr>
          </w:p>
        </w:tc>
      </w:tr>
      <w:tr>
        <w:trPr>
          <w:trHeight w:val="68"/>
        </w:trPr>
        <w:tc>
          <w:tcPr>
            <w:tcW w:w="45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gridSpan w:val="2"/>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63"/>
        </w:trPr>
        <w:tc>
          <w:tcPr>
            <w:tcW w:w="4560" w:type="dxa"/>
            <w:vAlign w:val="bottom"/>
          </w:tcPr>
          <w:p>
            <w:pPr>
              <w:ind w:left="220"/>
              <w:spacing w:after="0"/>
              <w:rPr>
                <w:sz w:val="20"/>
                <w:szCs w:val="20"/>
                <w:color w:val="auto"/>
              </w:rPr>
            </w:pPr>
            <w:r>
              <w:rPr>
                <w:rFonts w:ascii="Arial" w:cs="Arial" w:eastAsia="Arial" w:hAnsi="Arial"/>
                <w:sz w:val="18"/>
                <w:szCs w:val="18"/>
                <w:color w:val="auto"/>
              </w:rPr>
              <w:t>Total</w:t>
            </w:r>
          </w:p>
        </w:tc>
        <w:tc>
          <w:tcPr>
            <w:tcW w:w="3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3,411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2,636</w:t>
            </w:r>
          </w:p>
        </w:tc>
        <w:tc>
          <w:tcPr>
            <w:tcW w:w="8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BUSINESS COMBINATIONS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ZeniMax Media Inc.</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9, 2021, we completed our acquisition of ZeniMax Media Inc. (“ZeniMax”), the parent company of Bethesda Softworks LLC (“Bethesda”), for a total purchase price of $8.1 billion, consisting primarily of cash. The purchase price included $768 million of cash and cash equivalents acquired. Bethesda is one of the largest, privately held game developers and publishers in the world, and brings a broad portfolio of games, technology, and talent to Xbox. The financial results of ZeniMax have been included in our consolidated financial statements since the date of the acquisition. ZeniMax is reported as part of our More Personal Computing segment.</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purchase price allocation as of the date of acquisition was based on a preliminary valuation and is subject to revision as more detailed analyses are completed and additional information about the fair value of assets acquired and liabilities assumed becomes available.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9660" w:type="dxa"/>
            <w:vAlign w:val="bottom"/>
            <w:gridSpan w:val="3"/>
          </w:tcPr>
          <w:p>
            <w:pPr>
              <w:ind w:left="5420"/>
              <w:spacing w:after="0"/>
              <w:rPr>
                <w:sz w:val="20"/>
                <w:szCs w:val="20"/>
                <w:color w:val="auto"/>
              </w:rPr>
            </w:pPr>
            <w:r>
              <w:rPr>
                <w:rFonts w:ascii="Arial" w:cs="Arial" w:eastAsia="Arial" w:hAnsi="Arial"/>
                <w:sz w:val="13"/>
                <w:szCs w:val="13"/>
                <w:color w:val="auto"/>
              </w:rPr>
              <w:t>PART I</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420" w:type="dxa"/>
            <w:vAlign w:val="bottom"/>
          </w:tcPr>
          <w:p>
            <w:pPr>
              <w:spacing w:after="0"/>
              <w:rPr>
                <w:sz w:val="13"/>
                <w:szCs w:val="13"/>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Item 1</w:t>
            </w:r>
          </w:p>
        </w:tc>
        <w:tc>
          <w:tcPr>
            <w:tcW w:w="3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567"/>
        </w:trPr>
        <w:tc>
          <w:tcPr>
            <w:tcW w:w="9660" w:type="dxa"/>
            <w:vAlign w:val="bottom"/>
            <w:gridSpan w:val="3"/>
          </w:tcPr>
          <w:p>
            <w:pPr>
              <w:spacing w:after="0"/>
              <w:rPr>
                <w:sz w:val="20"/>
                <w:szCs w:val="20"/>
                <w:color w:val="auto"/>
              </w:rPr>
            </w:pPr>
            <w:r>
              <w:rPr>
                <w:rFonts w:ascii="Arial" w:cs="Arial" w:eastAsia="Arial" w:hAnsi="Arial"/>
                <w:sz w:val="18"/>
                <w:szCs w:val="18"/>
                <w:color w:val="auto"/>
              </w:rPr>
              <w:t>The major classes of assets and liabilities to which we have preliminarily allocated the purchase price were as follows: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0"/>
        </w:trPr>
        <w:tc>
          <w:tcPr>
            <w:tcW w:w="966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8"/>
        </w:trPr>
        <w:tc>
          <w:tcPr>
            <w:tcW w:w="54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74"/>
        </w:trPr>
        <w:tc>
          <w:tcPr>
            <w:tcW w:w="5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966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E5E5E5"/>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768</w:t>
            </w:r>
          </w:p>
        </w:tc>
        <w:tc>
          <w:tcPr>
            <w:tcW w:w="120" w:type="dxa"/>
            <w:vAlign w:val="bottom"/>
            <w:shd w:val="clear" w:color="auto" w:fill="E5E5E5"/>
          </w:tcPr>
          <w:p>
            <w:pPr>
              <w:spacing w:after="0"/>
              <w:rPr>
                <w:sz w:val="17"/>
                <w:szCs w:val="17"/>
                <w:color w:val="auto"/>
              </w:rPr>
            </w:pPr>
          </w:p>
        </w:tc>
      </w:tr>
      <w:tr>
        <w:trPr>
          <w:trHeight w:val="203"/>
        </w:trPr>
        <w:tc>
          <w:tcPr>
            <w:tcW w:w="9660" w:type="dxa"/>
            <w:vAlign w:val="bottom"/>
            <w:gridSpan w:val="3"/>
          </w:tcPr>
          <w:p>
            <w:pPr>
              <w:spacing w:after="0" w:line="202" w:lineRule="exact"/>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5,469</w:t>
            </w:r>
          </w:p>
        </w:tc>
        <w:tc>
          <w:tcPr>
            <w:tcW w:w="120" w:type="dxa"/>
            <w:vAlign w:val="bottom"/>
          </w:tcPr>
          <w:p>
            <w:pPr>
              <w:spacing w:after="0"/>
              <w:rPr>
                <w:sz w:val="17"/>
                <w:szCs w:val="17"/>
                <w:color w:val="auto"/>
              </w:rPr>
            </w:pPr>
          </w:p>
        </w:tc>
      </w:tr>
      <w:tr>
        <w:trPr>
          <w:trHeight w:val="189"/>
        </w:trPr>
        <w:tc>
          <w:tcPr>
            <w:tcW w:w="966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Intangible assets</w:t>
            </w:r>
          </w:p>
        </w:tc>
        <w:tc>
          <w:tcPr>
            <w:tcW w:w="56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1,968</w:t>
            </w:r>
          </w:p>
        </w:tc>
        <w:tc>
          <w:tcPr>
            <w:tcW w:w="120" w:type="dxa"/>
            <w:vAlign w:val="bottom"/>
            <w:shd w:val="clear" w:color="auto" w:fill="E5E5E5"/>
          </w:tcPr>
          <w:p>
            <w:pPr>
              <w:spacing w:after="0"/>
              <w:rPr>
                <w:sz w:val="16"/>
                <w:szCs w:val="16"/>
                <w:color w:val="auto"/>
              </w:rPr>
            </w:pPr>
          </w:p>
        </w:tc>
      </w:tr>
      <w:tr>
        <w:trPr>
          <w:trHeight w:val="189"/>
        </w:trPr>
        <w:tc>
          <w:tcPr>
            <w:tcW w:w="9660" w:type="dxa"/>
            <w:vAlign w:val="bottom"/>
            <w:gridSpan w:val="3"/>
          </w:tcPr>
          <w:p>
            <w:pPr>
              <w:spacing w:after="0" w:line="189" w:lineRule="exact"/>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139</w:t>
            </w:r>
          </w:p>
        </w:tc>
        <w:tc>
          <w:tcPr>
            <w:tcW w:w="120" w:type="dxa"/>
            <w:vAlign w:val="bottom"/>
          </w:tcPr>
          <w:p>
            <w:pPr>
              <w:spacing w:after="0"/>
              <w:rPr>
                <w:sz w:val="16"/>
                <w:szCs w:val="16"/>
                <w:color w:val="auto"/>
              </w:rPr>
            </w:pPr>
          </w:p>
        </w:tc>
      </w:tr>
      <w:tr>
        <w:trPr>
          <w:trHeight w:val="203"/>
        </w:trPr>
        <w:tc>
          <w:tcPr>
            <w:tcW w:w="966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Other liabilities</w:t>
            </w:r>
          </w:p>
        </w:tc>
        <w:tc>
          <w:tcPr>
            <w:tcW w:w="5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(223)</w:t>
            </w:r>
          </w:p>
        </w:tc>
      </w:tr>
      <w:tr>
        <w:trPr>
          <w:trHeight w:val="81"/>
        </w:trPr>
        <w:tc>
          <w:tcPr>
            <w:tcW w:w="54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91"/>
        </w:trPr>
        <w:tc>
          <w:tcPr>
            <w:tcW w:w="966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8,121</w:t>
            </w:r>
          </w:p>
        </w:tc>
        <w:tc>
          <w:tcPr>
            <w:tcW w:w="120" w:type="dxa"/>
            <w:vAlign w:val="bottom"/>
          </w:tcPr>
          <w:p>
            <w:pPr>
              <w:spacing w:after="0"/>
              <w:rPr>
                <w:sz w:val="24"/>
                <w:szCs w:val="24"/>
                <w:color w:val="auto"/>
              </w:rPr>
            </w:pPr>
          </w:p>
        </w:tc>
      </w:tr>
      <w:tr>
        <w:trPr>
          <w:trHeight w:val="61"/>
        </w:trPr>
        <w:tc>
          <w:tcPr>
            <w:tcW w:w="5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Goodwill was assigned to our More Personal Computing segment. The goodwill was primarily attributed to increased synergies that are expected to be achieved from the integration of ZeniMax. None of the goodwill is expected to be deductible for income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Following are details of the purchase price allocated to the intangible assets acquired: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w:t>
            </w:r>
          </w:p>
        </w:tc>
      </w:tr>
      <w:tr>
        <w:trPr>
          <w:trHeight w:val="178"/>
        </w:trPr>
        <w:tc>
          <w:tcPr>
            <w:tcW w:w="80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Pr>
          <w:p>
            <w:pPr>
              <w:spacing w:after="0"/>
              <w:rPr>
                <w:sz w:val="15"/>
                <w:szCs w:val="15"/>
                <w:color w:val="auto"/>
              </w:rPr>
            </w:pPr>
          </w:p>
        </w:tc>
        <w:tc>
          <w:tcPr>
            <w:tcW w:w="1360" w:type="dxa"/>
            <w:vAlign w:val="bottom"/>
            <w:gridSpan w:val="2"/>
          </w:tcPr>
          <w:p>
            <w:pPr>
              <w:ind w:left="440"/>
              <w:spacing w:after="0"/>
              <w:rPr>
                <w:sz w:val="20"/>
                <w:szCs w:val="20"/>
                <w:color w:val="auto"/>
              </w:rPr>
            </w:pPr>
            <w:r>
              <w:rPr>
                <w:rFonts w:ascii="Arial" w:cs="Arial" w:eastAsia="Arial" w:hAnsi="Arial"/>
                <w:sz w:val="13"/>
                <w:szCs w:val="13"/>
                <w:b w:val="1"/>
                <w:bCs w:val="1"/>
                <w:color w:val="auto"/>
              </w:rPr>
              <w:t>Amount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 Life</w:t>
            </w:r>
          </w:p>
        </w:tc>
      </w:tr>
      <w:tr>
        <w:trPr>
          <w:trHeight w:val="54"/>
        </w:trPr>
        <w:tc>
          <w:tcPr>
            <w:tcW w:w="80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8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Technology-based</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1,341</w:t>
            </w:r>
          </w:p>
        </w:tc>
        <w:tc>
          <w:tcPr>
            <w:tcW w:w="1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 years</w:t>
            </w:r>
          </w:p>
        </w:tc>
      </w:tr>
      <w:tr>
        <w:trPr>
          <w:trHeight w:val="217"/>
        </w:trPr>
        <w:tc>
          <w:tcPr>
            <w:tcW w:w="8020" w:type="dxa"/>
            <w:vAlign w:val="bottom"/>
          </w:tcPr>
          <w:p>
            <w:pPr>
              <w:spacing w:after="0"/>
              <w:rPr>
                <w:sz w:val="20"/>
                <w:szCs w:val="20"/>
                <w:color w:val="auto"/>
              </w:rPr>
            </w:pPr>
            <w:r>
              <w:rPr>
                <w:rFonts w:ascii="Arial" w:cs="Arial" w:eastAsia="Arial" w:hAnsi="Arial"/>
                <w:sz w:val="18"/>
                <w:szCs w:val="18"/>
                <w:color w:val="auto"/>
              </w:rPr>
              <w:t>Marketing-related</w:t>
            </w:r>
          </w:p>
        </w:tc>
        <w:tc>
          <w:tcPr>
            <w:tcW w:w="5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627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 years</w:t>
            </w:r>
          </w:p>
        </w:tc>
      </w:tr>
      <w:tr>
        <w:trPr>
          <w:trHeight w:val="53"/>
        </w:trPr>
        <w:tc>
          <w:tcPr>
            <w:tcW w:w="80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75"/>
        </w:trPr>
        <w:tc>
          <w:tcPr>
            <w:tcW w:w="8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0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1,968</w:t>
            </w:r>
          </w:p>
        </w:tc>
        <w:tc>
          <w:tcPr>
            <w:tcW w:w="1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 years</w:t>
            </w:r>
          </w:p>
        </w:tc>
      </w:tr>
      <w:tr>
        <w:trPr>
          <w:trHeight w:val="74"/>
        </w:trPr>
        <w:tc>
          <w:tcPr>
            <w:tcW w:w="80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Nuance Communications, Inc.</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11, 2021, we entered into a definitive agreement to acquire Nuance Communications, Inc. (“Nuance”) for $56.00 per share in an all-cash transaction valued at $19.7 billion, inclusive of Nuance’s net debt. Nuance is a cloud and artificial intelligence (“AI”) software provider with healthcare and enterprise AI experience, and the acquisition will build on our industry-specific cloud offerings. The acquisition has been approved by Nuance’s shareholders, and we expect it to close by the end of the second quarter or early in the third quarter of fiscal year 2022, subject to the satisfaction of certain regulatory approvals and other customary closing conditions.</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8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w:t>
            </w:r>
          </w:p>
        </w:tc>
      </w:tr>
      <w:tr>
        <w:trPr>
          <w:trHeight w:val="178"/>
        </w:trPr>
        <w:tc>
          <w:tcPr>
            <w:tcW w:w="42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Acquisitions</w:t>
            </w:r>
          </w:p>
        </w:tc>
        <w:tc>
          <w:tcPr>
            <w:tcW w:w="4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55"/>
        </w:trPr>
        <w:tc>
          <w:tcPr>
            <w:tcW w:w="4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7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24,317</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52</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(16)</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24,353</w:t>
            </w:r>
          </w:p>
        </w:tc>
        <w:tc>
          <w:tcPr>
            <w:tcW w:w="100" w:type="dxa"/>
            <w:vAlign w:val="bottom"/>
            <w:shd w:val="clear" w:color="auto" w:fill="E5E5E5"/>
          </w:tcPr>
          <w:p>
            <w:pPr>
              <w:spacing w:after="0"/>
              <w:rPr>
                <w:sz w:val="16"/>
                <w:szCs w:val="16"/>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13,256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584</w:t>
            </w:r>
          </w:p>
        </w:tc>
        <w:tc>
          <w:tcPr>
            <w:tcW w:w="48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13,847</w:t>
            </w:r>
          </w:p>
        </w:tc>
        <w:tc>
          <w:tcPr>
            <w:tcW w:w="100" w:type="dxa"/>
            <w:vAlign w:val="bottom"/>
          </w:tcPr>
          <w:p>
            <w:pPr>
              <w:spacing w:after="0"/>
              <w:rPr>
                <w:sz w:val="16"/>
                <w:szCs w:val="16"/>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2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12,138</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172</w:t>
            </w:r>
          </w:p>
        </w:tc>
        <w:tc>
          <w:tcPr>
            <w:tcW w:w="4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(55)</w:t>
            </w:r>
          </w:p>
        </w:tc>
        <w:tc>
          <w:tcPr>
            <w:tcW w:w="20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12,255</w:t>
            </w:r>
          </w:p>
        </w:tc>
        <w:tc>
          <w:tcPr>
            <w:tcW w:w="100" w:type="dxa"/>
            <w:vAlign w:val="bottom"/>
            <w:shd w:val="clear" w:color="auto" w:fill="E5E5E5"/>
          </w:tcPr>
          <w:p>
            <w:pPr>
              <w:spacing w:after="0"/>
              <w:rPr>
                <w:sz w:val="16"/>
                <w:szCs w:val="16"/>
                <w:color w:val="auto"/>
              </w:rPr>
            </w:pPr>
          </w:p>
        </w:tc>
      </w:tr>
      <w:tr>
        <w:trPr>
          <w:trHeight w:val="68"/>
        </w:trPr>
        <w:tc>
          <w:tcPr>
            <w:tcW w:w="42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240" w:type="dxa"/>
            <w:vAlign w:val="bottom"/>
          </w:tcPr>
          <w:p>
            <w:pPr>
              <w:ind w:left="22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49,711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808</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50,455</w:t>
            </w:r>
          </w:p>
        </w:tc>
        <w:tc>
          <w:tcPr>
            <w:tcW w:w="100" w:type="dxa"/>
            <w:vAlign w:val="bottom"/>
          </w:tcPr>
          <w:p>
            <w:pPr>
              <w:spacing w:after="0"/>
              <w:rPr>
                <w:sz w:val="22"/>
                <w:szCs w:val="22"/>
                <w:color w:val="auto"/>
              </w:rPr>
            </w:pPr>
          </w:p>
        </w:tc>
      </w:tr>
      <w:tr>
        <w:trPr>
          <w:trHeight w:val="61"/>
        </w:trPr>
        <w:tc>
          <w:tcPr>
            <w:tcW w:w="4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79"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NOTE 9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r>
      <w:tr>
        <w:trPr>
          <w:trHeight w:val="148"/>
        </w:trPr>
        <w:tc>
          <w:tcPr>
            <w:tcW w:w="3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Carrying</w:t>
            </w:r>
          </w:p>
        </w:tc>
      </w:tr>
      <w:tr>
        <w:trPr>
          <w:trHeight w:val="178"/>
        </w:trPr>
        <w:tc>
          <w:tcPr>
            <w:tcW w:w="39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r>
      <w:tr>
        <w:trPr>
          <w:trHeight w:val="54"/>
        </w:trPr>
        <w:tc>
          <w:tcPr>
            <w:tcW w:w="39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93"/>
        </w:trPr>
        <w:tc>
          <w:tcPr>
            <w:tcW w:w="3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3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54"/>
        </w:trPr>
        <w:tc>
          <w:tcPr>
            <w:tcW w:w="3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36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10,207</w:t>
            </w:r>
          </w:p>
        </w:tc>
        <w:tc>
          <w:tcPr>
            <w:tcW w:w="2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(7,202)</w:t>
            </w:r>
          </w:p>
        </w:tc>
        <w:tc>
          <w:tcPr>
            <w:tcW w:w="360" w:type="dxa"/>
            <w:vAlign w:val="bottom"/>
            <w:gridSpan w:val="2"/>
            <w:shd w:val="clear" w:color="auto" w:fill="E5E5E5"/>
          </w:tcPr>
          <w:p>
            <w:pPr>
              <w:jc w:val="right"/>
              <w:ind w:right="93"/>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3,005</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9,779</w:t>
            </w:r>
          </w:p>
        </w:tc>
        <w:tc>
          <w:tcPr>
            <w:tcW w:w="2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(7,007)</w:t>
            </w:r>
          </w:p>
        </w:tc>
        <w:tc>
          <w:tcPr>
            <w:tcW w:w="3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2,772</w:t>
            </w: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3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4,960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(3,019)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1,941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4,958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(2,859)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2,099</w:t>
            </w:r>
          </w:p>
        </w:tc>
      </w:tr>
      <w:tr>
        <w:trPr>
          <w:trHeight w:val="189"/>
        </w:trPr>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3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4,794</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(1,959)</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2,835</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4,792</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(1,878)</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2,914</w:t>
            </w: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Contract-based</w:t>
            </w:r>
          </w:p>
        </w:tc>
        <w:tc>
          <w:tcPr>
            <w:tcW w:w="3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68"/>
        </w:trPr>
        <w:tc>
          <w:tcPr>
            <w:tcW w:w="39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39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20,407</w:t>
            </w:r>
          </w:p>
        </w:tc>
        <w:tc>
          <w:tcPr>
            <w:tcW w:w="2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(12,613)</w:t>
            </w:r>
          </w:p>
        </w:tc>
        <w:tc>
          <w:tcPr>
            <w:tcW w:w="360" w:type="dxa"/>
            <w:vAlign w:val="bottom"/>
            <w:gridSpan w:val="2"/>
            <w:shd w:val="clear" w:color="auto" w:fill="E5E5E5"/>
          </w:tcPr>
          <w:p>
            <w:pPr>
              <w:jc w:val="right"/>
              <w:ind w:right="93"/>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7,794</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19,975</w:t>
            </w:r>
          </w:p>
        </w:tc>
        <w:tc>
          <w:tcPr>
            <w:tcW w:w="2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(12,175)</w:t>
            </w:r>
          </w:p>
        </w:tc>
        <w:tc>
          <w:tcPr>
            <w:tcW w:w="3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7,800</w:t>
            </w:r>
          </w:p>
        </w:tc>
      </w:tr>
      <w:tr>
        <w:trPr>
          <w:trHeight w:val="74"/>
        </w:trPr>
        <w:tc>
          <w:tcPr>
            <w:tcW w:w="39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Intangible assets amortization expense was $439 million and $383 million for the three months ended September 30, 2021 and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September 30,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4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 (excluding the three months ended September 30, 2021)</w:t>
            </w:r>
          </w:p>
        </w:tc>
        <w:tc>
          <w:tcPr>
            <w:tcW w:w="508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1,348</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1,821</w:t>
            </w:r>
          </w:p>
        </w:tc>
        <w:tc>
          <w:tcPr>
            <w:tcW w:w="0" w:type="dxa"/>
            <w:vAlign w:val="bottom"/>
          </w:tcPr>
          <w:p>
            <w:pPr>
              <w:spacing w:after="0"/>
              <w:rPr>
                <w:sz w:val="1"/>
                <w:szCs w:val="1"/>
                <w:color w:val="auto"/>
              </w:rPr>
            </w:pPr>
          </w:p>
        </w:tc>
      </w:tr>
      <w:tr>
        <w:trPr>
          <w:trHeight w:val="189"/>
        </w:trPr>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46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1,512</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898</w:t>
            </w:r>
          </w:p>
        </w:tc>
        <w:tc>
          <w:tcPr>
            <w:tcW w:w="0" w:type="dxa"/>
            <w:vAlign w:val="bottom"/>
          </w:tcPr>
          <w:p>
            <w:pPr>
              <w:spacing w:after="0"/>
              <w:rPr>
                <w:sz w:val="1"/>
                <w:szCs w:val="1"/>
                <w:color w:val="auto"/>
              </w:rPr>
            </w:pPr>
          </w:p>
        </w:tc>
      </w:tr>
      <w:tr>
        <w:trPr>
          <w:trHeight w:val="189"/>
        </w:trPr>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46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547</w:t>
            </w: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1,668</w:t>
            </w:r>
          </w:p>
        </w:tc>
        <w:tc>
          <w:tcPr>
            <w:tcW w:w="0" w:type="dxa"/>
            <w:vAlign w:val="bottom"/>
          </w:tcPr>
          <w:p>
            <w:pPr>
              <w:spacing w:after="0"/>
              <w:rPr>
                <w:sz w:val="1"/>
                <w:szCs w:val="1"/>
                <w:color w:val="auto"/>
              </w:rPr>
            </w:pPr>
          </w:p>
        </w:tc>
      </w:tr>
      <w:tr>
        <w:trPr>
          <w:trHeight w:val="68"/>
        </w:trPr>
        <w:tc>
          <w:tcPr>
            <w:tcW w:w="5260" w:type="dxa"/>
            <w:vAlign w:val="bottom"/>
            <w:tcBorders>
              <w:top w:val="single" w:sz="8" w:color="auto"/>
            </w:tcBorders>
          </w:tcPr>
          <w:p>
            <w:pPr>
              <w:spacing w:after="0"/>
              <w:rPr>
                <w:sz w:val="5"/>
                <w:szCs w:val="5"/>
                <w:color w:val="auto"/>
              </w:rPr>
            </w:pPr>
          </w:p>
        </w:tc>
        <w:tc>
          <w:tcPr>
            <w:tcW w:w="46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508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7,794</w:t>
            </w:r>
          </w:p>
        </w:tc>
        <w:tc>
          <w:tcPr>
            <w:tcW w:w="0" w:type="dxa"/>
            <w:vAlign w:val="bottom"/>
          </w:tcPr>
          <w:p>
            <w:pPr>
              <w:spacing w:after="0"/>
              <w:rPr>
                <w:sz w:val="1"/>
                <w:szCs w:val="1"/>
                <w:color w:val="auto"/>
              </w:rPr>
            </w:pPr>
          </w:p>
        </w:tc>
      </w:tr>
      <w:tr>
        <w:trPr>
          <w:trHeight w:val="75"/>
        </w:trPr>
        <w:tc>
          <w:tcPr>
            <w:tcW w:w="5260" w:type="dxa"/>
            <w:vAlign w:val="bottom"/>
          </w:tcPr>
          <w:p>
            <w:pPr>
              <w:spacing w:after="0"/>
              <w:rPr>
                <w:sz w:val="6"/>
                <w:szCs w:val="6"/>
                <w:color w:val="auto"/>
              </w:rPr>
            </w:pPr>
          </w:p>
        </w:tc>
        <w:tc>
          <w:tcPr>
            <w:tcW w:w="4640" w:type="dxa"/>
            <w:vAlign w:val="bottom"/>
            <w:vMerge w:val="restart"/>
          </w:tcPr>
          <w:p>
            <w:pPr>
              <w:jc w:val="right"/>
              <w:ind w:right="4116"/>
              <w:spacing w:after="0"/>
              <w:rPr>
                <w:sz w:val="20"/>
                <w:szCs w:val="20"/>
                <w:color w:val="auto"/>
              </w:rPr>
            </w:pPr>
            <w:r>
              <w:rPr>
                <w:rFonts w:ascii="Arial" w:cs="Arial" w:eastAsia="Arial" w:hAnsi="Arial"/>
                <w:sz w:val="14"/>
                <w:szCs w:val="14"/>
                <w:color w:val="auto"/>
              </w:rPr>
              <w:t>19</w:t>
            </w: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5"/>
        </w:trPr>
        <w:tc>
          <w:tcPr>
            <w:tcW w:w="52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26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10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Arial" w:cs="Arial" w:eastAsia="Arial" w:hAnsi="Arial"/>
                <w:sz w:val="13"/>
                <w:szCs w:val="13"/>
                <w:b w:val="1"/>
                <w:bCs w:val="1"/>
                <w:color w:val="auto"/>
              </w:rPr>
              <w:t>Maturities</w:t>
            </w:r>
          </w:p>
        </w:tc>
        <w:tc>
          <w:tcPr>
            <w:tcW w:w="1780" w:type="dxa"/>
            <w:vAlign w:val="bottom"/>
          </w:tcPr>
          <w:p>
            <w:pPr>
              <w:jc w:val="right"/>
              <w:ind w:right="373"/>
              <w:spacing w:after="0"/>
              <w:rPr>
                <w:sz w:val="20"/>
                <w:szCs w:val="20"/>
                <w:color w:val="auto"/>
              </w:rPr>
            </w:pPr>
            <w:r>
              <w:rPr>
                <w:rFonts w:ascii="Arial" w:cs="Arial" w:eastAsia="Arial" w:hAnsi="Arial"/>
                <w:sz w:val="13"/>
                <w:szCs w:val="13"/>
                <w:b w:val="1"/>
                <w:bCs w:val="1"/>
                <w:color w:val="auto"/>
              </w:rPr>
              <w:t>Stated Interest</w:t>
            </w:r>
          </w:p>
        </w:tc>
        <w:tc>
          <w:tcPr>
            <w:tcW w:w="1700" w:type="dxa"/>
            <w:vAlign w:val="bottom"/>
          </w:tcPr>
          <w:p>
            <w:pPr>
              <w:jc w:val="right"/>
              <w:ind w:right="173"/>
              <w:spacing w:after="0"/>
              <w:rPr>
                <w:sz w:val="20"/>
                <w:szCs w:val="20"/>
                <w:color w:val="auto"/>
              </w:rPr>
            </w:pPr>
            <w:r>
              <w:rPr>
                <w:rFonts w:ascii="Arial" w:cs="Arial" w:eastAsia="Arial" w:hAnsi="Arial"/>
                <w:sz w:val="13"/>
                <w:szCs w:val="13"/>
                <w:b w:val="1"/>
                <w:bCs w:val="1"/>
                <w:color w:val="auto"/>
              </w:rPr>
              <w:t>Effective Interest</w:t>
            </w:r>
          </w:p>
        </w:tc>
        <w:tc>
          <w:tcPr>
            <w:tcW w:w="3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440" w:type="dxa"/>
            <w:vAlign w:val="bottom"/>
          </w:tcPr>
          <w:p>
            <w:pPr>
              <w:jc w:val="right"/>
              <w:ind w:right="193"/>
              <w:spacing w:after="0"/>
              <w:rPr>
                <w:sz w:val="20"/>
                <w:szCs w:val="20"/>
                <w:color w:val="auto"/>
              </w:rPr>
            </w:pPr>
            <w:r>
              <w:rPr>
                <w:rFonts w:ascii="Arial" w:cs="Arial" w:eastAsia="Arial" w:hAnsi="Arial"/>
                <w:sz w:val="13"/>
                <w:szCs w:val="13"/>
                <w:b w:val="1"/>
                <w:bCs w:val="1"/>
                <w:color w:val="auto"/>
              </w:rPr>
              <w:t>(calendar year)</w:t>
            </w:r>
          </w:p>
        </w:tc>
        <w:tc>
          <w:tcPr>
            <w:tcW w:w="1780" w:type="dxa"/>
            <w:vAlign w:val="bottom"/>
          </w:tcPr>
          <w:p>
            <w:pPr>
              <w:jc w:val="right"/>
              <w:ind w:right="693"/>
              <w:spacing w:after="0"/>
              <w:rPr>
                <w:sz w:val="20"/>
                <w:szCs w:val="20"/>
                <w:color w:val="auto"/>
              </w:rPr>
            </w:pPr>
            <w:r>
              <w:rPr>
                <w:rFonts w:ascii="Arial" w:cs="Arial" w:eastAsia="Arial" w:hAnsi="Arial"/>
                <w:sz w:val="13"/>
                <w:szCs w:val="13"/>
                <w:b w:val="1"/>
                <w:bCs w:val="1"/>
                <w:color w:val="auto"/>
              </w:rPr>
              <w:t>Rate</w:t>
            </w:r>
          </w:p>
        </w:tc>
        <w:tc>
          <w:tcPr>
            <w:tcW w:w="1700" w:type="dxa"/>
            <w:vAlign w:val="bottom"/>
          </w:tcPr>
          <w:p>
            <w:pPr>
              <w:jc w:val="right"/>
              <w:ind w:right="573"/>
              <w:spacing w:after="0"/>
              <w:rPr>
                <w:sz w:val="20"/>
                <w:szCs w:val="20"/>
                <w:color w:val="auto"/>
              </w:rPr>
            </w:pPr>
            <w:r>
              <w:rPr>
                <w:rFonts w:ascii="Arial" w:cs="Arial" w:eastAsia="Arial" w:hAnsi="Arial"/>
                <w:sz w:val="13"/>
                <w:szCs w:val="13"/>
                <w:b w:val="1"/>
                <w:bCs w:val="1"/>
                <w:color w:val="auto"/>
              </w:rPr>
              <w:t>Rate</w:t>
            </w:r>
          </w:p>
        </w:tc>
        <w:tc>
          <w:tcPr>
            <w:tcW w:w="3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r>
      <w:tr>
        <w:trPr>
          <w:trHeight w:val="55"/>
        </w:trPr>
        <w:tc>
          <w:tcPr>
            <w:tcW w:w="35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61"/>
        </w:trPr>
        <w:tc>
          <w:tcPr>
            <w:tcW w:w="3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2009 issuance of $3.8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2039</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5.20%</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5.24%</w:t>
            </w:r>
          </w:p>
        </w:tc>
        <w:tc>
          <w:tcPr>
            <w:tcW w:w="3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520</w:t>
            </w: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520</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2010 issuance of $4.8 billion </w:t>
            </w:r>
            <w:r>
              <w:rPr>
                <w:rFonts w:ascii="Arial" w:cs="Arial" w:eastAsia="Arial" w:hAnsi="Arial"/>
                <w:sz w:val="15"/>
                <w:szCs w:val="15"/>
                <w:color w:val="auto"/>
              </w:rPr>
              <w:t>(a)</w:t>
            </w:r>
          </w:p>
        </w:tc>
        <w:tc>
          <w:tcPr>
            <w:tcW w:w="144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2040</w:t>
            </w:r>
          </w:p>
        </w:tc>
        <w:tc>
          <w:tcPr>
            <w:tcW w:w="1780" w:type="dxa"/>
            <w:vAlign w:val="bottom"/>
          </w:tcPr>
          <w:p>
            <w:pPr>
              <w:jc w:val="right"/>
              <w:ind w:right="233"/>
              <w:spacing w:after="0" w:line="189" w:lineRule="exact"/>
              <w:rPr>
                <w:sz w:val="20"/>
                <w:szCs w:val="20"/>
                <w:color w:val="auto"/>
              </w:rPr>
            </w:pPr>
            <w:r>
              <w:rPr>
                <w:rFonts w:ascii="Arial" w:cs="Arial" w:eastAsia="Arial" w:hAnsi="Arial"/>
                <w:sz w:val="18"/>
                <w:szCs w:val="18"/>
                <w:b w:val="1"/>
                <w:bCs w:val="1"/>
                <w:color w:val="auto"/>
              </w:rPr>
              <w:t>4.50%</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4.57%</w:t>
            </w:r>
          </w:p>
        </w:tc>
        <w:tc>
          <w:tcPr>
            <w:tcW w:w="38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486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486</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2011 issuance of $2.3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2041</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5.30%</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5.36%</w:t>
            </w: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718</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718</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2012 issuance of $2.3 billion </w:t>
            </w:r>
            <w:r>
              <w:rPr>
                <w:rFonts w:ascii="Arial" w:cs="Arial" w:eastAsia="Arial" w:hAnsi="Arial"/>
                <w:sz w:val="15"/>
                <w:szCs w:val="15"/>
                <w:color w:val="auto"/>
              </w:rPr>
              <w:t>(a)</w:t>
            </w:r>
          </w:p>
        </w:tc>
        <w:tc>
          <w:tcPr>
            <w:tcW w:w="144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2022 – 2042</w:t>
            </w:r>
          </w:p>
        </w:tc>
        <w:tc>
          <w:tcPr>
            <w:tcW w:w="1780" w:type="dxa"/>
            <w:vAlign w:val="bottom"/>
          </w:tcPr>
          <w:p>
            <w:pPr>
              <w:jc w:val="right"/>
              <w:ind w:right="233"/>
              <w:spacing w:after="0" w:line="189" w:lineRule="exact"/>
              <w:rPr>
                <w:sz w:val="20"/>
                <w:szCs w:val="20"/>
                <w:color w:val="auto"/>
              </w:rPr>
            </w:pPr>
            <w:r>
              <w:rPr>
                <w:rFonts w:ascii="Arial" w:cs="Arial" w:eastAsia="Arial" w:hAnsi="Arial"/>
                <w:sz w:val="18"/>
                <w:szCs w:val="18"/>
                <w:b w:val="1"/>
                <w:bCs w:val="1"/>
                <w:color w:val="auto"/>
              </w:rPr>
              <w:t>2.13% – 3.50%</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2.24%–3.57%</w:t>
            </w:r>
          </w:p>
        </w:tc>
        <w:tc>
          <w:tcPr>
            <w:tcW w:w="38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1,204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1,204</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2013 issuance of $5.2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2023 – 2043</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2.38% – 4.88%</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2.47%–4.92%</w:t>
            </w: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2,814</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2,814</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2013 issuance of €4.1 billion</w:t>
            </w:r>
          </w:p>
        </w:tc>
        <w:tc>
          <w:tcPr>
            <w:tcW w:w="144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2028 – 2033</w:t>
            </w:r>
          </w:p>
        </w:tc>
        <w:tc>
          <w:tcPr>
            <w:tcW w:w="1780" w:type="dxa"/>
            <w:vAlign w:val="bottom"/>
          </w:tcPr>
          <w:p>
            <w:pPr>
              <w:jc w:val="right"/>
              <w:ind w:right="233"/>
              <w:spacing w:after="0" w:line="189" w:lineRule="exact"/>
              <w:rPr>
                <w:sz w:val="20"/>
                <w:szCs w:val="20"/>
                <w:color w:val="auto"/>
              </w:rPr>
            </w:pPr>
            <w:r>
              <w:rPr>
                <w:rFonts w:ascii="Arial" w:cs="Arial" w:eastAsia="Arial" w:hAnsi="Arial"/>
                <w:sz w:val="18"/>
                <w:szCs w:val="18"/>
                <w:b w:val="1"/>
                <w:bCs w:val="1"/>
                <w:color w:val="auto"/>
              </w:rPr>
              <w:t>2.63% – 3.13%</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2.69%–3.22%</w:t>
            </w:r>
          </w:p>
        </w:tc>
        <w:tc>
          <w:tcPr>
            <w:tcW w:w="38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2,665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4,803</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2015 issuance of $23.8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2022 – 2055</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2.38% – 4.75%</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2.47%–4.78%</w:t>
            </w: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12,305</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12,305</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2016 issuance of $19.8 billion </w:t>
            </w:r>
            <w:r>
              <w:rPr>
                <w:rFonts w:ascii="Arial" w:cs="Arial" w:eastAsia="Arial" w:hAnsi="Arial"/>
                <w:sz w:val="15"/>
                <w:szCs w:val="15"/>
                <w:color w:val="auto"/>
              </w:rPr>
              <w:t>(a)</w:t>
            </w:r>
          </w:p>
        </w:tc>
        <w:tc>
          <w:tcPr>
            <w:tcW w:w="144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2023 – 2056</w:t>
            </w:r>
          </w:p>
        </w:tc>
        <w:tc>
          <w:tcPr>
            <w:tcW w:w="1780" w:type="dxa"/>
            <w:vAlign w:val="bottom"/>
          </w:tcPr>
          <w:p>
            <w:pPr>
              <w:jc w:val="right"/>
              <w:ind w:right="233"/>
              <w:spacing w:after="0" w:line="189" w:lineRule="exact"/>
              <w:rPr>
                <w:sz w:val="20"/>
                <w:szCs w:val="20"/>
                <w:color w:val="auto"/>
              </w:rPr>
            </w:pPr>
            <w:r>
              <w:rPr>
                <w:rFonts w:ascii="Arial" w:cs="Arial" w:eastAsia="Arial" w:hAnsi="Arial"/>
                <w:sz w:val="18"/>
                <w:szCs w:val="18"/>
                <w:b w:val="1"/>
                <w:bCs w:val="1"/>
                <w:color w:val="auto"/>
              </w:rPr>
              <w:t>2.00% – 3.95%</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2.10%–4.03%</w:t>
            </w:r>
          </w:p>
        </w:tc>
        <w:tc>
          <w:tcPr>
            <w:tcW w:w="38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9,430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12,180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2017 issuance of $17.0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2022 – 2057</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2.40% – 4.50%</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2.52%–4.53%</w:t>
            </w: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10,695</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10,695</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2020 issuance of $10.0 billion </w:t>
            </w:r>
            <w:r>
              <w:rPr>
                <w:rFonts w:ascii="Arial" w:cs="Arial" w:eastAsia="Arial" w:hAnsi="Arial"/>
                <w:sz w:val="15"/>
                <w:szCs w:val="15"/>
                <w:color w:val="auto"/>
              </w:rPr>
              <w:t>(a)</w:t>
            </w:r>
          </w:p>
        </w:tc>
        <w:tc>
          <w:tcPr>
            <w:tcW w:w="144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2050 – 2060</w:t>
            </w:r>
          </w:p>
        </w:tc>
        <w:tc>
          <w:tcPr>
            <w:tcW w:w="1780" w:type="dxa"/>
            <w:vAlign w:val="bottom"/>
          </w:tcPr>
          <w:p>
            <w:pPr>
              <w:jc w:val="right"/>
              <w:ind w:right="233"/>
              <w:spacing w:after="0" w:line="189" w:lineRule="exact"/>
              <w:rPr>
                <w:sz w:val="20"/>
                <w:szCs w:val="20"/>
                <w:color w:val="auto"/>
              </w:rPr>
            </w:pPr>
            <w:r>
              <w:rPr>
                <w:rFonts w:ascii="Arial" w:cs="Arial" w:eastAsia="Arial" w:hAnsi="Arial"/>
                <w:sz w:val="18"/>
                <w:szCs w:val="18"/>
                <w:b w:val="1"/>
                <w:bCs w:val="1"/>
                <w:color w:val="auto"/>
              </w:rPr>
              <w:t>2.53% – 2.68%</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2.53%–2.68%</w:t>
            </w:r>
          </w:p>
        </w:tc>
        <w:tc>
          <w:tcPr>
            <w:tcW w:w="38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10,000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10,000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2021 issuance of $8.2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2052 – 2062</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2.92% – 3.04%</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2.92%–3.04%</w:t>
            </w: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8,185</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8,185</w:t>
            </w:r>
          </w:p>
        </w:tc>
      </w:tr>
      <w:tr>
        <w:trPr>
          <w:trHeight w:val="68"/>
        </w:trPr>
        <w:tc>
          <w:tcPr>
            <w:tcW w:w="35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50"/>
        </w:trPr>
        <w:tc>
          <w:tcPr>
            <w:tcW w:w="3540" w:type="dxa"/>
            <w:vAlign w:val="bottom"/>
          </w:tcPr>
          <w:p>
            <w:pPr>
              <w:ind w:left="220"/>
              <w:spacing w:after="0"/>
              <w:rPr>
                <w:sz w:val="20"/>
                <w:szCs w:val="20"/>
                <w:color w:val="auto"/>
              </w:rPr>
            </w:pPr>
            <w:r>
              <w:rPr>
                <w:rFonts w:ascii="Arial" w:cs="Arial" w:eastAsia="Arial" w:hAnsi="Arial"/>
                <w:sz w:val="18"/>
                <w:szCs w:val="18"/>
                <w:color w:val="auto"/>
              </w:rPr>
              <w:t>Total face value</w:t>
            </w:r>
          </w:p>
        </w:tc>
        <w:tc>
          <w:tcPr>
            <w:tcW w:w="1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59,022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63,910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Unamortized discount and issuance costs</w:t>
            </w:r>
          </w:p>
        </w:tc>
        <w:tc>
          <w:tcPr>
            <w:tcW w:w="1440" w:type="dxa"/>
            <w:vAlign w:val="bottom"/>
            <w:shd w:val="clear" w:color="auto" w:fill="E5E5E5"/>
          </w:tcPr>
          <w:p>
            <w:pPr>
              <w:spacing w:after="0"/>
              <w:rPr>
                <w:sz w:val="16"/>
                <w:szCs w:val="16"/>
                <w:color w:val="auto"/>
              </w:rPr>
            </w:pPr>
          </w:p>
        </w:tc>
        <w:tc>
          <w:tcPr>
            <w:tcW w:w="178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(499)</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(511)</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15"/>
                <w:szCs w:val="15"/>
                <w:color w:val="auto"/>
              </w:rPr>
              <w:t>(b)</w:t>
            </w: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Premium on debt exchange </w:t>
            </w:r>
            <w:r>
              <w:rPr>
                <w:rFonts w:ascii="Arial" w:cs="Arial" w:eastAsia="Arial" w:hAnsi="Arial"/>
                <w:sz w:val="15"/>
                <w:szCs w:val="15"/>
                <w:color w:val="auto"/>
              </w:rPr>
              <w:t>(a)</w:t>
            </w:r>
          </w:p>
        </w:tc>
        <w:tc>
          <w:tcPr>
            <w:tcW w:w="1440" w:type="dxa"/>
            <w:vAlign w:val="bottom"/>
            <w:shd w:val="clear" w:color="auto" w:fill="E5E5E5"/>
          </w:tcPr>
          <w:p>
            <w:pPr>
              <w:spacing w:after="0"/>
              <w:rPr>
                <w:sz w:val="16"/>
                <w:szCs w:val="16"/>
                <w:color w:val="auto"/>
              </w:rPr>
            </w:pPr>
          </w:p>
        </w:tc>
        <w:tc>
          <w:tcPr>
            <w:tcW w:w="178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(5,268)</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(5,293)</w:t>
            </w:r>
          </w:p>
        </w:tc>
      </w:tr>
      <w:tr>
        <w:trPr>
          <w:trHeight w:val="68"/>
        </w:trPr>
        <w:tc>
          <w:tcPr>
            <w:tcW w:w="35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50"/>
        </w:trPr>
        <w:tc>
          <w:tcPr>
            <w:tcW w:w="354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53,288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58,146</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440" w:type="dxa"/>
            <w:vAlign w:val="bottom"/>
            <w:shd w:val="clear" w:color="auto" w:fill="E5E5E5"/>
          </w:tcPr>
          <w:p>
            <w:pPr>
              <w:spacing w:after="0"/>
              <w:rPr>
                <w:sz w:val="16"/>
                <w:szCs w:val="16"/>
                <w:color w:val="auto"/>
              </w:rPr>
            </w:pPr>
          </w:p>
        </w:tc>
        <w:tc>
          <w:tcPr>
            <w:tcW w:w="178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(3,249)</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(8,072)</w:t>
            </w:r>
          </w:p>
        </w:tc>
      </w:tr>
      <w:tr>
        <w:trPr>
          <w:trHeight w:val="68"/>
        </w:trPr>
        <w:tc>
          <w:tcPr>
            <w:tcW w:w="35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63"/>
        </w:trPr>
        <w:tc>
          <w:tcPr>
            <w:tcW w:w="354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50,039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34290</wp:posOffset>
            </wp:positionV>
            <wp:extent cx="159448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123" w:lineRule="exact"/>
        <w:rPr>
          <w:sz w:val="20"/>
          <w:szCs w:val="20"/>
          <w:color w:val="auto"/>
        </w:rPr>
      </w:pPr>
    </w:p>
    <w:p>
      <w:pPr>
        <w:ind w:left="540" w:hanging="532"/>
        <w:spacing w:after="0" w:line="24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 March 2021 and June 2020, we exchanged a portion of our existing debt at a premium for cash and new debt with longer maturities. The premiums are amortized over the terms of the new debt.</w:t>
      </w: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September 30, 2021 and June 30, 2021, the estimated fair value of long-term debt, including the current portion, was $64.2 billion and $70.0 billion, respectively. The estimated fair values are based on Level 2 inputs.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September 30,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78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5"/>
        </w:trPr>
        <w:tc>
          <w:tcPr>
            <w:tcW w:w="9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9"/>
        </w:trPr>
        <w:tc>
          <w:tcPr>
            <w:tcW w:w="9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 (excluding the three months ended September 30, 2021)</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3,250</w:t>
            </w:r>
          </w:p>
        </w:tc>
      </w:tr>
      <w:tr>
        <w:trPr>
          <w:trHeight w:val="189"/>
        </w:trPr>
        <w:tc>
          <w:tcPr>
            <w:tcW w:w="978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4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2,750</w:t>
            </w:r>
          </w:p>
        </w:tc>
      </w:tr>
      <w:tr>
        <w:trPr>
          <w:trHeight w:val="189"/>
        </w:trPr>
        <w:tc>
          <w:tcPr>
            <w:tcW w:w="9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4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5,250</w:t>
            </w:r>
          </w:p>
        </w:tc>
      </w:tr>
      <w:tr>
        <w:trPr>
          <w:trHeight w:val="189"/>
        </w:trPr>
        <w:tc>
          <w:tcPr>
            <w:tcW w:w="978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4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r>
      <w:tr>
        <w:trPr>
          <w:trHeight w:val="189"/>
        </w:trPr>
        <w:tc>
          <w:tcPr>
            <w:tcW w:w="9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4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3,000</w:t>
            </w:r>
          </w:p>
        </w:tc>
      </w:tr>
      <w:tr>
        <w:trPr>
          <w:trHeight w:val="250"/>
        </w:trPr>
        <w:tc>
          <w:tcPr>
            <w:tcW w:w="9780" w:type="dxa"/>
            <w:vAlign w:val="bottom"/>
          </w:tcPr>
          <w:p>
            <w:pPr>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42,522</w:t>
            </w:r>
          </w:p>
        </w:tc>
      </w:tr>
      <w:tr>
        <w:trPr>
          <w:trHeight w:val="68"/>
        </w:trPr>
        <w:tc>
          <w:tcPr>
            <w:tcW w:w="97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97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59,022</w:t>
            </w:r>
          </w:p>
        </w:tc>
      </w:tr>
      <w:tr>
        <w:trPr>
          <w:trHeight w:val="75"/>
        </w:trPr>
        <w:tc>
          <w:tcPr>
            <w:tcW w:w="97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effective tax rate was 0% and 14% for the three months ended September 30, 2021 and 2020, respectively. The decrease in our effective tax rate for the current quarter compared to the prior year was primarily due to a $3.3 billion net income tax benefit in the first quarter of fiscal year 2022 related to the transfer of intangible properties.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exceeds the current tax liability from the U.S. global intangible low-taxed income tax.</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was lower than the U.S. federal statutory rate for the three months ended September 30, 2021, primarily due to the net income tax benefit related to the transfer of intangible properties, earnings taxed at lower rates in foreign jurisdictions resulting from producing and distributing our products and services through our foreign regional operations center in Ireland, and tax benefits relating to stock-based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both September 30, 2021 and June 30, 2021, unrecognized tax benefits and other income tax liabilities were $15.9 billion and are included in long-term income taxes in our consolidated balance sheets.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September 30, 2021,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2021, some of which are currently under audit by local tax authorities. The resolution of each of these audits is not expected to be material to our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46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55"/>
        </w:trPr>
        <w:tc>
          <w:tcPr>
            <w:tcW w:w="46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6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20,565</w:t>
            </w:r>
          </w:p>
        </w:tc>
        <w:tc>
          <w:tcPr>
            <w:tcW w:w="5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22,120</w:t>
            </w:r>
          </w:p>
        </w:tc>
        <w:tc>
          <w:tcPr>
            <w:tcW w:w="0" w:type="dxa"/>
            <w:vAlign w:val="bottom"/>
          </w:tcPr>
          <w:p>
            <w:pPr>
              <w:spacing w:after="0"/>
              <w:rPr>
                <w:sz w:val="1"/>
                <w:szCs w:val="1"/>
                <w:color w:val="auto"/>
              </w:rPr>
            </w:pPr>
          </w:p>
        </w:tc>
      </w:tr>
      <w:tr>
        <w:trPr>
          <w:trHeight w:val="189"/>
        </w:trPr>
        <w:tc>
          <w:tcPr>
            <w:tcW w:w="466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16,117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17,710</w:t>
            </w: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3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4,333</w:t>
            </w: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68"/>
        </w:trPr>
        <w:tc>
          <w:tcPr>
            <w:tcW w:w="46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gridSpan w:val="2"/>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660" w:type="dxa"/>
            <w:vAlign w:val="bottom"/>
          </w:tcPr>
          <w:p>
            <w:pPr>
              <w:ind w:left="220"/>
              <w:spacing w:after="0"/>
              <w:rPr>
                <w:sz w:val="20"/>
                <w:szCs w:val="20"/>
                <w:color w:val="auto"/>
              </w:rPr>
            </w:pPr>
            <w:r>
              <w:rPr>
                <w:rFonts w:ascii="Arial" w:cs="Arial" w:eastAsia="Arial" w:hAnsi="Arial"/>
                <w:sz w:val="18"/>
                <w:szCs w:val="18"/>
                <w:color w:val="auto"/>
              </w:rPr>
              <w:t>Total</w:t>
            </w:r>
          </w:p>
        </w:tc>
        <w:tc>
          <w:tcPr>
            <w:tcW w:w="3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41,015</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44,141</w:t>
            </w:r>
          </w:p>
        </w:tc>
        <w:tc>
          <w:tcPr>
            <w:tcW w:w="0" w:type="dxa"/>
            <w:vAlign w:val="bottom"/>
          </w:tcPr>
          <w:p>
            <w:pPr>
              <w:spacing w:after="0"/>
              <w:rPr>
                <w:sz w:val="1"/>
                <w:szCs w:val="1"/>
                <w:color w:val="auto"/>
              </w:rPr>
            </w:pPr>
          </w:p>
        </w:tc>
      </w:tr>
      <w:tr>
        <w:trPr>
          <w:trHeight w:val="61"/>
        </w:trPr>
        <w:tc>
          <w:tcPr>
            <w:tcW w:w="4660" w:type="dxa"/>
            <w:vAlign w:val="bottom"/>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33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4660" w:type="dxa"/>
            <w:vAlign w:val="bottom"/>
            <w:vMerge w:val="continue"/>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6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66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3"/>
                <w:szCs w:val="13"/>
                <w:b w:val="1"/>
                <w:bCs w:val="1"/>
                <w:color w:val="auto"/>
              </w:rPr>
              <w:t>Three Months Ended September 30, 2021</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10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3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44,141</w:t>
            </w:r>
          </w:p>
        </w:tc>
        <w:tc>
          <w:tcPr>
            <w:tcW w:w="0" w:type="dxa"/>
            <w:vAlign w:val="bottom"/>
          </w:tcPr>
          <w:p>
            <w:pPr>
              <w:spacing w:after="0"/>
              <w:rPr>
                <w:sz w:val="1"/>
                <w:szCs w:val="1"/>
                <w:color w:val="auto"/>
              </w:rPr>
            </w:pPr>
          </w:p>
        </w:tc>
      </w:tr>
      <w:tr>
        <w:trPr>
          <w:trHeight w:val="189"/>
        </w:trPr>
        <w:tc>
          <w:tcPr>
            <w:tcW w:w="4660" w:type="dxa"/>
            <w:vAlign w:val="bottom"/>
          </w:tcPr>
          <w:p>
            <w:pPr>
              <w:ind w:left="220"/>
              <w:spacing w:after="0" w:line="189" w:lineRule="exact"/>
              <w:rPr>
                <w:sz w:val="20"/>
                <w:szCs w:val="20"/>
                <w:color w:val="auto"/>
              </w:rPr>
            </w:pPr>
            <w:r>
              <w:rPr>
                <w:rFonts w:ascii="Arial" w:cs="Arial" w:eastAsia="Arial" w:hAnsi="Arial"/>
                <w:sz w:val="18"/>
                <w:szCs w:val="18"/>
                <w:color w:val="auto"/>
              </w:rPr>
              <w:t>Deferral of revenue</w:t>
            </w:r>
          </w:p>
        </w:tc>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21,970</w:t>
            </w: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Recognition of unearned revenue</w:t>
            </w:r>
          </w:p>
        </w:tc>
        <w:tc>
          <w:tcPr>
            <w:tcW w:w="33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(25,096)</w:t>
            </w:r>
          </w:p>
        </w:tc>
        <w:tc>
          <w:tcPr>
            <w:tcW w:w="0" w:type="dxa"/>
            <w:vAlign w:val="bottom"/>
          </w:tcPr>
          <w:p>
            <w:pPr>
              <w:spacing w:after="0"/>
              <w:rPr>
                <w:sz w:val="1"/>
                <w:szCs w:val="1"/>
                <w:color w:val="auto"/>
              </w:rPr>
            </w:pPr>
          </w:p>
        </w:tc>
      </w:tr>
      <w:tr>
        <w:trPr>
          <w:trHeight w:val="68"/>
        </w:trPr>
        <w:tc>
          <w:tcPr>
            <w:tcW w:w="4660" w:type="dxa"/>
            <w:vAlign w:val="bottom"/>
            <w:tcBorders>
              <w:bottom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Balance, end of period</w:t>
            </w:r>
          </w:p>
        </w:tc>
        <w:tc>
          <w:tcPr>
            <w:tcW w:w="3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41,015</w:t>
            </w:r>
          </w:p>
        </w:tc>
        <w:tc>
          <w:tcPr>
            <w:tcW w:w="0" w:type="dxa"/>
            <w:vAlign w:val="bottom"/>
          </w:tcPr>
          <w:p>
            <w:pPr>
              <w:spacing w:after="0"/>
              <w:rPr>
                <w:sz w:val="1"/>
                <w:szCs w:val="1"/>
                <w:color w:val="auto"/>
              </w:rPr>
            </w:pPr>
          </w:p>
        </w:tc>
      </w:tr>
      <w:tr>
        <w:trPr>
          <w:trHeight w:val="61"/>
        </w:trPr>
        <w:tc>
          <w:tcPr>
            <w:tcW w:w="4660" w:type="dxa"/>
            <w:vAlign w:val="bottom"/>
          </w:tcPr>
          <w:p>
            <w:pPr>
              <w:spacing w:after="0"/>
              <w:rPr>
                <w:sz w:val="5"/>
                <w:szCs w:val="5"/>
                <w:color w:val="auto"/>
              </w:rPr>
            </w:pPr>
          </w:p>
        </w:tc>
        <w:tc>
          <w:tcPr>
            <w:tcW w:w="3340" w:type="dxa"/>
            <w:vAlign w:val="bottom"/>
            <w:vMerge w:val="restart"/>
          </w:tcPr>
          <w:p>
            <w:pPr>
              <w:jc w:val="right"/>
              <w:ind w:right="2216"/>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5"/>
        </w:trPr>
        <w:tc>
          <w:tcPr>
            <w:tcW w:w="46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66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1" w:name="page22"/>
    <w:bookmarkEnd w:id="2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$142 billion as of September 30, 2021, of which $137 billion is related to the commercial portion of revenue. We expect to recognize approximately 50% of this revenue over the next 12 months and the remainder thereafter.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LEASES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1 year to 15 years, some of which include options to extend the leases for up to 5 years, and some of which include options to terminate the leases within 1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5"/>
        </w:trPr>
        <w:tc>
          <w:tcPr>
            <w:tcW w:w="8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588</w:t>
            </w:r>
          </w:p>
        </w:tc>
        <w:tc>
          <w:tcPr>
            <w:tcW w:w="720" w:type="dxa"/>
            <w:vAlign w:val="bottom"/>
            <w:gridSpan w:val="2"/>
            <w:shd w:val="clear" w:color="auto" w:fill="E5E5E5"/>
          </w:tcPr>
          <w:p>
            <w:pPr>
              <w:jc w:val="right"/>
              <w:ind w:right="52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75"/>
        </w:trPr>
        <w:tc>
          <w:tcPr>
            <w:tcW w:w="800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800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Amortization of right-of-use assets</w:t>
            </w: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226</w:t>
            </w:r>
          </w:p>
        </w:tc>
        <w:tc>
          <w:tcPr>
            <w:tcW w:w="720" w:type="dxa"/>
            <w:vAlign w:val="bottom"/>
            <w:gridSpan w:val="2"/>
            <w:shd w:val="clear" w:color="auto" w:fill="E5E5E5"/>
          </w:tcPr>
          <w:p>
            <w:pPr>
              <w:jc w:val="right"/>
              <w:ind w:right="52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50"/>
        </w:trPr>
        <w:tc>
          <w:tcPr>
            <w:tcW w:w="800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5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68"/>
        </w:trPr>
        <w:tc>
          <w:tcPr>
            <w:tcW w:w="80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 finance lease cost</w:t>
            </w: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330</w:t>
            </w:r>
          </w:p>
        </w:tc>
        <w:tc>
          <w:tcPr>
            <w:tcW w:w="720" w:type="dxa"/>
            <w:vAlign w:val="bottom"/>
            <w:gridSpan w:val="2"/>
            <w:shd w:val="clear" w:color="auto" w:fill="E5E5E5"/>
          </w:tcPr>
          <w:p>
            <w:pPr>
              <w:jc w:val="right"/>
              <w:ind w:right="52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74"/>
        </w:trPr>
        <w:tc>
          <w:tcPr>
            <w:tcW w:w="800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80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80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56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560" w:type="dxa"/>
            <w:vAlign w:val="bottom"/>
          </w:tcPr>
          <w:p>
            <w:pPr>
              <w:jc w:val="right"/>
              <w:ind w:right="37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566</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cash flows from finance leases</w:t>
            </w:r>
          </w:p>
        </w:tc>
        <w:tc>
          <w:tcPr>
            <w:tcW w:w="5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8"/>
        </w:trPr>
        <w:tc>
          <w:tcPr>
            <w:tcW w:w="80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5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8"/>
        </w:trPr>
        <w:tc>
          <w:tcPr>
            <w:tcW w:w="800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Right-of-use assets obtained in exchange for lease obligations:</w:t>
            </w:r>
          </w:p>
        </w:tc>
        <w:tc>
          <w:tcPr>
            <w:tcW w:w="5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56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1,171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Finance leases</w:t>
            </w:r>
          </w:p>
        </w:tc>
        <w:tc>
          <w:tcPr>
            <w:tcW w:w="5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1,389</w:t>
            </w:r>
          </w:p>
        </w:tc>
        <w:tc>
          <w:tcPr>
            <w:tcW w:w="10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9"/>
        </w:trPr>
        <w:tc>
          <w:tcPr>
            <w:tcW w:w="8000" w:type="dxa"/>
            <w:vAlign w:val="bottom"/>
          </w:tcPr>
          <w:p>
            <w:pPr>
              <w:ind w:left="5540"/>
              <w:spacing w:after="0"/>
              <w:rPr>
                <w:sz w:val="20"/>
                <w:szCs w:val="20"/>
                <w:color w:val="auto"/>
              </w:rPr>
            </w:pPr>
            <w:r>
              <w:rPr>
                <w:rFonts w:ascii="Arial" w:cs="Arial" w:eastAsia="Arial" w:hAnsi="Arial"/>
                <w:sz w:val="14"/>
                <w:szCs w:val="14"/>
                <w:color w:val="auto"/>
              </w:rPr>
              <w:t>22</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80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8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11,575</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74"/>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2,049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10,050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12,099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61"/>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at cost</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15,285</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68"/>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12,754</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74"/>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882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12,666</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13,548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12,541</w:t>
            </w:r>
          </w:p>
        </w:tc>
        <w:tc>
          <w:tcPr>
            <w:tcW w:w="0" w:type="dxa"/>
            <w:vAlign w:val="bottom"/>
          </w:tcPr>
          <w:p>
            <w:pPr>
              <w:spacing w:after="0"/>
              <w:rPr>
                <w:sz w:val="1"/>
                <w:szCs w:val="1"/>
                <w:color w:val="auto"/>
              </w:rPr>
            </w:pPr>
          </w:p>
        </w:tc>
      </w:tr>
      <w:tr>
        <w:trPr>
          <w:trHeight w:val="61"/>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 years</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 years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179"/>
        </w:trPr>
        <w:tc>
          <w:tcPr>
            <w:tcW w:w="800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80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9"/>
        </w:trPr>
        <w:tc>
          <w:tcPr>
            <w:tcW w:w="8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 outlines maturities of our lease liabilities as of September 30, 2021:</w:t>
            </w: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8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Operating Leases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Finance Leases</w:t>
            </w:r>
          </w:p>
        </w:tc>
        <w:tc>
          <w:tcPr>
            <w:tcW w:w="0" w:type="dxa"/>
            <w:vAlign w:val="bottom"/>
          </w:tcPr>
          <w:p>
            <w:pPr>
              <w:spacing w:after="0"/>
              <w:rPr>
                <w:sz w:val="1"/>
                <w:szCs w:val="1"/>
                <w:color w:val="auto"/>
              </w:rPr>
            </w:pPr>
          </w:p>
        </w:tc>
      </w:tr>
      <w:tr>
        <w:trPr>
          <w:trHeight w:val="55"/>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360" w:type="dxa"/>
            <w:vAlign w:val="bottom"/>
            <w:gridSpan w:val="2"/>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 (excluding the three months ended September 30, 2021)</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1,667</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962</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2,072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1,295</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1,871</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1,312</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1,588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1,638</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1,256</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1,324</w:t>
            </w: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9,743</w:t>
            </w:r>
          </w:p>
        </w:tc>
        <w:tc>
          <w:tcPr>
            <w:tcW w:w="0" w:type="dxa"/>
            <w:vAlign w:val="bottom"/>
          </w:tcPr>
          <w:p>
            <w:pPr>
              <w:spacing w:after="0"/>
              <w:rPr>
                <w:sz w:val="1"/>
                <w:szCs w:val="1"/>
                <w:color w:val="auto"/>
              </w:rPr>
            </w:pPr>
          </w:p>
        </w:tc>
      </w:tr>
      <w:tr>
        <w:trPr>
          <w:trHeight w:val="68"/>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13,101</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16,274</w:t>
            </w: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(2,726)</w:t>
            </w:r>
          </w:p>
        </w:tc>
        <w:tc>
          <w:tcPr>
            <w:tcW w:w="0" w:type="dxa"/>
            <w:vAlign w:val="bottom"/>
          </w:tcPr>
          <w:p>
            <w:pPr>
              <w:spacing w:after="0"/>
              <w:rPr>
                <w:sz w:val="1"/>
                <w:szCs w:val="1"/>
                <w:color w:val="auto"/>
              </w:rPr>
            </w:pPr>
          </w:p>
        </w:tc>
      </w:tr>
      <w:tr>
        <w:trPr>
          <w:trHeight w:val="68"/>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12,099</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13,548</w:t>
            </w: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September 30, 2021, we have additional operating and finance leases, primarily for datacenters, that have not yet commenced of $5.1 billion and $5.9 billion, respectively. These operating and finance leases will commence between fiscal year 2022 and fiscal year 2026 with lease terms of 1 year to 15 years.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There were 65 patent infringement cases pending against Microsoft as of September 30, 2021, none of which are material individually or in aggregate.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All three have been certified on behalf of Canadian indirect purchasers who acquired licenses for Microsoft operating system software and/or productivity application software between 1998 and 2010.</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trial of the British Columbia action commenced in May 2016. Following a mediation, the parties agreed to a global settlement of all three Canadian actions and submitted the proposed settlement agreement to the courts in all three jurisdictions for approval. The final settlement and form of notice were approved by the courts in British Columbia, Ontario, and Quebec, and the claims period that commenced on November 23, 2020 has closed. The claims review deadline is January 21,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Market Regulation Investigation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Anti-Monopoly Law, and the SAMR conducted onsite inspections of Microsoft offices in Beijing, Shanghai, Guangzhou, and Chengdu. In 2019, the SAMR presented preliminary views as to certain possible violations of China’s Anti-Monopoly Law.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46 lawsuits, including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the defendants have moved to strike. In August 2018, the trial court issued an order striking portions of the plaintiffs’ expert reports. A hearing on general causation is scheduled for January and February of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September 30, 2021, we accrued aggregate legal liabilities of $333 million. While we intend to defend these matters vigorously, adverse outcomes that we estimate could reach approximately $500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September 18, 2019, our Board of Directors approved a share repurchase program authorizing up to $40.0 billion in share repurchases. This share repurchase program commenced in February 2020, has no expiration date, and may be terminated at any time. As of September 30, 2021, $2.5 billion remained of this $40.0 billion share repurchase program.</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 This share repurchase program will commence following completion of the program approved on September 18, 2019, has no expiration date, and may be terminated at any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540" w:type="dxa"/>
            <w:vAlign w:val="bottom"/>
          </w:tcPr>
          <w:p>
            <w:pPr>
              <w:jc w:val="right"/>
              <w:ind w:right="21"/>
              <w:spacing w:after="0"/>
              <w:rPr>
                <w:sz w:val="20"/>
                <w:szCs w:val="20"/>
                <w:color w:val="auto"/>
              </w:rPr>
            </w:pPr>
            <w:r>
              <w:rPr>
                <w:rFonts w:ascii="Arial" w:cs="Arial" w:eastAsia="Arial" w:hAnsi="Arial"/>
                <w:sz w:val="13"/>
                <w:szCs w:val="13"/>
                <w:b w:val="1"/>
                <w:bCs w:val="1"/>
                <w:color w:val="auto"/>
              </w:rPr>
              <w:t>Shares</w:t>
            </w:r>
          </w:p>
        </w:tc>
        <w:tc>
          <w:tcPr>
            <w:tcW w:w="420" w:type="dxa"/>
            <w:vAlign w:val="bottom"/>
          </w:tcPr>
          <w:p>
            <w:pPr>
              <w:spacing w:after="0"/>
              <w:rPr>
                <w:sz w:val="15"/>
                <w:szCs w:val="15"/>
                <w:color w:val="auto"/>
              </w:rPr>
            </w:pPr>
          </w:p>
        </w:tc>
        <w:tc>
          <w:tcPr>
            <w:tcW w:w="1100" w:type="dxa"/>
            <w:vAlign w:val="bottom"/>
          </w:tcPr>
          <w:p>
            <w:pPr>
              <w:jc w:val="right"/>
              <w:ind w:right="325"/>
              <w:spacing w:after="0"/>
              <w:rPr>
                <w:sz w:val="20"/>
                <w:szCs w:val="20"/>
                <w:color w:val="auto"/>
              </w:rPr>
            </w:pPr>
            <w:r>
              <w:rPr>
                <w:rFonts w:ascii="Arial" w:cs="Arial" w:eastAsia="Arial" w:hAnsi="Arial"/>
                <w:sz w:val="13"/>
                <w:szCs w:val="13"/>
                <w:b w:val="1"/>
                <w:bCs w:val="1"/>
                <w:color w:val="auto"/>
              </w:rPr>
              <w:t>Amount</w:t>
            </w:r>
          </w:p>
        </w:tc>
        <w:tc>
          <w:tcPr>
            <w:tcW w:w="940" w:type="dxa"/>
            <w:vAlign w:val="bottom"/>
          </w:tcPr>
          <w:p>
            <w:pPr>
              <w:jc w:val="right"/>
              <w:ind w:right="21"/>
              <w:spacing w:after="0"/>
              <w:rPr>
                <w:sz w:val="20"/>
                <w:szCs w:val="20"/>
                <w:color w:val="auto"/>
              </w:rPr>
            </w:pPr>
            <w:r>
              <w:rPr>
                <w:rFonts w:ascii="Arial" w:cs="Arial" w:eastAsia="Arial" w:hAnsi="Arial"/>
                <w:sz w:val="13"/>
                <w:szCs w:val="13"/>
                <w:b w:val="1"/>
                <w:bCs w:val="1"/>
                <w:color w:val="auto"/>
              </w:rPr>
              <w:t>Shares</w:t>
            </w:r>
          </w:p>
        </w:tc>
        <w:tc>
          <w:tcPr>
            <w:tcW w:w="400" w:type="dxa"/>
            <w:vAlign w:val="bottom"/>
          </w:tcPr>
          <w:p>
            <w:pPr>
              <w:spacing w:after="0"/>
              <w:rPr>
                <w:sz w:val="15"/>
                <w:szCs w:val="15"/>
                <w:color w:val="auto"/>
              </w:rPr>
            </w:pPr>
          </w:p>
        </w:tc>
        <w:tc>
          <w:tcPr>
            <w:tcW w:w="84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Amount</w:t>
            </w:r>
          </w:p>
        </w:tc>
      </w:tr>
      <w:tr>
        <w:trPr>
          <w:trHeight w:val="54"/>
        </w:trPr>
        <w:tc>
          <w:tcPr>
            <w:tcW w:w="40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3"/>
                <w:szCs w:val="13"/>
                <w:b w:val="1"/>
                <w:bCs w:val="1"/>
                <w:color w:val="auto"/>
              </w:rPr>
              <w:t>Fiscal Year</w:t>
            </w:r>
          </w:p>
        </w:tc>
        <w:tc>
          <w:tcPr>
            <w:tcW w:w="3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325"/>
              <w:spacing w:after="0"/>
              <w:rPr>
                <w:sz w:val="20"/>
                <w:szCs w:val="20"/>
                <w:color w:val="auto"/>
              </w:rPr>
            </w:pPr>
            <w:r>
              <w:rPr>
                <w:rFonts w:ascii="Arial" w:cs="Arial" w:eastAsia="Arial" w:hAnsi="Arial"/>
                <w:sz w:val="13"/>
                <w:szCs w:val="13"/>
                <w:b w:val="1"/>
                <w:bCs w:val="1"/>
                <w:color w:val="auto"/>
              </w:rPr>
              <w:t>2022</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r>
      <w:tr>
        <w:trPr>
          <w:trHeight w:val="54"/>
        </w:trPr>
        <w:tc>
          <w:tcPr>
            <w:tcW w:w="4000" w:type="dxa"/>
            <w:vAlign w:val="bottom"/>
          </w:tcPr>
          <w:p>
            <w:pPr>
              <w:spacing w:after="0"/>
              <w:rPr>
                <w:sz w:val="4"/>
                <w:szCs w:val="4"/>
                <w:color w:val="auto"/>
              </w:rPr>
            </w:pPr>
          </w:p>
        </w:tc>
        <w:tc>
          <w:tcPr>
            <w:tcW w:w="3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4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354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21</w:t>
            </w:r>
          </w:p>
        </w:tc>
        <w:tc>
          <w:tcPr>
            <w:tcW w:w="4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325"/>
              <w:spacing w:after="0" w:line="189" w:lineRule="exact"/>
              <w:rPr>
                <w:sz w:val="20"/>
                <w:szCs w:val="20"/>
                <w:color w:val="auto"/>
              </w:rPr>
            </w:pPr>
            <w:r>
              <w:rPr>
                <w:rFonts w:ascii="Arial" w:cs="Arial" w:eastAsia="Arial" w:hAnsi="Arial"/>
                <w:sz w:val="18"/>
                <w:szCs w:val="18"/>
                <w:b w:val="1"/>
                <w:bCs w:val="1"/>
                <w:color w:val="auto"/>
              </w:rPr>
              <w:t>6,200</w:t>
            </w:r>
          </w:p>
        </w:tc>
        <w:tc>
          <w:tcPr>
            <w:tcW w:w="94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25</w:t>
            </w:r>
          </w:p>
        </w:tc>
        <w:tc>
          <w:tcPr>
            <w:tcW w:w="4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5,270</w:t>
            </w:r>
          </w:p>
        </w:tc>
        <w:tc>
          <w:tcPr>
            <w:tcW w:w="120" w:type="dxa"/>
            <w:vAlign w:val="bottom"/>
            <w:shd w:val="clear" w:color="auto" w:fill="E5E5E5"/>
          </w:tcPr>
          <w:p>
            <w:pPr>
              <w:spacing w:after="0"/>
              <w:rPr>
                <w:sz w:val="16"/>
                <w:szCs w:val="16"/>
                <w:color w:val="auto"/>
              </w:rPr>
            </w:pPr>
          </w:p>
        </w:tc>
      </w:tr>
      <w:tr>
        <w:trPr>
          <w:trHeight w:val="68"/>
        </w:trPr>
        <w:tc>
          <w:tcPr>
            <w:tcW w:w="400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above table excludes shares repurchased to settle employee tax withholding related to the vesting of stock awards of $1.5 billion for the first quarter of both fiscal years 2022 and 2021, respectively. All repurchases were made using cash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jc w:val="right"/>
              <w:ind w:right="21"/>
              <w:spacing w:after="0"/>
              <w:rPr>
                <w:sz w:val="20"/>
                <w:szCs w:val="20"/>
                <w:color w:val="auto"/>
              </w:rPr>
            </w:pPr>
            <w:r>
              <w:rPr>
                <w:rFonts w:ascii="Arial" w:cs="Arial" w:eastAsia="Arial" w:hAnsi="Arial"/>
                <w:sz w:val="13"/>
                <w:szCs w:val="13"/>
                <w:b w:val="1"/>
                <w:bCs w:val="1"/>
                <w:color w:val="auto"/>
              </w:rPr>
              <w:t>Dividend</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248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2840" w:type="dxa"/>
            <w:vAlign w:val="bottom"/>
          </w:tcPr>
          <w:p>
            <w:pPr>
              <w:ind w:left="800"/>
              <w:spacing w:after="0"/>
              <w:rPr>
                <w:sz w:val="20"/>
                <w:szCs w:val="20"/>
                <w:color w:val="auto"/>
              </w:rPr>
            </w:pPr>
            <w:r>
              <w:rPr>
                <w:rFonts w:ascii="Arial" w:cs="Arial" w:eastAsia="Arial" w:hAnsi="Arial"/>
                <w:sz w:val="13"/>
                <w:szCs w:val="13"/>
                <w:b w:val="1"/>
                <w:bCs w:val="1"/>
                <w:color w:val="auto"/>
              </w:rPr>
              <w:t>Record Date</w:t>
            </w:r>
          </w:p>
        </w:tc>
        <w:tc>
          <w:tcPr>
            <w:tcW w:w="2540" w:type="dxa"/>
            <w:vAlign w:val="bottom"/>
          </w:tcPr>
          <w:p>
            <w:pPr>
              <w:ind w:left="400"/>
              <w:spacing w:after="0"/>
              <w:rPr>
                <w:sz w:val="20"/>
                <w:szCs w:val="20"/>
                <w:color w:val="auto"/>
              </w:rPr>
            </w:pPr>
            <w:r>
              <w:rPr>
                <w:rFonts w:ascii="Arial" w:cs="Arial" w:eastAsia="Arial" w:hAnsi="Arial"/>
                <w:sz w:val="13"/>
                <w:szCs w:val="13"/>
                <w:b w:val="1"/>
                <w:bCs w:val="1"/>
                <w:color w:val="auto"/>
              </w:rPr>
              <w:t>Payment Date</w:t>
            </w:r>
          </w:p>
        </w:tc>
        <w:tc>
          <w:tcPr>
            <w:tcW w:w="92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Arial" w:cs="Arial" w:eastAsia="Arial" w:hAnsi="Arial"/>
                <w:sz w:val="13"/>
                <w:szCs w:val="13"/>
                <w:b w:val="1"/>
                <w:bCs w:val="1"/>
                <w:color w:val="auto"/>
              </w:rPr>
              <w:t>Per Share</w:t>
            </w:r>
          </w:p>
        </w:tc>
        <w:tc>
          <w:tcPr>
            <w:tcW w:w="4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Amount</w:t>
            </w:r>
          </w:p>
        </w:tc>
      </w:tr>
      <w:tr>
        <w:trPr>
          <w:trHeight w:val="55"/>
        </w:trPr>
        <w:tc>
          <w:tcPr>
            <w:tcW w:w="248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3"/>
                <w:szCs w:val="13"/>
                <w:b w:val="1"/>
                <w:bCs w:val="1"/>
                <w:color w:val="auto"/>
              </w:rPr>
              <w:t>Fiscal Year 2022</w:t>
            </w:r>
          </w:p>
        </w:tc>
        <w:tc>
          <w:tcPr>
            <w:tcW w:w="28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 millions)</w:t>
            </w:r>
          </w:p>
        </w:tc>
      </w:tr>
      <w:tr>
        <w:trPr>
          <w:trHeight w:val="54"/>
        </w:trPr>
        <w:tc>
          <w:tcPr>
            <w:tcW w:w="24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24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14, 2021</w:t>
            </w:r>
          </w:p>
        </w:tc>
        <w:tc>
          <w:tcPr>
            <w:tcW w:w="2840" w:type="dxa"/>
            <w:vAlign w:val="bottom"/>
            <w:shd w:val="clear" w:color="auto" w:fill="E5E5E5"/>
          </w:tcPr>
          <w:p>
            <w:pPr>
              <w:ind w:left="800"/>
              <w:spacing w:after="0" w:line="189" w:lineRule="exact"/>
              <w:rPr>
                <w:sz w:val="20"/>
                <w:szCs w:val="20"/>
                <w:color w:val="auto"/>
              </w:rPr>
            </w:pPr>
            <w:r>
              <w:rPr>
                <w:rFonts w:ascii="Arial" w:cs="Arial" w:eastAsia="Arial" w:hAnsi="Arial"/>
                <w:sz w:val="18"/>
                <w:szCs w:val="18"/>
                <w:b w:val="1"/>
                <w:bCs w:val="1"/>
                <w:color w:val="auto"/>
              </w:rPr>
              <w:t>November 18, 2021</w:t>
            </w:r>
          </w:p>
        </w:tc>
        <w:tc>
          <w:tcPr>
            <w:tcW w:w="2540" w:type="dxa"/>
            <w:vAlign w:val="bottom"/>
            <w:shd w:val="clear" w:color="auto" w:fill="E5E5E5"/>
          </w:tcPr>
          <w:p>
            <w:pPr>
              <w:ind w:left="400"/>
              <w:spacing w:after="0" w:line="189" w:lineRule="exact"/>
              <w:rPr>
                <w:sz w:val="20"/>
                <w:szCs w:val="20"/>
                <w:color w:val="auto"/>
              </w:rPr>
            </w:pPr>
            <w:r>
              <w:rPr>
                <w:rFonts w:ascii="Arial" w:cs="Arial" w:eastAsia="Arial" w:hAnsi="Arial"/>
                <w:sz w:val="18"/>
                <w:szCs w:val="18"/>
                <w:b w:val="1"/>
                <w:bCs w:val="1"/>
                <w:color w:val="auto"/>
              </w:rPr>
              <w:t>December 9, 2021</w:t>
            </w:r>
          </w:p>
        </w:tc>
        <w:tc>
          <w:tcPr>
            <w:tcW w:w="92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0.62</w:t>
            </w:r>
          </w:p>
        </w:tc>
        <w:tc>
          <w:tcPr>
            <w:tcW w:w="4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4,656</w:t>
            </w:r>
          </w:p>
        </w:tc>
        <w:tc>
          <w:tcPr>
            <w:tcW w:w="60" w:type="dxa"/>
            <w:vAlign w:val="bottom"/>
            <w:shd w:val="clear" w:color="auto" w:fill="E5E5E5"/>
          </w:tcPr>
          <w:p>
            <w:pPr>
              <w:spacing w:after="0"/>
              <w:rPr>
                <w:sz w:val="16"/>
                <w:szCs w:val="16"/>
                <w:color w:val="auto"/>
              </w:rPr>
            </w:pPr>
          </w:p>
        </w:tc>
      </w:tr>
      <w:tr>
        <w:trPr>
          <w:trHeight w:val="229"/>
        </w:trPr>
        <w:tc>
          <w:tcPr>
            <w:tcW w:w="2480" w:type="dxa"/>
            <w:vAlign w:val="bottom"/>
          </w:tcPr>
          <w:p>
            <w:pPr>
              <w:spacing w:after="0"/>
              <w:rPr>
                <w:sz w:val="20"/>
                <w:szCs w:val="20"/>
                <w:color w:val="auto"/>
              </w:rPr>
            </w:pPr>
            <w:r>
              <w:rPr>
                <w:rFonts w:ascii="Arial" w:cs="Arial" w:eastAsia="Arial" w:hAnsi="Arial"/>
                <w:sz w:val="13"/>
                <w:szCs w:val="13"/>
                <w:b w:val="1"/>
                <w:bCs w:val="1"/>
                <w:color w:val="auto"/>
              </w:rPr>
              <w:t>Fiscal Year 2021</w:t>
            </w:r>
          </w:p>
        </w:tc>
        <w:tc>
          <w:tcPr>
            <w:tcW w:w="28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5"/>
        </w:trPr>
        <w:tc>
          <w:tcPr>
            <w:tcW w:w="24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2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15, 2020</w:t>
            </w:r>
          </w:p>
        </w:tc>
        <w:tc>
          <w:tcPr>
            <w:tcW w:w="2840" w:type="dxa"/>
            <w:vAlign w:val="bottom"/>
            <w:shd w:val="clear" w:color="auto" w:fill="E5E5E5"/>
          </w:tcPr>
          <w:p>
            <w:pPr>
              <w:ind w:left="800"/>
              <w:spacing w:after="0" w:line="189" w:lineRule="exact"/>
              <w:rPr>
                <w:sz w:val="20"/>
                <w:szCs w:val="20"/>
                <w:color w:val="auto"/>
              </w:rPr>
            </w:pPr>
            <w:r>
              <w:rPr>
                <w:rFonts w:ascii="Arial" w:cs="Arial" w:eastAsia="Arial" w:hAnsi="Arial"/>
                <w:sz w:val="18"/>
                <w:szCs w:val="18"/>
                <w:color w:val="auto"/>
              </w:rPr>
              <w:t>November 19, 2020</w:t>
            </w:r>
          </w:p>
        </w:tc>
        <w:tc>
          <w:tcPr>
            <w:tcW w:w="2540" w:type="dxa"/>
            <w:vAlign w:val="bottom"/>
            <w:shd w:val="clear" w:color="auto" w:fill="E5E5E5"/>
          </w:tcPr>
          <w:p>
            <w:pPr>
              <w:ind w:left="400"/>
              <w:spacing w:after="0" w:line="189" w:lineRule="exact"/>
              <w:rPr>
                <w:sz w:val="20"/>
                <w:szCs w:val="20"/>
                <w:color w:val="auto"/>
              </w:rPr>
            </w:pPr>
            <w:r>
              <w:rPr>
                <w:rFonts w:ascii="Arial" w:cs="Arial" w:eastAsia="Arial" w:hAnsi="Arial"/>
                <w:sz w:val="18"/>
                <w:szCs w:val="18"/>
                <w:color w:val="auto"/>
              </w:rPr>
              <w:t>December 10, 2020</w:t>
            </w:r>
          </w:p>
        </w:tc>
        <w:tc>
          <w:tcPr>
            <w:tcW w:w="92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0.56</w:t>
            </w:r>
          </w:p>
        </w:tc>
        <w:tc>
          <w:tcPr>
            <w:tcW w:w="4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4,230</w:t>
            </w:r>
          </w:p>
        </w:tc>
        <w:tc>
          <w:tcPr>
            <w:tcW w:w="60" w:type="dxa"/>
            <w:vAlign w:val="bottom"/>
            <w:shd w:val="clear" w:color="auto" w:fill="E5E5E5"/>
          </w:tcPr>
          <w:p>
            <w:pPr>
              <w:spacing w:after="0"/>
              <w:rPr>
                <w:sz w:val="16"/>
                <w:szCs w:val="16"/>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September 14, 2021 was included in other current liabilities as of September 30,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6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54"/>
        </w:trPr>
        <w:tc>
          <w:tcPr>
            <w:tcW w:w="7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89"/>
        </w:trPr>
        <w:tc>
          <w:tcPr>
            <w:tcW w:w="7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(19)</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(38)</w:t>
            </w:r>
          </w:p>
        </w:tc>
      </w:tr>
      <w:tr>
        <w:trPr>
          <w:trHeight w:val="248"/>
        </w:trPr>
        <w:tc>
          <w:tcPr>
            <w:tcW w:w="7260" w:type="dxa"/>
            <w:vAlign w:val="bottom"/>
          </w:tcPr>
          <w:p>
            <w:pPr>
              <w:spacing w:after="0"/>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$(3)</w:t>
            </w:r>
            <w:r>
              <w:rPr>
                <w:rFonts w:ascii="Arial" w:cs="Arial" w:eastAsia="Arial" w:hAnsi="Arial"/>
                <w:sz w:val="18"/>
                <w:szCs w:val="18"/>
                <w:color w:val="auto"/>
              </w:rPr>
              <w:t xml:space="preserve"> and $5</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(10)</w:t>
            </w:r>
          </w:p>
        </w:tc>
        <w:tc>
          <w:tcPr>
            <w:tcW w:w="5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r>
      <w:tr>
        <w:trPr>
          <w:trHeight w:val="198"/>
        </w:trPr>
        <w:tc>
          <w:tcPr>
            <w:tcW w:w="726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Reclassification adjustments for (gains) losses included in other income (expense), net</w:t>
            </w:r>
          </w:p>
        </w:tc>
        <w:tc>
          <w:tcPr>
            <w:tcW w:w="3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440"/>
              <w:spacing w:after="0" w:line="198" w:lineRule="exact"/>
              <w:rPr>
                <w:sz w:val="20"/>
                <w:szCs w:val="20"/>
                <w:color w:val="auto"/>
              </w:rPr>
            </w:pPr>
            <w:r>
              <w:rPr>
                <w:rFonts w:ascii="Arial" w:cs="Arial" w:eastAsia="Arial" w:hAnsi="Arial"/>
                <w:sz w:val="18"/>
                <w:szCs w:val="18"/>
                <w:b w:val="1"/>
                <w:bCs w:val="1"/>
                <w:color w:val="auto"/>
              </w:rPr>
              <w:t>15</w:t>
            </w:r>
          </w:p>
        </w:tc>
        <w:tc>
          <w:tcPr>
            <w:tcW w:w="540" w:type="dxa"/>
            <w:vAlign w:val="bottom"/>
            <w:shd w:val="clear" w:color="auto" w:fill="E5E5E5"/>
          </w:tcPr>
          <w:p>
            <w:pPr>
              <w:spacing w:after="0"/>
              <w:rPr>
                <w:sz w:val="17"/>
                <w:szCs w:val="17"/>
                <w:color w:val="auto"/>
              </w:rPr>
            </w:pPr>
          </w:p>
        </w:tc>
        <w:tc>
          <w:tcPr>
            <w:tcW w:w="1160" w:type="dxa"/>
            <w:vAlign w:val="bottom"/>
            <w:gridSpan w:val="3"/>
            <w:shd w:val="clear" w:color="auto" w:fill="E5E5E5"/>
          </w:tcPr>
          <w:p>
            <w:pPr>
              <w:jc w:val="right"/>
              <w:ind w:right="160"/>
              <w:spacing w:after="0" w:line="198" w:lineRule="exact"/>
              <w:rPr>
                <w:sz w:val="20"/>
                <w:szCs w:val="20"/>
                <w:color w:val="auto"/>
              </w:rPr>
            </w:pPr>
            <w:r>
              <w:rPr>
                <w:rFonts w:ascii="Arial" w:cs="Arial" w:eastAsia="Arial" w:hAnsi="Arial"/>
                <w:sz w:val="18"/>
                <w:szCs w:val="18"/>
                <w:color w:val="auto"/>
              </w:rPr>
              <w:t>(20)</w:t>
            </w:r>
          </w:p>
        </w:tc>
      </w:tr>
      <w:tr>
        <w:trPr>
          <w:trHeight w:val="250"/>
        </w:trPr>
        <w:tc>
          <w:tcPr>
            <w:tcW w:w="726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r>
      <w:tr>
        <w:trPr>
          <w:trHeight w:val="68"/>
        </w:trPr>
        <w:tc>
          <w:tcPr>
            <w:tcW w:w="7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189"/>
        </w:trPr>
        <w:tc>
          <w:tcPr>
            <w:tcW w:w="72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Amounts reclassified from accumulated other comprehensive income</w:t>
            </w:r>
          </w:p>
        </w:tc>
        <w:tc>
          <w:tcPr>
            <w:tcW w:w="34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12</w:t>
            </w:r>
          </w:p>
        </w:tc>
        <w:tc>
          <w:tcPr>
            <w:tcW w:w="540" w:type="dxa"/>
            <w:vAlign w:val="bottom"/>
            <w:shd w:val="clear" w:color="auto" w:fill="E5E5E5"/>
          </w:tcPr>
          <w:p>
            <w:pPr>
              <w:spacing w:after="0"/>
              <w:rPr>
                <w:sz w:val="16"/>
                <w:szCs w:val="16"/>
                <w:color w:val="auto"/>
              </w:rPr>
            </w:pPr>
          </w:p>
        </w:tc>
        <w:tc>
          <w:tcPr>
            <w:tcW w:w="11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(16)</w:t>
            </w:r>
          </w:p>
        </w:tc>
      </w:tr>
      <w:tr>
        <w:trPr>
          <w:trHeight w:val="68"/>
        </w:trPr>
        <w:tc>
          <w:tcPr>
            <w:tcW w:w="7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64"/>
        </w:trPr>
        <w:tc>
          <w:tcPr>
            <w:tcW w:w="7260" w:type="dxa"/>
            <w:vAlign w:val="bottom"/>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and $1</w:t>
            </w: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w:t>
            </w:r>
          </w:p>
        </w:tc>
        <w:tc>
          <w:tcPr>
            <w:tcW w:w="54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2"/>
                <w:szCs w:val="22"/>
                <w:color w:val="auto"/>
              </w:rPr>
            </w:pPr>
          </w:p>
        </w:tc>
      </w:tr>
      <w:tr>
        <w:trPr>
          <w:trHeight w:val="54"/>
        </w:trPr>
        <w:tc>
          <w:tcPr>
            <w:tcW w:w="7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61"/>
        </w:trPr>
        <w:tc>
          <w:tcPr>
            <w:tcW w:w="7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189"/>
        </w:trPr>
        <w:tc>
          <w:tcPr>
            <w:tcW w:w="7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(17)</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(34)</w:t>
            </w:r>
          </w:p>
        </w:tc>
      </w:tr>
      <w:tr>
        <w:trPr>
          <w:trHeight w:val="68"/>
        </w:trPr>
        <w:tc>
          <w:tcPr>
            <w:tcW w:w="7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55"/>
        </w:trPr>
        <w:tc>
          <w:tcPr>
            <w:tcW w:w="7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89"/>
        </w:trPr>
        <w:tc>
          <w:tcPr>
            <w:tcW w:w="7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3,222</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5,478</w:t>
            </w:r>
          </w:p>
        </w:tc>
        <w:tc>
          <w:tcPr>
            <w:tcW w:w="200" w:type="dxa"/>
            <w:vAlign w:val="bottom"/>
            <w:shd w:val="clear" w:color="auto" w:fill="E5E5E5"/>
          </w:tcPr>
          <w:p>
            <w:pPr>
              <w:spacing w:after="0"/>
              <w:rPr>
                <w:sz w:val="16"/>
                <w:szCs w:val="16"/>
                <w:color w:val="auto"/>
              </w:rPr>
            </w:pPr>
          </w:p>
        </w:tc>
      </w:tr>
      <w:tr>
        <w:trPr>
          <w:trHeight w:val="248"/>
        </w:trPr>
        <w:tc>
          <w:tcPr>
            <w:tcW w:w="7260" w:type="dxa"/>
            <w:vAlign w:val="bottom"/>
          </w:tcPr>
          <w:p>
            <w:pPr>
              <w:spacing w:after="0"/>
              <w:rPr>
                <w:sz w:val="20"/>
                <w:szCs w:val="20"/>
                <w:color w:val="auto"/>
              </w:rPr>
            </w:pPr>
            <w:r>
              <w:rPr>
                <w:rFonts w:ascii="Arial" w:cs="Arial" w:eastAsia="Arial" w:hAnsi="Arial"/>
                <w:sz w:val="18"/>
                <w:szCs w:val="18"/>
                <w:color w:val="auto"/>
              </w:rPr>
              <w:t xml:space="preserve">Unrealized losses, net of tax of </w:t>
            </w:r>
            <w:r>
              <w:rPr>
                <w:rFonts w:ascii="Arial" w:cs="Arial" w:eastAsia="Arial" w:hAnsi="Arial"/>
                <w:sz w:val="18"/>
                <w:szCs w:val="18"/>
                <w:b w:val="1"/>
                <w:bCs w:val="1"/>
                <w:color w:val="auto"/>
              </w:rPr>
              <w:t>$(110)</w:t>
            </w:r>
            <w:r>
              <w:rPr>
                <w:rFonts w:ascii="Arial" w:cs="Arial" w:eastAsia="Arial" w:hAnsi="Arial"/>
                <w:sz w:val="18"/>
                <w:szCs w:val="18"/>
                <w:color w:val="auto"/>
              </w:rPr>
              <w:t xml:space="preserve"> and $(50)</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(415)</w:t>
            </w:r>
          </w:p>
        </w:tc>
        <w:tc>
          <w:tcPr>
            <w:tcW w:w="54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(188)</w:t>
            </w:r>
          </w:p>
        </w:tc>
      </w:tr>
      <w:tr>
        <w:trPr>
          <w:trHeight w:val="198"/>
        </w:trPr>
        <w:tc>
          <w:tcPr>
            <w:tcW w:w="726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Reclassification adjustments for gains included in other income (expense), net</w:t>
            </w:r>
          </w:p>
        </w:tc>
        <w:tc>
          <w:tcPr>
            <w:tcW w:w="3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380"/>
              <w:spacing w:after="0" w:line="198" w:lineRule="exact"/>
              <w:rPr>
                <w:sz w:val="20"/>
                <w:szCs w:val="20"/>
                <w:color w:val="auto"/>
              </w:rPr>
            </w:pPr>
            <w:r>
              <w:rPr>
                <w:rFonts w:ascii="Arial" w:cs="Arial" w:eastAsia="Arial" w:hAnsi="Arial"/>
                <w:sz w:val="18"/>
                <w:szCs w:val="18"/>
                <w:b w:val="1"/>
                <w:bCs w:val="1"/>
                <w:color w:val="auto"/>
              </w:rPr>
              <w:t>(9)</w:t>
            </w:r>
          </w:p>
        </w:tc>
        <w:tc>
          <w:tcPr>
            <w:tcW w:w="540" w:type="dxa"/>
            <w:vAlign w:val="bottom"/>
            <w:shd w:val="clear" w:color="auto" w:fill="E5E5E5"/>
          </w:tcPr>
          <w:p>
            <w:pPr>
              <w:spacing w:after="0"/>
              <w:rPr>
                <w:sz w:val="17"/>
                <w:szCs w:val="17"/>
                <w:color w:val="auto"/>
              </w:rPr>
            </w:pPr>
          </w:p>
        </w:tc>
        <w:tc>
          <w:tcPr>
            <w:tcW w:w="1160" w:type="dxa"/>
            <w:vAlign w:val="bottom"/>
            <w:gridSpan w:val="3"/>
            <w:shd w:val="clear" w:color="auto" w:fill="E5E5E5"/>
          </w:tcPr>
          <w:p>
            <w:pPr>
              <w:jc w:val="right"/>
              <w:ind w:right="160"/>
              <w:spacing w:after="0" w:line="198" w:lineRule="exact"/>
              <w:rPr>
                <w:sz w:val="20"/>
                <w:szCs w:val="20"/>
                <w:color w:val="auto"/>
              </w:rPr>
            </w:pPr>
            <w:r>
              <w:rPr>
                <w:rFonts w:ascii="Arial" w:cs="Arial" w:eastAsia="Arial" w:hAnsi="Arial"/>
                <w:sz w:val="18"/>
                <w:szCs w:val="18"/>
                <w:color w:val="auto"/>
              </w:rPr>
              <w:t>(17)</w:t>
            </w:r>
          </w:p>
        </w:tc>
      </w:tr>
      <w:tr>
        <w:trPr>
          <w:trHeight w:val="250"/>
        </w:trPr>
        <w:tc>
          <w:tcPr>
            <w:tcW w:w="726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w:t>
            </w:r>
          </w:p>
        </w:tc>
        <w:tc>
          <w:tcPr>
            <w:tcW w:w="5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r>
      <w:tr>
        <w:trPr>
          <w:trHeight w:val="68"/>
        </w:trPr>
        <w:tc>
          <w:tcPr>
            <w:tcW w:w="7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189"/>
        </w:trPr>
        <w:tc>
          <w:tcPr>
            <w:tcW w:w="72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Amounts reclassified from accumulated other comprehensive income</w:t>
            </w:r>
          </w:p>
        </w:tc>
        <w:tc>
          <w:tcPr>
            <w:tcW w:w="34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(7)</w:t>
            </w:r>
          </w:p>
        </w:tc>
        <w:tc>
          <w:tcPr>
            <w:tcW w:w="540" w:type="dxa"/>
            <w:vAlign w:val="bottom"/>
            <w:shd w:val="clear" w:color="auto" w:fill="E5E5E5"/>
          </w:tcPr>
          <w:p>
            <w:pPr>
              <w:spacing w:after="0"/>
              <w:rPr>
                <w:sz w:val="16"/>
                <w:szCs w:val="16"/>
                <w:color w:val="auto"/>
              </w:rPr>
            </w:pPr>
          </w:p>
        </w:tc>
        <w:tc>
          <w:tcPr>
            <w:tcW w:w="11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(13)</w:t>
            </w:r>
          </w:p>
        </w:tc>
      </w:tr>
      <w:tr>
        <w:trPr>
          <w:trHeight w:val="68"/>
        </w:trPr>
        <w:tc>
          <w:tcPr>
            <w:tcW w:w="7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gridSpan w:val="2"/>
          </w:tcPr>
          <w:p>
            <w:pPr>
              <w:spacing w:after="0"/>
              <w:rPr>
                <w:sz w:val="5"/>
                <w:szCs w:val="5"/>
                <w:color w:val="auto"/>
              </w:rPr>
            </w:pPr>
          </w:p>
        </w:tc>
      </w:tr>
      <w:tr>
        <w:trPr>
          <w:trHeight w:val="250"/>
        </w:trPr>
        <w:tc>
          <w:tcPr>
            <w:tcW w:w="7260" w:type="dxa"/>
            <w:vAlign w:val="bottom"/>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$(112)</w:t>
            </w:r>
            <w:r>
              <w:rPr>
                <w:rFonts w:ascii="Arial" w:cs="Arial" w:eastAsia="Arial" w:hAnsi="Arial"/>
                <w:sz w:val="18"/>
                <w:szCs w:val="18"/>
                <w:color w:val="auto"/>
              </w:rPr>
              <w:t xml:space="preserve"> and $(54)</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(422)</w:t>
            </w:r>
          </w:p>
        </w:tc>
        <w:tc>
          <w:tcPr>
            <w:tcW w:w="54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(201)</w:t>
            </w:r>
          </w:p>
        </w:tc>
      </w:tr>
      <w:tr>
        <w:trPr>
          <w:trHeight w:val="189"/>
        </w:trPr>
        <w:tc>
          <w:tcPr>
            <w:tcW w:w="7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34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0</w:t>
            </w:r>
          </w:p>
        </w:tc>
        <w:tc>
          <w:tcPr>
            <w:tcW w:w="5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10</w:t>
            </w:r>
          </w:p>
        </w:tc>
        <w:tc>
          <w:tcPr>
            <w:tcW w:w="200" w:type="dxa"/>
            <w:vAlign w:val="bottom"/>
            <w:shd w:val="clear" w:color="auto" w:fill="E5E5E5"/>
          </w:tcPr>
          <w:p>
            <w:pPr>
              <w:spacing w:after="0"/>
              <w:rPr>
                <w:sz w:val="16"/>
                <w:szCs w:val="16"/>
                <w:color w:val="auto"/>
              </w:rPr>
            </w:pPr>
          </w:p>
        </w:tc>
      </w:tr>
      <w:tr>
        <w:trPr>
          <w:trHeight w:val="67"/>
        </w:trPr>
        <w:tc>
          <w:tcPr>
            <w:tcW w:w="7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64"/>
        </w:trPr>
        <w:tc>
          <w:tcPr>
            <w:tcW w:w="7260" w:type="dxa"/>
            <w:vAlign w:val="bottom"/>
          </w:tcPr>
          <w:p>
            <w:pPr>
              <w:spacing w:after="0"/>
              <w:rPr>
                <w:sz w:val="20"/>
                <w:szCs w:val="20"/>
                <w:color w:val="auto"/>
              </w:rPr>
            </w:pPr>
            <w:r>
              <w:rPr>
                <w:rFonts w:ascii="Arial" w:cs="Arial" w:eastAsia="Arial" w:hAnsi="Arial"/>
                <w:sz w:val="18"/>
                <w:szCs w:val="18"/>
                <w:color w:val="auto"/>
              </w:rPr>
              <w:t>Balance, end of period</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2,800</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5,287</w:t>
            </w:r>
          </w:p>
        </w:tc>
        <w:tc>
          <w:tcPr>
            <w:tcW w:w="200" w:type="dxa"/>
            <w:vAlign w:val="bottom"/>
          </w:tcPr>
          <w:p>
            <w:pPr>
              <w:spacing w:after="0"/>
              <w:rPr>
                <w:sz w:val="22"/>
                <w:szCs w:val="22"/>
                <w:color w:val="auto"/>
              </w:rPr>
            </w:pPr>
          </w:p>
        </w:tc>
      </w:tr>
      <w:tr>
        <w:trPr>
          <w:trHeight w:val="54"/>
        </w:trPr>
        <w:tc>
          <w:tcPr>
            <w:tcW w:w="7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55"/>
        </w:trPr>
        <w:tc>
          <w:tcPr>
            <w:tcW w:w="7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89"/>
        </w:trPr>
        <w:tc>
          <w:tcPr>
            <w:tcW w:w="7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(1,381)</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(2,254)</w:t>
            </w:r>
          </w:p>
        </w:tc>
      </w:tr>
      <w:tr>
        <w:trPr>
          <w:trHeight w:val="250"/>
        </w:trPr>
        <w:tc>
          <w:tcPr>
            <w:tcW w:w="726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and $(9)</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(119)</w:t>
            </w:r>
          </w:p>
        </w:tc>
        <w:tc>
          <w:tcPr>
            <w:tcW w:w="5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1"/>
                <w:szCs w:val="21"/>
                <w:color w:val="auto"/>
              </w:rPr>
            </w:pPr>
          </w:p>
        </w:tc>
      </w:tr>
      <w:tr>
        <w:trPr>
          <w:trHeight w:val="68"/>
        </w:trPr>
        <w:tc>
          <w:tcPr>
            <w:tcW w:w="7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189"/>
        </w:trPr>
        <w:tc>
          <w:tcPr>
            <w:tcW w:w="7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(1,500)</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(2,143)</w:t>
            </w:r>
          </w:p>
        </w:tc>
      </w:tr>
      <w:tr>
        <w:trPr>
          <w:trHeight w:val="68"/>
        </w:trPr>
        <w:tc>
          <w:tcPr>
            <w:tcW w:w="7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63"/>
        </w:trPr>
        <w:tc>
          <w:tcPr>
            <w:tcW w:w="7260" w:type="dxa"/>
            <w:vAlign w:val="bottom"/>
          </w:tcPr>
          <w:p>
            <w:pPr>
              <w:spacing w:after="0"/>
              <w:rPr>
                <w:sz w:val="20"/>
                <w:szCs w:val="20"/>
                <w:color w:val="auto"/>
              </w:rPr>
            </w:pPr>
            <w:r>
              <w:rPr>
                <w:rFonts w:ascii="Arial" w:cs="Arial" w:eastAsia="Arial" w:hAnsi="Arial"/>
                <w:sz w:val="18"/>
                <w:szCs w:val="18"/>
                <w:color w:val="auto"/>
              </w:rPr>
              <w:t>Accumulated other comprehensive income, end of period</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1,283</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3,110</w:t>
            </w:r>
          </w:p>
        </w:tc>
        <w:tc>
          <w:tcPr>
            <w:tcW w:w="200" w:type="dxa"/>
            <w:vAlign w:val="bottom"/>
          </w:tcPr>
          <w:p>
            <w:pPr>
              <w:spacing w:after="0"/>
              <w:rPr>
                <w:sz w:val="22"/>
                <w:szCs w:val="22"/>
                <w:color w:val="auto"/>
              </w:rPr>
            </w:pPr>
          </w:p>
        </w:tc>
      </w:tr>
      <w:tr>
        <w:trPr>
          <w:trHeight w:val="61"/>
        </w:trPr>
        <w:tc>
          <w:tcPr>
            <w:tcW w:w="7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SEGMENT INFORMATION AND GEOGRAPHIC DATA</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8" w:lineRule="exact"/>
        <w:rPr>
          <w:sz w:val="20"/>
          <w:szCs w:val="20"/>
          <w:color w:val="auto"/>
        </w:rPr>
      </w:pPr>
    </w:p>
    <w:p>
      <w:pPr>
        <w:jc w:val="both"/>
        <w:ind w:left="1060" w:hanging="39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and Skype for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69" w:lineRule="exact"/>
        <w:rPr>
          <w:sz w:val="20"/>
          <w:szCs w:val="20"/>
          <w:color w:val="auto"/>
        </w:rPr>
      </w:pPr>
    </w:p>
    <w:p>
      <w:pPr>
        <w:ind w:left="1060" w:hanging="39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Office licensed on-premises, and other Office services.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Premium Subscriptions, Sales Solutions, and Learning Solutions.</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Customer Insights, Power Apps, and Power Automate; and on-premises ERP and CRM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62" w:lineRule="exact"/>
        <w:rPr>
          <w:sz w:val="20"/>
          <w:szCs w:val="20"/>
          <w:color w:val="auto"/>
        </w:rPr>
      </w:pPr>
    </w:p>
    <w:p>
      <w:pPr>
        <w:ind w:left="1060" w:hanging="391"/>
        <w:spacing w:after="0" w:line="246"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and other cloud services; SQL Server, Windows Server, Visual Studio, System Center, and related Client Access Licenses (“CALs”); and GitHub.</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 Services, including Enterprise Support Services and Microsoft Consulting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48" w:lineRule="exact"/>
        <w:rPr>
          <w:sz w:val="20"/>
          <w:szCs w:val="20"/>
          <w:color w:val="auto"/>
        </w:rPr>
      </w:pPr>
    </w:p>
    <w:p>
      <w:pPr>
        <w:jc w:val="both"/>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63"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digital transactions, Xbox Game Pass and other subscriptions, video games, third-party video game royalties, cloud services, and advertising.</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Search and news advertising.</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7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15,039</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12,319</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50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16,964</w:t>
            </w:r>
          </w:p>
        </w:tc>
        <w:tc>
          <w:tcPr>
            <w:tcW w:w="5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12,986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5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13,314</w:t>
            </w: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11,849</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9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92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45,317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37,154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92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9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7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7,581</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5,706</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50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7,562</w:t>
            </w:r>
          </w:p>
        </w:tc>
        <w:tc>
          <w:tcPr>
            <w:tcW w:w="5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5,422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5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5,095</w:t>
            </w: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4,748</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9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92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20,238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15,876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9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months ended September 30, 2021 or 2020. Revenue, classified by the major geographic areas in which our customers were located, was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r>
      <w:tr>
        <w:trPr>
          <w:trHeight w:val="54"/>
        </w:trPr>
        <w:tc>
          <w:tcPr>
            <w:tcW w:w="8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22,830</w:t>
            </w:r>
          </w:p>
        </w:tc>
        <w:tc>
          <w:tcPr>
            <w:tcW w:w="6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19,025</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Other countries</w:t>
            </w:r>
          </w:p>
        </w:tc>
        <w:tc>
          <w:tcPr>
            <w:tcW w:w="5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22,487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18,129</w:t>
            </w:r>
          </w:p>
        </w:tc>
      </w:tr>
      <w:tr>
        <w:trPr>
          <w:trHeight w:val="68"/>
        </w:trPr>
        <w:tc>
          <w:tcPr>
            <w:tcW w:w="80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45,317</w:t>
            </w:r>
          </w:p>
        </w:tc>
        <w:tc>
          <w:tcPr>
            <w:tcW w:w="6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37,154</w:t>
            </w:r>
          </w:p>
        </w:tc>
      </w:tr>
      <w:tr>
        <w:trPr>
          <w:trHeight w:val="74"/>
        </w:trPr>
        <w:tc>
          <w:tcPr>
            <w:tcW w:w="80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62" w:lineRule="exact"/>
        <w:rPr>
          <w:sz w:val="20"/>
          <w:szCs w:val="20"/>
          <w:color w:val="auto"/>
        </w:rPr>
      </w:pPr>
    </w:p>
    <w:p>
      <w:pPr>
        <w:ind w:left="540" w:right="20" w:hanging="532"/>
        <w:spacing w:after="0" w:line="26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3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82"/>
        </w:trPr>
        <w:tc>
          <w:tcPr>
            <w:tcW w:w="41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434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15,069</w:t>
            </w:r>
          </w:p>
        </w:tc>
        <w:tc>
          <w:tcPr>
            <w:tcW w:w="6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3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10,808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9,278</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38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5,676</w:t>
            </w: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3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3,593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LinkedIn</w:t>
            </w:r>
          </w:p>
        </w:tc>
        <w:tc>
          <w:tcPr>
            <w:tcW w:w="38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3,136</w:t>
            </w: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Search and news advertising</w:t>
            </w:r>
          </w:p>
        </w:tc>
        <w:tc>
          <w:tcPr>
            <w:tcW w:w="3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2,656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Enterprise Services</w:t>
            </w:r>
          </w:p>
        </w:tc>
        <w:tc>
          <w:tcPr>
            <w:tcW w:w="38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1,791</w:t>
            </w: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Devices</w:t>
            </w:r>
          </w:p>
        </w:tc>
        <w:tc>
          <w:tcPr>
            <w:tcW w:w="3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1,361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38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1,227</w:t>
            </w: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68"/>
        </w:trPr>
        <w:tc>
          <w:tcPr>
            <w:tcW w:w="418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180" w:type="dxa"/>
            <w:vAlign w:val="bottom"/>
          </w:tcPr>
          <w:p>
            <w:pPr>
              <w:ind w:left="220"/>
              <w:spacing w:after="0"/>
              <w:rPr>
                <w:sz w:val="20"/>
                <w:szCs w:val="20"/>
                <w:color w:val="auto"/>
              </w:rPr>
            </w:pPr>
            <w:r>
              <w:rPr>
                <w:rFonts w:ascii="Arial" w:cs="Arial" w:eastAsia="Arial" w:hAnsi="Arial"/>
                <w:sz w:val="18"/>
                <w:szCs w:val="18"/>
                <w:color w:val="auto"/>
              </w:rPr>
              <w:t>Total</w:t>
            </w:r>
          </w:p>
        </w:tc>
        <w:tc>
          <w:tcPr>
            <w:tcW w:w="4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45,317</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37,154</w:t>
            </w:r>
          </w:p>
        </w:tc>
        <w:tc>
          <w:tcPr>
            <w:tcW w:w="0" w:type="dxa"/>
            <w:vAlign w:val="bottom"/>
          </w:tcPr>
          <w:p>
            <w:pPr>
              <w:spacing w:after="0"/>
              <w:rPr>
                <w:sz w:val="1"/>
                <w:szCs w:val="1"/>
                <w:color w:val="auto"/>
              </w:rPr>
            </w:pPr>
          </w:p>
        </w:tc>
      </w:tr>
      <w:tr>
        <w:trPr>
          <w:trHeight w:val="61"/>
        </w:trPr>
        <w:tc>
          <w:tcPr>
            <w:tcW w:w="4180" w:type="dxa"/>
            <w:vAlign w:val="bottom"/>
          </w:tcPr>
          <w:p>
            <w:pPr>
              <w:spacing w:after="0"/>
              <w:rPr>
                <w:sz w:val="5"/>
                <w:szCs w:val="5"/>
                <w:color w:val="auto"/>
              </w:rPr>
            </w:pPr>
          </w:p>
        </w:tc>
        <w:tc>
          <w:tcPr>
            <w:tcW w:w="3820" w:type="dxa"/>
            <w:vAlign w:val="bottom"/>
            <w:vMerge w:val="restart"/>
          </w:tcPr>
          <w:p>
            <w:pPr>
              <w:jc w:val="right"/>
              <w:ind w:right="2216"/>
              <w:spacing w:after="0"/>
              <w:rPr>
                <w:sz w:val="20"/>
                <w:szCs w:val="20"/>
                <w:color w:val="auto"/>
              </w:rPr>
            </w:pPr>
            <w:r>
              <w:rPr>
                <w:rFonts w:ascii="Arial" w:cs="Arial" w:eastAsia="Arial" w:hAnsi="Arial"/>
                <w:sz w:val="14"/>
                <w:szCs w:val="14"/>
                <w:color w:val="auto"/>
              </w:rPr>
              <w:t>28</w:t>
            </w: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6"/>
        </w:trPr>
        <w:tc>
          <w:tcPr>
            <w:tcW w:w="41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18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recast certain previously reported amounts in the table above to conform to the way we internally manage and monitor our business.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Microsoft Cloud (formerly commercial cloud) revenue, which includes Azure and other cloud services, Office 365 Commercial, the commercial portion of LinkedIn, Dynamics 365, and other commercial cloud properties, was $20.7 billion and $15.2 billion for the three months ended September 30, 2021 and 2020, respectively. These amounts are primarily included in Server products and cloud services, Office products and cloud services, and LinkedIn in the table above.</w:t>
      </w:r>
    </w:p>
    <w:p>
      <w:pPr>
        <w:spacing w:after="0" w:line="15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9" w:name="page30"/>
    <w:bookmarkEnd w:id="29"/>
    <w:p>
      <w:pPr>
        <w:ind w:left="5200"/>
        <w:spacing w:after="0"/>
        <w:rPr>
          <w:sz w:val="20"/>
          <w:szCs w:val="20"/>
          <w:color w:val="auto"/>
        </w:rPr>
      </w:pPr>
      <w:r>
        <w:rPr>
          <w:rFonts w:ascii="Arial" w:cs="Arial" w:eastAsia="Arial" w:hAnsi="Arial"/>
          <w:sz w:val="13"/>
          <w:szCs w:val="13"/>
          <w:u w:val="single" w:color="auto"/>
          <w:color w:val="auto"/>
        </w:rPr>
        <w:t>PART I</w:t>
      </w:r>
    </w:p>
    <w:p>
      <w:pPr>
        <w:ind w:left="522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ind w:right="4600"/>
        <w:spacing w:after="0" w:line="43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Results of Review of Interim Financial Information</w:t>
      </w:r>
    </w:p>
    <w:p>
      <w:pPr>
        <w:jc w:val="both"/>
        <w:spacing w:after="0" w:line="238"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September 30, 2021, the related consolidated statements of income, comprehensive income, cash flows, and stockholders’ equity for the three-month periods ended September 30, 2021 and 2020,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2021, and the related consolidated statements of income, comprehensive income, cash flows, and stockholders' equity for the year then ended (not presented herein); and in our report dated July 29, 2021, we expressed an unqualified opinion on those consolidated financial statements. In our opinion, the information set forth in the accompanying consolidated balance sheet as of June 30, 2021, is fairly stated, in all material respects, in relation to the consolidated balance sheet from which it has been derived.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540" w:top="138" w:right="67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86" w:lineRule="exact"/>
        <w:rPr>
          <w:sz w:val="20"/>
          <w:szCs w:val="20"/>
          <w:color w:val="auto"/>
        </w:rPr>
      </w:pPr>
    </w:p>
    <w:p>
      <w:pPr>
        <w:jc w:val="center"/>
        <w:ind w:left="340" w:right="38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2021, and our financial statements and the accompanying Notes to Financial Statements (Part I, Item 1 of this Form 10-Q).</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the world continues to respond to COVID-19, we are working to do our part by ensuring the safety of our employees, striving to protect the health and well-being of the communities in which we operate, and providing technology and resources to our customers to help them do their best work while remote.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first quarter of fiscal year 2022 compared with the first quarter of fiscal year 2021 included:</w:t>
      </w:r>
    </w:p>
    <w:p>
      <w:pPr>
        <w:spacing w:after="0" w:line="63" w:lineRule="exact"/>
        <w:rPr>
          <w:sz w:val="20"/>
          <w:szCs w:val="20"/>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Microsoft Cloud (formerly commercial cloud) revenue increased 36% to $20.7 billion.</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18% driven by Office 365 Commercial growth of 23%.</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10% and Microsoft 365 Consumer subscribers increased to 54.1 million.</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LinkedIn revenue increased 42% driven by Marketing Solutions growth of 61%.</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31% driven by Dynamics 365 growth of 48%.</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35% driven by Azure and other cloud services growth of 50%.</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10%.</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Windows Commercial products and cloud services revenue increased 12%.</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Xbox content and services revenue increased 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85" w:lineRule="exact"/>
        <w:rPr>
          <w:sz w:val="20"/>
          <w:szCs w:val="20"/>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Search and news advertising revenue, excluding traffic acquisition costs, increased 40%.</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Surface revenue decreased 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devices are primarily manufactured by third-party contract manufacturers, some of which contain certain components for which there are very few qualified suppliers. For these components, we have limited near-term flexibility to use other manufacturers if a current vendor becomes unavailable or is unable to meet our requirements. Extended disruptions at these suppliers could lead to a similar disruption in our ability to manufacture devices on time to meet consumer demand.</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Weakening of the U.S. dollar relative to certain foreign currencies increased reported revenue and did not have a material impact on reported expenses from our international operations in the first quarter of fiscal year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COVID-19 pandemic continues to impact our business operations and financial results, although some of the effects have lessened over time. Our commercial and consumer businesses have benefited from demand for cloud and productivity tools, and we have experienced savings in operating expenses related to COVID-19. The COVID-19 pandemic may continue to impact our business operations and financial operating results, and there is uncertainty in the nature and degree of its continued effects over time. Refer to Risk Factors (Part II, Item 1A of this Form 10-Q) for a discussion of these factors and other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of America (“GAAP”), along with certain corporate-level and other activity, are included in Corporate and Other.</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 information on our reportable segments is contained in Note 17 – Segment Information and Geographic Data of the Notes to Financial Statements (Part I, Item 1 of this Form 10-Q).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Metrics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GAAP results and growth comparisons relate to the corresponding period of last fiscal year.</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12529"/>
        </w:rPr>
        <w:t>In the first quarter of fiscal year 2022, we made updates to the presentation and method of calculation for certain metrics, most notably changes to incorporate all current and anticipated revenue streams within our Office Consumer and Server products and cloud services metrics and changes to align with how we manage our Windows OEM and Search and news advertising businesses. None of these changes had a material impact on previously reported amounts in our MD&amp;A.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ind w:left="180"/>
              <w:spacing w:after="0"/>
              <w:rPr>
                <w:sz w:val="20"/>
                <w:szCs w:val="20"/>
                <w:color w:val="auto"/>
              </w:rPr>
            </w:pPr>
            <w:r>
              <w:rPr>
                <w:rFonts w:ascii="Arial" w:cs="Arial" w:eastAsia="Arial" w:hAnsi="Arial"/>
                <w:sz w:val="18"/>
                <w:szCs w:val="18"/>
                <w:color w:val="auto"/>
              </w:rPr>
              <w:t>Commercial remaining performance obligation</w:t>
            </w:r>
          </w:p>
        </w:tc>
        <w:tc>
          <w:tcPr>
            <w:tcW w:w="7060" w:type="dxa"/>
            <w:vAlign w:val="bottom"/>
          </w:tcPr>
          <w:p>
            <w:pPr>
              <w:ind w:left="32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17"/>
        </w:trPr>
        <w:tc>
          <w:tcPr>
            <w:tcW w:w="418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as revenue in future periods</w:t>
            </w:r>
          </w:p>
        </w:tc>
      </w:tr>
      <w:tr>
        <w:trPr>
          <w:trHeight w:val="269"/>
        </w:trPr>
        <w:tc>
          <w:tcPr>
            <w:tcW w:w="4180" w:type="dxa"/>
            <w:vAlign w:val="bottom"/>
          </w:tcPr>
          <w:p>
            <w:pPr>
              <w:ind w:left="180"/>
              <w:spacing w:after="0"/>
              <w:rPr>
                <w:sz w:val="20"/>
                <w:szCs w:val="20"/>
                <w:color w:val="auto"/>
              </w:rPr>
            </w:pPr>
            <w:r>
              <w:rPr>
                <w:rFonts w:ascii="Arial" w:cs="Arial" w:eastAsia="Arial" w:hAnsi="Arial"/>
                <w:sz w:val="18"/>
                <w:szCs w:val="18"/>
                <w:color w:val="auto"/>
              </w:rPr>
              <w:t>Microsoft Cloud revenue</w:t>
            </w:r>
          </w:p>
        </w:tc>
        <w:tc>
          <w:tcPr>
            <w:tcW w:w="7060" w:type="dxa"/>
            <w:vAlign w:val="bottom"/>
          </w:tcPr>
          <w:p>
            <w:pPr>
              <w:ind w:left="320"/>
              <w:spacing w:after="0"/>
              <w:rPr>
                <w:sz w:val="20"/>
                <w:szCs w:val="20"/>
                <w:color w:val="auto"/>
              </w:rPr>
            </w:pPr>
            <w:r>
              <w:rPr>
                <w:rFonts w:ascii="Arial" w:cs="Arial" w:eastAsia="Arial" w:hAnsi="Arial"/>
                <w:sz w:val="18"/>
                <w:szCs w:val="18"/>
                <w:color w:val="auto"/>
                <w:w w:val="99"/>
              </w:rPr>
              <w:t>Revenue from our commercial cloud business, which includes Azure and other cloud</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w w:val="99"/>
              </w:rPr>
              <w:t>services, Office 365 Commercial, the commercial portion of LinkedIn, Dynamics 365,</w:t>
            </w:r>
          </w:p>
        </w:tc>
      </w:tr>
      <w:tr>
        <w:trPr>
          <w:trHeight w:val="217"/>
        </w:trPr>
        <w:tc>
          <w:tcPr>
            <w:tcW w:w="418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and other commercial cloud properties</w:t>
            </w:r>
          </w:p>
        </w:tc>
      </w:tr>
      <w:tr>
        <w:trPr>
          <w:trHeight w:val="283"/>
        </w:trPr>
        <w:tc>
          <w:tcPr>
            <w:tcW w:w="4180" w:type="dxa"/>
            <w:vAlign w:val="bottom"/>
          </w:tcPr>
          <w:p>
            <w:pPr>
              <w:ind w:left="180"/>
              <w:spacing w:after="0"/>
              <w:rPr>
                <w:sz w:val="20"/>
                <w:szCs w:val="20"/>
                <w:color w:val="auto"/>
              </w:rPr>
            </w:pPr>
            <w:r>
              <w:rPr>
                <w:rFonts w:ascii="Arial" w:cs="Arial" w:eastAsia="Arial" w:hAnsi="Arial"/>
                <w:sz w:val="18"/>
                <w:szCs w:val="18"/>
                <w:color w:val="auto"/>
              </w:rPr>
              <w:t>Microsoft Cloud gross margin percentage</w:t>
            </w:r>
          </w:p>
        </w:tc>
        <w:tc>
          <w:tcPr>
            <w:tcW w:w="7060" w:type="dxa"/>
            <w:vAlign w:val="bottom"/>
          </w:tcPr>
          <w:p>
            <w:pPr>
              <w:ind w:left="320"/>
              <w:spacing w:after="0"/>
              <w:rPr>
                <w:sz w:val="20"/>
                <w:szCs w:val="20"/>
                <w:color w:val="auto"/>
              </w:rPr>
            </w:pPr>
            <w:r>
              <w:rPr>
                <w:rFonts w:ascii="Arial" w:cs="Arial" w:eastAsia="Arial" w:hAnsi="Arial"/>
                <w:sz w:val="18"/>
                <w:szCs w:val="18"/>
                <w:color w:val="auto"/>
              </w:rPr>
              <w:t>Gross margin percentage for our commercial cloud business</w:t>
            </w:r>
          </w:p>
        </w:tc>
      </w:tr>
      <w:tr>
        <w:trPr>
          <w:trHeight w:val="595"/>
        </w:trPr>
        <w:tc>
          <w:tcPr>
            <w:tcW w:w="4180" w:type="dxa"/>
            <w:vAlign w:val="bottom"/>
          </w:tcPr>
          <w:p>
            <w:pPr>
              <w:spacing w:after="0"/>
              <w:rPr>
                <w:sz w:val="24"/>
                <w:szCs w:val="24"/>
                <w:color w:val="auto"/>
              </w:rPr>
            </w:pPr>
          </w:p>
        </w:tc>
        <w:tc>
          <w:tcPr>
            <w:tcW w:w="7060" w:type="dxa"/>
            <w:vAlign w:val="bottom"/>
          </w:tcPr>
          <w:p>
            <w:pPr>
              <w:ind w:left="1360"/>
              <w:spacing w:after="0"/>
              <w:rPr>
                <w:sz w:val="20"/>
                <w:szCs w:val="20"/>
                <w:color w:val="auto"/>
              </w:rPr>
            </w:pPr>
            <w:r>
              <w:rPr>
                <w:rFonts w:ascii="Arial" w:cs="Arial" w:eastAsia="Arial" w:hAnsi="Arial"/>
                <w:sz w:val="14"/>
                <w:szCs w:val="14"/>
                <w:color w:val="auto"/>
              </w:rPr>
              <w:t>33</w:t>
            </w:r>
          </w:p>
        </w:tc>
      </w:tr>
      <w:tr>
        <w:trPr>
          <w:trHeight w:val="100"/>
        </w:trPr>
        <w:tc>
          <w:tcPr>
            <w:tcW w:w="4180" w:type="dxa"/>
            <w:vAlign w:val="bottom"/>
            <w:tcBorders>
              <w:bottom w:val="single" w:sz="8" w:color="9A9A9A"/>
            </w:tcBorders>
          </w:tcPr>
          <w:p>
            <w:pPr>
              <w:spacing w:after="0"/>
              <w:rPr>
                <w:sz w:val="8"/>
                <w:szCs w:val="8"/>
                <w:color w:val="auto"/>
              </w:rPr>
            </w:pPr>
          </w:p>
        </w:tc>
        <w:tc>
          <w:tcPr>
            <w:tcW w:w="7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3" w:name="page34"/>
    <w:bookmarkEnd w:id="3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pacing w:after="0" w:line="183" w:lineRule="exact"/>
        <w:rPr>
          <w:sz w:val="20"/>
          <w:szCs w:val="20"/>
          <w:color w:val="auto"/>
        </w:rPr>
      </w:pPr>
    </w:p>
    <w:p>
      <w:pPr>
        <w:jc w:val="both"/>
        <w:ind w:left="5320" w:hanging="5142"/>
        <w:spacing w:after="0" w:line="238" w:lineRule="auto"/>
        <w:rPr>
          <w:sz w:val="20"/>
          <w:szCs w:val="20"/>
          <w:color w:val="auto"/>
        </w:rPr>
      </w:pPr>
      <w:r>
        <w:rPr>
          <w:rFonts w:ascii="Arial" w:cs="Arial" w:eastAsia="Arial" w:hAnsi="Arial"/>
          <w:sz w:val="18"/>
          <w:szCs w:val="18"/>
          <w:color w:val="auto"/>
        </w:rPr>
        <w:t>Office Commercial products and cloud services revenue growth Revenue from Office Commercial products and cloud services (Office 365 subscriptions, the Office 365 portion of Microsoft 365 Commercial subscriptions, and Office licensed on-premises), comprising Office, Exchange, SharePoint, Microsoft Teams, Office 365 Security and Compliance, and Skype for Business</w:t>
      </w:r>
    </w:p>
    <w:p>
      <w:pPr>
        <w:sectPr>
          <w:pgSz w:w="11900" w:h="16838" w:orient="portrait"/>
          <w:cols w:equalWidth="0" w:num="1">
            <w:col w:w="11240"/>
          </w:cols>
          <w:pgMar w:left="320" w:top="138" w:right="339" w:bottom="1440" w:gutter="0" w:footer="0" w:header="0"/>
        </w:sectPr>
      </w:pPr>
    </w:p>
    <w:p>
      <w:pPr>
        <w:spacing w:after="0" w:line="6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Office Consumer products and cloud services revenue growth</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from Office Consumer products and cloud services, including Microsoft 365 Consumer subscriptions, Office licensed on-premises, and other Office services</w:t>
      </w:r>
    </w:p>
    <w:p>
      <w:pPr>
        <w:spacing w:after="0" w:line="68" w:lineRule="exact"/>
        <w:rPr>
          <w:sz w:val="20"/>
          <w:szCs w:val="20"/>
          <w:color w:val="auto"/>
        </w:rPr>
      </w:pPr>
    </w:p>
    <w:p>
      <w:pPr>
        <w:sectPr>
          <w:pgSz w:w="11900" w:h="16838" w:orient="portrait"/>
          <w:cols w:equalWidth="0" w:num="2">
            <w:col w:w="5080" w:space="24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Office 365 Commercial seat growth</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Arial" w:cs="Arial" w:eastAsia="Arial" w:hAnsi="Arial"/>
          <w:sz w:val="18"/>
          <w:szCs w:val="18"/>
          <w:color w:val="auto"/>
        </w:rPr>
        <w:t>The number of Office 365 Commercial seats at end of period where seats are paid users covered by an Office 365 Commercial subscription</w:t>
      </w:r>
    </w:p>
    <w:p>
      <w:pPr>
        <w:spacing w:after="0" w:line="62"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Microsoft 365 Consumer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number of Microsoft 365 Consumer subscribers at end of period</w:t>
      </w:r>
    </w:p>
    <w:p>
      <w:pPr>
        <w:spacing w:after="0" w:line="88"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Dynamics products and cloud services revenue growth</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auto"/>
        </w:rPr>
        <w:t>Revenue from Dynamics products and cloud services, including Dynamics 365, comprising a set of intelligent, cloud-based applications across ERP, CRM, Customer Insights, Power Apps, and Power Automate; and on-premises ERP and CRM applications</w:t>
      </w:r>
    </w:p>
    <w:p>
      <w:pPr>
        <w:spacing w:after="0" w:line="70"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LinkedIn revenue growth</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auto"/>
        </w:rPr>
        <w:t>Revenue from LinkedIn, including Talent Solutions, Marketing Solutions, Premium Subscriptions, Sales Solutions, and Learning Solutions</w:t>
      </w:r>
    </w:p>
    <w:p>
      <w:pPr>
        <w:spacing w:after="0" w:line="62"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Server products and cloud services revenue growth</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Revenue from Server products and cloud services, including Azure and other cloud services; SQL Server, Windows Server, Visual Studio, System Center, and related Client Access Licenses (“CALs”); and GitHub</w:t>
      </w:r>
    </w:p>
    <w:p>
      <w:pPr>
        <w:spacing w:after="0" w:line="200"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ectPr>
          <w:pgSz w:w="11900" w:h="16838" w:orient="portrait"/>
          <w:cols w:equalWidth="0" w:num="1">
            <w:col w:w="11240"/>
          </w:cols>
          <w:pgMar w:left="320" w:top="138" w:right="339" w:bottom="1440" w:gutter="0" w:footer="0" w:header="0"/>
          <w:type w:val="continuous"/>
        </w:sectPr>
      </w:pPr>
    </w:p>
    <w:p>
      <w:pPr>
        <w:spacing w:after="0" w:line="19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Windows OEM revenue growth</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 from sales of Windows Pro and non-Pro licenses sold through the OEM channel</w:t>
      </w:r>
    </w:p>
    <w:p>
      <w:pPr>
        <w:spacing w:after="0" w:line="62" w:lineRule="exact"/>
        <w:rPr>
          <w:sz w:val="20"/>
          <w:szCs w:val="20"/>
          <w:color w:val="auto"/>
        </w:rPr>
      </w:pPr>
    </w:p>
    <w:p>
      <w:pPr>
        <w:sectPr>
          <w:pgSz w:w="11900" w:h="16838" w:orient="portrait"/>
          <w:cols w:equalWidth="0" w:num="2">
            <w:col w:w="4860" w:space="720"/>
            <w:col w:w="5660"/>
          </w:cols>
          <w:pgMar w:left="320" w:top="138" w:right="339" w:bottom="1440" w:gutter="0" w:footer="0" w:header="0"/>
          <w:type w:val="continuous"/>
        </w:sectPr>
      </w:pPr>
    </w:p>
    <w:p>
      <w:pPr>
        <w:jc w:val="both"/>
        <w:ind w:left="5580" w:hanging="5412"/>
        <w:spacing w:after="0"/>
        <w:rPr>
          <w:sz w:val="20"/>
          <w:szCs w:val="20"/>
          <w:color w:val="auto"/>
        </w:rPr>
      </w:pPr>
      <w:r>
        <w:rPr>
          <w:rFonts w:ascii="Arial" w:cs="Arial" w:eastAsia="Arial" w:hAnsi="Arial"/>
          <w:sz w:val="18"/>
          <w:szCs w:val="18"/>
          <w:color w:val="auto"/>
        </w:rPr>
        <w:t>Windows Commercial products and cloud services revenue growth Revenue from Windows Commercial products and cloud services, comprising volume licensing of the Windows operating system, Windows cloud services, and other Windows commercial offerings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ind w:left="180"/>
              <w:spacing w:after="0"/>
              <w:rPr>
                <w:sz w:val="20"/>
                <w:szCs w:val="20"/>
                <w:color w:val="auto"/>
              </w:rPr>
            </w:pPr>
            <w:r>
              <w:rPr>
                <w:rFonts w:ascii="Arial" w:cs="Arial" w:eastAsia="Arial" w:hAnsi="Arial"/>
                <w:sz w:val="18"/>
                <w:szCs w:val="18"/>
                <w:color w:val="auto"/>
              </w:rPr>
              <w:t>Surface revenue growth</w:t>
            </w:r>
          </w:p>
        </w:tc>
        <w:tc>
          <w:tcPr>
            <w:tcW w:w="5920" w:type="dxa"/>
            <w:vAlign w:val="bottom"/>
          </w:tcPr>
          <w:p>
            <w:pPr>
              <w:ind w:left="260"/>
              <w:spacing w:after="0"/>
              <w:rPr>
                <w:sz w:val="20"/>
                <w:szCs w:val="20"/>
                <w:color w:val="auto"/>
              </w:rPr>
            </w:pPr>
            <w:r>
              <w:rPr>
                <w:rFonts w:ascii="Arial" w:cs="Arial" w:eastAsia="Arial" w:hAnsi="Arial"/>
                <w:sz w:val="18"/>
                <w:szCs w:val="18"/>
                <w:color w:val="auto"/>
              </w:rPr>
              <w:t>Revenue from Surface devices and accessories</w:t>
            </w:r>
          </w:p>
        </w:tc>
      </w:tr>
      <w:tr>
        <w:trPr>
          <w:trHeight w:val="269"/>
        </w:trPr>
        <w:tc>
          <w:tcPr>
            <w:tcW w:w="5320" w:type="dxa"/>
            <w:vAlign w:val="bottom"/>
          </w:tcPr>
          <w:p>
            <w:pPr>
              <w:ind w:left="180"/>
              <w:spacing w:after="0"/>
              <w:rPr>
                <w:sz w:val="20"/>
                <w:szCs w:val="20"/>
                <w:color w:val="auto"/>
              </w:rPr>
            </w:pPr>
            <w:r>
              <w:rPr>
                <w:rFonts w:ascii="Arial" w:cs="Arial" w:eastAsia="Arial" w:hAnsi="Arial"/>
                <w:sz w:val="18"/>
                <w:szCs w:val="18"/>
                <w:color w:val="auto"/>
              </w:rPr>
              <w:t>Xbox content and services revenue growth</w:t>
            </w:r>
          </w:p>
        </w:tc>
        <w:tc>
          <w:tcPr>
            <w:tcW w:w="5920" w:type="dxa"/>
            <w:vAlign w:val="bottom"/>
          </w:tcPr>
          <w:p>
            <w:pPr>
              <w:ind w:left="260"/>
              <w:spacing w:after="0"/>
              <w:rPr>
                <w:sz w:val="20"/>
                <w:szCs w:val="20"/>
                <w:color w:val="auto"/>
              </w:rPr>
            </w:pPr>
            <w:r>
              <w:rPr>
                <w:rFonts w:ascii="Arial" w:cs="Arial" w:eastAsia="Arial" w:hAnsi="Arial"/>
                <w:sz w:val="18"/>
                <w:szCs w:val="18"/>
                <w:color w:val="auto"/>
              </w:rPr>
              <w:t>Revenue  from  Xbox  content  and  services,  comprising  digital</w:t>
            </w:r>
          </w:p>
        </w:tc>
      </w:tr>
      <w:tr>
        <w:trPr>
          <w:trHeight w:val="203"/>
        </w:trPr>
        <w:tc>
          <w:tcPr>
            <w:tcW w:w="5320" w:type="dxa"/>
            <w:vAlign w:val="bottom"/>
          </w:tcPr>
          <w:p>
            <w:pPr>
              <w:spacing w:after="0"/>
              <w:rPr>
                <w:sz w:val="17"/>
                <w:szCs w:val="17"/>
                <w:color w:val="auto"/>
              </w:rPr>
            </w:pPr>
          </w:p>
        </w:tc>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transactions, Xbox Game Pass and other subscriptions, video games,</w:t>
            </w:r>
          </w:p>
        </w:tc>
      </w:tr>
      <w:tr>
        <w:trPr>
          <w:trHeight w:val="217"/>
        </w:trPr>
        <w:tc>
          <w:tcPr>
            <w:tcW w:w="532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third-party video game royalties, cloud services, and advertising</w:t>
            </w:r>
          </w:p>
        </w:tc>
      </w:tr>
      <w:tr>
        <w:trPr>
          <w:trHeight w:val="269"/>
        </w:trPr>
        <w:tc>
          <w:tcPr>
            <w:tcW w:w="5320" w:type="dxa"/>
            <w:vAlign w:val="bottom"/>
          </w:tcPr>
          <w:p>
            <w:pPr>
              <w:ind w:left="180"/>
              <w:spacing w:after="0"/>
              <w:rPr>
                <w:sz w:val="20"/>
                <w:szCs w:val="20"/>
                <w:color w:val="auto"/>
              </w:rPr>
            </w:pPr>
            <w:r>
              <w:rPr>
                <w:rFonts w:ascii="Arial" w:cs="Arial" w:eastAsia="Arial" w:hAnsi="Arial"/>
                <w:sz w:val="18"/>
                <w:szCs w:val="18"/>
                <w:color w:val="auto"/>
              </w:rPr>
              <w:t>Search and news advertising revenue, excluding TAC, growth</w:t>
            </w:r>
          </w:p>
        </w:tc>
        <w:tc>
          <w:tcPr>
            <w:tcW w:w="5920" w:type="dxa"/>
            <w:vAlign w:val="bottom"/>
          </w:tcPr>
          <w:p>
            <w:pPr>
              <w:ind w:left="260"/>
              <w:spacing w:after="0"/>
              <w:rPr>
                <w:sz w:val="20"/>
                <w:szCs w:val="20"/>
                <w:color w:val="auto"/>
              </w:rPr>
            </w:pPr>
            <w:r>
              <w:rPr>
                <w:rFonts w:ascii="Arial" w:cs="Arial" w:eastAsia="Arial" w:hAnsi="Arial"/>
                <w:sz w:val="18"/>
                <w:szCs w:val="18"/>
                <w:color w:val="auto"/>
              </w:rPr>
              <w:t>Revenue  from  search  and  news  advertising  excluding  traffic</w:t>
            </w:r>
          </w:p>
        </w:tc>
      </w:tr>
      <w:tr>
        <w:trPr>
          <w:trHeight w:val="203"/>
        </w:trPr>
        <w:tc>
          <w:tcPr>
            <w:tcW w:w="5320" w:type="dxa"/>
            <w:vAlign w:val="bottom"/>
          </w:tcPr>
          <w:p>
            <w:pPr>
              <w:spacing w:after="0"/>
              <w:rPr>
                <w:sz w:val="17"/>
                <w:szCs w:val="17"/>
                <w:color w:val="auto"/>
              </w:rPr>
            </w:pPr>
          </w:p>
        </w:tc>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acquisition costs (“TAC”) paid to Bing Ads network publishers and</w:t>
            </w:r>
          </w:p>
        </w:tc>
      </w:tr>
      <w:tr>
        <w:trPr>
          <w:trHeight w:val="217"/>
        </w:trPr>
        <w:tc>
          <w:tcPr>
            <w:tcW w:w="532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news partners</w:t>
            </w:r>
          </w:p>
        </w:tc>
      </w:tr>
      <w:tr>
        <w:trPr>
          <w:trHeight w:val="582"/>
        </w:trPr>
        <w:tc>
          <w:tcPr>
            <w:tcW w:w="5320" w:type="dxa"/>
            <w:vAlign w:val="bottom"/>
          </w:tcPr>
          <w:p>
            <w:pPr>
              <w:spacing w:after="0"/>
              <w:rPr>
                <w:sz w:val="24"/>
                <w:szCs w:val="24"/>
                <w:color w:val="auto"/>
              </w:rPr>
            </w:pPr>
          </w:p>
        </w:tc>
        <w:tc>
          <w:tcPr>
            <w:tcW w:w="5920" w:type="dxa"/>
            <w:vAlign w:val="bottom"/>
          </w:tcPr>
          <w:p>
            <w:pPr>
              <w:ind w:left="220"/>
              <w:spacing w:after="0"/>
              <w:rPr>
                <w:sz w:val="20"/>
                <w:szCs w:val="20"/>
                <w:color w:val="auto"/>
              </w:rPr>
            </w:pPr>
            <w:r>
              <w:rPr>
                <w:rFonts w:ascii="Arial" w:cs="Arial" w:eastAsia="Arial" w:hAnsi="Arial"/>
                <w:sz w:val="14"/>
                <w:szCs w:val="14"/>
                <w:color w:val="auto"/>
              </w:rPr>
              <w:t>34</w:t>
            </w:r>
          </w:p>
        </w:tc>
      </w:tr>
      <w:tr>
        <w:trPr>
          <w:trHeight w:val="100"/>
        </w:trPr>
        <w:tc>
          <w:tcPr>
            <w:tcW w:w="5320" w:type="dxa"/>
            <w:vAlign w:val="bottom"/>
            <w:tcBorders>
              <w:bottom w:val="single" w:sz="8" w:color="9A9A9A"/>
            </w:tcBorders>
          </w:tcPr>
          <w:p>
            <w:pPr>
              <w:spacing w:after="0"/>
              <w:rPr>
                <w:sz w:val="8"/>
                <w:szCs w:val="8"/>
                <w:color w:val="auto"/>
              </w:rPr>
            </w:pPr>
          </w:p>
        </w:tc>
        <w:tc>
          <w:tcPr>
            <w:tcW w:w="5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type w:val="continuous"/>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2"/>
          </w:tcPr>
          <w:p>
            <w:pPr>
              <w:jc w:val="right"/>
              <w:ind w:right="115"/>
              <w:spacing w:after="0"/>
              <w:rPr>
                <w:sz w:val="20"/>
                <w:szCs w:val="20"/>
                <w:color w:val="auto"/>
              </w:rPr>
            </w:pPr>
            <w:r>
              <w:rPr>
                <w:rFonts w:ascii="Arial" w:cs="Arial" w:eastAsia="Arial" w:hAnsi="Arial"/>
                <w:sz w:val="13"/>
                <w:szCs w:val="13"/>
                <w:b w:val="1"/>
                <w:bCs w:val="1"/>
                <w:color w:val="auto"/>
              </w:rPr>
              <w:t>Three Months Ended</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5460" w:type="dxa"/>
            <w:vAlign w:val="bottom"/>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2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115"/>
              <w:spacing w:after="0"/>
              <w:rPr>
                <w:sz w:val="20"/>
                <w:szCs w:val="20"/>
                <w:color w:val="auto"/>
              </w:rPr>
            </w:pPr>
            <w:r>
              <w:rPr>
                <w:rFonts w:ascii="Arial" w:cs="Arial" w:eastAsia="Arial" w:hAnsi="Arial"/>
                <w:sz w:val="13"/>
                <w:szCs w:val="13"/>
                <w:b w:val="1"/>
                <w:bCs w:val="1"/>
                <w:color w:val="auto"/>
              </w:rPr>
              <w:t>September 30,</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r>
      <w:tr>
        <w:trPr>
          <w:trHeight w:val="54"/>
        </w:trPr>
        <w:tc>
          <w:tcPr>
            <w:tcW w:w="54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3"/>
        </w:trPr>
        <w:tc>
          <w:tcPr>
            <w:tcW w:w="5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Arial" w:cs="Arial" w:eastAsia="Arial" w:hAnsi="Arial"/>
                <w:sz w:val="13"/>
                <w:szCs w:val="13"/>
                <w:b w:val="1"/>
                <w:bCs w:val="1"/>
                <w:color w:val="auto"/>
              </w:rPr>
              <w:t>2020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4"/>
        </w:trPr>
        <w:tc>
          <w:tcPr>
            <w:tcW w:w="54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20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45,317</w:t>
            </w:r>
          </w:p>
        </w:tc>
        <w:tc>
          <w:tcPr>
            <w:tcW w:w="360" w:type="dxa"/>
            <w:vAlign w:val="bottom"/>
            <w:shd w:val="clear" w:color="auto" w:fill="E5E5E5"/>
          </w:tcPr>
          <w:p>
            <w:pPr>
              <w:jc w:val="right"/>
              <w:ind w:right="121"/>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37,154</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22%</w:t>
            </w: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20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31,671</w:t>
            </w:r>
          </w:p>
        </w:tc>
        <w:tc>
          <w:tcPr>
            <w:tcW w:w="360" w:type="dxa"/>
            <w:vAlign w:val="bottom"/>
          </w:tcPr>
          <w:p>
            <w:pPr>
              <w:spacing w:after="0"/>
              <w:rPr>
                <w:sz w:val="16"/>
                <w:szCs w:val="16"/>
                <w:color w:val="auto"/>
              </w:rPr>
            </w:pPr>
          </w:p>
        </w:tc>
        <w:tc>
          <w:tcPr>
            <w:tcW w:w="1320" w:type="dxa"/>
            <w:vAlign w:val="bottom"/>
          </w:tcPr>
          <w:p>
            <w:pPr>
              <w:jc w:val="right"/>
              <w:ind w:right="115"/>
              <w:spacing w:after="0" w:line="189" w:lineRule="exact"/>
              <w:rPr>
                <w:sz w:val="20"/>
                <w:szCs w:val="20"/>
                <w:color w:val="auto"/>
              </w:rPr>
            </w:pPr>
            <w:r>
              <w:rPr>
                <w:rFonts w:ascii="Arial" w:cs="Arial" w:eastAsia="Arial" w:hAnsi="Arial"/>
                <w:sz w:val="18"/>
                <w:szCs w:val="18"/>
                <w:color w:val="auto"/>
              </w:rPr>
              <w:t>26,152</w:t>
            </w: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21%</w:t>
            </w: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20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20,238</w:t>
            </w:r>
          </w:p>
        </w:tc>
        <w:tc>
          <w:tcPr>
            <w:tcW w:w="360" w:type="dxa"/>
            <w:vAlign w:val="bottom"/>
            <w:shd w:val="clear" w:color="auto" w:fill="E5E5E5"/>
          </w:tcPr>
          <w:p>
            <w:pPr>
              <w:spacing w:after="0"/>
              <w:rPr>
                <w:sz w:val="16"/>
                <w:szCs w:val="16"/>
                <w:color w:val="auto"/>
              </w:rPr>
            </w:pPr>
          </w:p>
        </w:tc>
        <w:tc>
          <w:tcPr>
            <w:tcW w:w="132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15,876</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27%</w:t>
            </w: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20,505</w:t>
            </w:r>
          </w:p>
        </w:tc>
        <w:tc>
          <w:tcPr>
            <w:tcW w:w="360" w:type="dxa"/>
            <w:vAlign w:val="bottom"/>
          </w:tcPr>
          <w:p>
            <w:pPr>
              <w:spacing w:after="0"/>
              <w:rPr>
                <w:sz w:val="16"/>
                <w:szCs w:val="16"/>
                <w:color w:val="auto"/>
              </w:rPr>
            </w:pPr>
          </w:p>
        </w:tc>
        <w:tc>
          <w:tcPr>
            <w:tcW w:w="1320" w:type="dxa"/>
            <w:vAlign w:val="bottom"/>
          </w:tcPr>
          <w:p>
            <w:pPr>
              <w:jc w:val="right"/>
              <w:ind w:right="115"/>
              <w:spacing w:after="0" w:line="189" w:lineRule="exact"/>
              <w:rPr>
                <w:sz w:val="20"/>
                <w:szCs w:val="20"/>
                <w:color w:val="auto"/>
              </w:rPr>
            </w:pPr>
            <w:r>
              <w:rPr>
                <w:rFonts w:ascii="Arial" w:cs="Arial" w:eastAsia="Arial" w:hAnsi="Arial"/>
                <w:sz w:val="18"/>
                <w:szCs w:val="18"/>
                <w:color w:val="auto"/>
              </w:rPr>
              <w:t>13,893</w:t>
            </w: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48%</w:t>
            </w: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20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2.71</w:t>
            </w:r>
          </w:p>
        </w:tc>
        <w:tc>
          <w:tcPr>
            <w:tcW w:w="360" w:type="dxa"/>
            <w:vAlign w:val="bottom"/>
            <w:shd w:val="clear" w:color="auto" w:fill="E5E5E5"/>
          </w:tcPr>
          <w:p>
            <w:pPr>
              <w:spacing w:after="0"/>
              <w:rPr>
                <w:sz w:val="16"/>
                <w:szCs w:val="16"/>
                <w:color w:val="auto"/>
              </w:rPr>
            </w:pPr>
          </w:p>
        </w:tc>
        <w:tc>
          <w:tcPr>
            <w:tcW w:w="132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1.82</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49%</w:t>
            </w: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Adjusted net income (non-GAAP)</w:t>
            </w:r>
          </w:p>
        </w:tc>
        <w:tc>
          <w:tcPr>
            <w:tcW w:w="20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17,214</w:t>
            </w:r>
          </w:p>
        </w:tc>
        <w:tc>
          <w:tcPr>
            <w:tcW w:w="360" w:type="dxa"/>
            <w:vAlign w:val="bottom"/>
          </w:tcPr>
          <w:p>
            <w:pPr>
              <w:spacing w:after="0"/>
              <w:rPr>
                <w:sz w:val="16"/>
                <w:szCs w:val="16"/>
                <w:color w:val="auto"/>
              </w:rPr>
            </w:pPr>
          </w:p>
        </w:tc>
        <w:tc>
          <w:tcPr>
            <w:tcW w:w="1320" w:type="dxa"/>
            <w:vAlign w:val="bottom"/>
          </w:tcPr>
          <w:p>
            <w:pPr>
              <w:jc w:val="right"/>
              <w:ind w:right="115"/>
              <w:spacing w:after="0" w:line="189" w:lineRule="exact"/>
              <w:rPr>
                <w:sz w:val="20"/>
                <w:szCs w:val="20"/>
                <w:color w:val="auto"/>
              </w:rPr>
            </w:pPr>
            <w:r>
              <w:rPr>
                <w:rFonts w:ascii="Arial" w:cs="Arial" w:eastAsia="Arial" w:hAnsi="Arial"/>
                <w:sz w:val="18"/>
                <w:szCs w:val="18"/>
                <w:color w:val="auto"/>
              </w:rPr>
              <w:t>13,893</w:t>
            </w: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24%</w:t>
            </w: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Adjusted diluted earnings per share (non-GAAP)</w:t>
            </w:r>
          </w:p>
        </w:tc>
        <w:tc>
          <w:tcPr>
            <w:tcW w:w="20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2.27</w:t>
            </w:r>
          </w:p>
        </w:tc>
        <w:tc>
          <w:tcPr>
            <w:tcW w:w="360" w:type="dxa"/>
            <w:vAlign w:val="bottom"/>
            <w:shd w:val="clear" w:color="auto" w:fill="E5E5E5"/>
          </w:tcPr>
          <w:p>
            <w:pPr>
              <w:spacing w:after="0"/>
              <w:rPr>
                <w:sz w:val="16"/>
                <w:szCs w:val="16"/>
                <w:color w:val="auto"/>
              </w:rPr>
            </w:pPr>
          </w:p>
        </w:tc>
        <w:tc>
          <w:tcPr>
            <w:tcW w:w="132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1.82</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25%</w:t>
            </w:r>
          </w:p>
        </w:tc>
      </w:tr>
      <w:tr>
        <w:trPr>
          <w:trHeight w:val="68"/>
        </w:trPr>
        <w:tc>
          <w:tcPr>
            <w:tcW w:w="546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net income and adjusted diluted earnings per share (“EPS”) are non-GAAP financial measures which exclude the net income tax benefit related to transfer of intangible properties in fiscal year 2022. Refer to the Non-GAAP Financial Measures section below for a reconciliation of our financial results reported in accordance with GAAP to non-GAAP financial results. See Note 11 – Income Taxes of the Notes to Financial Statements (Part I, Item 1 of this Form 10-Q) for further discussion.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with Three Months Ended September 30, 2020</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increased $8.2 billion or 22% driven by growth across each of our segments. Intelligent Cloud revenue increased driven by Azure and other cloud services. Productivity and Business Processes revenue increased driven by Office 365 Commercial and LinkedIn. More Personal Computing revenue increased driven by Search and news advertising, Windows, and Gaming.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$2.6 billion or 24% driven by growth in Microsoft Cloud and Gaming.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$5.5 billion or 21% driven by growth across each of our segments.</w:t>
      </w:r>
    </w:p>
    <w:p>
      <w:pPr>
        <w:spacing w:after="0" w:line="63" w:lineRule="exact"/>
        <w:rPr>
          <w:sz w:val="20"/>
          <w:szCs w:val="20"/>
          <w:color w:val="auto"/>
        </w:rPr>
      </w:pPr>
    </w:p>
    <w:p>
      <w:pPr>
        <w:jc w:val="both"/>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margin percentage decreased slightly. Excluding the impact of the change in accounting estimate for the useful lives of our server and network equipment, gross margin percentage increased 1 point, driven by improvements in Productivity and Business Processes and Intelligent Cloud.</w:t>
      </w:r>
    </w:p>
    <w:p>
      <w:pPr>
        <w:spacing w:after="0" w:line="54" w:lineRule="exact"/>
        <w:rPr>
          <w:rFonts w:ascii="Arial" w:cs="Arial" w:eastAsia="Arial" w:hAnsi="Arial"/>
          <w:sz w:val="18"/>
          <w:szCs w:val="18"/>
          <w:color w:val="auto"/>
        </w:rPr>
      </w:pPr>
    </w:p>
    <w:p>
      <w:pPr>
        <w:jc w:val="both"/>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Microsoft Cloud gross margin percentage decreased slightly to 71%. Excluding the impact of the change in accounting estimate, Microsoft Cloud gross margin percentage increased 4 points, driven by improvement in Azure and other cloud services, offset in part by sales mix shift to Azure and other cloud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$1.2 billion or 11% driven by investments in cloud engineering, Gaming, and commercial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63" w:lineRule="exact"/>
        <w:rPr>
          <w:sz w:val="20"/>
          <w:szCs w:val="20"/>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expenses increased $673 million or 14% driven by investments in cloud engineering and Gaming.</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expenses increased $316 million or 7% driven by investments in commercial sales, Windows marketing, and LinkedIn.</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and administrative expenses increased $168 million or 15%, driven by an increase in headcount.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$4.4 billion or 27% driven by growth across each of our segments.</w:t>
      </w:r>
    </w:p>
    <w:p>
      <w:pPr>
        <w:spacing w:after="0" w:line="1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Current year net income and diluted EPS were positively impacted by the net tax benefit related to the transfer of intangible properties, which resulted in an increase to net income and diluted EPS of $3.3 billion and $0.44,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 favorable foreign currency impact of 2%, 2%, and 3%,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5" w:name="page36"/>
    <w:bookmarkEnd w:id="3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1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46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46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22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15,039</w:t>
            </w:r>
          </w:p>
        </w:tc>
        <w:tc>
          <w:tcPr>
            <w:tcW w:w="32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12,319</w:t>
            </w:r>
          </w:p>
        </w:tc>
        <w:tc>
          <w:tcPr>
            <w:tcW w:w="1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9"/>
        </w:trPr>
        <w:tc>
          <w:tcPr>
            <w:tcW w:w="46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16,964</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12,986</w:t>
            </w:r>
          </w:p>
        </w:tc>
        <w:tc>
          <w:tcPr>
            <w:tcW w:w="16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9"/>
        </w:trPr>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7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13,314</w:t>
            </w:r>
          </w:p>
        </w:tc>
        <w:tc>
          <w:tcPr>
            <w:tcW w:w="32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11,849</w:t>
            </w:r>
          </w:p>
        </w:tc>
        <w:tc>
          <w:tcPr>
            <w:tcW w:w="1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81"/>
        </w:trPr>
        <w:tc>
          <w:tcPr>
            <w:tcW w:w="468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gridSpan w:val="2"/>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220"/>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45,317</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37,154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1"/>
        </w:trPr>
        <w:tc>
          <w:tcPr>
            <w:tcW w:w="468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7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22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7,581</w:t>
            </w:r>
          </w:p>
        </w:tc>
        <w:tc>
          <w:tcPr>
            <w:tcW w:w="32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5,706</w:t>
            </w:r>
          </w:p>
        </w:tc>
        <w:tc>
          <w:tcPr>
            <w:tcW w:w="1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9"/>
        </w:trPr>
        <w:tc>
          <w:tcPr>
            <w:tcW w:w="46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7,562</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5,422</w:t>
            </w:r>
          </w:p>
        </w:tc>
        <w:tc>
          <w:tcPr>
            <w:tcW w:w="16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9"/>
        </w:trPr>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7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5,095</w:t>
            </w:r>
          </w:p>
        </w:tc>
        <w:tc>
          <w:tcPr>
            <w:tcW w:w="32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4,748</w:t>
            </w:r>
          </w:p>
        </w:tc>
        <w:tc>
          <w:tcPr>
            <w:tcW w:w="1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8"/>
        </w:trPr>
        <w:tc>
          <w:tcPr>
            <w:tcW w:w="468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gridSpan w:val="2"/>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80" w:type="dxa"/>
            <w:vAlign w:val="bottom"/>
          </w:tcPr>
          <w:p>
            <w:pPr>
              <w:ind w:left="220"/>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20,238</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15,876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with Three Months Ended September 30,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$2.7 billion or 22%.</w:t>
      </w:r>
    </w:p>
    <w:p>
      <w:pPr>
        <w:spacing w:after="0" w:line="63" w:lineRule="exact"/>
        <w:rPr>
          <w:sz w:val="20"/>
          <w:szCs w:val="20"/>
          <w:color w:val="auto"/>
        </w:rPr>
      </w:pPr>
    </w:p>
    <w:p>
      <w:pPr>
        <w:jc w:val="both"/>
        <w:ind w:left="1060" w:right="20" w:hanging="391"/>
        <w:spacing w:after="0" w:line="238"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$1.4 billion or 18%. Office 365 Commercial revenue grew 23% driven by seat growth, up 17% with continued momentum in small and medium business and frontline worker offerings, and higher revenue per user. Office Commercial products revenue declined 13% driven by continued customer shift to cloud offerings, on a low prior year comparable impacted by a slowdown in transactional licensing.</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$135 million or 10% driven by Microsoft 365 Consumer subscription revenue, on a strong prior year comparable. Microsoft 365 Consumer subscribers increased 19% to 54.1 million.</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LinkedIn revenue increased $930 million or 42% driven by advertising demand in our Marketing Solutions business and an improving job market in our Talent Solutions business.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31% driven by Dynamics 365 growth of 48%.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$1.9 billion or 33%.</w:t>
      </w:r>
    </w:p>
    <w:p>
      <w:pPr>
        <w:spacing w:after="0" w:line="63" w:lineRule="exact"/>
        <w:rPr>
          <w:sz w:val="20"/>
          <w:szCs w:val="20"/>
          <w:color w:val="auto"/>
        </w:rPr>
      </w:pPr>
    </w:p>
    <w:p>
      <w:pPr>
        <w:jc w:val="both"/>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increased $2.2 billion or 22% driven by growth in Office 365 Commercial and LinkedIn. Gross margin percentage increased slightly. Excluding the impact of the change in accounting estimate, gross margin percentage increased 2 points, driven by improvement across all cloud services.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increased $290 million or 7% driven by investments in cloud engineering and LinkedIn.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 favorable foreign currency impact of 2%, 2%, and 4%,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6" w:name="page37"/>
    <w:bookmarkEnd w:id="3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$4.0 billion or 31%.</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$3.9 billion or 35% driven by Azure and other cloud services. Azure and other cloud services revenue grew 50% driven by growth in our consumption-based services. Server products revenue increased 14% driven by hybrid solutions, including Windows Server and SQL Server running in multi-cloud environments, with an increase in multi-year agreements that carry higher in-quarter revenue recognition, on a low prior year comparable impacted by a slowdown in transactional licensing.</w:t>
      </w:r>
    </w:p>
    <w:p>
      <w:pPr>
        <w:spacing w:after="0" w:line="5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Enterprise Services revenue increased $154 million or 9% driven by growth in Microsoft Consulting Services and Enterprise Support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$2.1 billion or 39%.</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increased $2.6 billion or 28% driven by growth in Azure and other cloud services. Gross margin percentage decreased. Excluding the impact of the change in accounting estimate, gross margin percentage increased 2 points, driven by gross margin percentage improvement in Azure and other cloud services, offset in part by sales mix shift to Azure and other cloud services.</w:t>
      </w:r>
    </w:p>
    <w:p>
      <w:pPr>
        <w:spacing w:after="0" w:line="56" w:lineRule="exact"/>
        <w:rPr>
          <w:rFonts w:ascii="Arial" w:cs="Arial" w:eastAsia="Arial" w:hAnsi="Arial"/>
          <w:sz w:val="18"/>
          <w:szCs w:val="18"/>
          <w:color w:val="auto"/>
        </w:rPr>
      </w:pPr>
    </w:p>
    <w:p>
      <w:pPr>
        <w:ind w:left="1060" w:hanging="39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increased $496 million or 13% driven by investments in Azure and other cloud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each included a favorable foreign currency impact of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$1.5 billion or 12%.</w:t>
      </w:r>
    </w:p>
    <w:p>
      <w:pPr>
        <w:spacing w:after="0" w:line="63" w:lineRule="exact"/>
        <w:rPr>
          <w:sz w:val="20"/>
          <w:szCs w:val="20"/>
          <w:color w:val="auto"/>
        </w:rPr>
      </w:pPr>
    </w:p>
    <w:p>
      <w:pPr>
        <w:jc w:val="both"/>
        <w:ind w:left="1060" w:hanging="391"/>
        <w:spacing w:after="0" w:line="23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Windows revenue increased $525 million or 10% driven by growth in Windows OEM and Windows Commercial. Windows OEM revenue increased 10%, including 7 points of negative impact from the Windows 11 revenue deferral, driven by growth in the PC market, particularly in commercial with higher revenue per license. Windows Commercial products and cloud services revenue increased 12% driven by demand for Microsoft 365.</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Search and news advertising revenue increased $713 million or 37%. Search and news advertising revenue excluding traffic acquisition costs increased 40% driven by higher revenue per search, on a low prior year comparable.</w:t>
      </w:r>
    </w:p>
    <w:p>
      <w:pPr>
        <w:spacing w:after="0" w:line="48" w:lineRule="exact"/>
        <w:rPr>
          <w:rFonts w:ascii="Arial" w:cs="Arial" w:eastAsia="Arial" w:hAnsi="Arial"/>
          <w:sz w:val="18"/>
          <w:szCs w:val="18"/>
          <w:color w:val="auto"/>
        </w:rPr>
      </w:pPr>
    </w:p>
    <w:p>
      <w:pPr>
        <w:jc w:val="both"/>
        <w:ind w:left="1060" w:hanging="391"/>
        <w:spacing w:after="0" w:line="23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Gaming revenue increased $501 million or 16% driven by growth in Xbox hardware. Xbox hardware revenue increased 166% driven by higher volume and price of consoles sold due to continued demand for Xbox Series X|S, on a low prior year comparable impacted by a slowdown in volume of consoles sold ahead of Xbox Series X|S launches. Xbox content and services revenue increased 2% driven by growth in Xbox Game Pass subscriptions and first-party titles, offset in part by a decline in third-party titles, on a strong prior year comparable that benefitted from stay-at-home scenarios.</w:t>
      </w:r>
    </w:p>
    <w:p>
      <w:pPr>
        <w:spacing w:after="0" w:line="53" w:lineRule="exact"/>
        <w:rPr>
          <w:rFonts w:ascii="Arial" w:cs="Arial" w:eastAsia="Arial" w:hAnsi="Arial"/>
          <w:sz w:val="18"/>
          <w:szCs w:val="18"/>
          <w:color w:val="auto"/>
        </w:rPr>
      </w:pPr>
    </w:p>
    <w:p>
      <w:pPr>
        <w:ind w:left="1060" w:hanging="39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Surface revenue decreased $267 million or 17% on a strong prior year comparable.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$347 million or 7%.</w:t>
      </w:r>
    </w:p>
    <w:p>
      <w:pPr>
        <w:spacing w:after="0" w:line="63" w:lineRule="exact"/>
        <w:rPr>
          <w:sz w:val="20"/>
          <w:szCs w:val="20"/>
          <w:color w:val="auto"/>
        </w:rPr>
      </w:pPr>
    </w:p>
    <w:p>
      <w:pPr>
        <w:ind w:left="1060" w:hanging="391"/>
        <w:spacing w:after="0" w:line="246"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margin increased $718 million or 10% driven by growth in Windows and Search and news advertising. Gross margin percentage decreased driven by sales mix shift to Gaming hardware.</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expenses increased $371 million or 15% driven by investments in Gaming as well as Windows marketing.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both included a favorable foreign currency impact of 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7" w:name="page38"/>
    <w:bookmarkEnd w:id="3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00" w:type="dxa"/>
            <w:vAlign w:val="bottom"/>
            <w:gridSpan w:val="2"/>
          </w:tcPr>
          <w:p>
            <w:pPr>
              <w:jc w:val="right"/>
              <w:ind w:right="441"/>
              <w:spacing w:after="0"/>
              <w:rPr>
                <w:sz w:val="20"/>
                <w:szCs w:val="20"/>
                <w:color w:val="auto"/>
              </w:rPr>
            </w:pPr>
            <w:r>
              <w:rPr>
                <w:rFonts w:ascii="Arial" w:cs="Arial" w:eastAsia="Arial" w:hAnsi="Arial"/>
                <w:sz w:val="13"/>
                <w:szCs w:val="13"/>
                <w:b w:val="1"/>
                <w:bCs w:val="1"/>
                <w:color w:val="auto"/>
              </w:rPr>
              <w:t>Three Months Ended</w:t>
            </w: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420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2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jc w:val="right"/>
              <w:ind w:right="441"/>
              <w:spacing w:after="0"/>
              <w:rPr>
                <w:sz w:val="20"/>
                <w:szCs w:val="20"/>
                <w:color w:val="auto"/>
              </w:rPr>
            </w:pPr>
            <w:r>
              <w:rPr>
                <w:rFonts w:ascii="Arial" w:cs="Arial" w:eastAsia="Arial" w:hAnsi="Arial"/>
                <w:sz w:val="13"/>
                <w:szCs w:val="13"/>
                <w:b w:val="1"/>
                <w:bCs w:val="1"/>
                <w:color w:val="auto"/>
              </w:rPr>
              <w:t>September 30,</w:t>
            </w: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r>
      <w:tr>
        <w:trPr>
          <w:trHeight w:val="55"/>
        </w:trPr>
        <w:tc>
          <w:tcPr>
            <w:tcW w:w="42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2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9"/>
                <w:szCs w:val="19"/>
                <w:color w:val="auto"/>
              </w:rPr>
            </w:pPr>
          </w:p>
        </w:tc>
        <w:tc>
          <w:tcPr>
            <w:tcW w:w="1660" w:type="dxa"/>
            <w:vAlign w:val="bottom"/>
          </w:tcPr>
          <w:p>
            <w:pPr>
              <w:jc w:val="right"/>
              <w:ind w:right="441"/>
              <w:spacing w:after="0"/>
              <w:rPr>
                <w:sz w:val="20"/>
                <w:szCs w:val="20"/>
                <w:color w:val="auto"/>
              </w:rPr>
            </w:pPr>
            <w:r>
              <w:rPr>
                <w:rFonts w:ascii="Arial" w:cs="Arial" w:eastAsia="Arial" w:hAnsi="Arial"/>
                <w:sz w:val="13"/>
                <w:szCs w:val="13"/>
                <w:b w:val="1"/>
                <w:bCs w:val="1"/>
                <w:color w:val="auto"/>
              </w:rPr>
              <w:t>2020</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
        </w:trPr>
        <w:tc>
          <w:tcPr>
            <w:tcW w:w="42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2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E5E5"/>
          </w:tcPr>
          <w:p>
            <w:pPr>
              <w:jc w:val="right"/>
              <w:ind w:right="78"/>
              <w:spacing w:after="0" w:line="189" w:lineRule="exact"/>
              <w:rPr>
                <w:sz w:val="20"/>
                <w:szCs w:val="20"/>
                <w:color w:val="auto"/>
              </w:rPr>
            </w:pPr>
            <w:r>
              <w:rPr>
                <w:rFonts w:ascii="Arial" w:cs="Arial" w:eastAsia="Arial" w:hAnsi="Arial"/>
                <w:sz w:val="18"/>
                <w:szCs w:val="18"/>
                <w:b w:val="1"/>
                <w:bCs w:val="1"/>
                <w:color w:val="auto"/>
              </w:rPr>
              <w:t>5,599</w:t>
            </w:r>
          </w:p>
        </w:tc>
        <w:tc>
          <w:tcPr>
            <w:tcW w:w="440" w:type="dxa"/>
            <w:vAlign w:val="bottom"/>
            <w:shd w:val="clear" w:color="auto" w:fill="E5E5E5"/>
          </w:tcPr>
          <w:p>
            <w:pPr>
              <w:jc w:val="right"/>
              <w:ind w:right="121"/>
              <w:spacing w:after="0" w:line="189" w:lineRule="exact"/>
              <w:rPr>
                <w:sz w:val="20"/>
                <w:szCs w:val="20"/>
                <w:color w:val="auto"/>
              </w:rPr>
            </w:pPr>
            <w:r>
              <w:rPr>
                <w:rFonts w:ascii="Arial" w:cs="Arial" w:eastAsia="Arial" w:hAnsi="Arial"/>
                <w:sz w:val="18"/>
                <w:szCs w:val="18"/>
                <w:color w:val="auto"/>
              </w:rPr>
              <w:t>$</w:t>
            </w:r>
          </w:p>
        </w:tc>
        <w:tc>
          <w:tcPr>
            <w:tcW w:w="1660" w:type="dxa"/>
            <w:vAlign w:val="bottom"/>
            <w:shd w:val="clear" w:color="auto" w:fill="E5E5E5"/>
          </w:tcPr>
          <w:p>
            <w:pPr>
              <w:jc w:val="right"/>
              <w:ind w:right="441"/>
              <w:spacing w:after="0" w:line="189" w:lineRule="exact"/>
              <w:rPr>
                <w:sz w:val="20"/>
                <w:szCs w:val="20"/>
                <w:color w:val="auto"/>
              </w:rPr>
            </w:pPr>
            <w:r>
              <w:rPr>
                <w:rFonts w:ascii="Arial" w:cs="Arial" w:eastAsia="Arial" w:hAnsi="Arial"/>
                <w:sz w:val="18"/>
                <w:szCs w:val="18"/>
                <w:color w:val="auto"/>
              </w:rPr>
              <w:t>4,926</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w:t>
            </w:r>
          </w:p>
        </w:tc>
        <w:tc>
          <w:tcPr>
            <w:tcW w:w="100" w:type="dxa"/>
            <w:vAlign w:val="bottom"/>
            <w:shd w:val="clear" w:color="auto" w:fill="E5E5E5"/>
          </w:tcPr>
          <w:p>
            <w:pPr>
              <w:spacing w:after="0"/>
              <w:rPr>
                <w:sz w:val="16"/>
                <w:szCs w:val="16"/>
                <w:color w:val="auto"/>
              </w:rPr>
            </w:pPr>
          </w:p>
        </w:tc>
      </w:tr>
      <w:tr>
        <w:trPr>
          <w:trHeight w:val="25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12%</w:t>
            </w:r>
          </w:p>
        </w:tc>
        <w:tc>
          <w:tcPr>
            <w:tcW w:w="4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with Three Months Ended September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$673 million or 14% driven by investments in cloud engineering and Gaming.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00" w:type="dxa"/>
            <w:vAlign w:val="bottom"/>
            <w:gridSpan w:val="2"/>
          </w:tcPr>
          <w:p>
            <w:pPr>
              <w:jc w:val="right"/>
              <w:ind w:right="441"/>
              <w:spacing w:after="0"/>
              <w:rPr>
                <w:sz w:val="20"/>
                <w:szCs w:val="20"/>
                <w:color w:val="auto"/>
              </w:rPr>
            </w:pPr>
            <w:r>
              <w:rPr>
                <w:rFonts w:ascii="Arial" w:cs="Arial" w:eastAsia="Arial" w:hAnsi="Arial"/>
                <w:sz w:val="13"/>
                <w:szCs w:val="13"/>
                <w:b w:val="1"/>
                <w:bCs w:val="1"/>
                <w:color w:val="auto"/>
              </w:rPr>
              <w:t>Three Months Ended</w:t>
            </w: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416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2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jc w:val="right"/>
              <w:ind w:right="441"/>
              <w:spacing w:after="0"/>
              <w:rPr>
                <w:sz w:val="20"/>
                <w:szCs w:val="20"/>
                <w:color w:val="auto"/>
              </w:rPr>
            </w:pPr>
            <w:r>
              <w:rPr>
                <w:rFonts w:ascii="Arial" w:cs="Arial" w:eastAsia="Arial" w:hAnsi="Arial"/>
                <w:sz w:val="13"/>
                <w:szCs w:val="13"/>
                <w:b w:val="1"/>
                <w:bCs w:val="1"/>
                <w:color w:val="auto"/>
              </w:rPr>
              <w:t>September 30,</w:t>
            </w: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r>
      <w:tr>
        <w:trPr>
          <w:trHeight w:val="54"/>
        </w:trPr>
        <w:tc>
          <w:tcPr>
            <w:tcW w:w="416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9"/>
                <w:szCs w:val="19"/>
                <w:color w:val="auto"/>
              </w:rPr>
            </w:pPr>
          </w:p>
        </w:tc>
        <w:tc>
          <w:tcPr>
            <w:tcW w:w="1660" w:type="dxa"/>
            <w:vAlign w:val="bottom"/>
          </w:tcPr>
          <w:p>
            <w:pPr>
              <w:jc w:val="right"/>
              <w:ind w:right="441"/>
              <w:spacing w:after="0"/>
              <w:rPr>
                <w:sz w:val="20"/>
                <w:szCs w:val="20"/>
                <w:color w:val="auto"/>
              </w:rPr>
            </w:pPr>
            <w:r>
              <w:rPr>
                <w:rFonts w:ascii="Arial" w:cs="Arial" w:eastAsia="Arial" w:hAnsi="Arial"/>
                <w:sz w:val="13"/>
                <w:szCs w:val="13"/>
                <w:b w:val="1"/>
                <w:bCs w:val="1"/>
                <w:color w:val="auto"/>
              </w:rPr>
              <w:t>2020</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1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258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E5E5"/>
          </w:tcPr>
          <w:p>
            <w:pPr>
              <w:jc w:val="right"/>
              <w:ind w:right="78"/>
              <w:spacing w:after="0" w:line="189" w:lineRule="exact"/>
              <w:rPr>
                <w:sz w:val="20"/>
                <w:szCs w:val="20"/>
                <w:color w:val="auto"/>
              </w:rPr>
            </w:pPr>
            <w:r>
              <w:rPr>
                <w:rFonts w:ascii="Arial" w:cs="Arial" w:eastAsia="Arial" w:hAnsi="Arial"/>
                <w:sz w:val="18"/>
                <w:szCs w:val="18"/>
                <w:b w:val="1"/>
                <w:bCs w:val="1"/>
                <w:color w:val="auto"/>
              </w:rPr>
              <w:t>4,547</w:t>
            </w:r>
          </w:p>
        </w:tc>
        <w:tc>
          <w:tcPr>
            <w:tcW w:w="440" w:type="dxa"/>
            <w:vAlign w:val="bottom"/>
            <w:shd w:val="clear" w:color="auto" w:fill="E5E5E5"/>
          </w:tcPr>
          <w:p>
            <w:pPr>
              <w:jc w:val="right"/>
              <w:ind w:right="121"/>
              <w:spacing w:after="0" w:line="189" w:lineRule="exact"/>
              <w:rPr>
                <w:sz w:val="20"/>
                <w:szCs w:val="20"/>
                <w:color w:val="auto"/>
              </w:rPr>
            </w:pPr>
            <w:r>
              <w:rPr>
                <w:rFonts w:ascii="Arial" w:cs="Arial" w:eastAsia="Arial" w:hAnsi="Arial"/>
                <w:sz w:val="18"/>
                <w:szCs w:val="18"/>
                <w:color w:val="auto"/>
              </w:rPr>
              <w:t>$</w:t>
            </w:r>
          </w:p>
        </w:tc>
        <w:tc>
          <w:tcPr>
            <w:tcW w:w="1660" w:type="dxa"/>
            <w:vAlign w:val="bottom"/>
            <w:shd w:val="clear" w:color="auto" w:fill="E5E5E5"/>
          </w:tcPr>
          <w:p>
            <w:pPr>
              <w:jc w:val="right"/>
              <w:ind w:right="441"/>
              <w:spacing w:after="0" w:line="189" w:lineRule="exact"/>
              <w:rPr>
                <w:sz w:val="20"/>
                <w:szCs w:val="20"/>
                <w:color w:val="auto"/>
              </w:rPr>
            </w:pPr>
            <w:r>
              <w:rPr>
                <w:rFonts w:ascii="Arial" w:cs="Arial" w:eastAsia="Arial" w:hAnsi="Arial"/>
                <w:sz w:val="18"/>
                <w:szCs w:val="18"/>
                <w:color w:val="auto"/>
              </w:rPr>
              <w:t>4,231</w:t>
            </w: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w:t>
            </w:r>
          </w:p>
        </w:tc>
      </w:tr>
      <w:tr>
        <w:trPr>
          <w:trHeight w:val="250"/>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5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10%</w:t>
            </w:r>
          </w:p>
        </w:tc>
        <w:tc>
          <w:tcPr>
            <w:tcW w:w="4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with Three Months Ended September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increased $316 million or 7% driven by investments in commercial sales, Windows marketing, and LinkedIn.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00" w:type="dxa"/>
            <w:vAlign w:val="bottom"/>
            <w:gridSpan w:val="2"/>
          </w:tcPr>
          <w:p>
            <w:pPr>
              <w:jc w:val="right"/>
              <w:ind w:right="441"/>
              <w:spacing w:after="0"/>
              <w:rPr>
                <w:sz w:val="20"/>
                <w:szCs w:val="20"/>
                <w:color w:val="auto"/>
              </w:rPr>
            </w:pPr>
            <w:r>
              <w:rPr>
                <w:rFonts w:ascii="Arial" w:cs="Arial" w:eastAsia="Arial" w:hAnsi="Arial"/>
                <w:sz w:val="13"/>
                <w:szCs w:val="13"/>
                <w:b w:val="1"/>
                <w:bCs w:val="1"/>
                <w:color w:val="auto"/>
              </w:rPr>
              <w:t>Three Months Ended</w:t>
            </w: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418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2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jc w:val="right"/>
              <w:ind w:right="441"/>
              <w:spacing w:after="0"/>
              <w:rPr>
                <w:sz w:val="20"/>
                <w:szCs w:val="20"/>
                <w:color w:val="auto"/>
              </w:rPr>
            </w:pPr>
            <w:r>
              <w:rPr>
                <w:rFonts w:ascii="Arial" w:cs="Arial" w:eastAsia="Arial" w:hAnsi="Arial"/>
                <w:sz w:val="13"/>
                <w:szCs w:val="13"/>
                <w:b w:val="1"/>
                <w:bCs w:val="1"/>
                <w:color w:val="auto"/>
              </w:rPr>
              <w:t>September 30,</w:t>
            </w: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r>
      <w:tr>
        <w:trPr>
          <w:trHeight w:val="55"/>
        </w:trPr>
        <w:tc>
          <w:tcPr>
            <w:tcW w:w="418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1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9"/>
                <w:szCs w:val="19"/>
                <w:color w:val="auto"/>
              </w:rPr>
            </w:pPr>
          </w:p>
        </w:tc>
        <w:tc>
          <w:tcPr>
            <w:tcW w:w="1660" w:type="dxa"/>
            <w:vAlign w:val="bottom"/>
          </w:tcPr>
          <w:p>
            <w:pPr>
              <w:jc w:val="right"/>
              <w:ind w:right="441"/>
              <w:spacing w:after="0"/>
              <w:rPr>
                <w:sz w:val="20"/>
                <w:szCs w:val="20"/>
                <w:color w:val="auto"/>
              </w:rPr>
            </w:pPr>
            <w:r>
              <w:rPr>
                <w:rFonts w:ascii="Arial" w:cs="Arial" w:eastAsia="Arial" w:hAnsi="Arial"/>
                <w:sz w:val="13"/>
                <w:szCs w:val="13"/>
                <w:b w:val="1"/>
                <w:bCs w:val="1"/>
                <w:color w:val="auto"/>
              </w:rPr>
              <w:t>2020</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1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256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E5E5"/>
          </w:tcPr>
          <w:p>
            <w:pPr>
              <w:jc w:val="right"/>
              <w:ind w:right="78"/>
              <w:spacing w:after="0" w:line="189" w:lineRule="exact"/>
              <w:rPr>
                <w:sz w:val="20"/>
                <w:szCs w:val="20"/>
                <w:color w:val="auto"/>
              </w:rPr>
            </w:pPr>
            <w:r>
              <w:rPr>
                <w:rFonts w:ascii="Arial" w:cs="Arial" w:eastAsia="Arial" w:hAnsi="Arial"/>
                <w:sz w:val="18"/>
                <w:szCs w:val="18"/>
                <w:b w:val="1"/>
                <w:bCs w:val="1"/>
                <w:color w:val="auto"/>
              </w:rPr>
              <w:t>1,287</w:t>
            </w:r>
          </w:p>
        </w:tc>
        <w:tc>
          <w:tcPr>
            <w:tcW w:w="440" w:type="dxa"/>
            <w:vAlign w:val="bottom"/>
            <w:shd w:val="clear" w:color="auto" w:fill="E5E5E5"/>
          </w:tcPr>
          <w:p>
            <w:pPr>
              <w:jc w:val="right"/>
              <w:ind w:right="121"/>
              <w:spacing w:after="0" w:line="189" w:lineRule="exact"/>
              <w:rPr>
                <w:sz w:val="20"/>
                <w:szCs w:val="20"/>
                <w:color w:val="auto"/>
              </w:rPr>
            </w:pPr>
            <w:r>
              <w:rPr>
                <w:rFonts w:ascii="Arial" w:cs="Arial" w:eastAsia="Arial" w:hAnsi="Arial"/>
                <w:sz w:val="18"/>
                <w:szCs w:val="18"/>
                <w:color w:val="auto"/>
              </w:rPr>
              <w:t>$</w:t>
            </w:r>
          </w:p>
        </w:tc>
        <w:tc>
          <w:tcPr>
            <w:tcW w:w="1660" w:type="dxa"/>
            <w:vAlign w:val="bottom"/>
            <w:shd w:val="clear" w:color="auto" w:fill="E5E5E5"/>
          </w:tcPr>
          <w:p>
            <w:pPr>
              <w:jc w:val="right"/>
              <w:ind w:right="441"/>
              <w:spacing w:after="0" w:line="189" w:lineRule="exact"/>
              <w:rPr>
                <w:sz w:val="20"/>
                <w:szCs w:val="20"/>
                <w:color w:val="auto"/>
              </w:rPr>
            </w:pPr>
            <w:r>
              <w:rPr>
                <w:rFonts w:ascii="Arial" w:cs="Arial" w:eastAsia="Arial" w:hAnsi="Arial"/>
                <w:sz w:val="18"/>
                <w:szCs w:val="18"/>
                <w:color w:val="auto"/>
              </w:rPr>
              <w:t>1,119</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w:t>
            </w:r>
          </w:p>
        </w:tc>
        <w:tc>
          <w:tcPr>
            <w:tcW w:w="100" w:type="dxa"/>
            <w:vAlign w:val="bottom"/>
            <w:shd w:val="clear" w:color="auto" w:fill="E5E5E5"/>
          </w:tcPr>
          <w:p>
            <w:pPr>
              <w:spacing w:after="0"/>
              <w:rPr>
                <w:sz w:val="16"/>
                <w:szCs w:val="16"/>
                <w:color w:val="auto"/>
              </w:rPr>
            </w:pPr>
          </w:p>
        </w:tc>
      </w:tr>
      <w:tr>
        <w:trPr>
          <w:trHeight w:val="25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3%</w:t>
            </w:r>
          </w:p>
        </w:tc>
        <w:tc>
          <w:tcPr>
            <w:tcW w:w="4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194" w:lineRule="exact"/>
        <w:rPr>
          <w:sz w:val="20"/>
          <w:szCs w:val="20"/>
          <w:color w:val="auto"/>
        </w:rPr>
      </w:pPr>
    </w:p>
    <w:p>
      <w:pPr>
        <w:ind w:right="2820"/>
        <w:spacing w:after="0" w:line="497" w:lineRule="auto"/>
        <w:rPr>
          <w:sz w:val="20"/>
          <w:szCs w:val="20"/>
          <w:color w:val="auto"/>
        </w:rPr>
      </w:pPr>
      <w:r>
        <w:rPr>
          <w:rFonts w:ascii="Arial" w:cs="Arial" w:eastAsia="Arial" w:hAnsi="Arial"/>
          <w:sz w:val="17"/>
          <w:szCs w:val="17"/>
          <w:b w:val="1"/>
          <w:bCs w:val="1"/>
          <w:i w:val="1"/>
          <w:iCs w:val="1"/>
          <w:color w:val="auto"/>
        </w:rPr>
        <w:t xml:space="preserve">Three Months Ended September 30, 2021 Compared with Three Months Ended September 30, 2020 </w:t>
      </w:r>
      <w:r>
        <w:rPr>
          <w:rFonts w:ascii="Arial" w:cs="Arial" w:eastAsia="Arial" w:hAnsi="Arial"/>
          <w:sz w:val="17"/>
          <w:szCs w:val="17"/>
          <w:color w:val="auto"/>
        </w:rPr>
        <w:t>General and administrative expenses increased $168 million or 15% driven by an increase in headcount.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8" w:name="page39"/>
    <w:bookmarkEnd w:id="3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31"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54"/>
        </w:trPr>
        <w:tc>
          <w:tcPr>
            <w:tcW w:w="8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600" w:type="dxa"/>
            <w:vAlign w:val="bottom"/>
            <w:shd w:val="clear" w:color="auto" w:fill="E5E5E5"/>
          </w:tcPr>
          <w:p>
            <w:pPr>
              <w:jc w:val="right"/>
              <w:ind w:right="41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520</w:t>
            </w:r>
          </w:p>
        </w:tc>
        <w:tc>
          <w:tcPr>
            <w:tcW w:w="680" w:type="dxa"/>
            <w:vAlign w:val="bottom"/>
            <w:gridSpan w:val="2"/>
            <w:shd w:val="clear" w:color="auto" w:fill="E5E5E5"/>
          </w:tcPr>
          <w:p>
            <w:pPr>
              <w:jc w:val="right"/>
              <w:ind w:right="50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570</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(539)</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(589)</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6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371</w:t>
            </w:r>
          </w:p>
        </w:tc>
        <w:tc>
          <w:tcPr>
            <w:tcW w:w="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125</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60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6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(65)</w:t>
            </w:r>
          </w:p>
        </w:tc>
        <w:tc>
          <w:tcPr>
            <w:tcW w:w="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139</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8"/>
        </w:trPr>
        <w:tc>
          <w:tcPr>
            <w:tcW w:w="80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600" w:type="dxa"/>
            <w:vAlign w:val="bottom"/>
            <w:shd w:val="clear" w:color="auto" w:fill="E5E5E5"/>
          </w:tcPr>
          <w:p>
            <w:pPr>
              <w:jc w:val="right"/>
              <w:ind w:right="41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286</w:t>
            </w:r>
          </w:p>
        </w:tc>
        <w:tc>
          <w:tcPr>
            <w:tcW w:w="680" w:type="dxa"/>
            <w:vAlign w:val="bottom"/>
            <w:gridSpan w:val="2"/>
            <w:shd w:val="clear" w:color="auto" w:fill="E5E5E5"/>
          </w:tcPr>
          <w:p>
            <w:pPr>
              <w:jc w:val="right"/>
              <w:ind w:right="50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248</w:t>
            </w:r>
          </w:p>
        </w:tc>
      </w:tr>
      <w:tr>
        <w:trPr>
          <w:trHeight w:val="74"/>
        </w:trPr>
        <w:tc>
          <w:tcPr>
            <w:tcW w:w="800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with Three Months Ended September 30, 2020</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and dividends income decreased due to lower portfolio balances. Interest expense decreased due to a decrease in outstanding long-term debt due to debt maturities. Net recognized gains on investments increased due to higher gains on equity securities.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effective tax rate was 0% and 14% for the three months ended September 30, 2021 and 2020, respectively. The decrease in our effective tax rate for the current quarter compared to the prior year was primarily due to a $3.3 billion net income tax benefit in the first quarter of fiscal year 2022 related to the transfer of intangible properties.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exceeds the current tax liability from the U.S. global intangible low-taxed income tax.</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was lower than the U.S. federal statutory rate for the three months ended September 30, 2021, primarily due to the net income tax benefit related to the transfer of intangible properties, earnings taxed at lower rates in foreign jurisdictions resulting from producing and distributing our products and services through our foreign regional operations center in Ireland, and tax benefits relating to stock-based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September 30, 2021,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9" w:name="page40"/>
    <w:bookmarkEnd w:id="3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2021, some of which are currently under audit by local tax authorities. The resolution of each of these audits is not expected to be material to our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net income and adjusted diluted EPS are non-GAAP financial measures which exclude the net tax benefit related to the transfer of intangible properties in fiscal year 2022.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Three Months Ended</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686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September 30,</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Change</w:t>
            </w:r>
          </w:p>
        </w:tc>
      </w:tr>
      <w:tr>
        <w:trPr>
          <w:trHeight w:val="54"/>
        </w:trPr>
        <w:tc>
          <w:tcPr>
            <w:tcW w:w="68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23"/>
        </w:trPr>
        <w:tc>
          <w:tcPr>
            <w:tcW w:w="6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2020</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55"/>
        </w:trPr>
        <w:tc>
          <w:tcPr>
            <w:tcW w:w="6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9"/>
        </w:trPr>
        <w:tc>
          <w:tcPr>
            <w:tcW w:w="6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20,505</w:t>
            </w:r>
          </w:p>
        </w:tc>
        <w:tc>
          <w:tcPr>
            <w:tcW w:w="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13,893</w:t>
            </w:r>
          </w:p>
        </w:tc>
        <w:tc>
          <w:tcPr>
            <w:tcW w:w="12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48%</w:t>
            </w:r>
          </w:p>
        </w:tc>
      </w:tr>
      <w:tr>
        <w:trPr>
          <w:trHeight w:val="250"/>
        </w:trPr>
        <w:tc>
          <w:tcPr>
            <w:tcW w:w="6860" w:type="dxa"/>
            <w:vAlign w:val="bottom"/>
          </w:tcPr>
          <w:p>
            <w:pPr>
              <w:spacing w:after="0"/>
              <w:rPr>
                <w:sz w:val="20"/>
                <w:szCs w:val="20"/>
                <w:color w:val="auto"/>
              </w:rPr>
            </w:pPr>
            <w:r>
              <w:rPr>
                <w:rFonts w:ascii="Arial" w:cs="Arial" w:eastAsia="Arial" w:hAnsi="Arial"/>
                <w:sz w:val="18"/>
                <w:szCs w:val="18"/>
                <w:color w:val="auto"/>
              </w:rPr>
              <w:t>Net income tax benefit related to transfer of intangible properties</w:t>
            </w:r>
          </w:p>
        </w:tc>
        <w:tc>
          <w:tcPr>
            <w:tcW w:w="4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(3,291)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68"/>
        </w:trPr>
        <w:tc>
          <w:tcPr>
            <w:tcW w:w="686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189"/>
        </w:trPr>
        <w:tc>
          <w:tcPr>
            <w:tcW w:w="6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Adjusted net income (non-GAAP)</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17,214</w:t>
            </w:r>
          </w:p>
        </w:tc>
        <w:tc>
          <w:tcPr>
            <w:tcW w:w="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13,893</w:t>
            </w:r>
          </w:p>
        </w:tc>
        <w:tc>
          <w:tcPr>
            <w:tcW w:w="12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24%</w:t>
            </w:r>
          </w:p>
        </w:tc>
      </w:tr>
      <w:tr>
        <w:trPr>
          <w:trHeight w:val="75"/>
        </w:trPr>
        <w:tc>
          <w:tcPr>
            <w:tcW w:w="68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56"/>
        </w:trPr>
        <w:tc>
          <w:tcPr>
            <w:tcW w:w="68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1.82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r>
      <w:tr>
        <w:trPr>
          <w:trHeight w:val="189"/>
        </w:trPr>
        <w:tc>
          <w:tcPr>
            <w:tcW w:w="6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tax benefit related to transfer of intangible properties</w:t>
            </w:r>
          </w:p>
        </w:tc>
        <w:tc>
          <w:tcPr>
            <w:tcW w:w="4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(0.44)</w:t>
            </w:r>
          </w:p>
        </w:tc>
        <w:tc>
          <w:tcPr>
            <w:tcW w:w="1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r>
      <w:tr>
        <w:trPr>
          <w:trHeight w:val="68"/>
        </w:trPr>
        <w:tc>
          <w:tcPr>
            <w:tcW w:w="68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64"/>
        </w:trPr>
        <w:tc>
          <w:tcPr>
            <w:tcW w:w="6860" w:type="dxa"/>
            <w:vAlign w:val="bottom"/>
          </w:tcPr>
          <w:p>
            <w:pPr>
              <w:spacing w:after="0"/>
              <w:rPr>
                <w:sz w:val="20"/>
                <w:szCs w:val="20"/>
                <w:color w:val="auto"/>
              </w:rPr>
            </w:pPr>
            <w:r>
              <w:rPr>
                <w:rFonts w:ascii="Arial" w:cs="Arial" w:eastAsia="Arial" w:hAnsi="Arial"/>
                <w:sz w:val="18"/>
                <w:szCs w:val="18"/>
                <w:color w:val="auto"/>
              </w:rPr>
              <w:t>Adjusted diluted earnings per share (non-GAAP)</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1.82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34290</wp:posOffset>
            </wp:positionV>
            <wp:extent cx="17487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48790" cy="17145"/>
                    </a:xfrm>
                    <a:prstGeom prst="rect">
                      <a:avLst/>
                    </a:prstGeom>
                    <a:noFill/>
                  </pic:spPr>
                </pic:pic>
              </a:graphicData>
            </a:graphic>
          </wp:anchor>
        </w:drawing>
      </w:r>
    </w:p>
    <w:p>
      <w:pPr>
        <w:spacing w:after="0" w:line="1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Not meaningful.</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cash equivalents, and short-term investments totaled $130.6 billion and $130.3 billion as of September 30, 2021 and June 30, 2021. Equity investments were $6.4 billion and $6.0 billion as of September 30, 2021 and June 30, 2021,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0" w:name="page41"/>
    <w:bookmarkEnd w:id="4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with Three Months Ended September 30, 2020</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from operations increased $5.2 billion to $24.5 billion for the three months ended September 30, 2021, mainly due to an increase in cash received from customers, offset in part by an increase in cash paid to employees. Cash used in financing increased $6.0 billion to $16.3 billion for the three months ended September 30, 2021, mainly due to a $4.8 billion increase in repayments of debt and a $ 941 million increase in common stock repurchases. Cash used in investing decreased $2.1 billion to $3.3 billion for the three months ended September 30, 2021, mainly due to a $2.1 billion increase in cash from net investment purchases, sales, and maturities and a $1.7 billion decrease in other investing to facilitate the purchase of components, offset in part by a $903 million increase in additions to property and equipment and a $725 million increase in cash used for acquisitions of companies, net of cash acquired, and purchases of intangible and other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In March 2021 and June 2020, we exchanged a portion of our existing debt at a premium for cash and new debt with longer maturities to take advantage of favorable financing rates in the debt markets, reflecting our credit rating and the low interest rate environment. Refer to Note 10 – Debt of the Notes to Financial Statements (Part I, Item 1 of this Form 10-Q) for further discussion.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September 30,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48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460" w:type="dxa"/>
            <w:vAlign w:val="bottom"/>
          </w:tcPr>
          <w:p>
            <w:pPr>
              <w:spacing w:after="0"/>
              <w:rPr>
                <w:sz w:val="20"/>
                <w:szCs w:val="20"/>
                <w:color w:val="auto"/>
              </w:rPr>
            </w:pPr>
            <w:r>
              <w:rPr>
                <w:rFonts w:ascii="Arial" w:cs="Arial" w:eastAsia="Arial" w:hAnsi="Arial"/>
                <w:sz w:val="13"/>
                <w:szCs w:val="13"/>
                <w:b w:val="1"/>
                <w:bCs w:val="1"/>
                <w:color w:val="auto"/>
              </w:rPr>
              <w:t>Three Months Ending</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5"/>
        </w:trPr>
        <w:tc>
          <w:tcPr>
            <w:tcW w:w="9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31, 2021</w:t>
            </w:r>
          </w:p>
        </w:tc>
        <w:tc>
          <w:tcPr>
            <w:tcW w:w="600" w:type="dxa"/>
            <w:vAlign w:val="bottom"/>
            <w:shd w:val="clear" w:color="auto" w:fill="E5E5E5"/>
          </w:tcPr>
          <w:p>
            <w:pPr>
              <w:jc w:val="right"/>
              <w:ind w:right="4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17,504</w:t>
            </w:r>
          </w:p>
        </w:tc>
        <w:tc>
          <w:tcPr>
            <w:tcW w:w="120" w:type="dxa"/>
            <w:vAlign w:val="bottom"/>
            <w:shd w:val="clear" w:color="auto" w:fill="E5E5E5"/>
          </w:tcPr>
          <w:p>
            <w:pPr>
              <w:spacing w:after="0"/>
              <w:rPr>
                <w:sz w:val="16"/>
                <w:szCs w:val="16"/>
                <w:color w:val="auto"/>
              </w:rPr>
            </w:pPr>
          </w:p>
        </w:tc>
      </w:tr>
      <w:tr>
        <w:trPr>
          <w:trHeight w:val="189"/>
        </w:trPr>
        <w:tc>
          <w:tcPr>
            <w:tcW w:w="9460" w:type="dxa"/>
            <w:vAlign w:val="bottom"/>
          </w:tcPr>
          <w:p>
            <w:pPr>
              <w:spacing w:after="0" w:line="189" w:lineRule="exact"/>
              <w:rPr>
                <w:sz w:val="20"/>
                <w:szCs w:val="20"/>
                <w:color w:val="auto"/>
              </w:rPr>
            </w:pPr>
            <w:r>
              <w:rPr>
                <w:rFonts w:ascii="Arial" w:cs="Arial" w:eastAsia="Arial" w:hAnsi="Arial"/>
                <w:sz w:val="18"/>
                <w:szCs w:val="18"/>
                <w:color w:val="auto"/>
              </w:rPr>
              <w:t>March 31, 2022</w:t>
            </w:r>
          </w:p>
        </w:tc>
        <w:tc>
          <w:tcPr>
            <w:tcW w:w="6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12,044</w:t>
            </w:r>
          </w:p>
        </w:tc>
        <w:tc>
          <w:tcPr>
            <w:tcW w:w="120" w:type="dxa"/>
            <w:vAlign w:val="bottom"/>
          </w:tcPr>
          <w:p>
            <w:pPr>
              <w:spacing w:after="0"/>
              <w:rPr>
                <w:sz w:val="16"/>
                <w:szCs w:val="16"/>
                <w:color w:val="auto"/>
              </w:rPr>
            </w:pPr>
          </w:p>
        </w:tc>
      </w:tr>
      <w:tr>
        <w:trPr>
          <w:trHeight w:val="189"/>
        </w:trPr>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30, 2022</w:t>
            </w:r>
          </w:p>
        </w:tc>
        <w:tc>
          <w:tcPr>
            <w:tcW w:w="60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7,103</w:t>
            </w:r>
          </w:p>
        </w:tc>
        <w:tc>
          <w:tcPr>
            <w:tcW w:w="120" w:type="dxa"/>
            <w:vAlign w:val="bottom"/>
            <w:shd w:val="clear" w:color="auto" w:fill="E5E5E5"/>
          </w:tcPr>
          <w:p>
            <w:pPr>
              <w:spacing w:after="0"/>
              <w:rPr>
                <w:sz w:val="16"/>
                <w:szCs w:val="16"/>
                <w:color w:val="auto"/>
              </w:rPr>
            </w:pPr>
          </w:p>
        </w:tc>
      </w:tr>
      <w:tr>
        <w:trPr>
          <w:trHeight w:val="189"/>
        </w:trPr>
        <w:tc>
          <w:tcPr>
            <w:tcW w:w="9460" w:type="dxa"/>
            <w:vAlign w:val="bottom"/>
          </w:tcPr>
          <w:p>
            <w:pPr>
              <w:spacing w:after="0" w:line="189" w:lineRule="exact"/>
              <w:rPr>
                <w:sz w:val="20"/>
                <w:szCs w:val="20"/>
                <w:color w:val="auto"/>
              </w:rPr>
            </w:pPr>
            <w:r>
              <w:rPr>
                <w:rFonts w:ascii="Arial" w:cs="Arial" w:eastAsia="Arial" w:hAnsi="Arial"/>
                <w:sz w:val="18"/>
                <w:szCs w:val="18"/>
                <w:color w:val="auto"/>
              </w:rPr>
              <w:t>September 30, 2022</w:t>
            </w:r>
          </w:p>
        </w:tc>
        <w:tc>
          <w:tcPr>
            <w:tcW w:w="6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1,814</w:t>
            </w:r>
          </w:p>
        </w:tc>
        <w:tc>
          <w:tcPr>
            <w:tcW w:w="120" w:type="dxa"/>
            <w:vAlign w:val="bottom"/>
          </w:tcPr>
          <w:p>
            <w:pPr>
              <w:spacing w:after="0"/>
              <w:rPr>
                <w:sz w:val="16"/>
                <w:szCs w:val="16"/>
                <w:color w:val="auto"/>
              </w:rPr>
            </w:pPr>
          </w:p>
        </w:tc>
      </w:tr>
      <w:tr>
        <w:trPr>
          <w:trHeight w:val="189"/>
        </w:trPr>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60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2,550</w:t>
            </w:r>
          </w:p>
        </w:tc>
        <w:tc>
          <w:tcPr>
            <w:tcW w:w="120" w:type="dxa"/>
            <w:vAlign w:val="bottom"/>
            <w:shd w:val="clear" w:color="auto" w:fill="E5E5E5"/>
          </w:tcPr>
          <w:p>
            <w:pPr>
              <w:spacing w:after="0"/>
              <w:rPr>
                <w:sz w:val="16"/>
                <w:szCs w:val="16"/>
                <w:color w:val="auto"/>
              </w:rPr>
            </w:pPr>
          </w:p>
        </w:tc>
      </w:tr>
      <w:tr>
        <w:trPr>
          <w:trHeight w:val="68"/>
        </w:trPr>
        <w:tc>
          <w:tcPr>
            <w:tcW w:w="94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4"/>
        </w:trPr>
        <w:tc>
          <w:tcPr>
            <w:tcW w:w="9460" w:type="dxa"/>
            <w:vAlign w:val="bottom"/>
          </w:tcPr>
          <w:p>
            <w:pPr>
              <w:ind w:left="22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41,015</w:t>
            </w:r>
          </w:p>
        </w:tc>
        <w:tc>
          <w:tcPr>
            <w:tcW w:w="120" w:type="dxa"/>
            <w:vAlign w:val="bottom"/>
          </w:tcPr>
          <w:p>
            <w:pPr>
              <w:spacing w:after="0"/>
              <w:rPr>
                <w:sz w:val="22"/>
                <w:szCs w:val="22"/>
                <w:color w:val="auto"/>
              </w:rPr>
            </w:pPr>
          </w:p>
        </w:tc>
      </w:tr>
      <w:tr>
        <w:trPr>
          <w:trHeight w:val="61"/>
        </w:trPr>
        <w:tc>
          <w:tcPr>
            <w:tcW w:w="94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1" w:name="page42"/>
    <w:bookmarkEnd w:id="4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three months ended September 30, 2021 and 2020, we repurchased 21 million shares and 25 million shares of our common stock for $6.2 billion and $5.3 billion, respectively, through our share repurchase programs. All repurchases were made using cash resources. Refer to Note 15 – Stockholders’ Equity of the Notes to Financial Statements (Part I, Item 1 of this Form 10-Q) for further discussion.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 Stockholders’ Equity of the Notes to Financial Statements (Part I, Item 1 of this Form 10-Q)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in our consolidated financial statements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11, 2021, we entered into a definitive agreement to acquire Nuance Communications, Inc. (“Nuance”) for $56.00 per share in an all-cash transaction valued at $ 19.7 billion, inclusive of Nuance’s net debt. The acquisition has been approved by Nuance’s shareholders, and we expect it to close by the end of the second quarter or early in the third quarter of fiscal year 2022, subject to the satisfaction of certain regulatory approvals and other customary closing conditions.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Tax Cuts and Jobs Act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$6.2 billion, which included $1.5 billion during the three months ended September 30, 2021. The remaining transition tax of $12.1 billion is payable over the next four years with a final payment in fiscal year 2026.</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218"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 for further discussion.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2" w:name="page43"/>
    <w:bookmarkEnd w:id="4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as well as uncertainty in the current economic environment due to COVID-19. Critical accounting policies for us include revenue recognition, impairment of investment securities, goodwill, research and development costs, legal and other contingencies, income taxes, and inventories.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3" w:name="page44"/>
    <w:bookmarkEnd w:id="4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4" w:name="page45"/>
    <w:bookmarkEnd w:id="4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3"/>
          <w:szCs w:val="13"/>
          <w:u w:val="single" w:color="auto"/>
          <w:color w:val="auto"/>
        </w:rPr>
        <w:t>PART I</w:t>
      </w:r>
    </w:p>
    <w:p>
      <w:pPr>
        <w:jc w:val="center"/>
        <w:spacing w:after="0"/>
        <w:rPr>
          <w:sz w:val="20"/>
          <w:szCs w:val="20"/>
          <w:color w:val="auto"/>
        </w:rPr>
      </w:pPr>
      <w:r>
        <w:rPr>
          <w:rFonts w:ascii="Arial" w:cs="Arial" w:eastAsia="Arial" w:hAnsi="Arial"/>
          <w:sz w:val="13"/>
          <w:szCs w:val="13"/>
          <w:color w:val="auto"/>
        </w:rPr>
        <w:t>Item 3, 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719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b w:val="1"/>
                <w:bCs w:val="1"/>
                <w:color w:val="auto"/>
              </w:rPr>
              <w:t>September 30,</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2900" w:type="dxa"/>
            <w:vAlign w:val="bottom"/>
          </w:tcPr>
          <w:p>
            <w:pPr>
              <w:spacing w:after="0"/>
              <w:rPr>
                <w:sz w:val="20"/>
                <w:szCs w:val="20"/>
                <w:color w:val="auto"/>
              </w:rPr>
            </w:pPr>
            <w:r>
              <w:rPr>
                <w:rFonts w:ascii="Arial" w:cs="Arial" w:eastAsia="Arial" w:hAnsi="Arial"/>
                <w:sz w:val="13"/>
                <w:szCs w:val="13"/>
                <w:b w:val="1"/>
                <w:bCs w:val="1"/>
                <w:color w:val="auto"/>
              </w:rPr>
              <w:t>Risk Categories</w:t>
            </w:r>
          </w:p>
        </w:tc>
        <w:tc>
          <w:tcPr>
            <w:tcW w:w="5200" w:type="dxa"/>
            <w:vAlign w:val="bottom"/>
          </w:tcPr>
          <w:p>
            <w:pPr>
              <w:ind w:left="460"/>
              <w:spacing w:after="0"/>
              <w:rPr>
                <w:sz w:val="20"/>
                <w:szCs w:val="20"/>
                <w:color w:val="auto"/>
              </w:rPr>
            </w:pPr>
            <w:r>
              <w:rPr>
                <w:rFonts w:ascii="Arial" w:cs="Arial" w:eastAsia="Arial" w:hAnsi="Arial"/>
                <w:sz w:val="13"/>
                <w:szCs w:val="13"/>
                <w:b w:val="1"/>
                <w:bCs w:val="1"/>
                <w:color w:val="auto"/>
              </w:rPr>
              <w:t>Hypothetical Change</w:t>
            </w:r>
          </w:p>
        </w:tc>
        <w:tc>
          <w:tcPr>
            <w:tcW w:w="700" w:type="dxa"/>
            <w:vAlign w:val="bottom"/>
          </w:tcPr>
          <w:p>
            <w:pPr>
              <w:spacing w:after="0"/>
              <w:rPr>
                <w:sz w:val="15"/>
                <w:szCs w:val="15"/>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Impact</w:t>
            </w:r>
          </w:p>
        </w:tc>
      </w:tr>
      <w:tr>
        <w:trPr>
          <w:trHeight w:val="55"/>
        </w:trPr>
        <w:tc>
          <w:tcPr>
            <w:tcW w:w="2900" w:type="dxa"/>
            <w:vAlign w:val="bottom"/>
          </w:tcPr>
          <w:p>
            <w:pPr>
              <w:spacing w:after="0"/>
              <w:rPr>
                <w:sz w:val="4"/>
                <w:szCs w:val="4"/>
                <w:color w:val="auto"/>
              </w:rPr>
            </w:pPr>
          </w:p>
        </w:tc>
        <w:tc>
          <w:tcPr>
            <w:tcW w:w="5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2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currency–Revenue</w:t>
            </w:r>
          </w:p>
        </w:tc>
        <w:tc>
          <w:tcPr>
            <w:tcW w:w="520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 decrease in foreign exchange rates</w:t>
            </w:r>
          </w:p>
        </w:tc>
        <w:tc>
          <w:tcPr>
            <w:tcW w:w="70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(6,482)</w:t>
            </w:r>
          </w:p>
        </w:tc>
        <w:tc>
          <w:tcPr>
            <w:tcW w:w="120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Earnings</w:t>
            </w:r>
          </w:p>
        </w:tc>
      </w:tr>
      <w:tr>
        <w:trPr>
          <w:trHeight w:val="189"/>
        </w:trPr>
        <w:tc>
          <w:tcPr>
            <w:tcW w:w="2900" w:type="dxa"/>
            <w:vAlign w:val="bottom"/>
          </w:tcPr>
          <w:p>
            <w:pPr>
              <w:spacing w:after="0" w:line="189" w:lineRule="exact"/>
              <w:rPr>
                <w:sz w:val="20"/>
                <w:szCs w:val="20"/>
                <w:color w:val="auto"/>
              </w:rPr>
            </w:pPr>
            <w:r>
              <w:rPr>
                <w:rFonts w:ascii="Arial" w:cs="Arial" w:eastAsia="Arial" w:hAnsi="Arial"/>
                <w:sz w:val="18"/>
                <w:szCs w:val="18"/>
                <w:color w:val="auto"/>
              </w:rPr>
              <w:t>Foreign currency–Investments</w:t>
            </w:r>
          </w:p>
        </w:tc>
        <w:tc>
          <w:tcPr>
            <w:tcW w:w="5200" w:type="dxa"/>
            <w:vAlign w:val="bottom"/>
          </w:tcPr>
          <w:p>
            <w:pPr>
              <w:ind w:left="460"/>
              <w:spacing w:after="0" w:line="189" w:lineRule="exact"/>
              <w:rPr>
                <w:sz w:val="20"/>
                <w:szCs w:val="20"/>
                <w:color w:val="auto"/>
              </w:rPr>
            </w:pPr>
            <w:r>
              <w:rPr>
                <w:rFonts w:ascii="Arial" w:cs="Arial" w:eastAsia="Arial" w:hAnsi="Arial"/>
                <w:sz w:val="18"/>
                <w:szCs w:val="18"/>
                <w:color w:val="auto"/>
              </w:rPr>
              <w:t>10% decrease in foreign exchange rates</w:t>
            </w:r>
          </w:p>
        </w:tc>
        <w:tc>
          <w:tcPr>
            <w:tcW w:w="7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(161)</w:t>
            </w:r>
          </w:p>
        </w:tc>
        <w:tc>
          <w:tcPr>
            <w:tcW w:w="12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520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70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(3,320)</w:t>
            </w:r>
          </w:p>
        </w:tc>
        <w:tc>
          <w:tcPr>
            <w:tcW w:w="120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0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5200" w:type="dxa"/>
            <w:vAlign w:val="bottom"/>
          </w:tcPr>
          <w:p>
            <w:pPr>
              <w:ind w:left="46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7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(307)</w:t>
            </w:r>
          </w:p>
        </w:tc>
        <w:tc>
          <w:tcPr>
            <w:tcW w:w="12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520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 decrease in equity market prices</w:t>
            </w:r>
          </w:p>
        </w:tc>
        <w:tc>
          <w:tcPr>
            <w:tcW w:w="70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(575)</w:t>
            </w:r>
          </w:p>
        </w:tc>
        <w:tc>
          <w:tcPr>
            <w:tcW w:w="120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Earnings</w:t>
            </w:r>
          </w:p>
        </w:tc>
      </w:tr>
      <w:tr>
        <w:trPr>
          <w:trHeight w:val="68"/>
        </w:trPr>
        <w:tc>
          <w:tcPr>
            <w:tcW w:w="290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3"/>
          <w:szCs w:val="13"/>
          <w:u w:val="single" w:color="auto"/>
          <w:color w:val="auto"/>
        </w:rPr>
        <w:t>PART II</w:t>
      </w:r>
    </w:p>
    <w:p>
      <w:pPr>
        <w:jc w:val="center"/>
        <w:spacing w:after="0"/>
        <w:rPr>
          <w:sz w:val="20"/>
          <w:szCs w:val="20"/>
          <w:color w:val="auto"/>
        </w:rPr>
      </w:pPr>
      <w:r>
        <w:rPr>
          <w:rFonts w:ascii="Arial" w:cs="Arial" w:eastAsia="Arial" w:hAnsi="Arial"/>
          <w:sz w:val="13"/>
          <w:szCs w:val="13"/>
          <w:color w:val="auto"/>
        </w:rPr>
        <w:t>Item 1, 1A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14 – Contingencies of the Notes to Financial Statements (Part I, Item 1 of this Form 10-Q) for information regarding legal proceedings in which we are involved.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56" w:lineRule="exact"/>
        <w:rPr>
          <w:sz w:val="20"/>
          <w:szCs w:val="20"/>
          <w:color w:val="auto"/>
        </w:rPr>
      </w:pPr>
    </w:p>
    <w:p>
      <w:pPr>
        <w:jc w:val="both"/>
        <w:ind w:left="1060" w:hanging="391"/>
        <w:spacing w:after="0" w:line="23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54" w:lineRule="exact"/>
        <w:rPr>
          <w:rFonts w:ascii="Arial" w:cs="Arial" w:eastAsia="Arial" w:hAnsi="Arial"/>
          <w:sz w:val="18"/>
          <w:szCs w:val="18"/>
          <w:color w:val="auto"/>
        </w:rPr>
      </w:pPr>
    </w:p>
    <w:p>
      <w:pPr>
        <w:jc w:val="both"/>
        <w:ind w:left="1060" w:hanging="391"/>
        <w:spacing w:after="0" w:line="23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7" w:name="page48"/>
    <w:bookmarkEnd w:id="47"/>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69" w:lineRule="exact"/>
        <w:rPr>
          <w:sz w:val="20"/>
          <w:szCs w:val="20"/>
          <w:color w:val="auto"/>
        </w:rPr>
      </w:pPr>
    </w:p>
    <w:p>
      <w:pPr>
        <w:jc w:val="both"/>
        <w:ind w:left="1060" w:hanging="391"/>
        <w:spacing w:after="0" w:line="23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53" w:lineRule="exact"/>
        <w:rPr>
          <w:rFonts w:ascii="Arial" w:cs="Arial" w:eastAsia="Arial" w:hAnsi="Arial"/>
          <w:sz w:val="18"/>
          <w:szCs w:val="18"/>
          <w:color w:val="auto"/>
        </w:rPr>
      </w:pPr>
    </w:p>
    <w:p>
      <w:pPr>
        <w:jc w:val="both"/>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54" w:lineRule="exact"/>
        <w:rPr>
          <w:rFonts w:ascii="Arial" w:cs="Arial" w:eastAsia="Arial" w:hAnsi="Arial"/>
          <w:sz w:val="18"/>
          <w:szCs w:val="18"/>
          <w:color w:val="auto"/>
        </w:rPr>
      </w:pPr>
    </w:p>
    <w:p>
      <w:pPr>
        <w:jc w:val="both"/>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Azure, Azure Stack, Azure IoT Edge, and Azure Sphere. We may not establish market share sufficient to achieve scale necessary to achieve our business objectives.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68" w:lineRule="exact"/>
        <w:rPr>
          <w:sz w:val="20"/>
          <w:szCs w:val="20"/>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10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IoT endpoints.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8" w:name="page49"/>
    <w:bookmarkEnd w:id="48"/>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379" w:lineRule="exact"/>
        <w:rPr>
          <w:sz w:val="20"/>
          <w:szCs w:val="20"/>
          <w:color w:val="auto"/>
        </w:rPr>
      </w:pPr>
    </w:p>
    <w:p>
      <w:pPr>
        <w:ind w:left="1060" w:hanging="391"/>
        <w:spacing w:after="0" w:line="246"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 as well as help them meet their own compliance needs.</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Office, Bing, SQL Server, Windows Server, Azure, Office 365, Xbox,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and perceptions of mismanagement, driven by regulatory activity or negative public reaction to our practices or product experiences, which could negatively impact product and feature adoption, product design, and product quality.</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For example, in October 2018 we completed our acquisition of GitHub, Inc. (“GitHub”) for $7.5 billion, in March 2021 we completed our acquisition of ZeniMax Media Inc. for $8.1 billion, and in April 2021 we announced a definitive agreement to acquire Nuance Communications, Inc. for $19.7 billion. These acquisitions and other transactions and arrangements involve significant challenges and risks, including that they do not advance our business strategy, that we get an unsatisfactory return on our investment,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9" w:name="page50"/>
    <w:bookmarkEnd w:id="49"/>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Nation state and state sponsored actors can deploy significant resources to plan and carry out exploits.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 technologies or remediate the impacts of attacks, or otherwise adversely affect our business.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cyberattacks uncovered in late 2020 known as “Solorigate” or “Nobelium” are an example of a supply chain attack where malware was introduced to a software provider’s customers, including us, through software updates. The attackers were later able to create false credentials that appeared legitimate to certain customers’ systems. We may be targets of further attacks similar to Solorigate/Nobelium as both a supplier and consumer of IT.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Solorigate/Nobelium or similar cyberattacks may adversely impact our customers even if our production services are not directly compromised. We are committed to notifying our customers whose systems have been impacted as we become aware and have available information and actions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 and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personally identifiable information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and social platform abuses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including GitHub, LinkedIn, Microsoft Advertising, MSN, and Xbox, our reputation or user engagement may be negatively affected by activity that is hostile or inappropriate. This activity may come from users impersonating other people or organizations, use of our products or services to spread terrorist or violent extremist content or to disseminate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safety and service misuse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hosted consumer services as well as our enterprise services may be used by third parties to disseminate harmful or illegal content in violation of our terms or applicable law. We may not proactively discover such content due to scale and the limitations of existing technologies, and when discovered by users, such content may negatively affect our reputation, our brands, and user engagement. Regulations and other initiatives to make platforms responsible for preventing or eliminating harmful content online are gaining momentum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Issues in the development and use of AI may result in reputational harm or liability</w:t>
      </w:r>
      <w:r>
        <w:rPr>
          <w:rFonts w:ascii="Arial" w:cs="Arial" w:eastAsia="Arial" w:hAnsi="Arial"/>
          <w:sz w:val="18"/>
          <w:szCs w:val="18"/>
          <w:color w:val="auto"/>
        </w:rPr>
        <w:t>. We are building AI into many of our offerings,</w:t>
      </w:r>
      <w:r>
        <w:rPr>
          <w:rFonts w:ascii="Arial" w:cs="Arial" w:eastAsia="Arial" w:hAnsi="Arial"/>
          <w:sz w:val="18"/>
          <w:szCs w:val="18"/>
          <w:b w:val="1"/>
          <w:bCs w:val="1"/>
          <w:color w:val="auto"/>
        </w:rPr>
        <w:t xml:space="preserve"> </w:t>
      </w:r>
      <w:r>
        <w:rPr>
          <w:rFonts w:ascii="Arial" w:cs="Arial" w:eastAsia="Arial" w:hAnsi="Arial"/>
          <w:sz w:val="18"/>
          <w:szCs w:val="18"/>
          <w:color w:val="auto"/>
        </w:rPr>
        <w:t>making AI available for our customers to use in solutions that they build. We expect these elements of our business to grow. We envision a future in which AI operating in our devices, applications, and the cloud helps our customers be more productive in their work and personal lives. As with many disruptive innovations, AI presents risks and challenges that could affect its adoption, and therefore our business. AI algorithms may be flawed. Datasets may be insufficient or contain biased information. Ineffective or inadequate AI development practices by Microsoft or others could result in incidents that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economic, or political issues, we may experience brand or reputational harm.</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Azure, Microsoft Account services, Microsoft 365, Microsoft Teams, Dynamics 365, OneDrive, SharePoint Online, Skype, Xbox,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industry shortages, legal or regulatory changes that restrict supply sources,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hardware and software products we may offer.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potentially using previous actions as precedent. The outcome of such actions, or steps taken to avoid them, could adversely affect us in a variety of ways, including:</w:t>
      </w:r>
    </w:p>
    <w:p>
      <w:pPr>
        <w:spacing w:after="0" w:line="70" w:lineRule="exact"/>
        <w:rPr>
          <w:sz w:val="20"/>
          <w:szCs w:val="20"/>
          <w:color w:val="auto"/>
        </w:rPr>
      </w:pPr>
    </w:p>
    <w:p>
      <w:pPr>
        <w:jc w:val="both"/>
        <w:ind w:left="106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69" w:lineRule="exact"/>
        <w:rPr>
          <w:sz w:val="20"/>
          <w:szCs w:val="20"/>
          <w:color w:val="auto"/>
        </w:rPr>
      </w:pPr>
    </w:p>
    <w:p>
      <w:pPr>
        <w:jc w:val="both"/>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realize anticipated Windows post-sale monetization opportunities may be limited.</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global operations subject us to potential consequences under anti-corruption, trade,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On July 22, 2019, our Hungarian subsidiary entered into a non-prosecution agreement (“NPA”) with the U.S. Department of Justice (“DOJ”) and we agreed to the terms of a cease and desist order with the Securities and Exchange Commission. These agreements required us to pay $ 25.3 million in monetary penalties, disgorgement, and interest pertaining to activities at Microsoft’s subsidiary in Hungary. The NPA, which has a three-year term, also contains certain ongoing compliance requirements, including the obligations to disclose to the DOJ certain potential FCPA-related allegations or issues and to cooperate in any inquiries.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such as Crimea, Cuba, Iran, North Korea, and Syria.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Non-compliance could result in reputational harm, operational delays, monetary fines, loss of export privileges, or criminal sanctions.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regulatory areas that may apply to our products and online services offerings include requirements related to user privacy, telecommunications, data storage and protection, advertising,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Regulators may assert that our collection, use, and management of customer and other data is inconsistent with their laws and regulations.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customers, and other stakeholders to make technology more accessible. If our products do not meet customer expectations or global accessibility requirements, we could lose sales opportunities or face regulatory or legal actions.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continues to generate uncertainty about the legal requirements for data transfers from the EU under other legal mechanisms. Potential new rules and restrictions on the flow of data across borders could increase the cost and complexity of delivering our products and services in some markets. For example, the EU General Data Protection Regulation (“GDPR”) applies to all of our activities conducted from an establishment in the EU or related to products and services offered in the EU, imposes a range of compliance obligations regarding the handling of personal data. Engineering efforts to build and maintain capabilities to facilitate compliance with the law have entailed substantial expense and the diversion of engineering resources from other projects and may continue to do so. We might experience reduced demand for our offerings if we are unable to engineer products that meet our legal duties or help our customers meet their obligations under the GDPR or other data regulations, or if our implementation to comply with the GDPR makes our offerings less attractive. The GDPR imposes significant new obligations and compliance with these obligations depends in part on how particular regulators interpret and apply them. If we fail to comply with the GDPR, or if regulators assert we have failed to comply with the GDPR (including in response to complaints made to regulators), it may lead to regulatory enforcement actions, which can result in monetary penalties of up to 4% of worldwide revenue, private lawsuits, reputational damage, and loss of customers. The highest fines assessed under GDPR have recently been increasing, especially against large technology companies. Countries around the world, such as China and India, and states in the U.S. such as California, Colorado, and Virginia, have adopted, or are considering adopting or expanding, laws and regulations imposing obligations regarding the handling of personal data.</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or delays which could adversely impact public-sector demand for our products and services. These events could negatively impact our results of operations, financial condition, and reputation.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regularly are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or cross-licensing our patents to others in return for a royalty and/or increased freedom to operate.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price changes in products using licensed patents, greater value from cross-licensing, or the difficulty of discovering infringements. Finally, our increasing engagement with open source software will also cause us to license our intellectual property rights broadly in certain situations and may negatively impact revenue.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or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66" w:lineRule="exact"/>
        <w:rPr>
          <w:sz w:val="20"/>
          <w:szCs w:val="20"/>
          <w:color w:val="auto"/>
        </w:rPr>
      </w:pPr>
    </w:p>
    <w:p>
      <w:pPr>
        <w:ind w:left="1060" w:hanging="391"/>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8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occurrence of regional epidemics or a global pandemic may adversely affect our operations, financial condition, and results of operations. The COVID-19 pandemic continues to have widespread, rapidly evolving, and unpredictable impacts on global society, economies, financial markets, and business practices. Federal and state governments have implemented measures to contain the virus, including social distancing, travel restrictions, and vaccination programs. Even as efforts to contain the pandemic have made progress and some restrictions have relaxed, new variants of the virus are causing additional outbreaks. The COVID-19 pandemic has impacted and may continue to impact our business operations, including our employees, customers, partners, and communities, and there is substantial uncertainty in the nature and degree of its continued effects over time.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investments, receivables, and forward-looking guidance.</w:t>
      </w:r>
    </w:p>
    <w:p>
      <w:pPr>
        <w:spacing w:after="0" w:line="14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Measures to contain the virus that impact us, our partners, distributors, and suppliers may further intensify these impacts and other risks described in these Risk Factors. Any of these may adversely impact our ability to:</w:t>
      </w:r>
    </w:p>
    <w:p>
      <w:pPr>
        <w:spacing w:after="0" w:line="48" w:lineRule="exact"/>
        <w:rPr>
          <w:sz w:val="20"/>
          <w:szCs w:val="20"/>
          <w:color w:val="auto"/>
        </w:rPr>
      </w:pPr>
    </w:p>
    <w:p>
      <w:pPr>
        <w:ind w:left="1060" w:hanging="391"/>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our operations infrastructure, including the reliability and adequate capacity of cloud services.</w:t>
      </w:r>
    </w:p>
    <w:p>
      <w:pPr>
        <w:spacing w:after="0" w:line="7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Satisfy our contractual and regulatory compliance obligations as we adapt to changing usage patterns, such as through datacenter load balancing.</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Ensure a high-quality and consistent supply chain and manufacturing operations for our hardware devices and datacenter operations.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Effectively manage our international operations through changes in trade practices and policies.</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Hire and deploy people where we most need them.</w:t>
      </w:r>
    </w:p>
    <w:p>
      <w:pPr>
        <w:spacing w:after="0" w:line="10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Sustain the effectiveness and productivity of our operations including our sales, marketing, engineering, and distribution functions.</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may incur increased costs to effectively manage these aspects of our business. If we are unsuccessful it may adversely impact our revenues, cash flows, market share growth, and reputation.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results of operations.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first quarter of fiscal year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Approximate</w:t>
            </w:r>
          </w:p>
        </w:tc>
      </w:tr>
      <w:tr>
        <w:trPr>
          <w:trHeight w:val="148"/>
        </w:trPr>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 Number</w:t>
            </w:r>
          </w:p>
        </w:tc>
        <w:tc>
          <w:tcPr>
            <w:tcW w:w="36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Dollar Value of</w:t>
            </w:r>
          </w:p>
        </w:tc>
      </w:tr>
      <w:tr>
        <w:trPr>
          <w:trHeight w:val="148"/>
        </w:trPr>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of Shares</w:t>
            </w:r>
          </w:p>
        </w:tc>
        <w:tc>
          <w:tcPr>
            <w:tcW w:w="36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Shares That May</w:t>
            </w:r>
          </w:p>
        </w:tc>
      </w:tr>
      <w:tr>
        <w:trPr>
          <w:trHeight w:val="148"/>
        </w:trPr>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Purchased as</w:t>
            </w:r>
          </w:p>
        </w:tc>
        <w:tc>
          <w:tcPr>
            <w:tcW w:w="36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Yet Be</w:t>
            </w:r>
          </w:p>
        </w:tc>
      </w:tr>
      <w:tr>
        <w:trPr>
          <w:trHeight w:val="148"/>
        </w:trPr>
        <w:tc>
          <w:tcPr>
            <w:tcW w:w="454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 Number</w:t>
            </w:r>
          </w:p>
        </w:tc>
        <w:tc>
          <w:tcPr>
            <w:tcW w:w="620" w:type="dxa"/>
            <w:vAlign w:val="bottom"/>
          </w:tcPr>
          <w:p>
            <w:pPr>
              <w:spacing w:after="0"/>
              <w:rPr>
                <w:sz w:val="12"/>
                <w:szCs w:val="12"/>
                <w:color w:val="auto"/>
              </w:rPr>
            </w:pPr>
          </w:p>
        </w:tc>
        <w:tc>
          <w:tcPr>
            <w:tcW w:w="1360" w:type="dxa"/>
            <w:vAlign w:val="bottom"/>
          </w:tcPr>
          <w:p>
            <w:pPr>
              <w:jc w:val="right"/>
              <w:ind w:right="241"/>
              <w:spacing w:after="0"/>
              <w:rPr>
                <w:sz w:val="20"/>
                <w:szCs w:val="20"/>
                <w:color w:val="auto"/>
              </w:rPr>
            </w:pPr>
            <w:r>
              <w:rPr>
                <w:rFonts w:ascii="Arial" w:cs="Arial" w:eastAsia="Arial" w:hAnsi="Arial"/>
                <w:sz w:val="13"/>
                <w:szCs w:val="13"/>
                <w:b w:val="1"/>
                <w:bCs w:val="1"/>
                <w:color w:val="auto"/>
              </w:rPr>
              <w:t>Average</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Part of Publicly</w:t>
            </w:r>
          </w:p>
        </w:tc>
        <w:tc>
          <w:tcPr>
            <w:tcW w:w="36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Purchased</w:t>
            </w:r>
          </w:p>
        </w:tc>
      </w:tr>
      <w:tr>
        <w:trPr>
          <w:trHeight w:val="149"/>
        </w:trPr>
        <w:tc>
          <w:tcPr>
            <w:tcW w:w="454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620" w:type="dxa"/>
            <w:vAlign w:val="bottom"/>
          </w:tcPr>
          <w:p>
            <w:pPr>
              <w:spacing w:after="0"/>
              <w:rPr>
                <w:sz w:val="12"/>
                <w:szCs w:val="12"/>
                <w:color w:val="auto"/>
              </w:rPr>
            </w:pPr>
          </w:p>
        </w:tc>
        <w:tc>
          <w:tcPr>
            <w:tcW w:w="1360" w:type="dxa"/>
            <w:vAlign w:val="bottom"/>
          </w:tcPr>
          <w:p>
            <w:pPr>
              <w:jc w:val="right"/>
              <w:ind w:right="241"/>
              <w:spacing w:after="0"/>
              <w:rPr>
                <w:sz w:val="20"/>
                <w:szCs w:val="20"/>
                <w:color w:val="auto"/>
              </w:rPr>
            </w:pPr>
            <w:r>
              <w:rPr>
                <w:rFonts w:ascii="Arial" w:cs="Arial" w:eastAsia="Arial" w:hAnsi="Arial"/>
                <w:sz w:val="13"/>
                <w:szCs w:val="13"/>
                <w:b w:val="1"/>
                <w:bCs w:val="1"/>
                <w:color w:val="auto"/>
              </w:rPr>
              <w:t>Price Paid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Announced Plans</w:t>
            </w:r>
          </w:p>
        </w:tc>
        <w:tc>
          <w:tcPr>
            <w:tcW w:w="36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Under the Plans</w:t>
            </w:r>
          </w:p>
        </w:tc>
      </w:tr>
      <w:tr>
        <w:trPr>
          <w:trHeight w:val="178"/>
        </w:trPr>
        <w:tc>
          <w:tcPr>
            <w:tcW w:w="4540" w:type="dxa"/>
            <w:vAlign w:val="bottom"/>
          </w:tcPr>
          <w:p>
            <w:pPr>
              <w:spacing w:after="0"/>
              <w:rPr>
                <w:sz w:val="20"/>
                <w:szCs w:val="20"/>
                <w:color w:val="auto"/>
              </w:rPr>
            </w:pPr>
            <w:r>
              <w:rPr>
                <w:rFonts w:ascii="Arial" w:cs="Arial" w:eastAsia="Arial" w:hAnsi="Arial"/>
                <w:sz w:val="13"/>
                <w:szCs w:val="13"/>
                <w:b w:val="1"/>
                <w:bCs w:val="1"/>
                <w:color w:val="auto"/>
              </w:rPr>
              <w:t>Period</w:t>
            </w: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w:t>
            </w:r>
          </w:p>
        </w:tc>
        <w:tc>
          <w:tcPr>
            <w:tcW w:w="62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Arial" w:cs="Arial" w:eastAsia="Arial" w:hAnsi="Arial"/>
                <w:sz w:val="13"/>
                <w:szCs w:val="13"/>
                <w:b w:val="1"/>
                <w:bCs w:val="1"/>
                <w:color w:val="auto"/>
              </w:rPr>
              <w:t>Per Share</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or Programs</w:t>
            </w:r>
          </w:p>
        </w:tc>
        <w:tc>
          <w:tcPr>
            <w:tcW w:w="3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or Programs</w:t>
            </w:r>
          </w:p>
        </w:tc>
      </w:tr>
      <w:tr>
        <w:trPr>
          <w:trHeight w:val="55"/>
        </w:trPr>
        <w:tc>
          <w:tcPr>
            <w:tcW w:w="45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r>
      <w:tr>
        <w:trPr>
          <w:trHeight w:val="54"/>
        </w:trPr>
        <w:tc>
          <w:tcPr>
            <w:tcW w:w="45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July 1, 2021 – July 31, 2021</w:t>
            </w:r>
          </w:p>
        </w:tc>
        <w:tc>
          <w:tcPr>
            <w:tcW w:w="15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7,208,215</w:t>
            </w:r>
          </w:p>
        </w:tc>
        <w:tc>
          <w:tcPr>
            <w:tcW w:w="62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E5E5E5"/>
          </w:tcPr>
          <w:p>
            <w:pPr>
              <w:jc w:val="right"/>
              <w:ind w:right="241"/>
              <w:spacing w:after="0" w:line="189" w:lineRule="exact"/>
              <w:rPr>
                <w:sz w:val="20"/>
                <w:szCs w:val="20"/>
                <w:color w:val="auto"/>
              </w:rPr>
            </w:pPr>
            <w:r>
              <w:rPr>
                <w:rFonts w:ascii="Arial" w:cs="Arial" w:eastAsia="Arial" w:hAnsi="Arial"/>
                <w:sz w:val="18"/>
                <w:szCs w:val="18"/>
                <w:b w:val="1"/>
                <w:bCs w:val="1"/>
                <w:color w:val="auto"/>
              </w:rPr>
              <w:t>281.06</w:t>
            </w:r>
          </w:p>
        </w:tc>
        <w:tc>
          <w:tcPr>
            <w:tcW w:w="15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7,208,215</w:t>
            </w:r>
          </w:p>
        </w:tc>
        <w:tc>
          <w:tcPr>
            <w:tcW w:w="3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6,716</w:t>
            </w:r>
          </w:p>
        </w:tc>
        <w:tc>
          <w:tcPr>
            <w:tcW w:w="100" w:type="dxa"/>
            <w:vAlign w:val="bottom"/>
            <w:shd w:val="clear" w:color="auto" w:fill="E5E5E5"/>
          </w:tcPr>
          <w:p>
            <w:pPr>
              <w:spacing w:after="0"/>
              <w:rPr>
                <w:sz w:val="16"/>
                <w:szCs w:val="16"/>
                <w:color w:val="auto"/>
              </w:rPr>
            </w:pP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August 1, 2021 – August 31, 2021</w:t>
            </w:r>
          </w:p>
        </w:tc>
        <w:tc>
          <w:tcPr>
            <w:tcW w:w="15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7,441,094</w:t>
            </w:r>
          </w:p>
        </w:tc>
        <w:tc>
          <w:tcPr>
            <w:tcW w:w="620" w:type="dxa"/>
            <w:vAlign w:val="bottom"/>
          </w:tcPr>
          <w:p>
            <w:pPr>
              <w:spacing w:after="0"/>
              <w:rPr>
                <w:sz w:val="16"/>
                <w:szCs w:val="16"/>
                <w:color w:val="auto"/>
              </w:rPr>
            </w:pPr>
          </w:p>
        </w:tc>
        <w:tc>
          <w:tcPr>
            <w:tcW w:w="1360" w:type="dxa"/>
            <w:vAlign w:val="bottom"/>
          </w:tcPr>
          <w:p>
            <w:pPr>
              <w:jc w:val="right"/>
              <w:ind w:right="241"/>
              <w:spacing w:after="0" w:line="189" w:lineRule="exact"/>
              <w:rPr>
                <w:sz w:val="20"/>
                <w:szCs w:val="20"/>
                <w:color w:val="auto"/>
              </w:rPr>
            </w:pPr>
            <w:r>
              <w:rPr>
                <w:rFonts w:ascii="Arial" w:cs="Arial" w:eastAsia="Arial" w:hAnsi="Arial"/>
                <w:sz w:val="18"/>
                <w:szCs w:val="18"/>
                <w:b w:val="1"/>
                <w:bCs w:val="1"/>
                <w:color w:val="auto"/>
              </w:rPr>
              <w:t>293.88</w:t>
            </w:r>
          </w:p>
        </w:tc>
        <w:tc>
          <w:tcPr>
            <w:tcW w:w="15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7,441,094</w:t>
            </w: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4,530</w:t>
            </w:r>
          </w:p>
        </w:tc>
        <w:tc>
          <w:tcPr>
            <w:tcW w:w="100" w:type="dxa"/>
            <w:vAlign w:val="bottom"/>
          </w:tcPr>
          <w:p>
            <w:pPr>
              <w:spacing w:after="0"/>
              <w:rPr>
                <w:sz w:val="16"/>
                <w:szCs w:val="16"/>
                <w:color w:val="auto"/>
              </w:rPr>
            </w:pPr>
          </w:p>
        </w:tc>
      </w:tr>
      <w:tr>
        <w:trPr>
          <w:trHeight w:val="189"/>
        </w:trPr>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1, 2021 – September 30, 2021</w:t>
            </w:r>
          </w:p>
        </w:tc>
        <w:tc>
          <w:tcPr>
            <w:tcW w:w="15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6,673,354</w:t>
            </w:r>
          </w:p>
        </w:tc>
        <w:tc>
          <w:tcPr>
            <w:tcW w:w="620" w:type="dxa"/>
            <w:vAlign w:val="bottom"/>
            <w:shd w:val="clear" w:color="auto" w:fill="E5E5E5"/>
          </w:tcPr>
          <w:p>
            <w:pPr>
              <w:spacing w:after="0"/>
              <w:rPr>
                <w:sz w:val="16"/>
                <w:szCs w:val="16"/>
                <w:color w:val="auto"/>
              </w:rPr>
            </w:pPr>
          </w:p>
        </w:tc>
        <w:tc>
          <w:tcPr>
            <w:tcW w:w="1360" w:type="dxa"/>
            <w:vAlign w:val="bottom"/>
            <w:shd w:val="clear" w:color="auto" w:fill="E5E5E5"/>
          </w:tcPr>
          <w:p>
            <w:pPr>
              <w:jc w:val="right"/>
              <w:ind w:right="241"/>
              <w:spacing w:after="0" w:line="189" w:lineRule="exact"/>
              <w:rPr>
                <w:sz w:val="20"/>
                <w:szCs w:val="20"/>
                <w:color w:val="auto"/>
              </w:rPr>
            </w:pPr>
            <w:r>
              <w:rPr>
                <w:rFonts w:ascii="Arial" w:cs="Arial" w:eastAsia="Arial" w:hAnsi="Arial"/>
                <w:sz w:val="18"/>
                <w:szCs w:val="18"/>
                <w:b w:val="1"/>
                <w:bCs w:val="1"/>
                <w:color w:val="auto"/>
              </w:rPr>
              <w:t>297.80</w:t>
            </w:r>
          </w:p>
        </w:tc>
        <w:tc>
          <w:tcPr>
            <w:tcW w:w="15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6,673,354</w:t>
            </w:r>
          </w:p>
        </w:tc>
        <w:tc>
          <w:tcPr>
            <w:tcW w:w="36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2,542</w:t>
            </w:r>
          </w:p>
        </w:tc>
        <w:tc>
          <w:tcPr>
            <w:tcW w:w="100" w:type="dxa"/>
            <w:vAlign w:val="bottom"/>
            <w:shd w:val="clear" w:color="auto" w:fill="E5E5E5"/>
          </w:tcPr>
          <w:p>
            <w:pPr>
              <w:spacing w:after="0"/>
              <w:rPr>
                <w:sz w:val="16"/>
                <w:szCs w:val="16"/>
                <w:color w:val="auto"/>
              </w:rPr>
            </w:pPr>
          </w:p>
        </w:tc>
      </w:tr>
      <w:tr>
        <w:trPr>
          <w:trHeight w:val="68"/>
        </w:trPr>
        <w:tc>
          <w:tcPr>
            <w:tcW w:w="45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4540" w:type="dxa"/>
            <w:vAlign w:val="bottom"/>
          </w:tcPr>
          <w:p>
            <w:pPr>
              <w:spacing w:after="0"/>
              <w:rPr>
                <w:sz w:val="22"/>
                <w:szCs w:val="2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21,322,663</w:t>
            </w:r>
          </w:p>
        </w:tc>
        <w:tc>
          <w:tcPr>
            <w:tcW w:w="6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21,322,663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1"/>
        </w:trPr>
        <w:tc>
          <w:tcPr>
            <w:tcW w:w="454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first quarter of fiscal year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rPr>
              <w:t>Dividend</w:t>
            </w: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8"/>
        </w:trPr>
        <w:tc>
          <w:tcPr>
            <w:tcW w:w="260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2860" w:type="dxa"/>
            <w:vAlign w:val="bottom"/>
          </w:tcPr>
          <w:p>
            <w:pPr>
              <w:ind w:left="920"/>
              <w:spacing w:after="0"/>
              <w:rPr>
                <w:sz w:val="20"/>
                <w:szCs w:val="20"/>
                <w:color w:val="auto"/>
              </w:rPr>
            </w:pPr>
            <w:r>
              <w:rPr>
                <w:rFonts w:ascii="Arial" w:cs="Arial" w:eastAsia="Arial" w:hAnsi="Arial"/>
                <w:sz w:val="13"/>
                <w:szCs w:val="13"/>
                <w:b w:val="1"/>
                <w:bCs w:val="1"/>
                <w:color w:val="auto"/>
              </w:rPr>
              <w:t>Record Date</w:t>
            </w:r>
          </w:p>
        </w:tc>
        <w:tc>
          <w:tcPr>
            <w:tcW w:w="2180" w:type="dxa"/>
            <w:vAlign w:val="bottom"/>
          </w:tcPr>
          <w:p>
            <w:pPr>
              <w:ind w:left="320"/>
              <w:spacing w:after="0"/>
              <w:rPr>
                <w:sz w:val="20"/>
                <w:szCs w:val="20"/>
                <w:color w:val="auto"/>
              </w:rPr>
            </w:pPr>
            <w:r>
              <w:rPr>
                <w:rFonts w:ascii="Arial" w:cs="Arial" w:eastAsia="Arial" w:hAnsi="Arial"/>
                <w:sz w:val="13"/>
                <w:szCs w:val="13"/>
                <w:b w:val="1"/>
                <w:bCs w:val="1"/>
                <w:color w:val="auto"/>
              </w:rPr>
              <w:t>Payment Date</w:t>
            </w:r>
          </w:p>
        </w:tc>
        <w:tc>
          <w:tcPr>
            <w:tcW w:w="80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rPr>
              <w:t>Per Share</w:t>
            </w:r>
          </w:p>
        </w:tc>
        <w:tc>
          <w:tcPr>
            <w:tcW w:w="5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Amount</w:t>
            </w:r>
          </w:p>
        </w:tc>
      </w:tr>
      <w:tr>
        <w:trPr>
          <w:trHeight w:val="54"/>
        </w:trPr>
        <w:tc>
          <w:tcPr>
            <w:tcW w:w="260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23"/>
        </w:trPr>
        <w:tc>
          <w:tcPr>
            <w:tcW w:w="26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(In millions)</w:t>
            </w:r>
          </w:p>
        </w:tc>
      </w:tr>
      <w:tr>
        <w:trPr>
          <w:trHeight w:val="55"/>
        </w:trPr>
        <w:tc>
          <w:tcPr>
            <w:tcW w:w="26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9"/>
        </w:trPr>
        <w:tc>
          <w:tcPr>
            <w:tcW w:w="26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14, 2021</w:t>
            </w:r>
          </w:p>
        </w:tc>
        <w:tc>
          <w:tcPr>
            <w:tcW w:w="2860" w:type="dxa"/>
            <w:vAlign w:val="bottom"/>
            <w:shd w:val="clear" w:color="auto" w:fill="E5E5E5"/>
          </w:tcPr>
          <w:p>
            <w:pPr>
              <w:ind w:left="920"/>
              <w:spacing w:after="0" w:line="189" w:lineRule="exact"/>
              <w:rPr>
                <w:sz w:val="20"/>
                <w:szCs w:val="20"/>
                <w:color w:val="auto"/>
              </w:rPr>
            </w:pPr>
            <w:r>
              <w:rPr>
                <w:rFonts w:ascii="Arial" w:cs="Arial" w:eastAsia="Arial" w:hAnsi="Arial"/>
                <w:sz w:val="18"/>
                <w:szCs w:val="18"/>
                <w:b w:val="1"/>
                <w:bCs w:val="1"/>
                <w:color w:val="auto"/>
              </w:rPr>
              <w:t>November 18, 2021</w:t>
            </w:r>
          </w:p>
        </w:tc>
        <w:tc>
          <w:tcPr>
            <w:tcW w:w="2180" w:type="dxa"/>
            <w:vAlign w:val="bottom"/>
            <w:shd w:val="clear" w:color="auto" w:fill="E5E5E5"/>
          </w:tcPr>
          <w:p>
            <w:pPr>
              <w:ind w:left="320"/>
              <w:spacing w:after="0" w:line="189" w:lineRule="exact"/>
              <w:rPr>
                <w:sz w:val="20"/>
                <w:szCs w:val="20"/>
                <w:color w:val="auto"/>
              </w:rPr>
            </w:pPr>
            <w:r>
              <w:rPr>
                <w:rFonts w:ascii="Arial" w:cs="Arial" w:eastAsia="Arial" w:hAnsi="Arial"/>
                <w:sz w:val="18"/>
                <w:szCs w:val="18"/>
                <w:b w:val="1"/>
                <w:bCs w:val="1"/>
                <w:color w:val="auto"/>
              </w:rPr>
              <w:t>December 9, 2021</w:t>
            </w:r>
          </w:p>
        </w:tc>
        <w:tc>
          <w:tcPr>
            <w:tcW w:w="80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25"/>
              <w:spacing w:after="0" w:line="189" w:lineRule="exact"/>
              <w:rPr>
                <w:sz w:val="20"/>
                <w:szCs w:val="20"/>
                <w:color w:val="auto"/>
              </w:rPr>
            </w:pPr>
            <w:r>
              <w:rPr>
                <w:rFonts w:ascii="Arial" w:cs="Arial" w:eastAsia="Arial" w:hAnsi="Arial"/>
                <w:sz w:val="18"/>
                <w:szCs w:val="18"/>
                <w:b w:val="1"/>
                <w:bCs w:val="1"/>
                <w:color w:val="auto"/>
              </w:rPr>
              <w:t>0.62</w:t>
            </w:r>
          </w:p>
        </w:tc>
        <w:tc>
          <w:tcPr>
            <w:tcW w:w="5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4,656</w:t>
            </w:r>
          </w:p>
        </w:tc>
      </w:tr>
      <w:tr>
        <w:trPr>
          <w:trHeight w:val="68"/>
        </w:trPr>
        <w:tc>
          <w:tcPr>
            <w:tcW w:w="260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returned $10.9 billion to shareholders in the form of share repurchases and dividends in the first quarter of fiscal year 2022. Refer to Note 15 – Stockholders’ Equity of the Notes to Financial Statements (Part I, Item 1 of this Form 10-Q) for further discussion regarding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9980" w:type="dxa"/>
            <w:vAlign w:val="bottom"/>
            <w:gridSpan w:val="7"/>
          </w:tcPr>
          <w:p>
            <w:pPr>
              <w:jc w:val="center"/>
              <w:ind w:right="1200"/>
              <w:spacing w:after="0"/>
              <w:rPr>
                <w:sz w:val="20"/>
                <w:szCs w:val="20"/>
                <w:color w:val="auto"/>
              </w:rPr>
            </w:pPr>
            <w:r>
              <w:rPr>
                <w:rFonts w:ascii="Arial" w:cs="Arial" w:eastAsia="Arial" w:hAnsi="Arial"/>
                <w:sz w:val="13"/>
                <w:szCs w:val="13"/>
                <w:color w:val="auto"/>
              </w:rPr>
              <w:t>PART II</w:t>
            </w:r>
          </w:p>
        </w:tc>
      </w:tr>
      <w:tr>
        <w:trPr>
          <w:trHeight w:val="156"/>
        </w:trPr>
        <w:tc>
          <w:tcPr>
            <w:tcW w:w="12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rPr>
              <w:t>Item 6</w:t>
            </w:r>
          </w:p>
        </w:tc>
        <w:tc>
          <w:tcPr>
            <w:tcW w:w="2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658"/>
        </w:trPr>
        <w:tc>
          <w:tcPr>
            <w:tcW w:w="1240" w:type="dxa"/>
            <w:vAlign w:val="bottom"/>
          </w:tcPr>
          <w:p>
            <w:pPr>
              <w:spacing w:after="0"/>
              <w:rPr>
                <w:sz w:val="24"/>
                <w:szCs w:val="24"/>
                <w:color w:val="auto"/>
              </w:rPr>
            </w:pPr>
          </w:p>
        </w:tc>
        <w:tc>
          <w:tcPr>
            <w:tcW w:w="9980" w:type="dxa"/>
            <w:vAlign w:val="bottom"/>
            <w:gridSpan w:val="7"/>
          </w:tcPr>
          <w:p>
            <w:pPr>
              <w:jc w:val="center"/>
              <w:ind w:right="1200"/>
              <w:spacing w:after="0"/>
              <w:rPr>
                <w:sz w:val="20"/>
                <w:szCs w:val="20"/>
                <w:color w:val="auto"/>
              </w:rPr>
            </w:pPr>
            <w:r>
              <w:rPr>
                <w:rFonts w:ascii="Arial" w:cs="Arial" w:eastAsia="Arial" w:hAnsi="Arial"/>
                <w:sz w:val="22"/>
                <w:szCs w:val="22"/>
                <w:b w:val="1"/>
                <w:bCs w:val="1"/>
                <w:color w:val="auto"/>
                <w:w w:val="98"/>
              </w:rPr>
              <w:t>ITEM 6. EXHIBITS</w:t>
            </w:r>
          </w:p>
        </w:tc>
      </w:tr>
      <w:tr>
        <w:trPr>
          <w:trHeight w:val="354"/>
        </w:trPr>
        <w:tc>
          <w:tcPr>
            <w:tcW w:w="1240" w:type="dxa"/>
            <w:vAlign w:val="bottom"/>
          </w:tcPr>
          <w:p>
            <w:pPr>
              <w:spacing w:after="0"/>
              <w:rPr>
                <w:sz w:val="20"/>
                <w:szCs w:val="20"/>
                <w:color w:val="auto"/>
              </w:rPr>
            </w:pPr>
            <w:r>
              <w:rPr>
                <w:rFonts w:ascii="Arial" w:cs="Arial" w:eastAsia="Arial" w:hAnsi="Arial"/>
                <w:sz w:val="18"/>
                <w:szCs w:val="18"/>
                <w:color w:val="auto"/>
              </w:rPr>
              <w:t>10.27*</w:t>
            </w:r>
          </w:p>
        </w:tc>
        <w:tc>
          <w:tcPr>
            <w:tcW w:w="73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Offer Letter, dated October 25, 2020, between Microsoft Corporation and Christopher Young</w:t>
              </w:r>
            </w:hyperlink>
          </w:p>
        </w:tc>
        <w:tc>
          <w:tcPr>
            <w:tcW w:w="2660" w:type="dxa"/>
            <w:vAlign w:val="bottom"/>
            <w:gridSpan w:val="3"/>
          </w:tcPr>
          <w:p>
            <w:pPr>
              <w:spacing w:after="0"/>
              <w:rPr>
                <w:sz w:val="24"/>
                <w:szCs w:val="24"/>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15.1</w:t>
            </w:r>
          </w:p>
        </w:tc>
        <w:tc>
          <w:tcPr>
            <w:tcW w:w="9980" w:type="dxa"/>
            <w:vAlign w:val="bottom"/>
            <w:gridSpan w:val="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Letter regarding unaudited interim financial information</w:t>
              </w:r>
            </w:hyperlink>
          </w:p>
        </w:tc>
      </w:tr>
      <w:tr>
        <w:trPr>
          <w:trHeight w:val="20"/>
        </w:trPr>
        <w:tc>
          <w:tcPr>
            <w:tcW w:w="1240" w:type="dxa"/>
            <w:vAlign w:val="bottom"/>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78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Certification of Chief Executive Officer Pursuant to Section 302 of the Sarbanes-Oxley Act of 2002</w:t>
              </w:r>
            </w:hyperlink>
          </w:p>
        </w:tc>
        <w:tc>
          <w:tcPr>
            <w:tcW w:w="2180" w:type="dxa"/>
            <w:vAlign w:val="bottom"/>
          </w:tcPr>
          <w:p>
            <w:pPr>
              <w:spacing w:after="0"/>
              <w:rPr>
                <w:sz w:val="24"/>
                <w:szCs w:val="24"/>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77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75">
              <w:r>
                <w:rPr>
                  <w:rFonts w:ascii="Arial" w:cs="Arial" w:eastAsia="Arial" w:hAnsi="Arial"/>
                  <w:sz w:val="18"/>
                  <w:szCs w:val="18"/>
                  <w:color w:val="0000EE"/>
                  <w:w w:val="99"/>
                </w:rPr>
                <w:t>Certification of Chief Financial Officer Pursuant to Section 302 of the Sarbanes-Oxley Act of 2002</w:t>
              </w:r>
            </w:hyperlink>
          </w:p>
        </w:tc>
        <w:tc>
          <w:tcPr>
            <w:tcW w:w="2240" w:type="dxa"/>
            <w:vAlign w:val="bottom"/>
            <w:gridSpan w:val="2"/>
          </w:tcPr>
          <w:p>
            <w:pPr>
              <w:spacing w:after="0"/>
              <w:rPr>
                <w:sz w:val="24"/>
                <w:szCs w:val="24"/>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78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76">
              <w:r>
                <w:rPr>
                  <w:rFonts w:ascii="Arial" w:cs="Arial" w:eastAsia="Arial" w:hAnsi="Arial"/>
                  <w:sz w:val="18"/>
                  <w:szCs w:val="18"/>
                  <w:color w:val="0000EE"/>
                  <w:w w:val="99"/>
                </w:rPr>
                <w:t>Certification of Chief Executive Officer Pursuant to Section 906 of the Sarbanes-Oxley Act of 2002</w:t>
              </w:r>
            </w:hyperlink>
          </w:p>
        </w:tc>
        <w:tc>
          <w:tcPr>
            <w:tcW w:w="2180" w:type="dxa"/>
            <w:vAlign w:val="bottom"/>
          </w:tcPr>
          <w:p>
            <w:pPr>
              <w:spacing w:after="0"/>
              <w:rPr>
                <w:sz w:val="24"/>
                <w:szCs w:val="24"/>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Certification of Chief Financial Officer Pursuant to Section 906 of the Sarbanes-Oxley Act of 2002</w:t>
              </w:r>
            </w:hyperlink>
          </w:p>
        </w:tc>
        <w:tc>
          <w:tcPr>
            <w:tcW w:w="2240" w:type="dxa"/>
            <w:vAlign w:val="bottom"/>
            <w:gridSpan w:val="2"/>
          </w:tcPr>
          <w:p>
            <w:pPr>
              <w:spacing w:after="0"/>
              <w:rPr>
                <w:sz w:val="24"/>
                <w:szCs w:val="24"/>
                <w:color w:val="auto"/>
              </w:rPr>
            </w:pPr>
          </w:p>
        </w:tc>
      </w:tr>
      <w:tr>
        <w:trPr>
          <w:trHeight w:val="303"/>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7"/>
          </w:tcPr>
          <w:p>
            <w:pPr>
              <w:spacing w:after="0"/>
              <w:rPr>
                <w:sz w:val="20"/>
                <w:szCs w:val="20"/>
                <w:color w:val="auto"/>
              </w:rPr>
            </w:pPr>
            <w:r>
              <w:rPr>
                <w:rFonts w:ascii="Arial" w:cs="Arial" w:eastAsia="Arial" w:hAnsi="Arial"/>
                <w:sz w:val="18"/>
                <w:szCs w:val="18"/>
                <w:color w:val="auto"/>
              </w:rPr>
              <w:t>Inline XBRL Instance Document–the instance document does not appear in the Interactive Data File as its XBRL tags are</w:t>
            </w:r>
          </w:p>
        </w:tc>
      </w:tr>
      <w:tr>
        <w:trPr>
          <w:trHeight w:val="217"/>
        </w:trPr>
        <w:tc>
          <w:tcPr>
            <w:tcW w:w="1240" w:type="dxa"/>
            <w:vAlign w:val="bottom"/>
          </w:tcPr>
          <w:p>
            <w:pPr>
              <w:spacing w:after="0"/>
              <w:rPr>
                <w:sz w:val="18"/>
                <w:szCs w:val="18"/>
                <w:color w:val="auto"/>
              </w:rPr>
            </w:pPr>
          </w:p>
        </w:tc>
        <w:tc>
          <w:tcPr>
            <w:tcW w:w="998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7"/>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bl>
    <w:p>
      <w:pPr>
        <w:spacing w:after="0" w:line="49"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Indicates a management contract or compensatory plan or arrangement.</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3775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Alice L. Jolla</w:t>
      </w:r>
    </w:p>
    <w:p>
      <w:pPr>
        <w:spacing w:after="0" w:line="234" w:lineRule="auto"/>
        <w:rPr>
          <w:sz w:val="20"/>
          <w:szCs w:val="20"/>
          <w:color w:val="auto"/>
        </w:rPr>
      </w:pPr>
      <w:r>
        <w:rPr>
          <w:rFonts w:ascii="Arial" w:cs="Arial" w:eastAsia="Arial" w:hAnsi="Arial"/>
          <w:sz w:val="18"/>
          <w:szCs w:val="18"/>
          <w:color w:val="auto"/>
        </w:rPr>
        <w:t>Corporate Vice President and Chief Accounting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20"/>
          </w:cols>
          <w:pgMar w:left="320" w:top="576"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10.27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October 25</w:t>
      </w:r>
      <w:r>
        <w:rPr>
          <w:rFonts w:ascii="Arial" w:cs="Arial" w:eastAsia="Arial" w:hAnsi="Arial"/>
          <w:sz w:val="15"/>
          <w:szCs w:val="15"/>
          <w:color w:val="auto"/>
        </w:rPr>
        <w:t>th</w:t>
      </w:r>
      <w:r>
        <w:rPr>
          <w:rFonts w:ascii="Arial" w:cs="Arial" w:eastAsia="Arial" w:hAnsi="Arial"/>
          <w:sz w:val="18"/>
          <w:szCs w:val="18"/>
          <w:color w:val="auto"/>
        </w:rPr>
        <w:t>, 2020</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Dear Chris:</w:t>
      </w:r>
    </w:p>
    <w:p>
      <w:pPr>
        <w:spacing w:after="0" w:line="239" w:lineRule="exact"/>
        <w:rPr>
          <w:sz w:val="20"/>
          <w:szCs w:val="20"/>
          <w:color w:val="auto"/>
        </w:rPr>
      </w:pPr>
    </w:p>
    <w:p>
      <w:pPr>
        <w:jc w:val="both"/>
        <w:ind w:left="20" w:hanging="11"/>
        <w:spacing w:after="0" w:line="237" w:lineRule="auto"/>
        <w:rPr>
          <w:sz w:val="20"/>
          <w:szCs w:val="20"/>
          <w:color w:val="auto"/>
        </w:rPr>
      </w:pPr>
      <w:r>
        <w:rPr>
          <w:rFonts w:ascii="Arial" w:cs="Arial" w:eastAsia="Arial" w:hAnsi="Arial"/>
          <w:sz w:val="18"/>
          <w:szCs w:val="18"/>
          <w:color w:val="auto"/>
        </w:rPr>
        <w:t>Hello! It’s a great day for us, as Microsoft Corporation is pleased to confirm our offer to you for the position of Executive Vice President, Business Development reporting to Satya Nadella, located in the San Francisco Bay Area. Your start date will be a mutually agreeable date. We invite you to join us in living our mission to empower every person and organization on the planet to achieve more. At Microsoft we understand how important it is that each person brings their uniquely diverse set of skills and experience to our team. We know we will benefit from your talent and we offer you an incredible group of people who will give you access to career mobility, personal development, innovative technology and the freedom to explore new ideas. Together we can and will make a difference.</w:t>
      </w:r>
    </w:p>
    <w:p>
      <w:pPr>
        <w:spacing w:after="0" w:line="245" w:lineRule="exact"/>
        <w:rPr>
          <w:sz w:val="20"/>
          <w:szCs w:val="20"/>
          <w:color w:val="auto"/>
        </w:rPr>
      </w:pPr>
    </w:p>
    <w:p>
      <w:pPr>
        <w:jc w:val="both"/>
        <w:ind w:left="20" w:hanging="11"/>
        <w:spacing w:after="0" w:line="237" w:lineRule="auto"/>
        <w:rPr>
          <w:sz w:val="20"/>
          <w:szCs w:val="20"/>
          <w:color w:val="auto"/>
        </w:rPr>
      </w:pPr>
      <w:r>
        <w:rPr>
          <w:rFonts w:ascii="Arial" w:cs="Arial" w:eastAsia="Arial" w:hAnsi="Arial"/>
          <w:sz w:val="18"/>
          <w:szCs w:val="18"/>
          <w:color w:val="auto"/>
        </w:rPr>
        <w:t>Microsoft has extended this offer to you based upon your unique knowledge, background, experience and skills and abilities and not because of your knowledge of your current employer's or any previous employer's trade secrets or other confidential information. We want you to bring those unique talents to Microsoft and make us even better! As a condition of employment at Microsoft, you will be required to sign Microsoft’s standard form Employee Agreement (you will receive a copy of this after you have accepted your offer) in which you agree, among other things, not to disclose to Microsoft or use in your employment with Microsoft any confidential or proprietary information or trade secrets of any current or prior employer. In this regard, you should be extremely careful not to bring to Microsoft any documents or other materials in tangible form belonging to or acquired from your current or any prior employer.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The compensation package associated with this offer is as follows</w:t>
      </w:r>
    </w:p>
    <w:p>
      <w:pPr>
        <w:spacing w:after="0" w:line="220" w:lineRule="exact"/>
        <w:rPr>
          <w:sz w:val="20"/>
          <w:szCs w:val="20"/>
          <w:color w:val="auto"/>
        </w:rPr>
      </w:pPr>
    </w:p>
    <w:p>
      <w:pPr>
        <w:jc w:val="both"/>
        <w:ind w:left="20" w:right="20" w:hanging="11"/>
        <w:spacing w:after="0" w:line="246" w:lineRule="auto"/>
        <w:rPr>
          <w:sz w:val="20"/>
          <w:szCs w:val="20"/>
          <w:color w:val="auto"/>
        </w:rPr>
      </w:pPr>
      <w:r>
        <w:rPr>
          <w:rFonts w:ascii="Arial" w:cs="Arial" w:eastAsia="Arial" w:hAnsi="Arial"/>
          <w:sz w:val="18"/>
          <w:szCs w:val="18"/>
          <w:u w:val="single" w:color="auto"/>
          <w:color w:val="auto"/>
        </w:rPr>
        <w:t>Base Pay</w:t>
      </w:r>
      <w:r>
        <w:rPr>
          <w:rFonts w:ascii="Arial" w:cs="Arial" w:eastAsia="Arial" w:hAnsi="Arial"/>
          <w:sz w:val="18"/>
          <w:szCs w:val="18"/>
          <w:color w:val="auto"/>
        </w:rPr>
        <w:t>. Microsoft offers you a starting salary of $850,000 USD per year, payable semi-monthly. Any annual merit increases are based on performance during the year with your first opportunity for a merit increase based on your start date and Microsoft eligibility rules.</w:t>
      </w:r>
    </w:p>
    <w:p>
      <w:pPr>
        <w:spacing w:after="0" w:line="210" w:lineRule="exact"/>
        <w:rPr>
          <w:sz w:val="20"/>
          <w:szCs w:val="20"/>
          <w:color w:val="auto"/>
        </w:rPr>
      </w:pPr>
    </w:p>
    <w:p>
      <w:pPr>
        <w:jc w:val="both"/>
        <w:ind w:left="20" w:hanging="11"/>
        <w:spacing w:after="0" w:line="248" w:lineRule="auto"/>
        <w:rPr>
          <w:sz w:val="20"/>
          <w:szCs w:val="20"/>
          <w:color w:val="auto"/>
        </w:rPr>
      </w:pPr>
      <w:r>
        <w:rPr>
          <w:rFonts w:ascii="Arial" w:cs="Arial" w:eastAsia="Arial" w:hAnsi="Arial"/>
          <w:sz w:val="17"/>
          <w:szCs w:val="17"/>
          <w:u w:val="single" w:color="auto"/>
          <w:color w:val="auto"/>
        </w:rPr>
        <w:t>Signing Bonus</w:t>
      </w:r>
      <w:r>
        <w:rPr>
          <w:rFonts w:ascii="Arial" w:cs="Arial" w:eastAsia="Arial" w:hAnsi="Arial"/>
          <w:sz w:val="17"/>
          <w:szCs w:val="17"/>
          <w:color w:val="auto"/>
        </w:rPr>
        <w:t>. You will have the opportunity to receive a signing bonus in the total gross amount of $5,000,000 USD, less applicable tax withholdings. The signing bonus will be payable in two installments. The first installment in the total gross amount of $3,500,000 USD, less applicable tax withholdings, will be paid within 30 days following your start date. Assuming you complete your first year of employment, the second installment in the total gross amount of $1,500,000 USD, less applicable tax withholdings, will be paid within 30 days following the first anniversary of your start date. Your entitlement to retain the first installment is conditioned on you remaining continuously employed by Microsoft or its subsidiaries for one year after your start date, and your entitlement to retain the second installment is conditioned on you remaining continuously employed by Microsoft or its subsidiaries for two years after your start date. In the unlikely event that you resign your employment, or your employment is terminated for “misconduct” prior to the first anniversary of your start date, the first installment of your signing bonus will not be earned and must be returned to Microsoft in full. If you resign your employment or your employment is terminated for “misconduct” after your first anniversary but before the second anniversary of your start date, the second installment will not be earned and must be returned to Microsoft in full. For purposes of this paragraph, “misconduct” means the good faith determination by Microsoft that:</w:t>
      </w:r>
    </w:p>
    <w:p>
      <w:pPr>
        <w:spacing w:after="0" w:line="6" w:lineRule="exact"/>
        <w:rPr>
          <w:sz w:val="20"/>
          <w:szCs w:val="20"/>
          <w:color w:val="auto"/>
        </w:rPr>
      </w:pPr>
    </w:p>
    <w:p>
      <w:pPr>
        <w:jc w:val="both"/>
        <w:ind w:left="20" w:hanging="9"/>
        <w:spacing w:after="0" w:line="238" w:lineRule="auto"/>
        <w:tabs>
          <w:tab w:leader="none" w:pos="3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have engaged in material dishonesty, fraud, or theft in connection with the business of the company or its affiliates; (b) you have engaged in conduct in violation of policies of the company designed to prevent violations of law, such as, without limitation, policies pertaining to compliance with the laws prohibiting unlawful discrimination, harassment, or insider trading; (c) you have been convicted of, or pled nolo contendere to, a felony; or (d) you have materially breached the terms of your Employee Agreement. By signing this offer letter, you hereby authorize Microsoft to withhold the repayable amounts from any monies owed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176530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140" w:right="339" w:bottom="1440" w:gutter="0" w:footer="0" w:header="0"/>
        </w:sectPr>
      </w:pPr>
    </w:p>
    <w:bookmarkStart w:id="64" w:name="page65"/>
    <w:bookmarkEnd w:id="64"/>
    <w:p>
      <w:pPr>
        <w:jc w:val="both"/>
        <w:ind w:hanging="11"/>
        <w:spacing w:after="0" w:line="237" w:lineRule="auto"/>
        <w:rPr>
          <w:sz w:val="20"/>
          <w:szCs w:val="20"/>
          <w:color w:val="auto"/>
        </w:rPr>
      </w:pPr>
      <w:r>
        <w:rPr>
          <w:rFonts w:ascii="Arial" w:cs="Arial" w:eastAsia="Arial" w:hAnsi="Arial"/>
          <w:sz w:val="18"/>
          <w:szCs w:val="18"/>
          <w:u w:val="single" w:color="auto"/>
          <w:color w:val="auto"/>
        </w:rPr>
        <w:t>On-hire Stock Award</w:t>
      </w:r>
      <w:r>
        <w:rPr>
          <w:rFonts w:ascii="Arial" w:cs="Arial" w:eastAsia="Arial" w:hAnsi="Arial"/>
          <w:sz w:val="18"/>
          <w:szCs w:val="18"/>
          <w:color w:val="auto"/>
        </w:rPr>
        <w:t>. You will be granted an On-hire Stock Award for shares of Microsoft Corporation common stock, subject to approval by the Compensation Committee of Microsoft’s Board (or its delegate). The number of shares will be calculated by dividing $18,000,000 (USD) by the closing Microsoft stock price on your start date. Your Stock Award will be subject to the terms of Microsoft’s 2017 Stock Plan and its form of Stock Award Agreement. Your Stock Award will vest over four years from award date. The first vest (25%) will occur approximately twelve months from award date and subsequent vests will be 25% every 12 months thereafter, conditioned on continued employment through vest date.</w:t>
      </w:r>
    </w:p>
    <w:p>
      <w:pPr>
        <w:spacing w:after="0" w:line="218" w:lineRule="exact"/>
        <w:rPr>
          <w:sz w:val="20"/>
          <w:szCs w:val="20"/>
          <w:color w:val="auto"/>
        </w:rPr>
      </w:pPr>
    </w:p>
    <w:p>
      <w:pPr>
        <w:jc w:val="both"/>
        <w:ind w:hanging="11"/>
        <w:spacing w:after="0" w:line="238" w:lineRule="auto"/>
        <w:rPr>
          <w:sz w:val="20"/>
          <w:szCs w:val="20"/>
          <w:color w:val="auto"/>
        </w:rPr>
      </w:pPr>
      <w:r>
        <w:rPr>
          <w:rFonts w:ascii="Arial" w:cs="Arial" w:eastAsia="Arial" w:hAnsi="Arial"/>
          <w:sz w:val="18"/>
          <w:szCs w:val="18"/>
          <w:u w:val="single" w:color="auto"/>
          <w:color w:val="auto"/>
        </w:rPr>
        <w:t>Executive Incentive Program:</w:t>
      </w:r>
      <w:r>
        <w:rPr>
          <w:rFonts w:ascii="Arial" w:cs="Arial" w:eastAsia="Arial" w:hAnsi="Arial"/>
          <w:sz w:val="18"/>
          <w:szCs w:val="18"/>
          <w:color w:val="auto"/>
        </w:rPr>
        <w:t xml:space="preserve"> You will be eligible to participate in Microsoft’s Executive Incentive Plan (EIP), subject to the terms and conditions of the EIP and approval by the Compensation Committee of the Microsoft Board of Directors (“Compensation Committee”.) Microsoft from time to time adjusts the incentive compensation packages for its senior level employees. There are three key components of the EIP:</w:t>
      </w:r>
    </w:p>
    <w:p>
      <w:pPr>
        <w:spacing w:after="0" w:line="259" w:lineRule="exact"/>
        <w:rPr>
          <w:sz w:val="20"/>
          <w:szCs w:val="20"/>
          <w:color w:val="auto"/>
        </w:rPr>
      </w:pPr>
    </w:p>
    <w:p>
      <w:pPr>
        <w:ind w:left="600" w:hanging="190"/>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EIP Cash Award</w:t>
      </w:r>
    </w:p>
    <w:p>
      <w:pPr>
        <w:spacing w:after="0" w:line="239" w:lineRule="exact"/>
        <w:rPr>
          <w:sz w:val="20"/>
          <w:szCs w:val="20"/>
          <w:color w:val="auto"/>
        </w:rPr>
      </w:pPr>
    </w:p>
    <w:p>
      <w:pPr>
        <w:jc w:val="both"/>
        <w:ind w:hanging="11"/>
        <w:spacing w:after="0"/>
        <w:rPr>
          <w:sz w:val="20"/>
          <w:szCs w:val="20"/>
          <w:color w:val="auto"/>
        </w:rPr>
      </w:pPr>
      <w:r>
        <w:rPr>
          <w:rFonts w:ascii="Arial" w:cs="Arial" w:eastAsia="Arial" w:hAnsi="Arial"/>
          <w:sz w:val="18"/>
          <w:szCs w:val="18"/>
          <w:color w:val="auto"/>
        </w:rPr>
        <w:t>Your annual cash award target will be 200% of your salary earned during the fiscal year. Your actual cash award can range from 0-200% of the target. Under the current terms of the EIP, your actual cash award will be based on your performance as evaluated by the CEO and approved by the Compensation Committee.</w:t>
      </w:r>
    </w:p>
    <w:p>
      <w:pPr>
        <w:spacing w:after="0" w:line="257" w:lineRule="exact"/>
        <w:rPr>
          <w:sz w:val="20"/>
          <w:szCs w:val="20"/>
          <w:color w:val="auto"/>
        </w:rPr>
      </w:pPr>
    </w:p>
    <w:p>
      <w:pPr>
        <w:ind w:left="600" w:hanging="190"/>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EIP Regular Stock Award</w:t>
      </w:r>
    </w:p>
    <w:p>
      <w:pPr>
        <w:spacing w:after="0" w:line="225" w:lineRule="exact"/>
        <w:rPr>
          <w:sz w:val="20"/>
          <w:szCs w:val="20"/>
          <w:color w:val="auto"/>
        </w:rPr>
      </w:pPr>
    </w:p>
    <w:p>
      <w:pPr>
        <w:ind w:hanging="11"/>
        <w:spacing w:after="0" w:line="246" w:lineRule="auto"/>
        <w:rPr>
          <w:sz w:val="20"/>
          <w:szCs w:val="20"/>
          <w:color w:val="auto"/>
        </w:rPr>
      </w:pPr>
      <w:r>
        <w:rPr>
          <w:rFonts w:ascii="Arial" w:cs="Arial" w:eastAsia="Arial" w:hAnsi="Arial"/>
          <w:sz w:val="18"/>
          <w:szCs w:val="18"/>
          <w:color w:val="auto"/>
        </w:rPr>
        <w:t>Your EIP Stock Award will be $3,750,000, with the number of Microsoft shares calculated by dividing the award value by the closing Microsoft stock price on your start date. EIP Stock Awards vest 25% on August 31, 2021, and 12.5% each six months thereafter.</w:t>
      </w:r>
    </w:p>
    <w:p>
      <w:pPr>
        <w:spacing w:after="0" w:line="251" w:lineRule="exact"/>
        <w:rPr>
          <w:sz w:val="20"/>
          <w:szCs w:val="20"/>
          <w:color w:val="auto"/>
        </w:rPr>
      </w:pPr>
    </w:p>
    <w:p>
      <w:pPr>
        <w:ind w:left="600" w:hanging="190"/>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EIP Performance Stock Award</w:t>
      </w:r>
    </w:p>
    <w:p>
      <w:pPr>
        <w:spacing w:after="0" w:line="225" w:lineRule="exact"/>
        <w:rPr>
          <w:sz w:val="20"/>
          <w:szCs w:val="20"/>
          <w:color w:val="auto"/>
        </w:rPr>
      </w:pPr>
    </w:p>
    <w:p>
      <w:pPr>
        <w:jc w:val="both"/>
        <w:ind w:hanging="11"/>
        <w:spacing w:after="0" w:line="238" w:lineRule="auto"/>
        <w:rPr>
          <w:sz w:val="20"/>
          <w:szCs w:val="20"/>
          <w:color w:val="auto"/>
        </w:rPr>
      </w:pPr>
      <w:r>
        <w:rPr>
          <w:rFonts w:ascii="Arial" w:cs="Arial" w:eastAsia="Arial" w:hAnsi="Arial"/>
          <w:sz w:val="18"/>
          <w:szCs w:val="18"/>
          <w:color w:val="auto"/>
        </w:rPr>
        <w:t>Your target EIP Performance Stock Award will be $3,750,000, with the number of Microsoft shares calculated by dividing the award value by the closing Microsoft stock price on [copy date from 2 above]. The actual number of shares subject to an EIP Performance Stock Award will be determined over a 3year performance period based on performance goals established by the Compensation Committee of the Microsoft Board of Directors. Under the current terms of the EIP, the number of shares actually awarded may be up to 300% of a target award.</w:t>
      </w:r>
    </w:p>
    <w:p>
      <w:pPr>
        <w:spacing w:after="0" w:line="232" w:lineRule="exact"/>
        <w:rPr>
          <w:sz w:val="20"/>
          <w:szCs w:val="20"/>
          <w:color w:val="auto"/>
        </w:rPr>
      </w:pPr>
    </w:p>
    <w:p>
      <w:pPr>
        <w:jc w:val="both"/>
        <w:ind w:hanging="11"/>
        <w:spacing w:after="0" w:line="238" w:lineRule="auto"/>
        <w:rPr>
          <w:sz w:val="20"/>
          <w:szCs w:val="20"/>
          <w:color w:val="auto"/>
        </w:rPr>
      </w:pPr>
      <w:r>
        <w:rPr>
          <w:rFonts w:ascii="Arial" w:cs="Arial" w:eastAsia="Arial" w:hAnsi="Arial"/>
          <w:sz w:val="18"/>
          <w:szCs w:val="18"/>
          <w:u w:val="single" w:color="auto"/>
          <w:color w:val="auto"/>
        </w:rPr>
        <w:t>Benefits; Deferred Compensation Plan</w:t>
      </w:r>
      <w:r>
        <w:rPr>
          <w:rFonts w:ascii="Arial" w:cs="Arial" w:eastAsia="Arial" w:hAnsi="Arial"/>
          <w:sz w:val="18"/>
          <w:szCs w:val="18"/>
          <w:color w:val="auto"/>
        </w:rPr>
        <w:t>. You will be eligible for three weeks of paid vacation in accordance with Microsoft policy as well as participation in Microsoft’s flexible benefits plan, 401(k) savings plan and Employee Stock Purchase Plan. You will be eligible to participate in all other executive compensation and employee benefit programs on the same terms and conditions as other similarly situated executives at your level, including Microsoft’s Deferred Compensation Plan (DCP). You will be eligible for the Senior Executive Severance Benefit Plan on the same terms applicable to other members of the Company’s Senior Leadership Team</w:t>
      </w:r>
    </w:p>
    <w:p>
      <w:pPr>
        <w:spacing w:after="0" w:line="189" w:lineRule="exact"/>
        <w:rPr>
          <w:sz w:val="20"/>
          <w:szCs w:val="20"/>
          <w:color w:val="auto"/>
        </w:rPr>
      </w:pPr>
    </w:p>
    <w:p>
      <w:pPr>
        <w:jc w:val="both"/>
        <w:ind w:hanging="11"/>
        <w:spacing w:after="0" w:line="237" w:lineRule="auto"/>
        <w:rPr>
          <w:sz w:val="20"/>
          <w:szCs w:val="20"/>
          <w:color w:val="auto"/>
        </w:rPr>
      </w:pPr>
      <w:r>
        <w:rPr>
          <w:rFonts w:ascii="Arial" w:cs="Arial" w:eastAsia="Arial" w:hAnsi="Arial"/>
          <w:sz w:val="18"/>
          <w:szCs w:val="18"/>
          <w:color w:val="auto"/>
        </w:rPr>
        <w:t>The DCP allows you to defer receipt of all or part of certain types of compensation to a later date, thus deferring your federal income tax liability. As a new hire, you are eligible to defer up to 90% of your signing bonus. In addition, there are two separate enrollment periods each year in May and November when eligible employees can elect to defer up to 100% of annual bonus and up to 75% of base pay, respectively. Participation in this program is voluntary and Microsoft strongly encourages you to consult with your personal tax advisor to assure the program is appropriate for you as elections to defer compensation are irrevocable. Learn more about the program by reading the DCP Handbook and the letter from our Corporate Vice President of Total Rewards, which can be found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177800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355" w:right="339" w:bottom="1440" w:gutter="0" w:footer="0" w:header="0"/>
        </w:sectPr>
      </w:pPr>
    </w:p>
    <w:bookmarkStart w:id="65" w:name="page66"/>
    <w:bookmarkEnd w:id="65"/>
    <w:p>
      <w:pPr>
        <w:jc w:val="both"/>
        <w:ind w:left="20" w:right="20" w:hanging="11"/>
        <w:spacing w:after="0" w:line="246" w:lineRule="auto"/>
        <w:rPr>
          <w:sz w:val="20"/>
          <w:szCs w:val="20"/>
          <w:color w:val="auto"/>
        </w:rPr>
      </w:pPr>
      <w:r>
        <w:rPr>
          <w:rFonts w:ascii="Arial" w:cs="Arial" w:eastAsia="Arial" w:hAnsi="Arial"/>
          <w:sz w:val="18"/>
          <w:szCs w:val="18"/>
          <w:color w:val="auto"/>
        </w:rPr>
        <w:t xml:space="preserve">If you choose to defer part of your signing bonus, please complete the New Hire DCP Enrollment Form which will be sent via Docusign and return it no later than </w:t>
      </w:r>
      <w:r>
        <w:rPr>
          <w:rFonts w:ascii="Arial" w:cs="Arial" w:eastAsia="Arial" w:hAnsi="Arial"/>
          <w:sz w:val="18"/>
          <w:szCs w:val="18"/>
          <w:b w:val="1"/>
          <w:bCs w:val="1"/>
          <w:color w:val="auto"/>
        </w:rPr>
        <w:t>11:59 pm (Pacific Time) on the day BEFORE your start date.</w:t>
      </w:r>
    </w:p>
    <w:p>
      <w:pPr>
        <w:spacing w:after="0" w:line="237" w:lineRule="exact"/>
        <w:rPr>
          <w:sz w:val="20"/>
          <w:szCs w:val="20"/>
          <w:color w:val="auto"/>
        </w:rPr>
      </w:pPr>
    </w:p>
    <w:p>
      <w:pPr>
        <w:jc w:val="both"/>
        <w:ind w:left="20" w:hanging="11"/>
        <w:spacing w:after="0" w:line="237"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Please recognize that this offer letter is not a contract of employment for any specific or minimum term and that the employment Microsoft offers you is terminable at will. This means that our employment relationship is voluntary and based on mutual consent. You may resign your employment, and Microsoft likewise may terminate your employment, at any time, for any reason, with or without cause or notice. Microsoft reserves the right to change the compensation plans at any time without notice. Any prior oral or written representations to the contrary are void, as are any prior oral or written representations related to compensation discussed with or made to you. Our at-will relationship may not be modified except by a formal written employment contract signed by the senior officer for Human Resources at Microsoft.</w:t>
      </w:r>
    </w:p>
    <w:p>
      <w:pPr>
        <w:spacing w:after="0" w:line="216" w:lineRule="exact"/>
        <w:rPr>
          <w:sz w:val="20"/>
          <w:szCs w:val="20"/>
          <w:color w:val="auto"/>
        </w:rPr>
      </w:pPr>
    </w:p>
    <w:p>
      <w:pPr>
        <w:jc w:val="both"/>
        <w:ind w:left="20" w:hanging="11"/>
        <w:spacing w:after="0"/>
        <w:rPr>
          <w:sz w:val="20"/>
          <w:szCs w:val="20"/>
          <w:color w:val="auto"/>
        </w:rPr>
      </w:pPr>
      <w:r>
        <w:rPr>
          <w:rFonts w:ascii="Arial" w:cs="Arial" w:eastAsia="Arial" w:hAnsi="Arial"/>
          <w:sz w:val="18"/>
          <w:szCs w:val="18"/>
          <w:u w:val="single" w:color="auto"/>
          <w:color w:val="auto"/>
        </w:rPr>
        <w:t>Arbitration of Disputes</w:t>
      </w:r>
      <w:r>
        <w:rPr>
          <w:rFonts w:ascii="Arial" w:cs="Arial" w:eastAsia="Arial" w:hAnsi="Arial"/>
          <w:sz w:val="18"/>
          <w:szCs w:val="18"/>
          <w:color w:val="auto"/>
        </w:rPr>
        <w:t>. You and Microsoft agree that any disputes regarding the interpretation of this offer letter or otherwise arising from or related to your employment will be resolved in the manner specified in the Arbitration Addendum to this offer letter to the extent provided in the Arbitration Addendum.</w:t>
      </w:r>
    </w:p>
    <w:p>
      <w:pPr>
        <w:spacing w:after="0" w:line="189" w:lineRule="exact"/>
        <w:rPr>
          <w:sz w:val="20"/>
          <w:szCs w:val="20"/>
          <w:color w:val="auto"/>
        </w:rPr>
      </w:pPr>
    </w:p>
    <w:p>
      <w:pPr>
        <w:jc w:val="both"/>
        <w:ind w:left="20" w:hanging="11"/>
        <w:spacing w:after="0"/>
        <w:rPr>
          <w:sz w:val="20"/>
          <w:szCs w:val="20"/>
          <w:color w:val="auto"/>
        </w:rPr>
      </w:pPr>
      <w:r>
        <w:rPr>
          <w:rFonts w:ascii="Arial" w:cs="Arial" w:eastAsia="Arial" w:hAnsi="Arial"/>
          <w:sz w:val="18"/>
          <w:szCs w:val="18"/>
          <w:u w:val="single" w:color="auto"/>
          <w:color w:val="auto"/>
        </w:rPr>
        <w:t>Offer Contingent on Immigration Status and Check of Background and Professional References</w:t>
      </w:r>
      <w:r>
        <w:rPr>
          <w:rFonts w:ascii="Arial" w:cs="Arial" w:eastAsia="Arial" w:hAnsi="Arial"/>
          <w:sz w:val="18"/>
          <w:szCs w:val="18"/>
          <w:color w:val="auto"/>
        </w:rPr>
        <w:t>. Please note that this offer is contingent on the successful completion of a background check and professional references and, if applicable, successful completion of a deemed export compliance review in accordance with the Federal Export Administration Regulations.</w:t>
      </w:r>
    </w:p>
    <w:p>
      <w:pPr>
        <w:spacing w:after="0" w:line="189" w:lineRule="exact"/>
        <w:rPr>
          <w:sz w:val="20"/>
          <w:szCs w:val="20"/>
          <w:color w:val="auto"/>
        </w:rPr>
      </w:pPr>
    </w:p>
    <w:p>
      <w:pPr>
        <w:jc w:val="both"/>
        <w:ind w:left="20" w:hanging="11"/>
        <w:spacing w:after="0" w:line="238" w:lineRule="auto"/>
        <w:rPr>
          <w:sz w:val="20"/>
          <w:szCs w:val="20"/>
          <w:color w:val="auto"/>
        </w:rPr>
      </w:pPr>
      <w:r>
        <w:rPr>
          <w:rFonts w:ascii="Arial" w:cs="Arial" w:eastAsia="Arial" w:hAnsi="Arial"/>
          <w:sz w:val="18"/>
          <w:szCs w:val="18"/>
          <w:color w:val="auto"/>
        </w:rPr>
        <w:t>This offer is further contingent on your completion of the Form I-9 (for Employment Eligibility Verification) and the presentation of acceptable documentation establishing your identity and authorization to work in the United States on your first day of employment as required under U.S. immigration regulations. Please carefully review the Orientation Overview document, which contains the Lists of Acceptable Documents for Form I-9 purposes, provided by the U.S. Citizenship and Immigration Services.</w:t>
      </w:r>
    </w:p>
    <w:p>
      <w:pPr>
        <w:spacing w:after="0" w:line="191" w:lineRule="exact"/>
        <w:rPr>
          <w:sz w:val="20"/>
          <w:szCs w:val="20"/>
          <w:color w:val="auto"/>
        </w:rPr>
      </w:pPr>
    </w:p>
    <w:p>
      <w:pPr>
        <w:jc w:val="both"/>
        <w:ind w:left="20" w:hanging="11"/>
        <w:spacing w:after="0" w:line="238" w:lineRule="auto"/>
        <w:rPr>
          <w:sz w:val="20"/>
          <w:szCs w:val="20"/>
          <w:color w:val="auto"/>
        </w:rPr>
      </w:pPr>
      <w:r>
        <w:rPr>
          <w:rFonts w:ascii="Arial" w:cs="Arial" w:eastAsia="Arial" w:hAnsi="Arial"/>
          <w:sz w:val="18"/>
          <w:szCs w:val="18"/>
          <w:color w:val="auto"/>
        </w:rPr>
        <w:t>Microsoft participates in E-Verify, a system operated by the Department of Homeland Security in partnership with the Social Security Administration that allows participating employers to electronically verify the employment eligibility of newly hired employees. In the interest of providing all potential Microsoft employees with information regarding E-Verify, we invite you to review the following resources about E-Verify, as provided by the Department of Homeland Security: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E-Verify Notice: Employer participation in E-Verify</w:t>
      </w:r>
    </w:p>
    <w:p>
      <w:pPr>
        <w:spacing w:after="0" w:line="234" w:lineRule="auto"/>
        <w:rPr>
          <w:sz w:val="20"/>
          <w:szCs w:val="20"/>
          <w:color w:val="auto"/>
        </w:rPr>
      </w:pPr>
      <w:r>
        <w:rPr>
          <w:rFonts w:ascii="Arial" w:cs="Arial" w:eastAsia="Arial" w:hAnsi="Arial"/>
          <w:sz w:val="18"/>
          <w:szCs w:val="18"/>
          <w:u w:val="single" w:color="auto"/>
          <w:color w:val="0000FF"/>
        </w:rPr>
        <w:t>E-Verify Notice: Your right to work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Employees-You Should Know Your Rights and Responsibilities Under E-Verify</w:t>
      </w:r>
    </w:p>
    <w:p>
      <w:pPr>
        <w:spacing w:after="0" w:line="198" w:lineRule="exact"/>
        <w:rPr>
          <w:sz w:val="20"/>
          <w:szCs w:val="20"/>
          <w:color w:val="auto"/>
        </w:rPr>
      </w:pPr>
    </w:p>
    <w:p>
      <w:pPr>
        <w:jc w:val="both"/>
        <w:ind w:left="20" w:hanging="11"/>
        <w:spacing w:after="0" w:line="237" w:lineRule="auto"/>
        <w:rPr>
          <w:sz w:val="20"/>
          <w:szCs w:val="20"/>
          <w:color w:val="auto"/>
        </w:rPr>
      </w:pPr>
      <w:r>
        <w:rPr>
          <w:rFonts w:ascii="Arial" w:cs="Arial" w:eastAsia="Arial" w:hAnsi="Arial"/>
          <w:sz w:val="18"/>
          <w:szCs w:val="18"/>
          <w:u w:val="single" w:color="auto"/>
          <w:color w:val="auto"/>
        </w:rPr>
        <w:t>Acceptance of Offer</w:t>
      </w:r>
      <w:r>
        <w:rPr>
          <w:rFonts w:ascii="Arial" w:cs="Arial" w:eastAsia="Arial" w:hAnsi="Arial"/>
          <w:sz w:val="18"/>
          <w:szCs w:val="18"/>
          <w:color w:val="auto"/>
        </w:rPr>
        <w:t>. This letter describes all representations and promises that Microsoft or its affiliates or agents have made to you in connection with your prospective employment with Microsoft and supersedes any prior verbal or written representations or promises. Please acknowledge that you agree to the terms of this letter and its Arbitration Addendum by signing the enclosed copy of this offer letter. We appreciate you reviewing and signing all documents promptly. It is important that we receive your letter, the Arbitration Addendum and the signed Employee Agreement prior to your start date. Please note that you are not authorized to alter the terms of the Employee Agreement in any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177800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55" w:right="339" w:bottom="1440" w:gutter="0" w:footer="0" w:header="0"/>
        </w:sectPr>
      </w:pPr>
    </w:p>
    <w:bookmarkStart w:id="66" w:name="page67"/>
    <w:bookmarkEnd w:id="66"/>
    <w:p>
      <w:pPr>
        <w:jc w:val="both"/>
        <w:ind w:left="20" w:hanging="11"/>
        <w:spacing w:after="0" w:line="237" w:lineRule="auto"/>
        <w:rPr>
          <w:sz w:val="20"/>
          <w:szCs w:val="20"/>
          <w:color w:val="auto"/>
        </w:rPr>
      </w:pPr>
      <w:r>
        <w:rPr>
          <w:rFonts w:ascii="Arial" w:cs="Arial" w:eastAsia="Arial" w:hAnsi="Arial"/>
          <w:sz w:val="18"/>
          <w:szCs w:val="18"/>
          <w:color w:val="auto"/>
        </w:rPr>
        <w:t>Chris, thank you for embarking on this journey of new beginnings. We believe you’re an excellent addition to Microsoft as we continue bringing together inspiring people with the skills and determination to accomplish amazing things. Our Executive New Employee Team will contact you to schedule a New Employee Orientation that will provide employment documentation and information, as well as give you a complete overview of company benefits. Microsoft is a place where intelligent, passionate, and creative people are continuously empowering the world to achieve more. We look forward to having you join us and be one who empowers billions. If you have any questions in the meantime, feel free to give me a call.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HANNON</w:t>
      </w:r>
      <w:r>
        <w:rPr>
          <w:rFonts w:ascii="Arial" w:cs="Arial" w:eastAsia="Arial" w:hAnsi="Arial"/>
          <w:sz w:val="18"/>
          <w:szCs w:val="18"/>
          <w:color w:val="auto"/>
        </w:rPr>
        <w:t xml:space="preserve"> U</w:t>
      </w:r>
      <w:r>
        <w:rPr>
          <w:rFonts w:ascii="Arial" w:cs="Arial" w:eastAsia="Arial" w:hAnsi="Arial"/>
          <w:sz w:val="13"/>
          <w:szCs w:val="13"/>
          <w:color w:val="auto"/>
        </w:rPr>
        <w:t>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wp:posOffset>
            </wp:positionV>
            <wp:extent cx="28460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Shannon Urion</w:t>
      </w:r>
    </w:p>
    <w:p>
      <w:pPr>
        <w:spacing w:after="0" w:line="234" w:lineRule="auto"/>
        <w:rPr>
          <w:sz w:val="20"/>
          <w:szCs w:val="20"/>
          <w:color w:val="auto"/>
        </w:rPr>
      </w:pPr>
      <w:r>
        <w:rPr>
          <w:rFonts w:ascii="Arial" w:cs="Arial" w:eastAsia="Arial" w:hAnsi="Arial"/>
          <w:sz w:val="18"/>
          <w:szCs w:val="18"/>
          <w:color w:val="auto"/>
        </w:rPr>
        <w:t>On behalf of</w:t>
      </w:r>
    </w:p>
    <w:p>
      <w:pPr>
        <w:spacing w:after="0" w:line="235" w:lineRule="auto"/>
        <w:rPr>
          <w:sz w:val="20"/>
          <w:szCs w:val="20"/>
          <w:color w:val="auto"/>
        </w:rPr>
      </w:pPr>
      <w:r>
        <w:rPr>
          <w:rFonts w:ascii="Arial" w:cs="Arial" w:eastAsia="Arial" w:hAnsi="Arial"/>
          <w:sz w:val="18"/>
          <w:szCs w:val="18"/>
          <w:color w:val="auto"/>
        </w:rPr>
        <w:t>Satya Nadella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RISTOPHER</w:t>
      </w:r>
      <w:r>
        <w:rPr>
          <w:rFonts w:ascii="Arial" w:cs="Arial" w:eastAsia="Arial" w:hAnsi="Arial"/>
          <w:sz w:val="18"/>
          <w:szCs w:val="18"/>
          <w:color w:val="auto"/>
        </w:rPr>
        <w:t xml:space="preserve"> Y</w:t>
      </w:r>
      <w:r>
        <w:rPr>
          <w:rFonts w:ascii="Arial" w:cs="Arial" w:eastAsia="Arial" w:hAnsi="Arial"/>
          <w:sz w:val="13"/>
          <w:szCs w:val="13"/>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wp:posOffset>
            </wp:positionV>
            <wp:extent cx="28460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Christopher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490855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5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Arbitration Addendum</w:t>
      </w:r>
    </w:p>
    <w:p>
      <w:pPr>
        <w:spacing w:after="0" w:line="193" w:lineRule="exact"/>
        <w:rPr>
          <w:sz w:val="20"/>
          <w:szCs w:val="20"/>
          <w:color w:val="auto"/>
        </w:rPr>
      </w:pPr>
    </w:p>
    <w:p>
      <w:pPr>
        <w:jc w:val="both"/>
        <w:ind w:hanging="11"/>
        <w:spacing w:after="0" w:line="246" w:lineRule="auto"/>
        <w:rPr>
          <w:sz w:val="20"/>
          <w:szCs w:val="20"/>
          <w:color w:val="auto"/>
        </w:rPr>
      </w:pPr>
      <w:r>
        <w:rPr>
          <w:rFonts w:ascii="Arial" w:cs="Arial" w:eastAsia="Arial" w:hAnsi="Arial"/>
          <w:sz w:val="18"/>
          <w:szCs w:val="18"/>
          <w:color w:val="auto"/>
        </w:rPr>
        <w:t>Microsoft and the undersigned Employee enter into this Mutual Agreement to Arbitrate Claims, effective as of the date of its execution by Employee, as shown below.</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 Parties</w:t>
      </w:r>
    </w:p>
    <w:p>
      <w:pPr>
        <w:spacing w:after="0" w:line="18" w:lineRule="exact"/>
        <w:rPr>
          <w:sz w:val="20"/>
          <w:szCs w:val="20"/>
          <w:color w:val="auto"/>
        </w:rPr>
      </w:pPr>
    </w:p>
    <w:p>
      <w:pPr>
        <w:jc w:val="both"/>
        <w:ind w:hanging="11"/>
        <w:spacing w:after="0" w:line="237" w:lineRule="auto"/>
        <w:rPr>
          <w:sz w:val="20"/>
          <w:szCs w:val="20"/>
          <w:color w:val="auto"/>
        </w:rPr>
      </w:pPr>
      <w:r>
        <w:rPr>
          <w:rFonts w:ascii="Arial" w:cs="Arial" w:eastAsia="Arial" w:hAnsi="Arial"/>
          <w:sz w:val="18"/>
          <w:szCs w:val="18"/>
          <w:color w:val="auto"/>
        </w:rPr>
        <w:t>For purposes of this Agreement, all references to “Microsoft” include Microsoft Corporation and all current and former parents, subsidiaries, affiliates, related companies, joint ventures, their predecessors and successors, and with respect to each such entity, all of its past, present, and future officers, directors, stockholders, agents, employees, representatives, and attorneys and any other person acting by, through, under or in concert with any such persons or entities (collectively referred to hereafter as “Microsoft”). For purposes of this Agreement, all references to “Employee” include all businesses owned or controlled by the undersigned and anyone asserting a claim in the undersigned’s name or on the undersigned’s behalf.</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 Purpose.</w:t>
      </w:r>
    </w:p>
    <w:p>
      <w:pPr>
        <w:spacing w:after="0" w:line="18" w:lineRule="exact"/>
        <w:rPr>
          <w:sz w:val="20"/>
          <w:szCs w:val="20"/>
          <w:color w:val="auto"/>
        </w:rPr>
      </w:pPr>
    </w:p>
    <w:p>
      <w:pPr>
        <w:jc w:val="both"/>
        <w:ind w:hanging="11"/>
        <w:spacing w:after="0" w:line="236" w:lineRule="auto"/>
        <w:rPr>
          <w:sz w:val="20"/>
          <w:szCs w:val="20"/>
          <w:color w:val="auto"/>
        </w:rPr>
      </w:pPr>
      <w:r>
        <w:rPr>
          <w:rFonts w:ascii="Arial" w:cs="Arial" w:eastAsia="Arial" w:hAnsi="Arial"/>
          <w:sz w:val="18"/>
          <w:szCs w:val="18"/>
          <w:color w:val="auto"/>
        </w:rPr>
        <w:t>In recognition of the fact that differences may arise between Microsoft and Employee arising out of or relating to Employee’s employment or the termination of Employee’s employment with Microsoft, and in recognition of the fact that Employee holds a position in which Employee is likely to learn of or be exposed to highly confidential and/or sensitive information about Microsoft or other employees, which would be unfairly prejudicial to Microsoft or its officers, directors or employees if made public through any dispute resolution process, and in further recognition of the fact that pursuing claims against Microsoft might expose Employee to public scrutiny in a manner that could chill Employee’s pursuit of Employee’s legal rights or otherwise negatively impact Employee, Microsoft and Employee enter into this Agreement in order to establish and gain the benefits of a speedy, impartial, cost-effective, and confidential dispute resolution procedure, to the extent permitted by law.</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3. Claims Covered by this Agreement</w:t>
      </w:r>
    </w:p>
    <w:p>
      <w:pPr>
        <w:spacing w:after="0" w:line="18" w:lineRule="exact"/>
        <w:rPr>
          <w:sz w:val="20"/>
          <w:szCs w:val="20"/>
          <w:color w:val="auto"/>
        </w:rPr>
      </w:pPr>
    </w:p>
    <w:p>
      <w:pPr>
        <w:jc w:val="both"/>
        <w:ind w:hanging="11"/>
        <w:spacing w:after="0" w:line="238" w:lineRule="auto"/>
        <w:rPr>
          <w:sz w:val="20"/>
          <w:szCs w:val="20"/>
          <w:color w:val="auto"/>
        </w:rPr>
      </w:pPr>
      <w:r>
        <w:rPr>
          <w:rFonts w:ascii="Arial" w:cs="Arial" w:eastAsia="Arial" w:hAnsi="Arial"/>
          <w:sz w:val="18"/>
          <w:szCs w:val="18"/>
          <w:color w:val="auto"/>
        </w:rPr>
        <w:t>Except as otherwise provided in Section 4 below, Microsoft and Employee agree that all civil disputes, claims or controversies between them, whether brought as individual claims or by class or collective action, including claims related to the interpretation and enforceability of this Agreement, will be resolved exclusively through final and binding arbitration pursuant to the provisions of this Agreement, unless the dispute can be resolved informally.</w:t>
      </w:r>
    </w:p>
    <w:p>
      <w:pPr>
        <w:spacing w:after="0" w:line="191" w:lineRule="exact"/>
        <w:rPr>
          <w:sz w:val="20"/>
          <w:szCs w:val="20"/>
          <w:color w:val="auto"/>
        </w:rPr>
      </w:pPr>
    </w:p>
    <w:p>
      <w:pPr>
        <w:jc w:val="both"/>
        <w:ind w:hanging="11"/>
        <w:spacing w:after="0" w:line="236" w:lineRule="auto"/>
        <w:rPr>
          <w:sz w:val="20"/>
          <w:szCs w:val="20"/>
          <w:color w:val="auto"/>
        </w:rPr>
      </w:pPr>
      <w:r>
        <w:rPr>
          <w:rFonts w:ascii="Arial" w:cs="Arial" w:eastAsia="Arial" w:hAnsi="Arial"/>
          <w:sz w:val="18"/>
          <w:szCs w:val="18"/>
          <w:color w:val="auto"/>
        </w:rPr>
        <w:t>Without in any way limiting the foregoing, this Agreement is intended to cover all civil claims directly or indirectly related to the employment relationship and termination of such relationship, including but not limited to, for example, claims of discrimination, harassment or retaliation based on race, color, religion, national origin, age, veteran status, disability or medical condition or any other status, characteristic or activity protected under federal, state or local law; claims for unpaid wages, overtime or other compensation or benefits due; claims for promissory estoppel or breach of any contract or covenant, express or implied; tort claims such as but not limited to claims for negligent or intentional infliction of emotional distress, negligent supervision, assault and battery, slander or defamation; claims based on violation of any public policy or state or federal whistleblower statute (where arbitration of such claims is permitted); claims of fraud or misrepresentation; and claims against individuals employed by, acting on behalf of or affiliated with Microsoft.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179705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333" w:right="339" w:bottom="1440" w:gutter="0" w:footer="0" w:header="0"/>
        </w:sectPr>
      </w:pPr>
    </w:p>
    <w:bookmarkStart w:id="68" w:name="page69"/>
    <w:bookmarkEnd w:id="68"/>
    <w:p>
      <w:pPr>
        <w:jc w:val="both"/>
        <w:ind w:left="25" w:hanging="11"/>
        <w:spacing w:after="0" w:line="236" w:lineRule="auto"/>
        <w:rPr>
          <w:sz w:val="20"/>
          <w:szCs w:val="20"/>
          <w:color w:val="auto"/>
        </w:rPr>
      </w:pPr>
      <w:r>
        <w:rPr>
          <w:rFonts w:ascii="Arial" w:cs="Arial" w:eastAsia="Arial" w:hAnsi="Arial"/>
          <w:sz w:val="18"/>
          <w:szCs w:val="18"/>
          <w:color w:val="auto"/>
        </w:rPr>
        <w:t>By way of further example, this Agreement is intended to cover and require arbitration of all statutory claims or causes of action arising pursuant to any federal, state, local or foreign law relating to employment discrimination, employment relationships, or employment or termination rights and/or compensation and benefits, including but not limited to Immigration Reform and Control Act, Title VII of the Civil Rights Act of 1964, Sections 1981 through 1988 of Title 42 of the United States Code and all amendments thereto, the Employee Retirement Income Security Act of 1974 (“ERISA”), the Americans with Disabilities Act of 1990 (“ADA”), the Age Discrimination in Employment Act of 1967 (“ADEA”), the Older Workers Benefits Protection Act of 1990 (“OWBPA”), the Family and Medical Leave Act, the Washington Law Against Discrimination, the Fair Labor Standards Act, the Washington Minimum Wage Act, the Occupational Safety and Health Act (“OSHA”), the Consolidated Omnibus Budget Reconciliation Act of 1985 (“COBRA”), and any and all other claims under federal, state and local laws against discrimination, and federal or state wage payment statutes.</w:t>
      </w:r>
    </w:p>
    <w:p>
      <w:pPr>
        <w:spacing w:after="0" w:line="171" w:lineRule="exact"/>
        <w:rPr>
          <w:sz w:val="20"/>
          <w:szCs w:val="20"/>
          <w:color w:val="auto"/>
        </w:rPr>
      </w:pPr>
    </w:p>
    <w:p>
      <w:pPr>
        <w:ind w:left="5" w:right="7340" w:firstLine="243"/>
        <w:spacing w:after="0" w:line="247" w:lineRule="auto"/>
        <w:tabs>
          <w:tab w:leader="none" w:pos="449"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Claims Not Covered by This Agreement </w:t>
      </w:r>
      <w:r>
        <w:rPr>
          <w:rFonts w:ascii="Arial" w:cs="Arial" w:eastAsia="Arial" w:hAnsi="Arial"/>
          <w:sz w:val="18"/>
          <w:szCs w:val="18"/>
          <w:color w:val="auto"/>
        </w:rPr>
        <w:t>This Agreement does not apply to:</w:t>
      </w:r>
    </w:p>
    <w:p>
      <w:pPr>
        <w:spacing w:after="0" w:line="1" w:lineRule="exact"/>
        <w:rPr>
          <w:sz w:val="20"/>
          <w:szCs w:val="20"/>
          <w:color w:val="auto"/>
        </w:rPr>
      </w:pPr>
    </w:p>
    <w:p>
      <w:pPr>
        <w:ind w:left="1025" w:hanging="1025"/>
        <w:spacing w:after="0"/>
        <w:tabs>
          <w:tab w:leader="none" w:pos="10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Claims for workers' compensation benefits or unemployment compensation benefits;</w:t>
      </w:r>
    </w:p>
    <w:p>
      <w:pPr>
        <w:spacing w:after="0" w:line="9" w:lineRule="exact"/>
        <w:rPr>
          <w:sz w:val="20"/>
          <w:szCs w:val="20"/>
          <w:color w:val="auto"/>
        </w:rPr>
      </w:pPr>
    </w:p>
    <w:p>
      <w:pPr>
        <w:ind w:left="1025" w:right="20" w:hanging="1025"/>
        <w:spacing w:after="0" w:line="234" w:lineRule="auto"/>
        <w:tabs>
          <w:tab w:leader="none" w:pos="102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Claims for injunctive and/or other equitable relief to enforce and/or clarify rights to confidential information and/or trade secrets, or agreements not to compete or solicit customers or employees;</w:t>
      </w:r>
    </w:p>
    <w:p>
      <w:pPr>
        <w:spacing w:after="0" w:line="1" w:lineRule="exact"/>
        <w:rPr>
          <w:sz w:val="20"/>
          <w:szCs w:val="20"/>
          <w:color w:val="auto"/>
        </w:rPr>
      </w:pPr>
    </w:p>
    <w:p>
      <w:pPr>
        <w:ind w:left="1025" w:right="20" w:hanging="1025"/>
        <w:spacing w:after="0" w:line="234" w:lineRule="auto"/>
        <w:tabs>
          <w:tab w:leader="none" w:pos="10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Claims based upon an employee pension or benefit plan the terms of which contain an arbitration or other non-judicial dispute resolution procedure, in which such case the provisions of such plan shall apply;</w:t>
      </w:r>
    </w:p>
    <w:p>
      <w:pPr>
        <w:spacing w:after="0" w:line="1" w:lineRule="exact"/>
        <w:rPr>
          <w:sz w:val="20"/>
          <w:szCs w:val="20"/>
          <w:color w:val="auto"/>
        </w:rPr>
      </w:pPr>
    </w:p>
    <w:p>
      <w:pPr>
        <w:ind w:left="1025" w:hanging="1025"/>
        <w:spacing w:after="0" w:line="234" w:lineRule="auto"/>
        <w:tabs>
          <w:tab w:leader="none" w:pos="10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Claims under specific statutes that bar arbitration as a means of dispute resolution, or where arbitration is otherwise barred as a matter of applicable law;</w:t>
      </w:r>
    </w:p>
    <w:p>
      <w:pPr>
        <w:spacing w:after="0" w:line="1" w:lineRule="exact"/>
        <w:rPr>
          <w:sz w:val="20"/>
          <w:szCs w:val="20"/>
          <w:color w:val="auto"/>
        </w:rPr>
      </w:pPr>
    </w:p>
    <w:p>
      <w:pPr>
        <w:ind w:left="1025" w:hanging="1025"/>
        <w:spacing w:after="0"/>
        <w:tabs>
          <w:tab w:leader="none" w:pos="10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Claims alleging discrimination on the basis of sex, including sex harassment; and</w:t>
      </w:r>
    </w:p>
    <w:p>
      <w:pPr>
        <w:spacing w:after="0" w:line="9"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e. This Agreement does not bar Employee from filing administrative charges with local, state and federal agencies.</w:t>
      </w:r>
    </w:p>
    <w:p>
      <w:pPr>
        <w:spacing w:after="0" w:line="176" w:lineRule="exact"/>
        <w:rPr>
          <w:sz w:val="20"/>
          <w:szCs w:val="20"/>
          <w:color w:val="auto"/>
        </w:rPr>
      </w:pPr>
    </w:p>
    <w:p>
      <w:pPr>
        <w:ind w:left="445"/>
        <w:spacing w:after="0"/>
        <w:rPr>
          <w:sz w:val="20"/>
          <w:szCs w:val="20"/>
          <w:color w:val="auto"/>
        </w:rPr>
      </w:pPr>
      <w:r>
        <w:rPr>
          <w:rFonts w:ascii="Arial" w:cs="Arial" w:eastAsia="Arial" w:hAnsi="Arial"/>
          <w:sz w:val="18"/>
          <w:szCs w:val="18"/>
          <w:b w:val="1"/>
          <w:bCs w:val="1"/>
          <w:color w:val="auto"/>
        </w:rPr>
        <w:t>5. Waiver of Jury Trial</w:t>
      </w:r>
    </w:p>
    <w:p>
      <w:pPr>
        <w:spacing w:after="0" w:line="18" w:lineRule="exact"/>
        <w:rPr>
          <w:sz w:val="20"/>
          <w:szCs w:val="20"/>
          <w:color w:val="auto"/>
        </w:rPr>
      </w:pPr>
    </w:p>
    <w:p>
      <w:pPr>
        <w:jc w:val="both"/>
        <w:ind w:left="25" w:hanging="11"/>
        <w:spacing w:after="0" w:line="246" w:lineRule="auto"/>
        <w:rPr>
          <w:sz w:val="20"/>
          <w:szCs w:val="20"/>
          <w:color w:val="auto"/>
        </w:rPr>
      </w:pPr>
      <w:r>
        <w:rPr>
          <w:rFonts w:ascii="Arial" w:cs="Arial" w:eastAsia="Arial" w:hAnsi="Arial"/>
          <w:sz w:val="18"/>
          <w:szCs w:val="18"/>
          <w:color w:val="auto"/>
        </w:rPr>
        <w:t>By signing this Agreement, the parties are knowingly and voluntarily giving up any right they may have to a jury trial or to sue each other in a court of law as to the covered claims.</w:t>
      </w:r>
    </w:p>
    <w:p>
      <w:pPr>
        <w:spacing w:after="0" w:line="161" w:lineRule="exact"/>
        <w:rPr>
          <w:sz w:val="20"/>
          <w:szCs w:val="20"/>
          <w:color w:val="auto"/>
        </w:rPr>
      </w:pPr>
    </w:p>
    <w:p>
      <w:pPr>
        <w:ind w:left="445"/>
        <w:spacing w:after="0"/>
        <w:rPr>
          <w:sz w:val="20"/>
          <w:szCs w:val="20"/>
          <w:color w:val="auto"/>
        </w:rPr>
      </w:pPr>
      <w:r>
        <w:rPr>
          <w:rFonts w:ascii="Arial" w:cs="Arial" w:eastAsia="Arial" w:hAnsi="Arial"/>
          <w:sz w:val="18"/>
          <w:szCs w:val="18"/>
          <w:b w:val="1"/>
          <w:bCs w:val="1"/>
          <w:color w:val="auto"/>
        </w:rPr>
        <w:t>6. Broad Authority of Arbitrator</w:t>
      </w:r>
    </w:p>
    <w:p>
      <w:pPr>
        <w:spacing w:after="0" w:line="18" w:lineRule="exact"/>
        <w:rPr>
          <w:sz w:val="20"/>
          <w:szCs w:val="20"/>
          <w:color w:val="auto"/>
        </w:rPr>
      </w:pPr>
    </w:p>
    <w:p>
      <w:pPr>
        <w:jc w:val="both"/>
        <w:ind w:left="25" w:hanging="11"/>
        <w:spacing w:after="0" w:line="238" w:lineRule="auto"/>
        <w:rPr>
          <w:sz w:val="20"/>
          <w:szCs w:val="20"/>
          <w:color w:val="auto"/>
        </w:rPr>
      </w:pPr>
      <w:r>
        <w:rPr>
          <w:rFonts w:ascii="Arial" w:cs="Arial" w:eastAsia="Arial" w:hAnsi="Arial"/>
          <w:sz w:val="18"/>
          <w:szCs w:val="18"/>
          <w:color w:val="auto"/>
        </w:rPr>
        <w:t>The arbitrator, and not any federal, state, or local court or agency, shall have exclusive authority to resolve any dispute concerning or relating to the interpretation, applicability, enforceability, or formation of this Agreement, including but not limited to claims that all or any part of this Agreement is void or voidable. The decision of the arbitrator on any such issue or dispute, as well as on any claim submitted to arbitration as provided in this Agreement, shall be final and binding upon the parties.</w:t>
      </w:r>
    </w:p>
    <w:p>
      <w:pPr>
        <w:spacing w:after="0" w:line="169" w:lineRule="exact"/>
        <w:rPr>
          <w:sz w:val="20"/>
          <w:szCs w:val="20"/>
          <w:color w:val="auto"/>
        </w:rPr>
      </w:pPr>
    </w:p>
    <w:p>
      <w:pPr>
        <w:ind w:left="445"/>
        <w:spacing w:after="0"/>
        <w:rPr>
          <w:sz w:val="20"/>
          <w:szCs w:val="20"/>
          <w:color w:val="auto"/>
        </w:rPr>
      </w:pPr>
      <w:r>
        <w:rPr>
          <w:rFonts w:ascii="Arial" w:cs="Arial" w:eastAsia="Arial" w:hAnsi="Arial"/>
          <w:sz w:val="18"/>
          <w:szCs w:val="18"/>
          <w:b w:val="1"/>
          <w:bCs w:val="1"/>
          <w:color w:val="auto"/>
        </w:rPr>
        <w:t>7. Arbitrator to Decide Disputes Regarding Section 6</w:t>
      </w:r>
    </w:p>
    <w:p>
      <w:pPr>
        <w:spacing w:after="0" w:line="18" w:lineRule="exact"/>
        <w:rPr>
          <w:sz w:val="20"/>
          <w:szCs w:val="20"/>
          <w:color w:val="auto"/>
        </w:rPr>
      </w:pPr>
    </w:p>
    <w:p>
      <w:pPr>
        <w:jc w:val="both"/>
        <w:ind w:left="25" w:hanging="11"/>
        <w:spacing w:after="0" w:line="246" w:lineRule="auto"/>
        <w:rPr>
          <w:sz w:val="20"/>
          <w:szCs w:val="20"/>
          <w:color w:val="auto"/>
        </w:rPr>
      </w:pPr>
      <w:r>
        <w:rPr>
          <w:rFonts w:ascii="Arial" w:cs="Arial" w:eastAsia="Arial" w:hAnsi="Arial"/>
          <w:sz w:val="18"/>
          <w:szCs w:val="18"/>
          <w:color w:val="auto"/>
        </w:rPr>
        <w:t>The arbitrator, and not any federal, state, or local court or agency, shall have exclusive authority to resolve any dispute relating to the arbitrator’s authority under Section 6 of this Agreement, including but not limited to any claim that Section 6 is void or voidable.</w:t>
      </w:r>
    </w:p>
    <w:p>
      <w:pPr>
        <w:spacing w:after="0" w:line="161" w:lineRule="exact"/>
        <w:rPr>
          <w:sz w:val="20"/>
          <w:szCs w:val="20"/>
          <w:color w:val="auto"/>
        </w:rPr>
      </w:pPr>
    </w:p>
    <w:p>
      <w:pPr>
        <w:ind w:left="445"/>
        <w:spacing w:after="0"/>
        <w:rPr>
          <w:sz w:val="20"/>
          <w:szCs w:val="20"/>
          <w:color w:val="auto"/>
        </w:rPr>
      </w:pPr>
      <w:r>
        <w:rPr>
          <w:rFonts w:ascii="Arial" w:cs="Arial" w:eastAsia="Arial" w:hAnsi="Arial"/>
          <w:sz w:val="18"/>
          <w:szCs w:val="18"/>
          <w:b w:val="1"/>
          <w:bCs w:val="1"/>
          <w:color w:val="auto"/>
        </w:rPr>
        <w:t>8. Arbitration Procedures</w:t>
      </w:r>
    </w:p>
    <w:p>
      <w:pPr>
        <w:spacing w:after="0" w:line="18" w:lineRule="exact"/>
        <w:rPr>
          <w:sz w:val="20"/>
          <w:szCs w:val="20"/>
          <w:color w:val="auto"/>
        </w:rPr>
      </w:pPr>
    </w:p>
    <w:p>
      <w:pPr>
        <w:jc w:val="both"/>
        <w:ind w:left="25" w:hanging="11"/>
        <w:spacing w:after="0" w:line="238" w:lineRule="auto"/>
        <w:rPr>
          <w:sz w:val="20"/>
          <w:szCs w:val="20"/>
          <w:color w:val="auto"/>
        </w:rPr>
      </w:pPr>
      <w:r>
        <w:rPr>
          <w:rFonts w:ascii="Arial" w:cs="Arial" w:eastAsia="Arial" w:hAnsi="Arial"/>
          <w:sz w:val="18"/>
          <w:szCs w:val="18"/>
          <w:color w:val="auto"/>
        </w:rPr>
        <w:t xml:space="preserve">A single arbitrator engaged in the practice of law shall conduct any arbitration required by this Agreement in accordance with the rules and procedures specified in the JAMS Streamlined Arbitration Rules &amp; Procedures (which can currently be reviewed at </w:t>
      </w:r>
      <w:r>
        <w:rPr>
          <w:rFonts w:ascii="Arial" w:cs="Arial" w:eastAsia="Arial" w:hAnsi="Arial"/>
          <w:sz w:val="18"/>
          <w:szCs w:val="18"/>
          <w:u w:val="single" w:color="auto"/>
          <w:color w:val="0000FF"/>
        </w:rPr>
        <w:t>http://www.jamsadr.com/rules-streamlined-arbitration/</w:t>
      </w:r>
      <w:r>
        <w:rPr>
          <w:rFonts w:ascii="Arial" w:cs="Arial" w:eastAsia="Arial" w:hAnsi="Arial"/>
          <w:sz w:val="18"/>
          <w:szCs w:val="18"/>
          <w:color w:val="000000"/>
        </w:rPr>
        <w:t>) which is incorporated herein by reference and which the Employee acknowledges</w:t>
      </w:r>
      <w:r>
        <w:rPr>
          <w:rFonts w:ascii="Arial" w:cs="Arial" w:eastAsia="Arial" w:hAnsi="Arial"/>
          <w:sz w:val="18"/>
          <w:szCs w:val="18"/>
          <w:color w:val="0000FF"/>
        </w:rPr>
        <w:t xml:space="preserve"> </w:t>
      </w:r>
      <w:r>
        <w:rPr>
          <w:rFonts w:ascii="Arial" w:cs="Arial" w:eastAsia="Arial" w:hAnsi="Arial"/>
          <w:sz w:val="18"/>
          <w:szCs w:val="18"/>
          <w:color w:val="000000"/>
        </w:rPr>
        <w:t>having received and read prior to signing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177800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5"/>
          </w:cols>
          <w:pgMar w:left="395" w:top="355" w:right="339" w:bottom="1440" w:gutter="0" w:footer="0" w:header="0"/>
        </w:sectPr>
      </w:pPr>
    </w:p>
    <w:bookmarkStart w:id="69" w:name="page70"/>
    <w:bookmarkEnd w:id="69"/>
    <w:p>
      <w:pPr>
        <w:ind w:left="445"/>
        <w:spacing w:after="0"/>
        <w:rPr>
          <w:sz w:val="20"/>
          <w:szCs w:val="20"/>
          <w:color w:val="auto"/>
        </w:rPr>
      </w:pPr>
      <w:r>
        <w:rPr>
          <w:rFonts w:ascii="Arial" w:cs="Arial" w:eastAsia="Arial" w:hAnsi="Arial"/>
          <w:sz w:val="18"/>
          <w:szCs w:val="18"/>
          <w:b w:val="1"/>
          <w:bCs w:val="1"/>
          <w:color w:val="auto"/>
        </w:rPr>
        <w:t>9. Consideration</w:t>
      </w:r>
    </w:p>
    <w:p>
      <w:pPr>
        <w:spacing w:after="0" w:line="18" w:lineRule="exact"/>
        <w:rPr>
          <w:sz w:val="20"/>
          <w:szCs w:val="20"/>
          <w:color w:val="auto"/>
        </w:rPr>
      </w:pPr>
    </w:p>
    <w:p>
      <w:pPr>
        <w:jc w:val="both"/>
        <w:ind w:left="25" w:hanging="11"/>
        <w:spacing w:after="0" w:line="238" w:lineRule="auto"/>
        <w:rPr>
          <w:sz w:val="20"/>
          <w:szCs w:val="20"/>
          <w:color w:val="auto"/>
        </w:rPr>
      </w:pPr>
      <w:r>
        <w:rPr>
          <w:rFonts w:ascii="Arial" w:cs="Arial" w:eastAsia="Arial" w:hAnsi="Arial"/>
          <w:sz w:val="18"/>
          <w:szCs w:val="18"/>
          <w:color w:val="auto"/>
        </w:rPr>
        <w:t>Each party’s promise to resolve claims by arbitration in accordance with the provisions of this Agreement, rather than through the courts, is consideration for the other party’s like promise. As additional consideration for Employee’s execution of this Agreement, Microsoft offers Employee the following additional benefits/compensation, to which Employee is not otherwise entitled: On-hire bonus of $5,000,000 Dollars. Employee acknowledges that the consideration described in this Section 9, which Employee is receiving in exchange for entering into this Agreement, is both adequate and sufficient.</w:t>
      </w:r>
    </w:p>
    <w:p>
      <w:pPr>
        <w:spacing w:after="0" w:line="189" w:lineRule="exact"/>
        <w:rPr>
          <w:sz w:val="20"/>
          <w:szCs w:val="20"/>
          <w:color w:val="auto"/>
        </w:rPr>
      </w:pPr>
    </w:p>
    <w:p>
      <w:pPr>
        <w:jc w:val="both"/>
        <w:ind w:left="25" w:hanging="11"/>
        <w:spacing w:after="0"/>
        <w:rPr>
          <w:sz w:val="20"/>
          <w:szCs w:val="20"/>
          <w:color w:val="auto"/>
        </w:rPr>
      </w:pPr>
      <w:r>
        <w:rPr>
          <w:rFonts w:ascii="Arial" w:cs="Arial" w:eastAsia="Arial" w:hAnsi="Arial"/>
          <w:sz w:val="18"/>
          <w:szCs w:val="18"/>
          <w:color w:val="auto"/>
        </w:rPr>
        <w:t>Employee’s execution of this Agreement is not a condition of Employee’s employment or continued employment with Microsoft. If Employee chooses not to enter into this Agreement, such choice shall not affect Employee’s employment with Microsoft other than to cause Employee to forego the consideration described in this Section 9.</w:t>
      </w:r>
    </w:p>
    <w:p>
      <w:pPr>
        <w:spacing w:after="0" w:line="167" w:lineRule="exact"/>
        <w:rPr>
          <w:sz w:val="20"/>
          <w:szCs w:val="20"/>
          <w:color w:val="auto"/>
        </w:rPr>
      </w:pPr>
    </w:p>
    <w:p>
      <w:pPr>
        <w:ind w:left="445"/>
        <w:spacing w:after="0"/>
        <w:rPr>
          <w:sz w:val="20"/>
          <w:szCs w:val="20"/>
          <w:color w:val="auto"/>
        </w:rPr>
      </w:pPr>
      <w:r>
        <w:rPr>
          <w:rFonts w:ascii="Arial" w:cs="Arial" w:eastAsia="Arial" w:hAnsi="Arial"/>
          <w:sz w:val="18"/>
          <w:szCs w:val="18"/>
          <w:b w:val="1"/>
          <w:bCs w:val="1"/>
          <w:color w:val="auto"/>
        </w:rPr>
        <w:t>10. Confidentiality</w:t>
      </w:r>
    </w:p>
    <w:p>
      <w:pPr>
        <w:spacing w:after="0" w:line="13" w:lineRule="exact"/>
        <w:rPr>
          <w:sz w:val="20"/>
          <w:szCs w:val="20"/>
          <w:color w:val="auto"/>
        </w:rPr>
      </w:pPr>
    </w:p>
    <w:p>
      <w:pPr>
        <w:ind w:left="5"/>
        <w:spacing w:after="0"/>
        <w:rPr>
          <w:sz w:val="20"/>
          <w:szCs w:val="20"/>
          <w:color w:val="auto"/>
        </w:rPr>
      </w:pPr>
      <w:r>
        <w:rPr>
          <w:rFonts w:ascii="Arial" w:cs="Arial" w:eastAsia="Arial" w:hAnsi="Arial"/>
          <w:sz w:val="18"/>
          <w:szCs w:val="18"/>
          <w:color w:val="auto"/>
        </w:rPr>
        <w:t>To the maximum extent permitted by law, the parties intend and desire that any arbitration under this</w:t>
      </w:r>
    </w:p>
    <w:p>
      <w:pPr>
        <w:jc w:val="both"/>
        <w:ind w:left="25" w:hanging="11"/>
        <w:spacing w:after="0"/>
        <w:rPr>
          <w:sz w:val="20"/>
          <w:szCs w:val="20"/>
          <w:color w:val="auto"/>
        </w:rPr>
      </w:pPr>
      <w:r>
        <w:rPr>
          <w:rFonts w:ascii="Arial" w:cs="Arial" w:eastAsia="Arial" w:hAnsi="Arial"/>
          <w:sz w:val="18"/>
          <w:szCs w:val="18"/>
          <w:color w:val="auto"/>
        </w:rPr>
        <w:t>Agreement remain strictly confidential.</w:t>
      </w:r>
      <w:r>
        <w:rPr>
          <w:sz w:val="20"/>
          <w:szCs w:val="20"/>
          <w:color w:val="auto"/>
        </w:rPr>
        <w:t xml:space="preserve"> </w:t>
      </w:r>
      <w:r>
        <w:rPr>
          <w:rFonts w:ascii="Arial" w:cs="Arial" w:eastAsia="Arial" w:hAnsi="Arial"/>
          <w:sz w:val="18"/>
          <w:szCs w:val="18"/>
          <w:color w:val="auto"/>
        </w:rPr>
        <w:t>Except as provided in this Section 10, neither Employee nor Microsoft may divulge to any third party (other than their respective legal counsel and staff, the arbitrator, and, to the extent reasonably necessary, potential witnesses to the claims and/or counterclaims to be arbitrated, provided such witnesses first agree in writing to keep such matters confidential) the claims, defenses, existence of a controversy, fact that there is an arbitration, or the content of the pleadings, papers, orders, hearings, trials or awards in the arbitration.</w:t>
      </w:r>
    </w:p>
    <w:p>
      <w:pPr>
        <w:spacing w:after="0" w:line="387" w:lineRule="exact"/>
        <w:rPr>
          <w:sz w:val="20"/>
          <w:szCs w:val="20"/>
          <w:color w:val="auto"/>
        </w:rPr>
      </w:pPr>
    </w:p>
    <w:p>
      <w:pPr>
        <w:ind w:left="25" w:right="4080" w:hanging="7"/>
        <w:spacing w:after="0" w:line="234" w:lineRule="auto"/>
        <w:rPr>
          <w:sz w:val="20"/>
          <w:szCs w:val="20"/>
          <w:color w:val="auto"/>
        </w:rPr>
      </w:pPr>
      <w:r>
        <w:rPr>
          <w:rFonts w:ascii="Arial" w:cs="Arial" w:eastAsia="Arial" w:hAnsi="Arial"/>
          <w:sz w:val="18"/>
          <w:szCs w:val="18"/>
          <w:color w:val="auto"/>
        </w:rPr>
        <w:t>The confidentiality requirements of this Section shall not apply: a. As may be necessary to enforce any arbitration award;</w:t>
      </w:r>
    </w:p>
    <w:p>
      <w:pPr>
        <w:spacing w:after="0" w:line="1" w:lineRule="exact"/>
        <w:rPr>
          <w:sz w:val="20"/>
          <w:szCs w:val="20"/>
          <w:color w:val="auto"/>
        </w:rPr>
      </w:pPr>
    </w:p>
    <w:p>
      <w:pPr>
        <w:jc w:val="both"/>
        <w:ind w:left="385" w:hanging="385"/>
        <w:spacing w:after="0" w:line="237" w:lineRule="auto"/>
        <w:tabs>
          <w:tab w:leader="none" w:pos="3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disclosure of information through discovery about the fact, identity of the parties, the legal basis for the claims and/or counterclaims asserted, and the arbitrator’s decision and/or award in any prior arbitrations involving allegations by or against either party similar to those raised in any arbitration between Employee and Microsoft, if and to the extent the arbitrator deciding the dispute between Employee and Microsoft orders such disclosure after determining that it is relevant and necessary for either party’s adjudication of their claims in arbitration, and after imposing such terms and conditions as the arbitrator deems reasonable for the protection of such information;</w:t>
      </w:r>
    </w:p>
    <w:p>
      <w:pPr>
        <w:spacing w:after="0" w:line="191" w:lineRule="exact"/>
        <w:rPr>
          <w:rFonts w:ascii="Arial" w:cs="Arial" w:eastAsia="Arial" w:hAnsi="Arial"/>
          <w:sz w:val="18"/>
          <w:szCs w:val="18"/>
          <w:color w:val="auto"/>
        </w:rPr>
      </w:pPr>
    </w:p>
    <w:p>
      <w:pPr>
        <w:jc w:val="both"/>
        <w:ind w:left="385" w:right="20" w:hanging="385"/>
        <w:spacing w:after="0" w:line="234" w:lineRule="auto"/>
        <w:tabs>
          <w:tab w:leader="none" w:pos="3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disclosure of the fact of arbitration, the identity of the parties, the legal basis for the claims and/or counterclaims asserted, and the arbitrator’s decision and/or award in any arbitration between Employee and Microsoft pursuant to this Agreement, at any time after the conclusion of the arbitration and receipt by the parties of the arbitrator’s decision and/or award; or</w:t>
      </w:r>
    </w:p>
    <w:p>
      <w:pPr>
        <w:spacing w:after="0" w:line="2" w:lineRule="exact"/>
        <w:rPr>
          <w:rFonts w:ascii="Arial" w:cs="Arial" w:eastAsia="Arial" w:hAnsi="Arial"/>
          <w:sz w:val="18"/>
          <w:szCs w:val="18"/>
          <w:color w:val="auto"/>
        </w:rPr>
      </w:pPr>
    </w:p>
    <w:p>
      <w:pPr>
        <w:ind w:left="385" w:hanging="385"/>
        <w:spacing w:after="0"/>
        <w:tabs>
          <w:tab w:leader="none" w:pos="3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otherwise required by applicable law, as determined by the arbitrator.</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All court filings referring to the arbitration proceedings shall be filed under seal.</w:t>
      </w:r>
    </w:p>
    <w:p>
      <w:pPr>
        <w:spacing w:after="0" w:line="176" w:lineRule="exact"/>
        <w:rPr>
          <w:sz w:val="20"/>
          <w:szCs w:val="20"/>
          <w:color w:val="auto"/>
        </w:rPr>
      </w:pPr>
    </w:p>
    <w:p>
      <w:pPr>
        <w:ind w:left="445"/>
        <w:spacing w:after="0"/>
        <w:rPr>
          <w:sz w:val="20"/>
          <w:szCs w:val="20"/>
          <w:color w:val="auto"/>
        </w:rPr>
      </w:pPr>
      <w:r>
        <w:rPr>
          <w:rFonts w:ascii="Arial" w:cs="Arial" w:eastAsia="Arial" w:hAnsi="Arial"/>
          <w:sz w:val="18"/>
          <w:szCs w:val="18"/>
          <w:b w:val="1"/>
          <w:bCs w:val="1"/>
          <w:color w:val="auto"/>
        </w:rPr>
        <w:t>11. Term, Modification and Revocation</w:t>
      </w:r>
    </w:p>
    <w:p>
      <w:pPr>
        <w:spacing w:after="0" w:line="18" w:lineRule="exact"/>
        <w:rPr>
          <w:sz w:val="20"/>
          <w:szCs w:val="20"/>
          <w:color w:val="auto"/>
        </w:rPr>
      </w:pPr>
    </w:p>
    <w:p>
      <w:pPr>
        <w:jc w:val="both"/>
        <w:ind w:left="25" w:hanging="11"/>
        <w:spacing w:after="0"/>
        <w:rPr>
          <w:sz w:val="20"/>
          <w:szCs w:val="20"/>
          <w:color w:val="auto"/>
        </w:rPr>
      </w:pPr>
      <w:r>
        <w:rPr>
          <w:rFonts w:ascii="Arial" w:cs="Arial" w:eastAsia="Arial" w:hAnsi="Arial"/>
          <w:sz w:val="18"/>
          <w:szCs w:val="18"/>
          <w:color w:val="auto"/>
        </w:rPr>
        <w:t>This Agreement shall survive the employer-employee relationship between Microsoft and Employee and shall apply to any claim whether it arises or is asserted during or after termination of Employee’s employment. This Agreement can be modified or revoked only by a writing signed by both parties that references this Agreement and specifically states an intent to modify or revoke this Agreement.</w:t>
      </w:r>
    </w:p>
    <w:p>
      <w:pPr>
        <w:spacing w:after="0" w:line="167" w:lineRule="exact"/>
        <w:rPr>
          <w:sz w:val="20"/>
          <w:szCs w:val="20"/>
          <w:color w:val="auto"/>
        </w:rPr>
      </w:pPr>
    </w:p>
    <w:p>
      <w:pPr>
        <w:ind w:left="445"/>
        <w:spacing w:after="0"/>
        <w:rPr>
          <w:sz w:val="20"/>
          <w:szCs w:val="20"/>
          <w:color w:val="auto"/>
        </w:rPr>
      </w:pPr>
      <w:r>
        <w:rPr>
          <w:rFonts w:ascii="Arial" w:cs="Arial" w:eastAsia="Arial" w:hAnsi="Arial"/>
          <w:sz w:val="18"/>
          <w:szCs w:val="18"/>
          <w:b w:val="1"/>
          <w:bCs w:val="1"/>
          <w:color w:val="auto"/>
        </w:rPr>
        <w:t>12. Severability</w:t>
      </w:r>
    </w:p>
    <w:p>
      <w:pPr>
        <w:spacing w:after="0" w:line="18" w:lineRule="exact"/>
        <w:rPr>
          <w:sz w:val="20"/>
          <w:szCs w:val="20"/>
          <w:color w:val="auto"/>
        </w:rPr>
      </w:pPr>
    </w:p>
    <w:p>
      <w:pPr>
        <w:jc w:val="both"/>
        <w:ind w:left="25" w:hanging="11"/>
        <w:spacing w:after="0" w:line="237" w:lineRule="auto"/>
        <w:rPr>
          <w:sz w:val="20"/>
          <w:szCs w:val="20"/>
          <w:color w:val="auto"/>
        </w:rPr>
      </w:pPr>
      <w:r>
        <w:rPr>
          <w:rFonts w:ascii="Arial" w:cs="Arial" w:eastAsia="Arial" w:hAnsi="Arial"/>
          <w:sz w:val="18"/>
          <w:szCs w:val="18"/>
          <w:color w:val="auto"/>
        </w:rPr>
        <w:t>If any one or more of the provisions of this Agreement is determined to be invalid, illegal or otherwise unenforceable, in whole or in part, then such provision, to the extent only that it is invalid, illegal, or otherwise unenforceable, shall be deemed modified to the extent necessary so that it is no longer invalid, illegal or otherwise unenforceable, and such provision will be enforced to the fullest extent permitted by law. If such modification is not possible, such provision, to the extent that it is invalid, illegal or otherwise unenforceable, shall be deemed severable from the remaining provisions of this Agreement, which shall remain in full force and effect and shall be liberally construed in order to carry out the intent of the parties as nearly as may be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177800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5"/>
          </w:cols>
          <w:pgMar w:left="395" w:top="333" w:right="339" w:bottom="1440" w:gutter="0" w:footer="0" w:header="0"/>
        </w:sectPr>
      </w:pPr>
    </w:p>
    <w:bookmarkStart w:id="70" w:name="page71"/>
    <w:bookmarkEnd w:id="70"/>
    <w:p>
      <w:pPr>
        <w:ind w:left="420"/>
        <w:spacing w:after="0"/>
        <w:rPr>
          <w:sz w:val="20"/>
          <w:szCs w:val="20"/>
          <w:color w:val="auto"/>
        </w:rPr>
      </w:pPr>
      <w:r>
        <w:rPr>
          <w:rFonts w:ascii="Arial" w:cs="Arial" w:eastAsia="Arial" w:hAnsi="Arial"/>
          <w:sz w:val="18"/>
          <w:szCs w:val="18"/>
          <w:b w:val="1"/>
          <w:bCs w:val="1"/>
          <w:color w:val="auto"/>
        </w:rPr>
        <w:t>13. Sole and Entire Agreement Regarding Arbitration</w:t>
      </w:r>
    </w:p>
    <w:p>
      <w:pPr>
        <w:spacing w:after="0" w:line="18" w:lineRule="exact"/>
        <w:rPr>
          <w:sz w:val="20"/>
          <w:szCs w:val="20"/>
          <w:color w:val="auto"/>
        </w:rPr>
      </w:pPr>
    </w:p>
    <w:p>
      <w:pPr>
        <w:jc w:val="both"/>
        <w:ind w:hanging="11"/>
        <w:spacing w:after="0" w:line="237" w:lineRule="auto"/>
        <w:rPr>
          <w:sz w:val="20"/>
          <w:szCs w:val="20"/>
          <w:color w:val="auto"/>
        </w:rPr>
      </w:pPr>
      <w:r>
        <w:rPr>
          <w:rFonts w:ascii="Arial" w:cs="Arial" w:eastAsia="Arial" w:hAnsi="Arial"/>
          <w:sz w:val="18"/>
          <w:szCs w:val="18"/>
          <w:color w:val="auto"/>
        </w:rPr>
        <w:t>This is the complete agreement of the parties on this subject of arbitration of disputes, except for any arbitration provision contained in any pension or benefit plan. This Agreement supersedes any prior or contemporaneous oral or written agreement or understanding on the subject but does not supersede the Employee Agreement. The parties intend that this Agreement be signed after the Employee Agreement and therefore that it is not superseded by the Employee Agreement. In executing this Agreement, neither party is relying on any representation, oral or written, on the subject of the effect, enforceability or meaning of this Agreement, except as specifically set forth in this Agreement.</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14. No Impact on At-Will Employment</w:t>
      </w:r>
    </w:p>
    <w:p>
      <w:pPr>
        <w:spacing w:after="0" w:line="18" w:lineRule="exact"/>
        <w:rPr>
          <w:sz w:val="20"/>
          <w:szCs w:val="20"/>
          <w:color w:val="auto"/>
        </w:rPr>
      </w:pPr>
    </w:p>
    <w:p>
      <w:pPr>
        <w:jc w:val="both"/>
        <w:ind w:hanging="11"/>
        <w:spacing w:after="0" w:line="246" w:lineRule="auto"/>
        <w:rPr>
          <w:sz w:val="20"/>
          <w:szCs w:val="20"/>
          <w:color w:val="auto"/>
        </w:rPr>
      </w:pPr>
      <w:r>
        <w:rPr>
          <w:rFonts w:ascii="Arial" w:cs="Arial" w:eastAsia="Arial" w:hAnsi="Arial"/>
          <w:sz w:val="18"/>
          <w:szCs w:val="18"/>
          <w:color w:val="auto"/>
        </w:rPr>
        <w:t>This Agreement is not a promise of employment for any definite term and it is not intended to, nor does it, alter the at-will employment relationship between Microsoft and Employee or create new substantive rights.</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15. Federal Arbitration Act</w:t>
      </w:r>
    </w:p>
    <w:p>
      <w:pPr>
        <w:spacing w:after="0" w:line="18" w:lineRule="exact"/>
        <w:rPr>
          <w:sz w:val="20"/>
          <w:szCs w:val="20"/>
          <w:color w:val="auto"/>
        </w:rPr>
      </w:pPr>
    </w:p>
    <w:p>
      <w:pPr>
        <w:jc w:val="both"/>
        <w:ind w:right="20" w:hanging="11"/>
        <w:spacing w:after="0" w:line="246" w:lineRule="auto"/>
        <w:rPr>
          <w:sz w:val="20"/>
          <w:szCs w:val="20"/>
          <w:color w:val="auto"/>
        </w:rPr>
      </w:pPr>
      <w:r>
        <w:rPr>
          <w:rFonts w:ascii="Arial" w:cs="Arial" w:eastAsia="Arial" w:hAnsi="Arial"/>
          <w:sz w:val="18"/>
          <w:szCs w:val="18"/>
          <w:color w:val="auto"/>
        </w:rPr>
        <w:t>Because of the interstate nature of Microsoft’s business, this Agreement is subject to the Federal Arbitration Act and, to the extent not preempted, by the substantive and arbitration law of Washington State.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16. Execution</w:t>
      </w:r>
    </w:p>
    <w:p>
      <w:pPr>
        <w:spacing w:after="0" w:line="18" w:lineRule="exact"/>
        <w:rPr>
          <w:sz w:val="20"/>
          <w:szCs w:val="20"/>
          <w:color w:val="auto"/>
        </w:rPr>
      </w:pPr>
    </w:p>
    <w:p>
      <w:pPr>
        <w:jc w:val="both"/>
        <w:ind w:hanging="11"/>
        <w:spacing w:after="0" w:line="234" w:lineRule="auto"/>
        <w:rPr>
          <w:sz w:val="20"/>
          <w:szCs w:val="20"/>
          <w:color w:val="auto"/>
        </w:rPr>
      </w:pPr>
      <w:r>
        <w:rPr>
          <w:rFonts w:ascii="Arial" w:cs="Arial" w:eastAsia="Arial" w:hAnsi="Arial"/>
          <w:sz w:val="18"/>
          <w:szCs w:val="18"/>
          <w:color w:val="auto"/>
        </w:rPr>
        <w:t>By presenting this Agreement to Employee, Microsoft agrees to be bound by its terms. By signing below, Employee agrees to be bound by its terms. This Agreement shall become effective on the date signed by Employee below and shall remain in full force and effect at all times during and after Employee’s employment with Microsoft or any successor in interest to Microsoft.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Voluntary Agreement</w:t>
      </w:r>
    </w:p>
    <w:p>
      <w:pPr>
        <w:spacing w:after="0" w:line="198" w:lineRule="exact"/>
        <w:rPr>
          <w:sz w:val="20"/>
          <w:szCs w:val="20"/>
          <w:color w:val="auto"/>
        </w:rPr>
      </w:pPr>
    </w:p>
    <w:p>
      <w:pPr>
        <w:jc w:val="both"/>
        <w:ind w:hanging="11"/>
        <w:spacing w:after="0" w:line="238" w:lineRule="auto"/>
        <w:rPr>
          <w:sz w:val="20"/>
          <w:szCs w:val="20"/>
          <w:color w:val="auto"/>
        </w:rPr>
      </w:pPr>
      <w:r>
        <w:rPr>
          <w:rFonts w:ascii="Arial" w:cs="Arial" w:eastAsia="Arial" w:hAnsi="Arial"/>
          <w:sz w:val="18"/>
          <w:szCs w:val="18"/>
          <w:color w:val="auto"/>
        </w:rPr>
        <w:t>I ACKNOWLEDGE THAT I HAVE CAREFULLY READ THIS AGREEMENT, THAT I UNDERSTAND ITS TERMS, THAT ALL UNDERSTANDINGS BETWEEN MICROSOFT AND ME RELATING TO ARBITRATION AND RESOLUTION OF EMPLOYMENT DISPUTES ARE CONTAINED IN THIS AGREEMENT, AND THAT I HAVE ENTERED INTO THIS AGREEMENT VOLUNTARILY AND NOT IN RELIANCE ON ANY PROMISES OR REPRESENTATIONS BY MICROSOFT OTHER THAN THOSE CONTAINED IN THIS AGREEMENT.</w:t>
      </w:r>
    </w:p>
    <w:p>
      <w:pPr>
        <w:spacing w:after="0" w:line="189" w:lineRule="exact"/>
        <w:rPr>
          <w:sz w:val="20"/>
          <w:szCs w:val="20"/>
          <w:color w:val="auto"/>
        </w:rPr>
      </w:pPr>
    </w:p>
    <w:p>
      <w:pPr>
        <w:jc w:val="both"/>
        <w:ind w:hanging="11"/>
        <w:spacing w:after="0" w:line="246" w:lineRule="auto"/>
        <w:rPr>
          <w:sz w:val="20"/>
          <w:szCs w:val="20"/>
          <w:color w:val="auto"/>
        </w:rPr>
      </w:pPr>
      <w:r>
        <w:rPr>
          <w:rFonts w:ascii="Arial" w:cs="Arial" w:eastAsia="Arial" w:hAnsi="Arial"/>
          <w:sz w:val="18"/>
          <w:szCs w:val="18"/>
          <w:color w:val="auto"/>
        </w:rPr>
        <w:t>I FURTHER ACKNOWLEDGE THAT I HAD A RIGHT TO LITIGATE CLAIMS THROUGH A COURT BEFORE A JUDGE OR JURY, AND THAT I AM VOLUNTARILY GIVING UP THAT RIGHT AS TO ALL CLAIMS COVERED BY THIS AGREEMENT BY SIGNING BELOW.</w:t>
      </w:r>
    </w:p>
    <w:p>
      <w:pPr>
        <w:spacing w:after="0" w:line="399" w:lineRule="exact"/>
        <w:rPr>
          <w:sz w:val="20"/>
          <w:szCs w:val="20"/>
          <w:color w:val="auto"/>
        </w:rPr>
      </w:pPr>
    </w:p>
    <w:p>
      <w:pPr>
        <w:ind w:right="480" w:hanging="11"/>
        <w:spacing w:after="0"/>
        <w:rPr>
          <w:sz w:val="20"/>
          <w:szCs w:val="20"/>
          <w:color w:val="auto"/>
        </w:rPr>
      </w:pPr>
      <w:r>
        <w:rPr>
          <w:rFonts w:ascii="Arial" w:cs="Arial" w:eastAsia="Arial" w:hAnsi="Arial"/>
          <w:sz w:val="18"/>
          <w:szCs w:val="18"/>
          <w:color w:val="auto"/>
        </w:rPr>
        <w:t>I FURTHER ACKNOWLEDGE THAT I HAD A REASONABLE PERIOD OF TIME TO REVIEW AND CONSIDER THIS AGREEMENT BEFORE SIGNING IT AND THAT I HAVE BEEN ADVISED TO DISCUSS THIS AGREEMENT WITH LEGAL COUNSEL, AND I HAVE USED THAT OPPORTUNITY TO THE EXTENT I WISH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339090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333" w:right="339" w:bottom="1440" w:gutter="0" w:footer="0" w:header="0"/>
        </w:sectPr>
      </w:pPr>
    </w:p>
    <w:bookmarkStart w:id="71" w:name="page72"/>
    <w:bookmarkEnd w:id="71"/>
    <w:p>
      <w:pPr>
        <w:jc w:val="right"/>
        <w:ind w:right="3619"/>
        <w:spacing w:after="0"/>
        <w:rPr>
          <w:sz w:val="20"/>
          <w:szCs w:val="20"/>
          <w:color w:val="auto"/>
        </w:rPr>
      </w:pPr>
      <w:r>
        <w:rPr>
          <w:rFonts w:ascii="Arial" w:cs="Arial" w:eastAsia="Arial" w:hAnsi="Arial"/>
          <w:sz w:val="18"/>
          <w:szCs w:val="18"/>
          <w:color w:val="auto"/>
        </w:rPr>
        <w:t>Microsoft Corporation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HANNON</w:t>
      </w:r>
      <w:r>
        <w:rPr>
          <w:rFonts w:ascii="Arial" w:cs="Arial" w:eastAsia="Arial" w:hAnsi="Arial"/>
          <w:sz w:val="18"/>
          <w:szCs w:val="18"/>
          <w:color w:val="auto"/>
        </w:rPr>
        <w:t xml:space="preserve"> U</w:t>
      </w:r>
      <w:r>
        <w:rPr>
          <w:rFonts w:ascii="Arial" w:cs="Arial" w:eastAsia="Arial" w:hAnsi="Arial"/>
          <w:sz w:val="13"/>
          <w:szCs w:val="13"/>
          <w:color w:val="auto"/>
        </w:rPr>
        <w:t>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wp:posOffset>
            </wp:positionV>
            <wp:extent cx="28460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Shannon Urion</w:t>
      </w:r>
    </w:p>
    <w:p>
      <w:pPr>
        <w:spacing w:after="0" w:line="234" w:lineRule="auto"/>
        <w:rPr>
          <w:sz w:val="20"/>
          <w:szCs w:val="20"/>
          <w:color w:val="auto"/>
        </w:rPr>
      </w:pPr>
      <w:r>
        <w:rPr>
          <w:rFonts w:ascii="Arial" w:cs="Arial" w:eastAsia="Arial" w:hAnsi="Arial"/>
          <w:sz w:val="18"/>
          <w:szCs w:val="18"/>
          <w:color w:val="auto"/>
        </w:rPr>
        <w:t>On behalf of</w:t>
      </w:r>
    </w:p>
    <w:p>
      <w:pPr>
        <w:spacing w:after="0" w:line="235" w:lineRule="auto"/>
        <w:rPr>
          <w:sz w:val="20"/>
          <w:szCs w:val="20"/>
          <w:color w:val="auto"/>
        </w:rPr>
      </w:pPr>
      <w:r>
        <w:rPr>
          <w:rFonts w:ascii="Arial" w:cs="Arial" w:eastAsia="Arial" w:hAnsi="Arial"/>
          <w:sz w:val="18"/>
          <w:szCs w:val="18"/>
          <w:color w:val="auto"/>
        </w:rPr>
        <w:t>Satya Nadella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RISTOPHER</w:t>
      </w:r>
      <w:r>
        <w:rPr>
          <w:rFonts w:ascii="Arial" w:cs="Arial" w:eastAsia="Arial" w:hAnsi="Arial"/>
          <w:sz w:val="18"/>
          <w:szCs w:val="18"/>
          <w:color w:val="auto"/>
        </w:rPr>
        <w:t xml:space="preserve"> Y</w:t>
      </w:r>
      <w:r>
        <w:rPr>
          <w:rFonts w:ascii="Arial" w:cs="Arial" w:eastAsia="Arial" w:hAnsi="Arial"/>
          <w:sz w:val="13"/>
          <w:szCs w:val="13"/>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wp:posOffset>
            </wp:positionV>
            <wp:extent cx="28460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Christopher Young</w:t>
      </w:r>
    </w:p>
    <w:p>
      <w:pPr>
        <w:sectPr>
          <w:pgSz w:w="11900" w:h="16838" w:orient="portrait"/>
          <w:cols w:equalWidth="0" w:num="1">
            <w:col w:w="10059"/>
          </w:cols>
          <w:pgMar w:left="400" w:top="355"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234" w:lineRule="auto"/>
        <w:rPr>
          <w:sz w:val="20"/>
          <w:szCs w:val="20"/>
          <w:color w:val="auto"/>
        </w:rPr>
      </w:pPr>
      <w:r>
        <w:rPr>
          <w:rFonts w:ascii="Arial" w:cs="Arial" w:eastAsia="Arial" w:hAnsi="Arial"/>
          <w:sz w:val="18"/>
          <w:szCs w:val="18"/>
          <w:color w:val="auto"/>
        </w:rPr>
        <w:t>One Microsoft Way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Redmond, WA 98052-6399</w:t>
      </w:r>
    </w:p>
    <w:p>
      <w:pPr>
        <w:spacing w:after="0" w:line="158"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We are aware that our report dated October 26, 2021, on our review of the interim financial information of Microsoft Corporation and subsidiaries (“Microsoft”) appearing in Microsoft’s Quarterly Report on Form 10-Q for the quarter ended September 30, 2021, is incorporated by reference in Registration Statement Nos. 333-109185, 333-118764, 333-52852, 333-132100, 333-161516, 333-75243, 333-185757, and 333-221833 on Form S-8 and Registration Statement Nos. 333-228062, 333-228244, and 333-240227 on Form S-3.</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ectPr>
          <w:pgSz w:w="11900" w:h="16838" w:orient="portrait"/>
          <w:cols w:equalWidth="0" w:num="1">
            <w:col w:w="11020"/>
          </w:cols>
          <w:pgMar w:left="540" w:top="36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31.1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ectPr>
          <w:pgSz w:w="11900" w:h="16838" w:orient="portrait"/>
          <w:cols w:equalWidth="0" w:num="1">
            <w:col w:w="11240"/>
          </w:cols>
          <w:pgMar w:left="320" w:top="14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31.2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ectPr>
          <w:pgSz w:w="11900" w:h="16838" w:orient="portrait"/>
          <w:cols w:equalWidth="0" w:num="1">
            <w:col w:w="11240"/>
          </w:cols>
          <w:pgMar w:left="320" w:top="14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September 30, 2021, as filed with the Securities and Exchange Commission (the “Report”), Satya Nadella, Chief Executive Officer of the Company, does hereby certify, pursuant to § 906 of the Sarbanes-Oxley Act of 2002 (18 U.S.C. § 1350), that to his knowledge:</w:t>
      </w:r>
    </w:p>
    <w:p>
      <w:pPr>
        <w:spacing w:after="0" w:line="149"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240"/>
          </w:cols>
          <w:pgMar w:left="320" w:top="38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September 30, 2021, as filed with the Securities and Exchange Commission (the “Report”), Amy E. Hood, Chief Financial Officer of the Company, does hereby certify, pursuant to § 906 of the Sarbanes-Oxley Act of 2002 (18 U.S.C. § 1350), that to her knowledge:</w:t>
      </w:r>
    </w:p>
    <w:p>
      <w:pPr>
        <w:spacing w:after="0" w:line="149"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425"/>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2"/>
    </w:lvl>
  </w:abstractNum>
  <w:abstractNum w:abstractNumId="38">
    <w:nsid w:val="38437FDB"/>
    <w:multiLevelType w:val="hybridMultilevel"/>
    <w:lvl w:ilvl="0">
      <w:lvlJc w:val="left"/>
      <w:lvlText w:val="%1."/>
      <w:numFmt w:val="decimal"/>
      <w:start w:val="3"/>
    </w:lvl>
  </w:abstractNum>
  <w:abstractNum w:abstractNumId="39">
    <w:nsid w:val="7644A45C"/>
    <w:multiLevelType w:val="hybridMultilevel"/>
    <w:lvl w:ilvl="0">
      <w:lvlJc w:val="left"/>
      <w:lvlText w:val="%1."/>
      <w:numFmt w:val="decimal"/>
      <w:start w:val="4"/>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lowerLetter"/>
      <w:start w:val="2"/>
    </w:lvl>
  </w:abstractNum>
  <w:abstractNum w:abstractNumId="42">
    <w:nsid w:val="579478FE"/>
    <w:multiLevelType w:val="hybridMultilevel"/>
    <w:lvl w:ilvl="0">
      <w:lvlJc w:val="left"/>
      <w:lvlText w:val="%1."/>
      <w:numFmt w:val="lowerLetter"/>
      <w:start w:val="3"/>
    </w:lvl>
  </w:abstractNum>
  <w:abstractNum w:abstractNumId="43">
    <w:nsid w:val="749ABB43"/>
    <w:multiLevelType w:val="hybridMultilevel"/>
    <w:lvl w:ilvl="0">
      <w:lvlJc w:val="left"/>
      <w:lvlText w:val="%1."/>
      <w:numFmt w:val="lowerLetter"/>
      <w:start w:val="4"/>
    </w:lvl>
  </w:abstractNum>
  <w:abstractNum w:abstractNumId="44">
    <w:nsid w:val="3DC240FB"/>
    <w:multiLevelType w:val="hybridMultilevel"/>
    <w:lvl w:ilvl="0">
      <w:lvlJc w:val="left"/>
      <w:lvlText w:val="%1."/>
      <w:numFmt w:val="lowerLetter"/>
      <w:start w:val="5"/>
    </w:lvl>
    <w:lvl w:ilvl="1">
      <w:lvlJc w:val="left"/>
      <w:lvlText w:val="%2"/>
      <w:numFmt w:val="lowerLetter"/>
      <w:start w:val="1"/>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5"/>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5"/>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2021-10-26T15:16:35Z</dcterms:created>
  <dcterms:modified xsi:type="dcterms:W3CDTF">2021-10-26T15:16:35Z</dcterms:modified>
</cp:coreProperties>
</file>