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57785</wp:posOffset>
            </wp:positionV>
            <wp:extent cx="1619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93345</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9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-94615</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97"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For the Quarterly Period Ended December 31, 2020</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6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-94615</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97" w:lineRule="exact"/>
        <w:rPr>
          <w:sz w:val="24"/>
          <w:szCs w:val="24"/>
          <w:color w:val="auto"/>
        </w:rPr>
      </w:pPr>
    </w:p>
    <w:p>
      <w:pPr>
        <w:ind w:left="540"/>
        <w:spacing w:after="0"/>
        <w:tabs>
          <w:tab w:leader="none" w:pos="3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73025</wp:posOffset>
            </wp:positionV>
            <wp:extent cx="1619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100965</wp:posOffset>
            </wp:positionV>
            <wp:extent cx="1619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p>
      <w:pPr>
        <w:spacing w:after="0" w:line="230" w:lineRule="exact"/>
        <w:rPr>
          <w:sz w:val="24"/>
          <w:szCs w:val="24"/>
          <w:color w:val="auto"/>
        </w:rPr>
      </w:pPr>
    </w:p>
    <w:p>
      <w:pPr>
        <w:ind w:left="232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91-1144442</w:t>
      </w:r>
    </w:p>
    <w:p>
      <w:pPr>
        <w:spacing w:after="0" w:line="46" w:lineRule="exact"/>
        <w:rPr>
          <w:sz w:val="24"/>
          <w:szCs w:val="24"/>
          <w:color w:val="auto"/>
        </w:rPr>
      </w:pPr>
    </w:p>
    <w:p>
      <w:pPr>
        <w:sectPr>
          <w:pgSz w:w="11900" w:h="16838" w:orient="portrait"/>
          <w:cols w:equalWidth="0" w:num="2">
            <w:col w:w="7400" w:space="720"/>
            <w:col w:w="3120"/>
          </w:cols>
          <w:pgMar w:left="320" w:top="300" w:right="33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ID)</w:t>
      </w:r>
    </w:p>
    <w:p>
      <w:pPr>
        <w:spacing w:after="0" w:line="35" w:lineRule="exact"/>
        <w:rPr>
          <w:sz w:val="24"/>
          <w:szCs w:val="24"/>
          <w:color w:val="auto"/>
        </w:rPr>
      </w:pPr>
    </w:p>
    <w:p>
      <w:pPr>
        <w:sectPr>
          <w:pgSz w:w="11900" w:h="16838" w:orient="portrait"/>
          <w:cols w:equalWidth="0" w:num="2">
            <w:col w:w="7500" w:space="720"/>
            <w:col w:w="3020"/>
          </w:cols>
          <w:pgMar w:left="320" w:top="300"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ONE MICROSOFT WAY, REDMOND, WASHINGTON 98052-6399</w:t>
      </w:r>
    </w:p>
    <w:p>
      <w:pPr>
        <w:ind w:left="5500" w:hanging="399"/>
        <w:spacing w:after="0"/>
        <w:tabs>
          <w:tab w:leader="none" w:pos="55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882-8080</w:t>
      </w:r>
    </w:p>
    <w:p>
      <w:pPr>
        <w:ind w:left="4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www.microsoft.com/investor</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90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58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5"/>
                <w:szCs w:val="15"/>
                <w:color w:val="auto"/>
              </w:rPr>
              <w:t>Title of each class</w:t>
            </w:r>
          </w:p>
        </w:tc>
        <w:tc>
          <w:tcPr>
            <w:tcW w:w="2580" w:type="dxa"/>
            <w:vAlign w:val="bottom"/>
          </w:tcPr>
          <w:p>
            <w:pPr>
              <w:jc w:val="center"/>
              <w:ind w:left="404"/>
              <w:spacing w:after="0"/>
              <w:rPr>
                <w:sz w:val="20"/>
                <w:szCs w:val="20"/>
                <w:color w:val="auto"/>
              </w:rPr>
            </w:pPr>
            <w:r>
              <w:rPr>
                <w:rFonts w:ascii="Arial" w:cs="Arial" w:eastAsia="Arial" w:hAnsi="Arial"/>
                <w:sz w:val="15"/>
                <w:szCs w:val="15"/>
                <w:color w:val="auto"/>
              </w:rPr>
              <w:t>Trading Symbol</w:t>
            </w:r>
          </w:p>
        </w:tc>
        <w:tc>
          <w:tcPr>
            <w:tcW w:w="3160" w:type="dxa"/>
            <w:vAlign w:val="bottom"/>
          </w:tcPr>
          <w:p>
            <w:pPr>
              <w:jc w:val="center"/>
              <w:ind w:left="424"/>
              <w:spacing w:after="0"/>
              <w:rPr>
                <w:sz w:val="20"/>
                <w:szCs w:val="20"/>
                <w:color w:val="auto"/>
              </w:rPr>
            </w:pPr>
            <w:r>
              <w:rPr>
                <w:rFonts w:ascii="Arial" w:cs="Arial" w:eastAsia="Arial" w:hAnsi="Arial"/>
                <w:sz w:val="15"/>
                <w:szCs w:val="15"/>
                <w:color w:val="auto"/>
              </w:rPr>
              <w:t>Name of exchange on which registered</w:t>
            </w:r>
          </w:p>
        </w:tc>
      </w:tr>
      <w:tr>
        <w:trPr>
          <w:trHeight w:val="185"/>
        </w:trPr>
        <w:tc>
          <w:tcPr>
            <w:tcW w:w="4900" w:type="dxa"/>
            <w:vAlign w:val="bottom"/>
          </w:tcPr>
          <w:p>
            <w:pPr>
              <w:spacing w:after="0"/>
              <w:rPr>
                <w:sz w:val="20"/>
                <w:szCs w:val="20"/>
                <w:color w:val="auto"/>
              </w:rPr>
            </w:pPr>
            <w:r>
              <w:rPr>
                <w:rFonts w:ascii="Arial" w:cs="Arial" w:eastAsia="Arial" w:hAnsi="Arial"/>
                <w:sz w:val="15"/>
                <w:szCs w:val="15"/>
                <w:b w:val="1"/>
                <w:bCs w:val="1"/>
                <w:color w:val="auto"/>
              </w:rPr>
              <w:t>Common stock, $0.00000625 par value per share</w:t>
            </w:r>
          </w:p>
        </w:tc>
        <w:tc>
          <w:tcPr>
            <w:tcW w:w="2580" w:type="dxa"/>
            <w:vAlign w:val="bottom"/>
          </w:tcPr>
          <w:p>
            <w:pPr>
              <w:jc w:val="center"/>
              <w:ind w:left="404"/>
              <w:spacing w:after="0"/>
              <w:rPr>
                <w:sz w:val="20"/>
                <w:szCs w:val="20"/>
                <w:color w:val="auto"/>
              </w:rPr>
            </w:pPr>
            <w:r>
              <w:rPr>
                <w:rFonts w:ascii="Arial" w:cs="Arial" w:eastAsia="Arial" w:hAnsi="Arial"/>
                <w:sz w:val="15"/>
                <w:szCs w:val="15"/>
                <w:b w:val="1"/>
                <w:bCs w:val="1"/>
                <w:color w:val="auto"/>
              </w:rPr>
              <w:t>MSFT</w:t>
            </w:r>
          </w:p>
        </w:tc>
        <w:tc>
          <w:tcPr>
            <w:tcW w:w="3160" w:type="dxa"/>
            <w:vAlign w:val="bottom"/>
          </w:tcPr>
          <w:p>
            <w:pPr>
              <w:jc w:val="center"/>
              <w:ind w:left="424"/>
              <w:spacing w:after="0"/>
              <w:rPr>
                <w:sz w:val="20"/>
                <w:szCs w:val="20"/>
                <w:color w:val="auto"/>
              </w:rPr>
            </w:pPr>
            <w:r>
              <w:rPr>
                <w:rFonts w:ascii="Arial" w:cs="Arial" w:eastAsia="Arial" w:hAnsi="Arial"/>
                <w:sz w:val="15"/>
                <w:szCs w:val="15"/>
                <w:b w:val="1"/>
                <w:bCs w:val="1"/>
                <w:color w:val="auto"/>
              </w:rPr>
              <w:t>NASDAQ</w:t>
            </w:r>
          </w:p>
        </w:tc>
      </w:tr>
      <w:tr>
        <w:trPr>
          <w:trHeight w:val="162"/>
        </w:trPr>
        <w:tc>
          <w:tcPr>
            <w:tcW w:w="4900" w:type="dxa"/>
            <w:vAlign w:val="bottom"/>
          </w:tcPr>
          <w:p>
            <w:pPr>
              <w:spacing w:after="0" w:line="162" w:lineRule="exact"/>
              <w:rPr>
                <w:sz w:val="20"/>
                <w:szCs w:val="20"/>
                <w:color w:val="auto"/>
              </w:rPr>
            </w:pPr>
            <w:r>
              <w:rPr>
                <w:rFonts w:ascii="Arial" w:cs="Arial" w:eastAsia="Arial" w:hAnsi="Arial"/>
                <w:sz w:val="15"/>
                <w:szCs w:val="15"/>
                <w:b w:val="1"/>
                <w:bCs w:val="1"/>
                <w:color w:val="auto"/>
              </w:rPr>
              <w:t>2.125% Notes due 2021</w:t>
            </w:r>
          </w:p>
        </w:tc>
        <w:tc>
          <w:tcPr>
            <w:tcW w:w="2580" w:type="dxa"/>
            <w:vAlign w:val="bottom"/>
          </w:tcPr>
          <w:p>
            <w:pPr>
              <w:jc w:val="center"/>
              <w:ind w:left="404"/>
              <w:spacing w:after="0" w:line="162" w:lineRule="exact"/>
              <w:rPr>
                <w:sz w:val="20"/>
                <w:szCs w:val="20"/>
                <w:color w:val="auto"/>
              </w:rPr>
            </w:pPr>
            <w:r>
              <w:rPr>
                <w:rFonts w:ascii="Arial" w:cs="Arial" w:eastAsia="Arial" w:hAnsi="Arial"/>
                <w:sz w:val="15"/>
                <w:szCs w:val="15"/>
                <w:b w:val="1"/>
                <w:bCs w:val="1"/>
                <w:color w:val="auto"/>
              </w:rPr>
              <w:t>MSFT</w:t>
            </w:r>
          </w:p>
        </w:tc>
        <w:tc>
          <w:tcPr>
            <w:tcW w:w="3160" w:type="dxa"/>
            <w:vAlign w:val="bottom"/>
          </w:tcPr>
          <w:p>
            <w:pPr>
              <w:jc w:val="center"/>
              <w:ind w:left="424"/>
              <w:spacing w:after="0" w:line="162" w:lineRule="exact"/>
              <w:rPr>
                <w:sz w:val="20"/>
                <w:szCs w:val="20"/>
                <w:color w:val="auto"/>
              </w:rPr>
            </w:pPr>
            <w:r>
              <w:rPr>
                <w:rFonts w:ascii="Arial" w:cs="Arial" w:eastAsia="Arial" w:hAnsi="Arial"/>
                <w:sz w:val="15"/>
                <w:szCs w:val="15"/>
                <w:b w:val="1"/>
                <w:bCs w:val="1"/>
                <w:color w:val="auto"/>
              </w:rPr>
              <w:t>NASDAQ</w:t>
            </w:r>
          </w:p>
        </w:tc>
      </w:tr>
      <w:tr>
        <w:trPr>
          <w:trHeight w:val="162"/>
        </w:trPr>
        <w:tc>
          <w:tcPr>
            <w:tcW w:w="4900" w:type="dxa"/>
            <w:vAlign w:val="bottom"/>
          </w:tcPr>
          <w:p>
            <w:pPr>
              <w:spacing w:after="0" w:line="162" w:lineRule="exact"/>
              <w:rPr>
                <w:sz w:val="20"/>
                <w:szCs w:val="20"/>
                <w:color w:val="auto"/>
              </w:rPr>
            </w:pPr>
            <w:r>
              <w:rPr>
                <w:rFonts w:ascii="Arial" w:cs="Arial" w:eastAsia="Arial" w:hAnsi="Arial"/>
                <w:sz w:val="15"/>
                <w:szCs w:val="15"/>
                <w:b w:val="1"/>
                <w:bCs w:val="1"/>
                <w:color w:val="auto"/>
              </w:rPr>
              <w:t>3.125% Notes due 2028</w:t>
            </w:r>
          </w:p>
        </w:tc>
        <w:tc>
          <w:tcPr>
            <w:tcW w:w="2580" w:type="dxa"/>
            <w:vAlign w:val="bottom"/>
          </w:tcPr>
          <w:p>
            <w:pPr>
              <w:jc w:val="center"/>
              <w:ind w:left="404"/>
              <w:spacing w:after="0" w:line="162" w:lineRule="exact"/>
              <w:rPr>
                <w:sz w:val="20"/>
                <w:szCs w:val="20"/>
                <w:color w:val="auto"/>
              </w:rPr>
            </w:pPr>
            <w:r>
              <w:rPr>
                <w:rFonts w:ascii="Arial" w:cs="Arial" w:eastAsia="Arial" w:hAnsi="Arial"/>
                <w:sz w:val="15"/>
                <w:szCs w:val="15"/>
                <w:b w:val="1"/>
                <w:bCs w:val="1"/>
                <w:color w:val="auto"/>
              </w:rPr>
              <w:t>MSFT</w:t>
            </w:r>
          </w:p>
        </w:tc>
        <w:tc>
          <w:tcPr>
            <w:tcW w:w="3160" w:type="dxa"/>
            <w:vAlign w:val="bottom"/>
          </w:tcPr>
          <w:p>
            <w:pPr>
              <w:jc w:val="center"/>
              <w:ind w:left="424"/>
              <w:spacing w:after="0" w:line="162" w:lineRule="exact"/>
              <w:rPr>
                <w:sz w:val="20"/>
                <w:szCs w:val="20"/>
                <w:color w:val="auto"/>
              </w:rPr>
            </w:pPr>
            <w:r>
              <w:rPr>
                <w:rFonts w:ascii="Arial" w:cs="Arial" w:eastAsia="Arial" w:hAnsi="Arial"/>
                <w:sz w:val="15"/>
                <w:szCs w:val="15"/>
                <w:b w:val="1"/>
                <w:bCs w:val="1"/>
                <w:color w:val="auto"/>
              </w:rPr>
              <w:t>NASDAQ</w:t>
            </w:r>
          </w:p>
        </w:tc>
      </w:tr>
      <w:tr>
        <w:trPr>
          <w:trHeight w:val="214"/>
        </w:trPr>
        <w:tc>
          <w:tcPr>
            <w:tcW w:w="4900" w:type="dxa"/>
            <w:vAlign w:val="bottom"/>
          </w:tcPr>
          <w:p>
            <w:pPr>
              <w:spacing w:after="0"/>
              <w:rPr>
                <w:sz w:val="20"/>
                <w:szCs w:val="20"/>
                <w:color w:val="auto"/>
              </w:rPr>
            </w:pPr>
            <w:r>
              <w:rPr>
                <w:rFonts w:ascii="Arial" w:cs="Arial" w:eastAsia="Arial" w:hAnsi="Arial"/>
                <w:sz w:val="15"/>
                <w:szCs w:val="15"/>
                <w:b w:val="1"/>
                <w:bCs w:val="1"/>
                <w:color w:val="auto"/>
              </w:rPr>
              <w:t>2.625% Notes due 2033</w:t>
            </w:r>
          </w:p>
        </w:tc>
        <w:tc>
          <w:tcPr>
            <w:tcW w:w="2580" w:type="dxa"/>
            <w:vAlign w:val="bottom"/>
          </w:tcPr>
          <w:p>
            <w:pPr>
              <w:jc w:val="center"/>
              <w:ind w:left="404"/>
              <w:spacing w:after="0"/>
              <w:rPr>
                <w:sz w:val="20"/>
                <w:szCs w:val="20"/>
                <w:color w:val="auto"/>
              </w:rPr>
            </w:pPr>
            <w:r>
              <w:rPr>
                <w:rFonts w:ascii="Arial" w:cs="Arial" w:eastAsia="Arial" w:hAnsi="Arial"/>
                <w:sz w:val="15"/>
                <w:szCs w:val="15"/>
                <w:b w:val="1"/>
                <w:bCs w:val="1"/>
                <w:color w:val="auto"/>
              </w:rPr>
              <w:t>MSFT</w:t>
            </w:r>
          </w:p>
        </w:tc>
        <w:tc>
          <w:tcPr>
            <w:tcW w:w="3160" w:type="dxa"/>
            <w:vAlign w:val="bottom"/>
          </w:tcPr>
          <w:p>
            <w:pPr>
              <w:jc w:val="center"/>
              <w:ind w:left="424"/>
              <w:spacing w:after="0"/>
              <w:rPr>
                <w:sz w:val="20"/>
                <w:szCs w:val="20"/>
                <w:color w:val="auto"/>
              </w:rPr>
            </w:pPr>
            <w:r>
              <w:rPr>
                <w:rFonts w:ascii="Arial" w:cs="Arial" w:eastAsia="Arial" w:hAnsi="Arial"/>
                <w:sz w:val="15"/>
                <w:szCs w:val="15"/>
                <w:b w:val="1"/>
                <w:bCs w:val="1"/>
                <w:color w:val="auto"/>
              </w:rPr>
              <w:t>NASDAQ</w:t>
            </w:r>
          </w:p>
        </w:tc>
      </w:tr>
      <w:tr>
        <w:trPr>
          <w:trHeight w:val="222"/>
        </w:trPr>
        <w:tc>
          <w:tcPr>
            <w:tcW w:w="4900" w:type="dxa"/>
            <w:vAlign w:val="bottom"/>
          </w:tcPr>
          <w:p>
            <w:pPr>
              <w:spacing w:after="0"/>
              <w:rPr>
                <w:sz w:val="20"/>
                <w:szCs w:val="20"/>
                <w:color w:val="auto"/>
              </w:rPr>
            </w:pPr>
            <w:r>
              <w:rPr>
                <w:rFonts w:ascii="Arial" w:cs="Arial" w:eastAsia="Arial" w:hAnsi="Arial"/>
                <w:sz w:val="15"/>
                <w:szCs w:val="15"/>
                <w:color w:val="auto"/>
              </w:rPr>
              <w:t>Securities registered pursuant to Section 12(g) of the Act:</w:t>
            </w:r>
          </w:p>
        </w:tc>
        <w:tc>
          <w:tcPr>
            <w:tcW w:w="258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238"/>
        </w:trPr>
        <w:tc>
          <w:tcPr>
            <w:tcW w:w="4900" w:type="dxa"/>
            <w:vAlign w:val="bottom"/>
          </w:tcPr>
          <w:p>
            <w:pPr>
              <w:spacing w:after="0"/>
              <w:rPr>
                <w:sz w:val="20"/>
                <w:szCs w:val="20"/>
                <w:color w:val="auto"/>
              </w:rPr>
            </w:pPr>
            <w:r>
              <w:rPr>
                <w:rFonts w:ascii="Arial" w:cs="Arial" w:eastAsia="Arial" w:hAnsi="Arial"/>
                <w:sz w:val="15"/>
                <w:szCs w:val="15"/>
                <w:b w:val="1"/>
                <w:bCs w:val="1"/>
                <w:color w:val="auto"/>
              </w:rPr>
              <w:t>NONE</w:t>
            </w:r>
          </w:p>
        </w:tc>
        <w:tc>
          <w:tcPr>
            <w:tcW w:w="2580" w:type="dxa"/>
            <w:vAlign w:val="bottom"/>
          </w:tcPr>
          <w:p>
            <w:pPr>
              <w:spacing w:after="0"/>
              <w:rPr>
                <w:sz w:val="20"/>
                <w:szCs w:val="20"/>
                <w:color w:val="auto"/>
              </w:rPr>
            </w:pPr>
          </w:p>
        </w:tc>
        <w:tc>
          <w:tcPr>
            <w:tcW w:w="3160" w:type="dxa"/>
            <w:vAlign w:val="bottom"/>
          </w:tcPr>
          <w:p>
            <w:pPr>
              <w:spacing w:after="0"/>
              <w:rPr>
                <w:sz w:val="20"/>
                <w:szCs w:val="20"/>
                <w:color w:val="auto"/>
              </w:rPr>
            </w:pPr>
          </w:p>
        </w:tc>
      </w:tr>
    </w:tbl>
    <w:p>
      <w:pPr>
        <w:spacing w:after="0" w:line="15" w:lineRule="exact"/>
        <w:rPr>
          <w:sz w:val="24"/>
          <w:szCs w:val="24"/>
          <w:color w:val="auto"/>
        </w:rPr>
      </w:pPr>
    </w:p>
    <w:p>
      <w:pPr>
        <w:jc w:val="both"/>
        <w:spacing w:after="0" w:line="18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 w:lineRule="exact"/>
        <w:rPr>
          <w:sz w:val="24"/>
          <w:szCs w:val="24"/>
          <w:color w:val="auto"/>
        </w:rPr>
      </w:pPr>
    </w:p>
    <w:p>
      <w:pPr>
        <w:jc w:val="both"/>
        <w:spacing w:after="0" w:line="19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7" w:lineRule="exact"/>
        <w:rPr>
          <w:sz w:val="24"/>
          <w:szCs w:val="24"/>
          <w:color w:val="auto"/>
        </w:rPr>
      </w:pPr>
    </w:p>
    <w:p>
      <w:pPr>
        <w:jc w:val="both"/>
        <w:spacing w:after="0" w:line="24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00" w:right="339" w:bottom="1440" w:gutter="0" w:footer="0" w:header="0"/>
          <w:type w:val="continuous"/>
        </w:sectPr>
      </w:pPr>
    </w:p>
    <w:p>
      <w:pPr>
        <w:spacing w:after="0" w:line="6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67" w:lineRule="exact"/>
        <w:rPr>
          <w:sz w:val="24"/>
          <w:szCs w:val="24"/>
          <w:color w:val="auto"/>
        </w:rPr>
      </w:pPr>
    </w:p>
    <w:p>
      <w:pPr>
        <w:sectPr>
          <w:pgSz w:w="11900" w:h="16838" w:orient="portrait"/>
          <w:cols w:equalWidth="0" w:num="2">
            <w:col w:w="7640" w:space="720"/>
            <w:col w:w="2880"/>
          </w:cols>
          <w:pgMar w:left="320" w:top="300" w:right="33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91" w:lineRule="exact"/>
        <w:rPr>
          <w:sz w:val="24"/>
          <w:szCs w:val="24"/>
          <w:color w:val="auto"/>
        </w:rPr>
      </w:pPr>
    </w:p>
    <w:p>
      <w:pPr>
        <w:sectPr>
          <w:pgSz w:w="11900" w:h="16838" w:orient="portrait"/>
          <w:cols w:equalWidth="0" w:num="2">
            <w:col w:w="7640" w:space="720"/>
            <w:col w:w="2880"/>
          </w:cols>
          <w:pgMar w:left="320" w:top="300" w:right="339" w:bottom="1440" w:gutter="0" w:footer="0" w:header="0"/>
          <w:type w:val="continuous"/>
        </w:sectPr>
      </w:pPr>
    </w:p>
    <w:p>
      <w:pPr>
        <w:spacing w:after="0" w:line="19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ind w:right="2360"/>
        <w:spacing w:after="0" w:line="23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6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Class</w:t>
            </w:r>
          </w:p>
        </w:tc>
        <w:tc>
          <w:tcPr>
            <w:tcW w:w="5120" w:type="dxa"/>
            <w:vAlign w:val="bottom"/>
            <w:tcBorders>
              <w:bottom w:val="single" w:sz="8" w:color="auto"/>
            </w:tcBorders>
          </w:tcPr>
          <w:p>
            <w:pPr>
              <w:ind w:left="2740"/>
              <w:spacing w:after="0"/>
              <w:rPr>
                <w:sz w:val="20"/>
                <w:szCs w:val="20"/>
                <w:color w:val="auto"/>
              </w:rPr>
            </w:pPr>
            <w:r>
              <w:rPr>
                <w:rFonts w:ascii="Arial" w:cs="Arial" w:eastAsia="Arial" w:hAnsi="Arial"/>
                <w:sz w:val="13"/>
                <w:szCs w:val="13"/>
                <w:b w:val="1"/>
                <w:bCs w:val="1"/>
                <w:color w:val="auto"/>
              </w:rPr>
              <w:t>Outstanding as of January 21, 2021</w:t>
            </w:r>
          </w:p>
        </w:tc>
      </w:tr>
      <w:tr>
        <w:trPr>
          <w:trHeight w:val="203"/>
        </w:trPr>
        <w:tc>
          <w:tcPr>
            <w:tcW w:w="6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Common Stock, $0.00000625 par value per share</w:t>
            </w:r>
          </w:p>
        </w:tc>
        <w:tc>
          <w:tcPr>
            <w:tcW w:w="5120" w:type="dxa"/>
            <w:vAlign w:val="bottom"/>
            <w:tcBorders>
              <w:bottom w:val="single" w:sz="8" w:color="auto"/>
            </w:tcBorders>
          </w:tcPr>
          <w:p>
            <w:pPr>
              <w:ind w:left="3540"/>
              <w:spacing w:after="0"/>
              <w:rPr>
                <w:sz w:val="20"/>
                <w:szCs w:val="20"/>
                <w:color w:val="auto"/>
              </w:rPr>
            </w:pPr>
            <w:r>
              <w:rPr>
                <w:rFonts w:ascii="Arial" w:cs="Arial" w:eastAsia="Arial" w:hAnsi="Arial"/>
                <w:sz w:val="15"/>
                <w:szCs w:val="15"/>
                <w:color w:val="auto"/>
              </w:rPr>
              <w:t>7,542,215,767 shares</w:t>
            </w:r>
          </w:p>
        </w:tc>
      </w:tr>
      <w:tr>
        <w:trPr>
          <w:trHeight w:val="756"/>
        </w:trPr>
        <w:tc>
          <w:tcPr>
            <w:tcW w:w="61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80" w:type="dxa"/>
            <w:vAlign w:val="bottom"/>
            <w:gridSpan w:val="3"/>
            <w:vMerge w:val="restart"/>
          </w:tcPr>
          <w:p>
            <w:pPr>
              <w:ind w:left="10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45"/>
        </w:trPr>
        <w:tc>
          <w:tcPr>
            <w:tcW w:w="800" w:type="dxa"/>
            <w:vAlign w:val="bottom"/>
            <w:vMerge w:val="continue"/>
          </w:tcPr>
          <w:p>
            <w:pPr>
              <w:spacing w:after="0"/>
              <w:rPr>
                <w:sz w:val="21"/>
                <w:szCs w:val="21"/>
                <w:color w:val="auto"/>
              </w:rPr>
            </w:pPr>
          </w:p>
        </w:tc>
        <w:tc>
          <w:tcPr>
            <w:tcW w:w="9880" w:type="dxa"/>
            <w:vAlign w:val="bottom"/>
            <w:gridSpan w:val="3"/>
            <w:vMerge w:val="continue"/>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8"/>
        </w:trPr>
        <w:tc>
          <w:tcPr>
            <w:tcW w:w="8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Item 1.</w:t>
            </w:r>
          </w:p>
        </w:tc>
        <w:tc>
          <w:tcPr>
            <w:tcW w:w="8940" w:type="dxa"/>
            <w:vAlign w:val="bottom"/>
            <w:gridSpan w:val="2"/>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a)</w:t>
            </w:r>
          </w:p>
        </w:tc>
        <w:tc>
          <w:tcPr>
            <w:tcW w:w="854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Income Statements for the Three and Six Months Ended December 31, 2020 and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86"/>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b)</w:t>
            </w:r>
          </w:p>
        </w:tc>
        <w:tc>
          <w:tcPr>
            <w:tcW w:w="854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Comprehensive Income Statements for the Three and Six Months Ended December 31, 2020 and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86"/>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c)</w:t>
            </w:r>
          </w:p>
        </w:tc>
        <w:tc>
          <w:tcPr>
            <w:tcW w:w="85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Balance Sheets as of December 31, 2020 and June 30, 2020</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86"/>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d)</w:t>
            </w:r>
          </w:p>
        </w:tc>
        <w:tc>
          <w:tcPr>
            <w:tcW w:w="854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Cash Flows Statements for the Three and Six Months Ended December 31, 2020 and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86"/>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e)</w:t>
            </w:r>
          </w:p>
        </w:tc>
        <w:tc>
          <w:tcPr>
            <w:tcW w:w="854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Stockholders’ Equity Statements for the Three and Six Months Ended December 31, 2020 and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86"/>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f)</w:t>
            </w:r>
          </w:p>
        </w:tc>
        <w:tc>
          <w:tcPr>
            <w:tcW w:w="854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86"/>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g)</w:t>
            </w:r>
          </w:p>
        </w:tc>
        <w:tc>
          <w:tcPr>
            <w:tcW w:w="8540" w:type="dxa"/>
            <w:vAlign w:val="bottom"/>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Report of Independent Registered Public Accounting Firm</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45"/>
        </w:trPr>
        <w:tc>
          <w:tcPr>
            <w:tcW w:w="8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Item 2.</w:t>
            </w:r>
          </w:p>
        </w:tc>
        <w:tc>
          <w:tcPr>
            <w:tcW w:w="8940" w:type="dxa"/>
            <w:vAlign w:val="bottom"/>
            <w:gridSpan w:val="2"/>
          </w:tcPr>
          <w:p>
            <w:pPr>
              <w:ind w:left="1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45"/>
        </w:trPr>
        <w:tc>
          <w:tcPr>
            <w:tcW w:w="8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Item 3.</w:t>
            </w:r>
          </w:p>
        </w:tc>
        <w:tc>
          <w:tcPr>
            <w:tcW w:w="8940" w:type="dxa"/>
            <w:vAlign w:val="bottom"/>
            <w:gridSpan w:val="2"/>
          </w:tcPr>
          <w:p>
            <w:pPr>
              <w:ind w:left="16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45"/>
        </w:trPr>
        <w:tc>
          <w:tcPr>
            <w:tcW w:w="8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Item 4.</w:t>
            </w:r>
          </w:p>
        </w:tc>
        <w:tc>
          <w:tcPr>
            <w:tcW w:w="8940" w:type="dxa"/>
            <w:vAlign w:val="bottom"/>
            <w:gridSpan w:val="2"/>
          </w:tcPr>
          <w:p>
            <w:pPr>
              <w:ind w:left="16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67"/>
        </w:trPr>
        <w:tc>
          <w:tcPr>
            <w:tcW w:w="8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80" w:type="dxa"/>
            <w:vAlign w:val="bottom"/>
            <w:gridSpan w:val="3"/>
          </w:tcPr>
          <w:p>
            <w:pPr>
              <w:ind w:left="100"/>
              <w:spacing w:after="0"/>
              <w:rPr>
                <w:rFonts w:ascii="Arial" w:cs="Arial" w:eastAsia="Arial" w:hAnsi="Arial"/>
                <w:sz w:val="18"/>
                <w:szCs w:val="18"/>
                <w:b w:val="1"/>
                <w:bCs w:val="1"/>
                <w:u w:val="single" w:color="auto"/>
                <w:color w:val="0000EE"/>
              </w:rPr>
            </w:pPr>
            <w:hyperlink w:anchor="page48">
              <w:r>
                <w:rPr>
                  <w:rFonts w:ascii="Arial" w:cs="Arial" w:eastAsia="Arial" w:hAnsi="Arial"/>
                  <w:sz w:val="18"/>
                  <w:szCs w:val="18"/>
                  <w:b w:val="1"/>
                  <w:bCs w:val="1"/>
                  <w:u w:val="single" w:color="auto"/>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8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Item 1.</w:t>
            </w:r>
          </w:p>
        </w:tc>
        <w:tc>
          <w:tcPr>
            <w:tcW w:w="8940" w:type="dxa"/>
            <w:vAlign w:val="bottom"/>
            <w:gridSpan w:val="2"/>
          </w:tcPr>
          <w:p>
            <w:pPr>
              <w:ind w:left="16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46"/>
        </w:trPr>
        <w:tc>
          <w:tcPr>
            <w:tcW w:w="8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Item 1A.</w:t>
            </w:r>
          </w:p>
        </w:tc>
        <w:tc>
          <w:tcPr>
            <w:tcW w:w="8940" w:type="dxa"/>
            <w:vAlign w:val="bottom"/>
            <w:gridSpan w:val="2"/>
          </w:tcPr>
          <w:p>
            <w:pPr>
              <w:ind w:left="16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45"/>
        </w:trPr>
        <w:tc>
          <w:tcPr>
            <w:tcW w:w="8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Item 2.</w:t>
            </w:r>
          </w:p>
        </w:tc>
        <w:tc>
          <w:tcPr>
            <w:tcW w:w="8940" w:type="dxa"/>
            <w:vAlign w:val="bottom"/>
            <w:gridSpan w:val="2"/>
          </w:tcPr>
          <w:p>
            <w:pPr>
              <w:ind w:left="1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45"/>
        </w:trPr>
        <w:tc>
          <w:tcPr>
            <w:tcW w:w="8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Item 6.</w:t>
            </w:r>
          </w:p>
        </w:tc>
        <w:tc>
          <w:tcPr>
            <w:tcW w:w="8940" w:type="dxa"/>
            <w:vAlign w:val="bottom"/>
            <w:gridSpan w:val="2"/>
          </w:tcPr>
          <w:p>
            <w:pPr>
              <w:ind w:left="16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53"/>
        </w:trPr>
        <w:tc>
          <w:tcPr>
            <w:tcW w:w="1740" w:type="dxa"/>
            <w:vAlign w:val="bottom"/>
            <w:gridSpan w:val="2"/>
          </w:tcPr>
          <w:p>
            <w:pPr>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SIGNATURE</w:t>
              </w:r>
            </w:hyperlink>
          </w:p>
        </w:tc>
        <w:tc>
          <w:tcPr>
            <w:tcW w:w="40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4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4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380" w:type="dxa"/>
            <w:vAlign w:val="bottom"/>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19,460</w:t>
            </w:r>
          </w:p>
        </w:tc>
        <w:tc>
          <w:tcPr>
            <w:tcW w:w="3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18,255</w:t>
            </w:r>
          </w:p>
        </w:tc>
        <w:tc>
          <w:tcPr>
            <w:tcW w:w="40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35,263</w:t>
            </w:r>
          </w:p>
        </w:tc>
        <w:tc>
          <w:tcPr>
            <w:tcW w:w="3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34,023</w:t>
            </w:r>
          </w:p>
        </w:tc>
        <w:tc>
          <w:tcPr>
            <w:tcW w:w="0" w:type="dxa"/>
            <w:vAlign w:val="bottom"/>
          </w:tcPr>
          <w:p>
            <w:pPr>
              <w:spacing w:after="0"/>
              <w:rPr>
                <w:sz w:val="1"/>
                <w:szCs w:val="1"/>
                <w:color w:val="auto"/>
              </w:rPr>
            </w:pPr>
          </w:p>
        </w:tc>
      </w:tr>
      <w:tr>
        <w:trPr>
          <w:trHeight w:val="189"/>
        </w:trPr>
        <w:tc>
          <w:tcPr>
            <w:tcW w:w="57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23,616</w:t>
            </w: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18,651</w:t>
            </w:r>
          </w:p>
        </w:tc>
        <w:tc>
          <w:tcPr>
            <w:tcW w:w="4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44,967</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35,938</w:t>
            </w:r>
          </w:p>
        </w:tc>
        <w:tc>
          <w:tcPr>
            <w:tcW w:w="0" w:type="dxa"/>
            <w:vAlign w:val="bottom"/>
          </w:tcPr>
          <w:p>
            <w:pPr>
              <w:spacing w:after="0"/>
              <w:rPr>
                <w:sz w:val="1"/>
                <w:szCs w:val="1"/>
                <w:color w:val="auto"/>
              </w:rPr>
            </w:pPr>
          </w:p>
        </w:tc>
      </w:tr>
      <w:tr>
        <w:trPr>
          <w:trHeight w:val="68"/>
        </w:trPr>
        <w:tc>
          <w:tcPr>
            <w:tcW w:w="57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7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43,076</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36,906</w:t>
            </w:r>
          </w:p>
        </w:tc>
        <w:tc>
          <w:tcPr>
            <w:tcW w:w="4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80,230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69,961</w:t>
            </w:r>
          </w:p>
        </w:tc>
        <w:tc>
          <w:tcPr>
            <w:tcW w:w="0" w:type="dxa"/>
            <w:vAlign w:val="bottom"/>
          </w:tcPr>
          <w:p>
            <w:pPr>
              <w:spacing w:after="0"/>
              <w:rPr>
                <w:sz w:val="1"/>
                <w:szCs w:val="1"/>
                <w:color w:val="auto"/>
              </w:rPr>
            </w:pPr>
          </w:p>
        </w:tc>
      </w:tr>
      <w:tr>
        <w:trPr>
          <w:trHeight w:val="42"/>
        </w:trPr>
        <w:tc>
          <w:tcPr>
            <w:tcW w:w="5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5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3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4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6,058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4,966</w:t>
            </w:r>
          </w:p>
        </w:tc>
        <w:tc>
          <w:tcPr>
            <w:tcW w:w="4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9,655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8,271</w:t>
            </w:r>
          </w:p>
        </w:tc>
        <w:tc>
          <w:tcPr>
            <w:tcW w:w="0" w:type="dxa"/>
            <w:vAlign w:val="bottom"/>
          </w:tcPr>
          <w:p>
            <w:pPr>
              <w:spacing w:after="0"/>
              <w:rPr>
                <w:sz w:val="1"/>
                <w:szCs w:val="1"/>
                <w:color w:val="auto"/>
              </w:rPr>
            </w:pPr>
          </w:p>
        </w:tc>
      </w:tr>
      <w:tr>
        <w:trPr>
          <w:trHeight w:val="189"/>
        </w:trPr>
        <w:tc>
          <w:tcPr>
            <w:tcW w:w="57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8,136</w:t>
            </w: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7,392</w:t>
            </w:r>
          </w:p>
        </w:tc>
        <w:tc>
          <w:tcPr>
            <w:tcW w:w="4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15,541</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14,493</w:t>
            </w:r>
          </w:p>
        </w:tc>
        <w:tc>
          <w:tcPr>
            <w:tcW w:w="0" w:type="dxa"/>
            <w:vAlign w:val="bottom"/>
          </w:tcPr>
          <w:p>
            <w:pPr>
              <w:spacing w:after="0"/>
              <w:rPr>
                <w:sz w:val="1"/>
                <w:szCs w:val="1"/>
                <w:color w:val="auto"/>
              </w:rPr>
            </w:pPr>
          </w:p>
        </w:tc>
      </w:tr>
      <w:tr>
        <w:trPr>
          <w:trHeight w:val="68"/>
        </w:trPr>
        <w:tc>
          <w:tcPr>
            <w:tcW w:w="57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74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38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14,194</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12,358</w:t>
            </w:r>
          </w:p>
        </w:tc>
        <w:tc>
          <w:tcPr>
            <w:tcW w:w="4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25,196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22,764</w:t>
            </w:r>
          </w:p>
        </w:tc>
        <w:tc>
          <w:tcPr>
            <w:tcW w:w="0" w:type="dxa"/>
            <w:vAlign w:val="bottom"/>
          </w:tcPr>
          <w:p>
            <w:pPr>
              <w:spacing w:after="0"/>
              <w:rPr>
                <w:sz w:val="1"/>
                <w:szCs w:val="1"/>
                <w:color w:val="auto"/>
              </w:rPr>
            </w:pPr>
          </w:p>
        </w:tc>
      </w:tr>
      <w:tr>
        <w:trPr>
          <w:trHeight w:val="42"/>
        </w:trPr>
        <w:tc>
          <w:tcPr>
            <w:tcW w:w="5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5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Gross margin</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28,882</w:t>
            </w: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24,548</w:t>
            </w:r>
          </w:p>
        </w:tc>
        <w:tc>
          <w:tcPr>
            <w:tcW w:w="4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55,034</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47,197</w:t>
            </w:r>
          </w:p>
        </w:tc>
        <w:tc>
          <w:tcPr>
            <w:tcW w:w="0" w:type="dxa"/>
            <w:vAlign w:val="bottom"/>
          </w:tcPr>
          <w:p>
            <w:pPr>
              <w:spacing w:after="0"/>
              <w:rPr>
                <w:sz w:val="1"/>
                <w:szCs w:val="1"/>
                <w:color w:val="auto"/>
              </w:rPr>
            </w:pP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4,899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4,603</w:t>
            </w:r>
          </w:p>
        </w:tc>
        <w:tc>
          <w:tcPr>
            <w:tcW w:w="4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9,825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9,168</w:t>
            </w:r>
          </w:p>
        </w:tc>
        <w:tc>
          <w:tcPr>
            <w:tcW w:w="0" w:type="dxa"/>
            <w:vAlign w:val="bottom"/>
          </w:tcPr>
          <w:p>
            <w:pPr>
              <w:spacing w:after="0"/>
              <w:rPr>
                <w:sz w:val="1"/>
                <w:szCs w:val="1"/>
                <w:color w:val="auto"/>
              </w:rPr>
            </w:pPr>
          </w:p>
        </w:tc>
      </w:tr>
      <w:tr>
        <w:trPr>
          <w:trHeight w:val="189"/>
        </w:trPr>
        <w:tc>
          <w:tcPr>
            <w:tcW w:w="5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4,947</w:t>
            </w: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4,933</w:t>
            </w:r>
          </w:p>
        </w:tc>
        <w:tc>
          <w:tcPr>
            <w:tcW w:w="4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9,178</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55"/>
        </w:trPr>
        <w:tc>
          <w:tcPr>
            <w:tcW w:w="5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1,139</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1,121</w:t>
            </w:r>
          </w:p>
        </w:tc>
        <w:tc>
          <w:tcPr>
            <w:tcW w:w="4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63"/>
        </w:trPr>
        <w:tc>
          <w:tcPr>
            <w:tcW w:w="574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17,897</w:t>
            </w: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13,891</w:t>
            </w:r>
          </w:p>
        </w:tc>
        <w:tc>
          <w:tcPr>
            <w:tcW w:w="4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33,773</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26,577</w:t>
            </w:r>
          </w:p>
        </w:tc>
        <w:tc>
          <w:tcPr>
            <w:tcW w:w="0" w:type="dxa"/>
            <w:vAlign w:val="bottom"/>
          </w:tcPr>
          <w:p>
            <w:pPr>
              <w:spacing w:after="0"/>
              <w:rPr>
                <w:sz w:val="1"/>
                <w:szCs w:val="1"/>
                <w:color w:val="auto"/>
              </w:rPr>
            </w:pPr>
          </w:p>
        </w:tc>
      </w:tr>
      <w:tr>
        <w:trPr>
          <w:trHeight w:val="255"/>
        </w:trPr>
        <w:tc>
          <w:tcPr>
            <w:tcW w:w="5740" w:type="dxa"/>
            <w:vAlign w:val="bottom"/>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574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18,337</w:t>
            </w: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14,085</w:t>
            </w:r>
          </w:p>
        </w:tc>
        <w:tc>
          <w:tcPr>
            <w:tcW w:w="4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34,461</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26,771</w:t>
            </w:r>
          </w:p>
        </w:tc>
        <w:tc>
          <w:tcPr>
            <w:tcW w:w="0" w:type="dxa"/>
            <w:vAlign w:val="bottom"/>
          </w:tcPr>
          <w:p>
            <w:pPr>
              <w:spacing w:after="0"/>
              <w:rPr>
                <w:sz w:val="1"/>
                <w:szCs w:val="1"/>
                <w:color w:val="auto"/>
              </w:rPr>
            </w:pPr>
          </w:p>
        </w:tc>
      </w:tr>
      <w:tr>
        <w:trPr>
          <w:trHeight w:val="255"/>
        </w:trPr>
        <w:tc>
          <w:tcPr>
            <w:tcW w:w="5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2,874</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2,436</w:t>
            </w:r>
          </w:p>
        </w:tc>
        <w:tc>
          <w:tcPr>
            <w:tcW w:w="4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63"/>
        </w:trPr>
        <w:tc>
          <w:tcPr>
            <w:tcW w:w="574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15,463</w:t>
            </w:r>
          </w:p>
        </w:tc>
        <w:tc>
          <w:tcPr>
            <w:tcW w:w="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11,649</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29,356</w:t>
            </w:r>
          </w:p>
        </w:tc>
        <w:tc>
          <w:tcPr>
            <w:tcW w:w="3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75"/>
        </w:trPr>
        <w:tc>
          <w:tcPr>
            <w:tcW w:w="57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574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Basic</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2.05</w:t>
            </w:r>
          </w:p>
        </w:tc>
        <w:tc>
          <w:tcPr>
            <w:tcW w:w="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1.53</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3.88</w:t>
            </w:r>
          </w:p>
        </w:tc>
        <w:tc>
          <w:tcPr>
            <w:tcW w:w="3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2.93</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740" w:type="dxa"/>
            <w:vAlign w:val="bottom"/>
            <w:shd w:val="clear" w:color="auto" w:fill="E5E5E5"/>
          </w:tcPr>
          <w:p>
            <w:pPr>
              <w:spacing w:after="0" w:line="191" w:lineRule="exact"/>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4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7,555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7,621</w:t>
            </w:r>
          </w:p>
        </w:tc>
        <w:tc>
          <w:tcPr>
            <w:tcW w:w="4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7,561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189"/>
        </w:trPr>
        <w:tc>
          <w:tcPr>
            <w:tcW w:w="57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Diluted</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7,616</w:t>
            </w: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7,691</w:t>
            </w:r>
          </w:p>
        </w:tc>
        <w:tc>
          <w:tcPr>
            <w:tcW w:w="4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7,627</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68"/>
        </w:trPr>
        <w:tc>
          <w:tcPr>
            <w:tcW w:w="57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COMPREHENSIVE INCOME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(Unaudited)</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5"/>
        </w:trPr>
        <w:tc>
          <w:tcPr>
            <w:tcW w:w="5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15,463</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11,649</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29,356</w:t>
            </w:r>
          </w:p>
        </w:tc>
        <w:tc>
          <w:tcPr>
            <w:tcW w:w="2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74"/>
        </w:trPr>
        <w:tc>
          <w:tcPr>
            <w:tcW w:w="570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7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Net change related to derivatives</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9"/>
        </w:trPr>
        <w:tc>
          <w:tcPr>
            <w:tcW w:w="5700" w:type="dxa"/>
            <w:vAlign w:val="bottom"/>
          </w:tcPr>
          <w:p>
            <w:pPr>
              <w:ind w:left="220"/>
              <w:spacing w:after="0" w:line="189" w:lineRule="exact"/>
              <w:rPr>
                <w:sz w:val="20"/>
                <w:szCs w:val="20"/>
                <w:color w:val="auto"/>
              </w:rPr>
            </w:pPr>
            <w:r>
              <w:rPr>
                <w:rFonts w:ascii="Arial" w:cs="Arial" w:eastAsia="Arial" w:hAnsi="Arial"/>
                <w:sz w:val="18"/>
                <w:szCs w:val="18"/>
                <w:color w:val="auto"/>
              </w:rPr>
              <w:t>Net change related to investments</w:t>
            </w:r>
          </w:p>
        </w:tc>
        <w:tc>
          <w:tcPr>
            <w:tcW w:w="380" w:type="dxa"/>
            <w:vAlign w:val="bottom"/>
          </w:tcPr>
          <w:p>
            <w:pPr>
              <w:spacing w:after="0"/>
              <w:rPr>
                <w:sz w:val="16"/>
                <w:szCs w:val="16"/>
                <w:color w:val="auto"/>
              </w:rPr>
            </w:pP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(492)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(420)</w:t>
            </w:r>
          </w:p>
        </w:tc>
        <w:tc>
          <w:tcPr>
            <w:tcW w:w="38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(693)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Translation adjustments and other</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741</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230</w:t>
            </w:r>
          </w:p>
        </w:tc>
        <w:tc>
          <w:tcPr>
            <w:tcW w:w="3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852</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68"/>
        </w:trPr>
        <w:tc>
          <w:tcPr>
            <w:tcW w:w="57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700" w:type="dxa"/>
            <w:vAlign w:val="bottom"/>
          </w:tcPr>
          <w:p>
            <w:pPr>
              <w:ind w:left="4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2"/>
        </w:trPr>
        <w:tc>
          <w:tcPr>
            <w:tcW w:w="5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5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15,720</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11,455</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29,527</w:t>
            </w:r>
          </w:p>
        </w:tc>
        <w:tc>
          <w:tcPr>
            <w:tcW w:w="2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22,412</w:t>
            </w:r>
          </w:p>
        </w:tc>
        <w:tc>
          <w:tcPr>
            <w:tcW w:w="0" w:type="dxa"/>
            <w:vAlign w:val="bottom"/>
          </w:tcPr>
          <w:p>
            <w:pPr>
              <w:spacing w:after="0"/>
              <w:rPr>
                <w:sz w:val="1"/>
                <w:szCs w:val="1"/>
                <w:color w:val="auto"/>
              </w:rPr>
            </w:pPr>
          </w:p>
        </w:tc>
      </w:tr>
      <w:tr>
        <w:trPr>
          <w:trHeight w:val="75"/>
        </w:trPr>
        <w:tc>
          <w:tcPr>
            <w:tcW w:w="57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jc w:val="right"/>
        <w:spacing w:after="0"/>
        <w:tabs>
          <w:tab w:leader="none" w:pos="520" w:val="left"/>
        </w:tabs>
        <w:rPr>
          <w:sz w:val="20"/>
          <w:szCs w:val="20"/>
          <w:color w:val="auto"/>
        </w:rPr>
      </w:pPr>
      <w:r>
        <w:rPr>
          <w:rFonts w:ascii="Arial" w:cs="Arial" w:eastAsia="Arial" w:hAnsi="Arial"/>
          <w:sz w:val="13"/>
          <w:szCs w:val="13"/>
          <w:b w:val="1"/>
          <w:bCs w:val="1"/>
          <w:color w:val="auto"/>
        </w:rPr>
        <w:t>December 31,</w:t>
      </w:r>
      <w:r>
        <w:rPr>
          <w:sz w:val="20"/>
          <w:szCs w:val="20"/>
          <w:color w:val="auto"/>
        </w:rPr>
        <w:tab/>
      </w:r>
      <w:r>
        <w:rPr>
          <w:rFonts w:ascii="Arial" w:cs="Arial" w:eastAsia="Arial" w:hAnsi="Arial"/>
          <w:sz w:val="13"/>
          <w:szCs w:val="13"/>
          <w:b w:val="1"/>
          <w:bCs w:val="1"/>
          <w:color w:val="auto"/>
        </w:rPr>
        <w:t>June 30,</w:t>
      </w:r>
    </w:p>
    <w:p>
      <w:pPr>
        <w:spacing w:after="0" w:line="17" w:lineRule="exact"/>
        <w:rPr>
          <w:sz w:val="20"/>
          <w:szCs w:val="20"/>
          <w:color w:val="auto"/>
        </w:rPr>
      </w:pPr>
    </w:p>
    <w:p>
      <w:pPr>
        <w:jc w:val="both"/>
        <w:ind w:left="9180"/>
        <w:spacing w:after="0"/>
        <w:tabs>
          <w:tab w:leader="none" w:pos="108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2020</w:t>
      </w:r>
    </w:p>
    <w:p>
      <w:pPr>
        <w:sectPr>
          <w:pgSz w:w="11900" w:h="16838" w:orient="portrait"/>
          <w:cols w:equalWidth="0" w:num="1">
            <w:col w:w="11140"/>
          </w:cols>
          <w:pgMar w:left="320" w:top="122" w:right="439" w:bottom="1440" w:gutter="0" w:footer="0" w:header="0"/>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14,432</w:t>
            </w:r>
          </w:p>
        </w:tc>
        <w:tc>
          <w:tcPr>
            <w:tcW w:w="0" w:type="dxa"/>
            <w:vAlign w:val="bottom"/>
          </w:tcPr>
          <w:p>
            <w:pPr>
              <w:spacing w:after="0"/>
              <w:rPr>
                <w:sz w:val="1"/>
                <w:szCs w:val="1"/>
                <w:color w:val="auto"/>
              </w:rPr>
            </w:pPr>
          </w:p>
        </w:tc>
      </w:tr>
      <w:tr>
        <w:trPr>
          <w:trHeight w:val="187"/>
        </w:trPr>
        <w:tc>
          <w:tcPr>
            <w:tcW w:w="8000" w:type="dxa"/>
            <w:vAlign w:val="bottom"/>
          </w:tcPr>
          <w:p>
            <w:pPr>
              <w:ind w:left="220"/>
              <w:spacing w:after="0" w:line="187" w:lineRule="exact"/>
              <w:rPr>
                <w:sz w:val="20"/>
                <w:szCs w:val="20"/>
                <w:color w:val="auto"/>
              </w:rPr>
            </w:pPr>
            <w:r>
              <w:rPr>
                <w:rFonts w:ascii="Arial" w:cs="Arial" w:eastAsia="Arial" w:hAnsi="Arial"/>
                <w:sz w:val="18"/>
                <w:szCs w:val="18"/>
                <w:color w:val="auto"/>
              </w:rPr>
              <w:t>Cash and cash equivalents</w:t>
            </w:r>
          </w:p>
        </w:tc>
        <w:tc>
          <w:tcPr>
            <w:tcW w:w="4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0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117,536</w:t>
            </w:r>
          </w:p>
        </w:tc>
        <w:tc>
          <w:tcPr>
            <w:tcW w:w="0" w:type="dxa"/>
            <w:vAlign w:val="bottom"/>
          </w:tcPr>
          <w:p>
            <w:pPr>
              <w:spacing w:after="0"/>
              <w:rPr>
                <w:sz w:val="1"/>
                <w:szCs w:val="1"/>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440"/>
              <w:spacing w:after="0"/>
              <w:rPr>
                <w:sz w:val="20"/>
                <w:szCs w:val="20"/>
                <w:color w:val="auto"/>
              </w:rPr>
            </w:pPr>
            <w:r>
              <w:rPr>
                <w:rFonts w:ascii="Arial" w:cs="Arial" w:eastAsia="Arial" w:hAnsi="Arial"/>
                <w:sz w:val="18"/>
                <w:szCs w:val="18"/>
                <w:color w:val="auto"/>
              </w:rPr>
              <w:t>Total cash, cash equivalents, and short-term investments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131,968</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$642</w:t>
            </w:r>
            <w:r>
              <w:rPr>
                <w:rFonts w:ascii="Arial" w:cs="Arial" w:eastAsia="Arial" w:hAnsi="Arial"/>
                <w:sz w:val="18"/>
                <w:szCs w:val="18"/>
                <w:color w:val="auto"/>
              </w:rPr>
              <w:t xml:space="preserve"> and $788</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27,312</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1,924</w:t>
            </w:r>
          </w:p>
        </w:tc>
        <w:tc>
          <w:tcPr>
            <w:tcW w:w="0" w:type="dxa"/>
            <w:vAlign w:val="bottom"/>
          </w:tcPr>
          <w:p>
            <w:pPr>
              <w:spacing w:after="0"/>
              <w:rPr>
                <w:sz w:val="1"/>
                <w:szCs w:val="1"/>
                <w:color w:val="auto"/>
              </w:rPr>
            </w:pPr>
          </w:p>
        </w:tc>
      </w:tr>
      <w:tr>
        <w:trPr>
          <w:trHeight w:val="253"/>
        </w:trPr>
        <w:tc>
          <w:tcPr>
            <w:tcW w:w="80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12,769</w:t>
            </w:r>
          </w:p>
        </w:tc>
        <w:tc>
          <w:tcPr>
            <w:tcW w:w="0" w:type="dxa"/>
            <w:vAlign w:val="bottom"/>
          </w:tcPr>
          <w:p>
            <w:pPr>
              <w:spacing w:after="0"/>
              <w:rPr>
                <w:sz w:val="1"/>
                <w:szCs w:val="1"/>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173,973</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$47,715</w:t>
            </w:r>
            <w:r>
              <w:rPr>
                <w:rFonts w:ascii="Arial" w:cs="Arial" w:eastAsia="Arial" w:hAnsi="Arial"/>
                <w:sz w:val="18"/>
                <w:szCs w:val="18"/>
                <w:color w:val="auto"/>
              </w:rPr>
              <w:t xml:space="preserve"> and $43,197</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51,737</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10,298</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Equity investments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3,794</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44,219</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6,555</w:t>
            </w:r>
          </w:p>
        </w:tc>
        <w:tc>
          <w:tcPr>
            <w:tcW w:w="0" w:type="dxa"/>
            <w:vAlign w:val="bottom"/>
          </w:tcPr>
          <w:p>
            <w:pPr>
              <w:spacing w:after="0"/>
              <w:rPr>
                <w:sz w:val="1"/>
                <w:szCs w:val="1"/>
                <w:color w:val="auto"/>
              </w:rPr>
            </w:pPr>
          </w:p>
        </w:tc>
      </w:tr>
      <w:tr>
        <w:trPr>
          <w:trHeight w:val="253"/>
        </w:trPr>
        <w:tc>
          <w:tcPr>
            <w:tcW w:w="8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13,561</w:t>
            </w:r>
          </w:p>
        </w:tc>
        <w:tc>
          <w:tcPr>
            <w:tcW w:w="0" w:type="dxa"/>
            <w:vAlign w:val="bottom"/>
          </w:tcPr>
          <w:p>
            <w:pPr>
              <w:spacing w:after="0"/>
              <w:rPr>
                <w:sz w:val="1"/>
                <w:szCs w:val="1"/>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800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304,137</w:t>
            </w:r>
          </w:p>
        </w:tc>
        <w:tc>
          <w:tcPr>
            <w:tcW w:w="0" w:type="dxa"/>
            <w:vAlign w:val="bottom"/>
          </w:tcPr>
          <w:p>
            <w:pPr>
              <w:spacing w:after="0"/>
              <w:rPr>
                <w:sz w:val="1"/>
                <w:szCs w:val="1"/>
                <w:color w:val="auto"/>
              </w:rPr>
            </w:pPr>
          </w:p>
        </w:tc>
      </w:tr>
      <w:tr>
        <w:trPr>
          <w:trHeight w:val="49"/>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0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12,770</w:t>
            </w:r>
          </w:p>
        </w:tc>
        <w:tc>
          <w:tcPr>
            <w:tcW w:w="0" w:type="dxa"/>
            <w:vAlign w:val="bottom"/>
          </w:tcPr>
          <w:p>
            <w:pPr>
              <w:spacing w:after="0"/>
              <w:rPr>
                <w:sz w:val="1"/>
                <w:szCs w:val="1"/>
                <w:color w:val="auto"/>
              </w:rPr>
            </w:pPr>
          </w:p>
        </w:tc>
      </w:tr>
      <w:tr>
        <w:trPr>
          <w:trHeight w:val="187"/>
        </w:trPr>
        <w:tc>
          <w:tcPr>
            <w:tcW w:w="8000" w:type="dxa"/>
            <w:vAlign w:val="bottom"/>
          </w:tcPr>
          <w:p>
            <w:pPr>
              <w:ind w:left="220"/>
              <w:spacing w:after="0" w:line="187" w:lineRule="exact"/>
              <w:rPr>
                <w:sz w:val="20"/>
                <w:szCs w:val="20"/>
                <w:color w:val="auto"/>
              </w:rPr>
            </w:pPr>
            <w:r>
              <w:rPr>
                <w:rFonts w:ascii="Arial" w:cs="Arial" w:eastAsia="Arial" w:hAnsi="Arial"/>
                <w:sz w:val="18"/>
                <w:szCs w:val="18"/>
                <w:color w:val="auto"/>
              </w:rPr>
              <w:t>Accounts payable</w:t>
            </w:r>
          </w:p>
        </w:tc>
        <w:tc>
          <w:tcPr>
            <w:tcW w:w="4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Current portion of long-term debt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5,387</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Accrued compensation</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6,838</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Short-term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1,562</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Short-term unearned revenue</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30,402</w:t>
            </w:r>
          </w:p>
        </w:tc>
        <w:tc>
          <w:tcPr>
            <w:tcW w:w="0" w:type="dxa"/>
            <w:vAlign w:val="bottom"/>
          </w:tcPr>
          <w:p>
            <w:pPr>
              <w:spacing w:after="0"/>
              <w:rPr>
                <w:sz w:val="1"/>
                <w:szCs w:val="1"/>
                <w:color w:val="auto"/>
              </w:rPr>
            </w:pPr>
          </w:p>
        </w:tc>
      </w:tr>
      <w:tr>
        <w:trPr>
          <w:trHeight w:val="253"/>
        </w:trPr>
        <w:tc>
          <w:tcPr>
            <w:tcW w:w="800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10,527</w:t>
            </w:r>
          </w:p>
        </w:tc>
        <w:tc>
          <w:tcPr>
            <w:tcW w:w="0" w:type="dxa"/>
            <w:vAlign w:val="bottom"/>
          </w:tcPr>
          <w:p>
            <w:pPr>
              <w:spacing w:after="0"/>
              <w:rPr>
                <w:sz w:val="1"/>
                <w:szCs w:val="1"/>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67,486</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55,136</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26,701</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unearned revenue</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2,985</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8,875</w:t>
            </w:r>
          </w:p>
        </w:tc>
        <w:tc>
          <w:tcPr>
            <w:tcW w:w="0" w:type="dxa"/>
            <w:vAlign w:val="bottom"/>
          </w:tcPr>
          <w:p>
            <w:pPr>
              <w:spacing w:after="0"/>
              <w:rPr>
                <w:sz w:val="1"/>
                <w:szCs w:val="1"/>
                <w:color w:val="auto"/>
              </w:rPr>
            </w:pPr>
          </w:p>
        </w:tc>
      </w:tr>
      <w:tr>
        <w:trPr>
          <w:trHeight w:val="253"/>
        </w:trPr>
        <w:tc>
          <w:tcPr>
            <w:tcW w:w="8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12,544</w:t>
            </w:r>
          </w:p>
        </w:tc>
        <w:tc>
          <w:tcPr>
            <w:tcW w:w="0" w:type="dxa"/>
            <w:vAlign w:val="bottom"/>
          </w:tcPr>
          <w:p>
            <w:pPr>
              <w:spacing w:after="0"/>
              <w:rPr>
                <w:sz w:val="1"/>
                <w:szCs w:val="1"/>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173,901</w:t>
            </w:r>
          </w:p>
        </w:tc>
        <w:tc>
          <w:tcPr>
            <w:tcW w:w="0" w:type="dxa"/>
            <w:vAlign w:val="bottom"/>
          </w:tcPr>
          <w:p>
            <w:pPr>
              <w:spacing w:after="0"/>
              <w:rPr>
                <w:sz w:val="1"/>
                <w:szCs w:val="1"/>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000" w:type="dxa"/>
            <w:vAlign w:val="bottom"/>
          </w:tcPr>
          <w:p>
            <w:pPr>
              <w:spacing w:after="0" w:line="187" w:lineRule="exact"/>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81,896</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7,546</w:t>
            </w:r>
            <w:r>
              <w:rPr>
                <w:rFonts w:ascii="Arial" w:cs="Arial" w:eastAsia="Arial" w:hAnsi="Arial"/>
                <w:sz w:val="18"/>
                <w:szCs w:val="18"/>
                <w:color w:val="auto"/>
              </w:rPr>
              <w:t xml:space="preserve"> and 7,571</w:t>
            </w:r>
          </w:p>
        </w:tc>
        <w:tc>
          <w:tcPr>
            <w:tcW w:w="4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44,973</w:t>
            </w:r>
          </w:p>
        </w:tc>
        <w:tc>
          <w:tcPr>
            <w:tcW w:w="0" w:type="dxa"/>
            <w:vAlign w:val="bottom"/>
          </w:tcPr>
          <w:p>
            <w:pPr>
              <w:spacing w:after="0"/>
              <w:rPr>
                <w:sz w:val="1"/>
                <w:szCs w:val="1"/>
                <w:color w:val="auto"/>
              </w:rPr>
            </w:pPr>
          </w:p>
        </w:tc>
      </w:tr>
      <w:tr>
        <w:trPr>
          <w:trHeight w:val="253"/>
        </w:trPr>
        <w:tc>
          <w:tcPr>
            <w:tcW w:w="800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3,367</w:t>
            </w:r>
          </w:p>
        </w:tc>
        <w:tc>
          <w:tcPr>
            <w:tcW w:w="0" w:type="dxa"/>
            <w:vAlign w:val="bottom"/>
          </w:tcPr>
          <w:p>
            <w:pPr>
              <w:spacing w:after="0"/>
              <w:rPr>
                <w:sz w:val="1"/>
                <w:szCs w:val="1"/>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800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130,236</w:t>
            </w:r>
          </w:p>
        </w:tc>
        <w:tc>
          <w:tcPr>
            <w:tcW w:w="0" w:type="dxa"/>
            <w:vAlign w:val="bottom"/>
          </w:tcPr>
          <w:p>
            <w:pPr>
              <w:spacing w:after="0"/>
              <w:rPr>
                <w:sz w:val="1"/>
                <w:szCs w:val="1"/>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800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304,137</w:t>
            </w:r>
          </w:p>
        </w:tc>
        <w:tc>
          <w:tcPr>
            <w:tcW w:w="0" w:type="dxa"/>
            <w:vAlign w:val="bottom"/>
          </w:tcPr>
          <w:p>
            <w:pPr>
              <w:spacing w:after="0"/>
              <w:rPr>
                <w:sz w:val="1"/>
                <w:szCs w:val="1"/>
                <w:color w:val="auto"/>
              </w:rPr>
            </w:pPr>
          </w:p>
        </w:tc>
      </w:tr>
      <w:tr>
        <w:trPr>
          <w:trHeight w:val="49"/>
        </w:trPr>
        <w:tc>
          <w:tcPr>
            <w:tcW w:w="80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-5596890</wp:posOffset>
            </wp:positionV>
            <wp:extent cx="71323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-5356860</wp:posOffset>
            </wp:positionV>
            <wp:extent cx="71323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-5022850</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71323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-4448175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-3968115</wp:posOffset>
            </wp:positionV>
            <wp:extent cx="71323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71323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-1517015</wp:posOffset>
            </wp:positionV>
            <wp:extent cx="71323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13232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900" w:hanging="89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13,576</w:t>
      </w:r>
    </w:p>
    <w:p>
      <w:pPr>
        <w:spacing w:after="0" w:line="4"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122,951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136,527</w:t>
      </w:r>
    </w:p>
    <w:p>
      <w:pPr>
        <w:jc w:val="right"/>
        <w:spacing w:after="0" w:line="223" w:lineRule="auto"/>
        <w:rPr>
          <w:sz w:val="20"/>
          <w:szCs w:val="20"/>
          <w:color w:val="auto"/>
        </w:rPr>
      </w:pPr>
      <w:r>
        <w:rPr>
          <w:rFonts w:ascii="Arial" w:cs="Arial" w:eastAsia="Arial" w:hAnsi="Arial"/>
          <w:sz w:val="18"/>
          <w:szCs w:val="18"/>
          <w:color w:val="auto"/>
        </w:rPr>
        <w:t>32,011</w:t>
      </w:r>
    </w:p>
    <w:p>
      <w:pPr>
        <w:jc w:val="right"/>
        <w:spacing w:after="0" w:line="219" w:lineRule="auto"/>
        <w:rPr>
          <w:sz w:val="20"/>
          <w:szCs w:val="20"/>
          <w:color w:val="auto"/>
        </w:rPr>
      </w:pPr>
      <w:r>
        <w:rPr>
          <w:rFonts w:ascii="Arial" w:cs="Arial" w:eastAsia="Arial" w:hAnsi="Arial"/>
          <w:sz w:val="18"/>
          <w:szCs w:val="18"/>
          <w:color w:val="auto"/>
        </w:rPr>
        <w:t>1,895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181,915</w:t>
      </w:r>
    </w:p>
    <w:p>
      <w:pPr>
        <w:jc w:val="right"/>
        <w:spacing w:after="0" w:line="223" w:lineRule="auto"/>
        <w:rPr>
          <w:sz w:val="20"/>
          <w:szCs w:val="20"/>
          <w:color w:val="auto"/>
        </w:rPr>
      </w:pPr>
      <w:r>
        <w:rPr>
          <w:rFonts w:ascii="Arial" w:cs="Arial" w:eastAsia="Arial" w:hAnsi="Arial"/>
          <w:sz w:val="18"/>
          <w:szCs w:val="18"/>
          <w:color w:val="auto"/>
        </w:rPr>
        <w:t>44,151</w:t>
      </w:r>
    </w:p>
    <w:p>
      <w:pPr>
        <w:jc w:val="right"/>
        <w:spacing w:after="0" w:line="219" w:lineRule="auto"/>
        <w:rPr>
          <w:sz w:val="20"/>
          <w:szCs w:val="20"/>
          <w:color w:val="auto"/>
        </w:rPr>
      </w:pPr>
      <w:r>
        <w:rPr>
          <w:rFonts w:ascii="Arial" w:cs="Arial" w:eastAsia="Arial" w:hAnsi="Arial"/>
          <w:sz w:val="18"/>
          <w:szCs w:val="18"/>
          <w:color w:val="auto"/>
        </w:rPr>
        <w:t>8,753</w:t>
      </w:r>
    </w:p>
    <w:p>
      <w:pPr>
        <w:jc w:val="right"/>
        <w:spacing w:after="0" w:line="220" w:lineRule="auto"/>
        <w:rPr>
          <w:sz w:val="20"/>
          <w:szCs w:val="20"/>
          <w:color w:val="auto"/>
        </w:rPr>
      </w:pPr>
      <w:r>
        <w:rPr>
          <w:rFonts w:ascii="Arial" w:cs="Arial" w:eastAsia="Arial" w:hAnsi="Arial"/>
          <w:sz w:val="18"/>
          <w:szCs w:val="18"/>
          <w:color w:val="auto"/>
        </w:rPr>
        <w:t>2,965</w:t>
      </w:r>
    </w:p>
    <w:p>
      <w:pPr>
        <w:jc w:val="right"/>
        <w:spacing w:after="0" w:line="219" w:lineRule="auto"/>
        <w:rPr>
          <w:sz w:val="20"/>
          <w:szCs w:val="20"/>
          <w:color w:val="auto"/>
        </w:rPr>
      </w:pPr>
      <w:r>
        <w:rPr>
          <w:rFonts w:ascii="Arial" w:cs="Arial" w:eastAsia="Arial" w:hAnsi="Arial"/>
          <w:sz w:val="18"/>
          <w:szCs w:val="18"/>
          <w:color w:val="auto"/>
        </w:rPr>
        <w:t>43,351</w:t>
      </w:r>
    </w:p>
    <w:p>
      <w:pPr>
        <w:jc w:val="right"/>
        <w:spacing w:after="0" w:line="219" w:lineRule="auto"/>
        <w:rPr>
          <w:sz w:val="20"/>
          <w:szCs w:val="20"/>
          <w:color w:val="auto"/>
        </w:rPr>
      </w:pPr>
      <w:r>
        <w:rPr>
          <w:rFonts w:ascii="Arial" w:cs="Arial" w:eastAsia="Arial" w:hAnsi="Arial"/>
          <w:sz w:val="18"/>
          <w:szCs w:val="18"/>
          <w:color w:val="auto"/>
        </w:rPr>
        <w:t>7,038</w:t>
      </w:r>
    </w:p>
    <w:p>
      <w:pPr>
        <w:jc w:val="right"/>
        <w:spacing w:after="0"/>
        <w:rPr>
          <w:sz w:val="20"/>
          <w:szCs w:val="20"/>
          <w:color w:val="auto"/>
        </w:rPr>
      </w:pPr>
      <w:r>
        <w:rPr>
          <w:rFonts w:ascii="Arial" w:cs="Arial" w:eastAsia="Arial" w:hAnsi="Arial"/>
          <w:sz w:val="18"/>
          <w:szCs w:val="18"/>
          <w:color w:val="auto"/>
        </w:rPr>
        <w:t>13,138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89" w:lineRule="exact"/>
        <w:rPr>
          <w:sz w:val="20"/>
          <w:szCs w:val="20"/>
          <w:color w:val="auto"/>
        </w:rPr>
      </w:pPr>
    </w:p>
    <w:p>
      <w:pPr>
        <w:ind w:left="820" w:hanging="813"/>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301,311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9169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900" w:hanging="89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12,530</w:t>
      </w:r>
    </w:p>
    <w:p>
      <w:pPr>
        <w:spacing w:after="0" w:line="4" w:lineRule="exact"/>
        <w:rPr>
          <w:rFonts w:ascii="Arial" w:cs="Arial" w:eastAsia="Arial" w:hAnsi="Arial"/>
          <w:sz w:val="18"/>
          <w:szCs w:val="18"/>
          <w:color w:val="auto"/>
        </w:rPr>
      </w:pPr>
    </w:p>
    <w:p>
      <w:pPr>
        <w:ind w:left="1000"/>
        <w:spacing w:after="0" w:line="219" w:lineRule="auto"/>
        <w:rPr>
          <w:rFonts w:ascii="Arial" w:cs="Arial" w:eastAsia="Arial" w:hAnsi="Arial"/>
          <w:sz w:val="18"/>
          <w:szCs w:val="18"/>
          <w:color w:val="auto"/>
        </w:rPr>
      </w:pPr>
      <w:r>
        <w:rPr>
          <w:rFonts w:ascii="Arial" w:cs="Arial" w:eastAsia="Arial" w:hAnsi="Arial"/>
          <w:sz w:val="18"/>
          <w:szCs w:val="18"/>
          <w:color w:val="auto"/>
        </w:rPr>
        <w:t>3,749</w:t>
      </w:r>
    </w:p>
    <w:p>
      <w:pPr>
        <w:ind w:left="1000"/>
        <w:spacing w:after="0" w:line="219" w:lineRule="auto"/>
        <w:rPr>
          <w:rFonts w:ascii="Arial" w:cs="Arial" w:eastAsia="Arial" w:hAnsi="Arial"/>
          <w:sz w:val="18"/>
          <w:szCs w:val="18"/>
          <w:color w:val="auto"/>
        </w:rPr>
      </w:pPr>
      <w:r>
        <w:rPr>
          <w:rFonts w:ascii="Arial" w:cs="Arial" w:eastAsia="Arial" w:hAnsi="Arial"/>
          <w:sz w:val="18"/>
          <w:szCs w:val="18"/>
          <w:color w:val="auto"/>
        </w:rPr>
        <w:t>7,874</w:t>
      </w:r>
    </w:p>
    <w:p>
      <w:pPr>
        <w:ind w:left="1000"/>
        <w:spacing w:after="0" w:line="219" w:lineRule="auto"/>
        <w:rPr>
          <w:rFonts w:ascii="Arial" w:cs="Arial" w:eastAsia="Arial" w:hAnsi="Arial"/>
          <w:sz w:val="18"/>
          <w:szCs w:val="18"/>
          <w:color w:val="auto"/>
        </w:rPr>
      </w:pPr>
      <w:r>
        <w:rPr>
          <w:rFonts w:ascii="Arial" w:cs="Arial" w:eastAsia="Arial" w:hAnsi="Arial"/>
          <w:sz w:val="18"/>
          <w:szCs w:val="18"/>
          <w:color w:val="auto"/>
        </w:rPr>
        <w:t>2,130</w:t>
      </w:r>
    </w:p>
    <w:p>
      <w:pPr>
        <w:jc w:val="right"/>
        <w:spacing w:after="0" w:line="219" w:lineRule="auto"/>
        <w:rPr>
          <w:sz w:val="20"/>
          <w:szCs w:val="20"/>
          <w:color w:val="auto"/>
        </w:rPr>
      </w:pPr>
      <w:r>
        <w:rPr>
          <w:rFonts w:ascii="Arial" w:cs="Arial" w:eastAsia="Arial" w:hAnsi="Arial"/>
          <w:sz w:val="18"/>
          <w:szCs w:val="18"/>
          <w:color w:val="auto"/>
        </w:rPr>
        <w:t>36,000</w:t>
      </w:r>
    </w:p>
    <w:p>
      <w:pPr>
        <w:jc w:val="right"/>
        <w:spacing w:after="0"/>
        <w:rPr>
          <w:sz w:val="20"/>
          <w:szCs w:val="20"/>
          <w:color w:val="auto"/>
        </w:rPr>
      </w:pPr>
      <w:r>
        <w:rPr>
          <w:rFonts w:ascii="Arial" w:cs="Arial" w:eastAsia="Arial" w:hAnsi="Arial"/>
          <w:sz w:val="18"/>
          <w:szCs w:val="18"/>
          <w:color w:val="auto"/>
        </w:rPr>
        <w:t>10,027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72,310</w:t>
      </w:r>
    </w:p>
    <w:p>
      <w:pPr>
        <w:jc w:val="right"/>
        <w:spacing w:after="0" w:line="223" w:lineRule="auto"/>
        <w:rPr>
          <w:sz w:val="20"/>
          <w:szCs w:val="20"/>
          <w:color w:val="auto"/>
        </w:rPr>
      </w:pPr>
      <w:r>
        <w:rPr>
          <w:rFonts w:ascii="Arial" w:cs="Arial" w:eastAsia="Arial" w:hAnsi="Arial"/>
          <w:sz w:val="18"/>
          <w:szCs w:val="18"/>
          <w:color w:val="auto"/>
        </w:rPr>
        <w:t>59,578</w:t>
      </w:r>
    </w:p>
    <w:p>
      <w:pPr>
        <w:jc w:val="right"/>
        <w:spacing w:after="0" w:line="219" w:lineRule="auto"/>
        <w:rPr>
          <w:sz w:val="20"/>
          <w:szCs w:val="20"/>
          <w:color w:val="auto"/>
        </w:rPr>
      </w:pPr>
      <w:r>
        <w:rPr>
          <w:rFonts w:ascii="Arial" w:cs="Arial" w:eastAsia="Arial" w:hAnsi="Arial"/>
          <w:sz w:val="18"/>
          <w:szCs w:val="18"/>
          <w:color w:val="auto"/>
        </w:rPr>
        <w:t>29,432</w:t>
      </w:r>
    </w:p>
    <w:p>
      <w:pPr>
        <w:jc w:val="right"/>
        <w:spacing w:after="0" w:line="220" w:lineRule="auto"/>
        <w:rPr>
          <w:sz w:val="20"/>
          <w:szCs w:val="20"/>
          <w:color w:val="auto"/>
        </w:rPr>
      </w:pPr>
      <w:r>
        <w:rPr>
          <w:rFonts w:ascii="Arial" w:cs="Arial" w:eastAsia="Arial" w:hAnsi="Arial"/>
          <w:sz w:val="18"/>
          <w:szCs w:val="18"/>
          <w:color w:val="auto"/>
        </w:rPr>
        <w:t>3,180</w:t>
      </w:r>
    </w:p>
    <w:p>
      <w:pPr>
        <w:jc w:val="right"/>
        <w:spacing w:after="0" w:line="219" w:lineRule="auto"/>
        <w:rPr>
          <w:sz w:val="20"/>
          <w:szCs w:val="20"/>
          <w:color w:val="auto"/>
        </w:rPr>
      </w:pPr>
      <w:r>
        <w:rPr>
          <w:rFonts w:ascii="Arial" w:cs="Arial" w:eastAsia="Arial" w:hAnsi="Arial"/>
          <w:sz w:val="18"/>
          <w:szCs w:val="18"/>
          <w:color w:val="auto"/>
        </w:rPr>
        <w:t>204</w:t>
      </w:r>
    </w:p>
    <w:p>
      <w:pPr>
        <w:jc w:val="right"/>
        <w:spacing w:after="0" w:line="219" w:lineRule="auto"/>
        <w:rPr>
          <w:sz w:val="20"/>
          <w:szCs w:val="20"/>
          <w:color w:val="auto"/>
        </w:rPr>
      </w:pPr>
      <w:r>
        <w:rPr>
          <w:rFonts w:ascii="Arial" w:cs="Arial" w:eastAsia="Arial" w:hAnsi="Arial"/>
          <w:sz w:val="18"/>
          <w:szCs w:val="18"/>
          <w:color w:val="auto"/>
        </w:rPr>
        <w:t>7,671</w:t>
      </w:r>
    </w:p>
    <w:p>
      <w:pPr>
        <w:jc w:val="right"/>
        <w:spacing w:after="0"/>
        <w:rPr>
          <w:sz w:val="20"/>
          <w:szCs w:val="20"/>
          <w:color w:val="auto"/>
        </w:rPr>
      </w:pPr>
      <w:r>
        <w:rPr>
          <w:rFonts w:ascii="Arial" w:cs="Arial" w:eastAsia="Arial" w:hAnsi="Arial"/>
          <w:sz w:val="18"/>
          <w:szCs w:val="18"/>
          <w:color w:val="auto"/>
        </w:rPr>
        <w:t>10,632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183,007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9169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80,552</w:t>
      </w:r>
    </w:p>
    <w:p>
      <w:pPr>
        <w:jc w:val="right"/>
        <w:spacing w:after="0" w:line="223" w:lineRule="auto"/>
        <w:rPr>
          <w:sz w:val="20"/>
          <w:szCs w:val="20"/>
          <w:color w:val="auto"/>
        </w:rPr>
      </w:pPr>
      <w:r>
        <w:rPr>
          <w:rFonts w:ascii="Arial" w:cs="Arial" w:eastAsia="Arial" w:hAnsi="Arial"/>
          <w:sz w:val="18"/>
          <w:szCs w:val="18"/>
          <w:color w:val="auto"/>
        </w:rPr>
        <w:t>34,566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118,304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9169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22" w:lineRule="exact"/>
        <w:rPr>
          <w:sz w:val="20"/>
          <w:szCs w:val="20"/>
          <w:color w:val="auto"/>
        </w:rPr>
      </w:pPr>
    </w:p>
    <w:p>
      <w:pPr>
        <w:ind w:left="820" w:hanging="813"/>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301,311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9169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9480" w:space="200"/>
            <w:col w:w="1460"/>
          </w:cols>
          <w:pgMar w:left="320" w:top="122" w:right="439" w:bottom="1440" w:gutter="0" w:footer="0" w:header="0"/>
          <w:type w:val="continuous"/>
        </w:sectPr>
      </w:pPr>
    </w:p>
    <w:p>
      <w:pPr>
        <w:spacing w:after="0"/>
        <w:rPr>
          <w:sz w:val="20"/>
          <w:szCs w:val="20"/>
          <w:color w:val="auto"/>
        </w:rPr>
      </w:pPr>
      <w:r>
        <w:rPr>
          <w:rFonts w:ascii="Arial" w:cs="Arial" w:eastAsia="Arial" w:hAnsi="Arial"/>
          <w:sz w:val="18"/>
          <w:szCs w:val="18"/>
          <w:color w:val="auto"/>
        </w:rPr>
        <w:t>Refer to accompanying notes.</w:t>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type w:val="continuous"/>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(Unaudited)</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ind w:left="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7"/>
        </w:trPr>
        <w:tc>
          <w:tcPr>
            <w:tcW w:w="5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Operations</w:t>
            </w: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15,463</w:t>
            </w:r>
          </w:p>
        </w:tc>
        <w:tc>
          <w:tcPr>
            <w:tcW w:w="3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11,649</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29,356</w:t>
            </w:r>
          </w:p>
        </w:tc>
        <w:tc>
          <w:tcPr>
            <w:tcW w:w="2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Adjustments to reconcile net income to net cash from operations:</w:t>
            </w: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line="189" w:lineRule="exact"/>
              <w:rPr>
                <w:sz w:val="20"/>
                <w:szCs w:val="20"/>
                <w:color w:val="auto"/>
              </w:rPr>
            </w:pPr>
            <w:r>
              <w:rPr>
                <w:rFonts w:ascii="Arial" w:cs="Arial" w:eastAsia="Arial" w:hAnsi="Arial"/>
                <w:sz w:val="18"/>
                <w:szCs w:val="18"/>
                <w:color w:val="auto"/>
              </w:rPr>
              <w:t>Depreciation, amortization, and other</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2,761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3,203</w:t>
            </w:r>
          </w:p>
        </w:tc>
        <w:tc>
          <w:tcPr>
            <w:tcW w:w="3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5,406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1,566</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1,340</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3,022</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line="189" w:lineRule="exact"/>
              <w:rPr>
                <w:sz w:val="20"/>
                <w:szCs w:val="20"/>
                <w:color w:val="auto"/>
              </w:rPr>
            </w:pPr>
            <w:r>
              <w:rPr>
                <w:rFonts w:ascii="Arial" w:cs="Arial" w:eastAsia="Arial" w:hAnsi="Arial"/>
                <w:sz w:val="18"/>
                <w:szCs w:val="18"/>
                <w:color w:val="auto"/>
              </w:rPr>
              <w:t>Net recognized gains on investments and derivatives</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(203)</w:t>
            </w:r>
          </w:p>
        </w:tc>
        <w:tc>
          <w:tcPr>
            <w:tcW w:w="36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(482)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(53)</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receivable</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(4,008)</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(4,203)</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4,835</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189"/>
        </w:trPr>
        <w:tc>
          <w:tcPr>
            <w:tcW w:w="5620" w:type="dxa"/>
            <w:vAlign w:val="bottom"/>
          </w:tcPr>
          <w:p>
            <w:pPr>
              <w:ind w:left="440"/>
              <w:spacing w:after="0" w:line="189" w:lineRule="exact"/>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788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799</w:t>
            </w:r>
          </w:p>
        </w:tc>
        <w:tc>
          <w:tcPr>
            <w:tcW w:w="36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730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165</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676</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189"/>
        </w:trPr>
        <w:tc>
          <w:tcPr>
            <w:tcW w:w="5620" w:type="dxa"/>
            <w:vAlign w:val="bottom"/>
          </w:tcPr>
          <w:p>
            <w:pPr>
              <w:ind w:left="440"/>
              <w:spacing w:after="0" w:line="189" w:lineRule="exact"/>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(1,499)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(517)</w:t>
            </w:r>
          </w:p>
        </w:tc>
        <w:tc>
          <w:tcPr>
            <w:tcW w:w="36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(1,561)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(7)</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348</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189"/>
        </w:trPr>
        <w:tc>
          <w:tcPr>
            <w:tcW w:w="5620" w:type="dxa"/>
            <w:vAlign w:val="bottom"/>
          </w:tcPr>
          <w:p>
            <w:pPr>
              <w:ind w:left="440"/>
              <w:spacing w:after="0" w:line="189" w:lineRule="exact"/>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(3,227)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(2,936)</w:t>
            </w:r>
          </w:p>
        </w:tc>
        <w:tc>
          <w:tcPr>
            <w:tcW w:w="36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(6,291)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Income taxes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(2,368)</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(471)</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(3,351)</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189"/>
        </w:trPr>
        <w:tc>
          <w:tcPr>
            <w:tcW w:w="5620" w:type="dxa"/>
            <w:vAlign w:val="bottom"/>
          </w:tcPr>
          <w:p>
            <w:pPr>
              <w:ind w:left="440"/>
              <w:spacing w:after="0" w:line="189" w:lineRule="exact"/>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1,755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1,489</w:t>
            </w:r>
          </w:p>
        </w:tc>
        <w:tc>
          <w:tcPr>
            <w:tcW w:w="36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(1,196)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893</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425</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1,137</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835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620" w:type="dxa"/>
            <w:vAlign w:val="bottom"/>
          </w:tcPr>
          <w:p>
            <w:pPr>
              <w:ind w:left="660"/>
              <w:spacing w:after="0"/>
              <w:rPr>
                <w:sz w:val="20"/>
                <w:szCs w:val="20"/>
                <w:color w:val="auto"/>
              </w:rPr>
            </w:pPr>
            <w:r>
              <w:rPr>
                <w:rFonts w:ascii="Arial" w:cs="Arial" w:eastAsia="Arial" w:hAnsi="Arial"/>
                <w:sz w:val="18"/>
                <w:szCs w:val="18"/>
                <w:color w:val="auto"/>
              </w:rPr>
              <w:t>Net cash from operations</w:t>
            </w:r>
          </w:p>
        </w:tc>
        <w:tc>
          <w:tcPr>
            <w:tcW w:w="3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12,516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10,680</w:t>
            </w:r>
          </w:p>
        </w:tc>
        <w:tc>
          <w:tcPr>
            <w:tcW w:w="36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31,851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24,498</w:t>
            </w:r>
          </w:p>
        </w:tc>
        <w:tc>
          <w:tcPr>
            <w:tcW w:w="0" w:type="dxa"/>
            <w:vAlign w:val="bottom"/>
          </w:tcPr>
          <w:p>
            <w:pPr>
              <w:spacing w:after="0"/>
              <w:rPr>
                <w:sz w:val="1"/>
                <w:szCs w:val="1"/>
                <w:color w:val="auto"/>
              </w:rPr>
            </w:pPr>
          </w:p>
        </w:tc>
      </w:tr>
      <w:tr>
        <w:trPr>
          <w:trHeight w:val="42"/>
        </w:trPr>
        <w:tc>
          <w:tcPr>
            <w:tcW w:w="5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Financing</w:t>
            </w: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8"/>
                <w:szCs w:val="18"/>
                <w:color w:val="auto"/>
              </w:rPr>
              <w:t>Repayments of debt</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(3,250)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(18)</w:t>
            </w:r>
          </w:p>
        </w:tc>
        <w:tc>
          <w:tcPr>
            <w:tcW w:w="36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302</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234</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847</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661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(6,535)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(5,206)</w:t>
            </w:r>
          </w:p>
        </w:tc>
        <w:tc>
          <w:tcPr>
            <w:tcW w:w="36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(13,278)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(10,118)</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 paid</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(4,230)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(3,886)</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(8,086)</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55"/>
        </w:trPr>
        <w:tc>
          <w:tcPr>
            <w:tcW w:w="5620" w:type="dxa"/>
            <w:vAlign w:val="bottom"/>
          </w:tcPr>
          <w:p>
            <w:pPr>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56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660"/>
              <w:spacing w:after="0" w:line="189" w:lineRule="exact"/>
              <w:rPr>
                <w:sz w:val="20"/>
                <w:szCs w:val="20"/>
                <w:color w:val="auto"/>
              </w:rPr>
            </w:pPr>
            <w:r>
              <w:rPr>
                <w:rFonts w:ascii="Arial" w:cs="Arial" w:eastAsia="Arial" w:hAnsi="Arial"/>
                <w:sz w:val="18"/>
                <w:szCs w:val="18"/>
                <w:color w:val="auto"/>
              </w:rPr>
              <w:t>Net cash used in financing</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(13,634)</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(8,915)</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(23,923)</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(19,124)</w:t>
            </w:r>
          </w:p>
        </w:tc>
        <w:tc>
          <w:tcPr>
            <w:tcW w:w="0" w:type="dxa"/>
            <w:vAlign w:val="bottom"/>
          </w:tcPr>
          <w:p>
            <w:pPr>
              <w:spacing w:after="0"/>
              <w:rPr>
                <w:sz w:val="1"/>
                <w:szCs w:val="1"/>
                <w:color w:val="auto"/>
              </w:rPr>
            </w:pPr>
          </w:p>
        </w:tc>
      </w:tr>
      <w:tr>
        <w:trPr>
          <w:trHeight w:val="68"/>
        </w:trPr>
        <w:tc>
          <w:tcPr>
            <w:tcW w:w="5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8"/>
                <w:szCs w:val="18"/>
                <w:b w:val="1"/>
                <w:bCs w:val="1"/>
                <w:color w:val="auto"/>
              </w:rPr>
              <w:t>Investing</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Additions to property and equipment</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(4,174)</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(3,545)</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(9,081)</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153"/>
        </w:trPr>
        <w:tc>
          <w:tcPr>
            <w:tcW w:w="5620" w:type="dxa"/>
            <w:vAlign w:val="bottom"/>
          </w:tcPr>
          <w:p>
            <w:pPr>
              <w:spacing w:after="0" w:line="153" w:lineRule="exact"/>
              <w:rPr>
                <w:sz w:val="20"/>
                <w:szCs w:val="20"/>
                <w:color w:val="auto"/>
              </w:rPr>
            </w:pPr>
            <w:r>
              <w:rPr>
                <w:rFonts w:ascii="Arial" w:cs="Arial" w:eastAsia="Arial" w:hAnsi="Arial"/>
                <w:sz w:val="17"/>
                <w:szCs w:val="17"/>
                <w:color w:val="auto"/>
              </w:rPr>
              <w:t>Acquisition of companies, net of cash acquired, and purchases of</w:t>
            </w:r>
          </w:p>
        </w:tc>
        <w:tc>
          <w:tcPr>
            <w:tcW w:w="360" w:type="dxa"/>
            <w:vAlign w:val="bottom"/>
          </w:tcPr>
          <w:p>
            <w:pPr>
              <w:spacing w:after="0"/>
              <w:rPr>
                <w:sz w:val="13"/>
                <w:szCs w:val="13"/>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(415)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3"/>
                <w:szCs w:val="13"/>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(896)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5"/>
        </w:trPr>
        <w:tc>
          <w:tcPr>
            <w:tcW w:w="5620" w:type="dxa"/>
            <w:vAlign w:val="bottom"/>
          </w:tcPr>
          <w:p>
            <w:pPr>
              <w:ind w:left="220"/>
              <w:spacing w:after="0"/>
              <w:rPr>
                <w:sz w:val="20"/>
                <w:szCs w:val="20"/>
                <w:color w:val="auto"/>
              </w:rPr>
            </w:pPr>
            <w:r>
              <w:rPr>
                <w:rFonts w:ascii="Arial" w:cs="Arial" w:eastAsia="Arial" w:hAnsi="Arial"/>
                <w:sz w:val="18"/>
                <w:szCs w:val="18"/>
                <w:color w:val="auto"/>
              </w:rPr>
              <w:t>intangible and other assets</w:t>
            </w:r>
          </w:p>
        </w:tc>
        <w:tc>
          <w:tcPr>
            <w:tcW w:w="3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(15,092)</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(19,011)</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(29,672)</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(42,401)</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8"/>
                <w:szCs w:val="18"/>
                <w:color w:val="auto"/>
              </w:rPr>
              <w:t>Maturities of investments</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15,264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11,230</w:t>
            </w:r>
          </w:p>
        </w:tc>
        <w:tc>
          <w:tcPr>
            <w:tcW w:w="3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29,530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30,312</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of investments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2,421</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5,370</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4,835</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55"/>
        </w:trPr>
        <w:tc>
          <w:tcPr>
            <w:tcW w:w="5620" w:type="dxa"/>
            <w:vAlign w:val="bottom"/>
          </w:tcPr>
          <w:p>
            <w:pPr>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56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660"/>
              <w:spacing w:after="0" w:line="189" w:lineRule="exact"/>
              <w:rPr>
                <w:sz w:val="20"/>
                <w:szCs w:val="20"/>
                <w:color w:val="auto"/>
              </w:rPr>
            </w:pPr>
            <w:r>
              <w:rPr>
                <w:rFonts w:ascii="Arial" w:cs="Arial" w:eastAsia="Arial" w:hAnsi="Arial"/>
                <w:sz w:val="18"/>
                <w:szCs w:val="18"/>
                <w:color w:val="auto"/>
              </w:rPr>
              <w:t>Net cash used in investing</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(1,669)</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(6,036)</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(7,040)</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68"/>
        </w:trPr>
        <w:tc>
          <w:tcPr>
            <w:tcW w:w="5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620" w:type="dxa"/>
            <w:vAlign w:val="bottom"/>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3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2"/>
        </w:trPr>
        <w:tc>
          <w:tcPr>
            <w:tcW w:w="5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change in cash and cash equivalents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(2,773)</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(4,253)</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856</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55"/>
        </w:trPr>
        <w:tc>
          <w:tcPr>
            <w:tcW w:w="56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17,205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13,117</w:t>
            </w:r>
          </w:p>
        </w:tc>
        <w:tc>
          <w:tcPr>
            <w:tcW w:w="3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13,576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11,356</w:t>
            </w:r>
          </w:p>
        </w:tc>
        <w:tc>
          <w:tcPr>
            <w:tcW w:w="0" w:type="dxa"/>
            <w:vAlign w:val="bottom"/>
          </w:tcPr>
          <w:p>
            <w:pPr>
              <w:spacing w:after="0"/>
              <w:rPr>
                <w:sz w:val="1"/>
                <w:szCs w:val="1"/>
                <w:color w:val="auto"/>
              </w:rPr>
            </w:pPr>
          </w:p>
        </w:tc>
      </w:tr>
      <w:tr>
        <w:trPr>
          <w:trHeight w:val="63"/>
        </w:trPr>
        <w:tc>
          <w:tcPr>
            <w:tcW w:w="56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and cash equivalents, end of period</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14,432</w:t>
            </w:r>
          </w:p>
        </w:tc>
        <w:tc>
          <w:tcPr>
            <w:tcW w:w="3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8,864</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14,432</w:t>
            </w:r>
          </w:p>
        </w:tc>
        <w:tc>
          <w:tcPr>
            <w:tcW w:w="28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8,864</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(Unaudited)</w:t>
            </w: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4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7"/>
        </w:trPr>
        <w:tc>
          <w:tcPr>
            <w:tcW w:w="4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Common stock and paid-in capital</w:t>
            </w: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81,089</w:t>
            </w:r>
          </w:p>
        </w:tc>
        <w:tc>
          <w:tcPr>
            <w:tcW w:w="3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78,882</w:t>
            </w:r>
          </w:p>
        </w:tc>
        <w:tc>
          <w:tcPr>
            <w:tcW w:w="42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80,552</w:t>
            </w:r>
          </w:p>
        </w:tc>
        <w:tc>
          <w:tcPr>
            <w:tcW w:w="2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78,520</w:t>
            </w:r>
          </w:p>
        </w:tc>
        <w:tc>
          <w:tcPr>
            <w:tcW w:w="0" w:type="dxa"/>
            <w:vAlign w:val="bottom"/>
          </w:tcPr>
          <w:p>
            <w:pPr>
              <w:spacing w:after="0"/>
              <w:rPr>
                <w:sz w:val="1"/>
                <w:szCs w:val="1"/>
                <w:color w:val="auto"/>
              </w:rPr>
            </w:pPr>
          </w:p>
        </w:tc>
      </w:tr>
      <w:tr>
        <w:trPr>
          <w:trHeight w:val="189"/>
        </w:trPr>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302</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234</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1,117</w:t>
            </w:r>
          </w:p>
        </w:tc>
        <w:tc>
          <w:tcPr>
            <w:tcW w:w="20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661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(1,062)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(831)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(2,794)</w:t>
            </w:r>
          </w:p>
        </w:tc>
        <w:tc>
          <w:tcPr>
            <w:tcW w:w="200" w:type="dxa"/>
            <w:vAlign w:val="bottom"/>
          </w:tcPr>
          <w:p>
            <w:pPr>
              <w:spacing w:after="0"/>
              <w:rPr>
                <w:sz w:val="16"/>
                <w:szCs w:val="16"/>
                <w:color w:val="auto"/>
              </w:rPr>
            </w:pPr>
          </w:p>
        </w:tc>
        <w:tc>
          <w:tcPr>
            <w:tcW w:w="11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189"/>
        </w:trPr>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1,566</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1,340</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3,022</w:t>
            </w:r>
          </w:p>
        </w:tc>
        <w:tc>
          <w:tcPr>
            <w:tcW w:w="20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55"/>
        </w:trPr>
        <w:tc>
          <w:tcPr>
            <w:tcW w:w="4900" w:type="dxa"/>
            <w:vAlign w:val="bottom"/>
          </w:tcPr>
          <w:p>
            <w:pPr>
              <w:spacing w:after="0"/>
              <w:rPr>
                <w:sz w:val="20"/>
                <w:szCs w:val="20"/>
                <w:color w:val="auto"/>
              </w:rPr>
            </w:pPr>
            <w:r>
              <w:rPr>
                <w:rFonts w:ascii="Arial" w:cs="Arial" w:eastAsia="Arial" w:hAnsi="Arial"/>
                <w:sz w:val="18"/>
                <w:szCs w:val="18"/>
                <w:color w:val="auto"/>
              </w:rPr>
              <w:t>Other, net</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3"/>
        </w:trPr>
        <w:tc>
          <w:tcPr>
            <w:tcW w:w="49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81,896</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79,625</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81,896</w:t>
            </w:r>
          </w:p>
        </w:tc>
        <w:tc>
          <w:tcPr>
            <w:tcW w:w="20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79,625</w:t>
            </w:r>
          </w:p>
        </w:tc>
        <w:tc>
          <w:tcPr>
            <w:tcW w:w="0" w:type="dxa"/>
            <w:vAlign w:val="bottom"/>
          </w:tcPr>
          <w:p>
            <w:pPr>
              <w:spacing w:after="0"/>
              <w:rPr>
                <w:sz w:val="1"/>
                <w:szCs w:val="1"/>
                <w:color w:val="auto"/>
              </w:rPr>
            </w:pPr>
          </w:p>
        </w:tc>
      </w:tr>
      <w:tr>
        <w:trPr>
          <w:trHeight w:val="68"/>
        </w:trPr>
        <w:tc>
          <w:tcPr>
            <w:tcW w:w="49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39,193</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27,240</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34,566</w:t>
            </w:r>
          </w:p>
        </w:tc>
        <w:tc>
          <w:tcPr>
            <w:tcW w:w="20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24,150</w:t>
            </w:r>
          </w:p>
        </w:tc>
        <w:tc>
          <w:tcPr>
            <w:tcW w:w="0" w:type="dxa"/>
            <w:vAlign w:val="bottom"/>
          </w:tcPr>
          <w:p>
            <w:pPr>
              <w:spacing w:after="0"/>
              <w:rPr>
                <w:sz w:val="1"/>
                <w:szCs w:val="1"/>
                <w:color w:val="auto"/>
              </w:rPr>
            </w:pPr>
          </w:p>
        </w:tc>
      </w:tr>
      <w:tr>
        <w:trPr>
          <w:trHeight w:val="189"/>
        </w:trPr>
        <w:tc>
          <w:tcPr>
            <w:tcW w:w="490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15,463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11,649</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29,356</w:t>
            </w:r>
          </w:p>
        </w:tc>
        <w:tc>
          <w:tcPr>
            <w:tcW w:w="20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189"/>
        </w:trPr>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(4,220)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(3,875)</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(8,451)</w:t>
            </w:r>
          </w:p>
        </w:tc>
        <w:tc>
          <w:tcPr>
            <w:tcW w:w="20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189"/>
        </w:trPr>
        <w:tc>
          <w:tcPr>
            <w:tcW w:w="490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(5,463)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(4,275)</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(10,466)</w:t>
            </w:r>
          </w:p>
        </w:tc>
        <w:tc>
          <w:tcPr>
            <w:tcW w:w="200" w:type="dxa"/>
            <w:vAlign w:val="bottom"/>
          </w:tcPr>
          <w:p>
            <w:pPr>
              <w:spacing w:after="0"/>
              <w:rPr>
                <w:sz w:val="16"/>
                <w:szCs w:val="16"/>
                <w:color w:val="auto"/>
              </w:rPr>
            </w:pPr>
          </w:p>
        </w:tc>
        <w:tc>
          <w:tcPr>
            <w:tcW w:w="11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189"/>
        </w:trPr>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(32)</w:t>
            </w:r>
          </w:p>
        </w:tc>
        <w:tc>
          <w:tcPr>
            <w:tcW w:w="20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9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4900" w:type="dxa"/>
            <w:vAlign w:val="bottom"/>
          </w:tcPr>
          <w:p>
            <w:pPr>
              <w:ind w:left="220"/>
              <w:spacing w:after="0"/>
              <w:rPr>
                <w:sz w:val="20"/>
                <w:szCs w:val="20"/>
                <w:color w:val="auto"/>
              </w:rPr>
            </w:pPr>
            <w:r>
              <w:rPr>
                <w:rFonts w:ascii="Arial" w:cs="Arial" w:eastAsia="Arial" w:hAnsi="Arial"/>
                <w:sz w:val="18"/>
                <w:szCs w:val="18"/>
                <w:color w:val="auto"/>
              </w:rPr>
              <w:t>Balance, end of period</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44,973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30,739</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44,973</w:t>
            </w:r>
          </w:p>
        </w:tc>
        <w:tc>
          <w:tcPr>
            <w:tcW w:w="20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30,739</w:t>
            </w:r>
          </w:p>
        </w:tc>
        <w:tc>
          <w:tcPr>
            <w:tcW w:w="0" w:type="dxa"/>
            <w:vAlign w:val="bottom"/>
          </w:tcPr>
          <w:p>
            <w:pPr>
              <w:spacing w:after="0"/>
              <w:rPr>
                <w:sz w:val="1"/>
                <w:szCs w:val="1"/>
                <w:color w:val="auto"/>
              </w:rPr>
            </w:pPr>
          </w:p>
        </w:tc>
      </w:tr>
      <w:tr>
        <w:trPr>
          <w:trHeight w:val="42"/>
        </w:trPr>
        <w:tc>
          <w:tcPr>
            <w:tcW w:w="4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4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Accumulated other comprehensive income (loss)</w:t>
            </w: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3,110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3,186</w:t>
            </w:r>
          </w:p>
        </w:tc>
        <w:tc>
          <w:tcPr>
            <w:tcW w:w="200" w:type="dxa"/>
            <w:vAlign w:val="bottom"/>
          </w:tcPr>
          <w:p>
            <w:pPr>
              <w:spacing w:after="0"/>
              <w:rPr>
                <w:sz w:val="16"/>
                <w:szCs w:val="16"/>
                <w:color w:val="auto"/>
              </w:rPr>
            </w:pPr>
          </w:p>
        </w:tc>
        <w:tc>
          <w:tcPr>
            <w:tcW w:w="11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89"/>
        </w:trPr>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comprehensive income (loss)</w:t>
            </w: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(194)</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171</w:t>
            </w:r>
          </w:p>
        </w:tc>
        <w:tc>
          <w:tcPr>
            <w:tcW w:w="20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5"/>
        </w:trPr>
        <w:tc>
          <w:tcPr>
            <w:tcW w:w="4900" w:type="dxa"/>
            <w:vAlign w:val="bottom"/>
          </w:tcPr>
          <w:p>
            <w:pPr>
              <w:spacing w:after="0"/>
              <w:rPr>
                <w:sz w:val="20"/>
                <w:szCs w:val="20"/>
                <w:color w:val="auto"/>
              </w:rPr>
            </w:pPr>
            <w:r>
              <w:rPr>
                <w:rFonts w:ascii="Arial" w:cs="Arial" w:eastAsia="Arial" w:hAnsi="Arial"/>
                <w:sz w:val="18"/>
                <w:szCs w:val="18"/>
                <w:color w:val="auto"/>
              </w:rPr>
              <w:t>Cumulative effect of accounting changes</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49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3,367</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(255)</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3,367</w:t>
            </w:r>
          </w:p>
        </w:tc>
        <w:tc>
          <w:tcPr>
            <w:tcW w:w="20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68"/>
        </w:trPr>
        <w:tc>
          <w:tcPr>
            <w:tcW w:w="49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gridSpan w:val="2"/>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130,236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110,109</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130,236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110,109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4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dividends declared per common share</w:t>
            </w:r>
          </w:p>
        </w:tc>
        <w:tc>
          <w:tcPr>
            <w:tcW w:w="11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0.56</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0.51</w:t>
            </w:r>
          </w:p>
        </w:tc>
        <w:tc>
          <w:tcPr>
            <w:tcW w:w="4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1.12</w:t>
            </w:r>
          </w:p>
        </w:tc>
        <w:tc>
          <w:tcPr>
            <w:tcW w:w="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9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6"/>
        </w:trPr>
        <w:tc>
          <w:tcPr>
            <w:tcW w:w="490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9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9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2020 Form 10-K filed with the U.S. Securities and Exchange Commission (“SEC”) on July 30,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 including uncertainty in the current economic environment due to the coronavirus (“COVID-19”).</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July 2020, we completed an assessment of the useful lives of our server and network equipment and determined we should increase the estimated useful life of server equipment from three years to four years and increase the estimated useful life of network equipment from two years to four years. This change in accounting estimate was effective beginning fiscal year 2021. Based on the carrying amount of server and network equipment included in property and equipment, net as of June 30, 2020, the effect of this change in estimate for the three months ended December 31, 2020, was an increase in operating income of $787 million and net income of $649 million, or $0.09 per both basic and diluted share. The effect of this change for the six months ended December 31, 2020, was an increase in operating income of $1.7 billion and net income of $1.4 billion, or $0.19 per both basic and diluted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earnings with the corresponding hedged item. Gains and losses representing hedge components excluded from the assessment of effectiveness are recognized in earnings.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15" w:lineRule="exact"/>
        <w:rPr>
          <w:sz w:val="20"/>
          <w:szCs w:val="20"/>
          <w:color w:val="auto"/>
        </w:rPr>
      </w:pPr>
    </w:p>
    <w:p>
      <w:pPr>
        <w:jc w:val="both"/>
        <w:ind w:left="1060" w:hanging="391"/>
        <w:spacing w:after="0" w:line="255"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15" w:lineRule="exact"/>
        <w:rPr>
          <w:rFonts w:ascii="Arial" w:cs="Arial" w:eastAsia="Arial" w:hAnsi="Arial"/>
          <w:sz w:val="18"/>
          <w:szCs w:val="18"/>
          <w:color w:val="auto"/>
        </w:rPr>
      </w:pPr>
    </w:p>
    <w:p>
      <w:pPr>
        <w:jc w:val="both"/>
        <w:ind w:left="1060" w:hanging="39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primarily include certain over-the-counter option and swap contracts.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47" w:lineRule="exact"/>
        <w:rPr>
          <w:sz w:val="20"/>
          <w:szCs w:val="20"/>
          <w:color w:val="auto"/>
        </w:rPr>
      </w:pPr>
    </w:p>
    <w:p>
      <w:pPr>
        <w:jc w:val="both"/>
        <w:ind w:left="1060" w:hanging="391"/>
        <w:spacing w:after="0" w:line="24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and Other Receivables</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As of December 31, 2020 and June 30, 2020, other receivables due from suppliers were $708 million and $442 million, respectively, and are included in accounts receivable, net in our consolidated balance sheets.</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December 31, 2020 and June 30, 2020, long-term accounts receivable, net of allowance for doubtful accounts was $2.9 billion and $2.7 billion, respectively, and are included in other long-term assets in our consolidated balance sheets.</w:t>
      </w:r>
    </w:p>
    <w:p>
      <w:pPr>
        <w:spacing w:after="0" w:line="9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record financing receivables when we offer certain of our customers the option to acquire our software products and services offerings through a financing program in a limited number of countries. As of December 31, 2020 and June 30, 2020, financing receivables, net were $4.0 billion and $5.2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broader range of reasonable and supportable information to inform credit loss estimates. We adopted the standard effective July 1, 2020. We use a forward-looking expected credit loss model for accounts receivable, loans, and other financial instruments. Credit losses relating to available-for-sale debt securities are recorded through an allowance for credit losses rather than as a reduction in the amortized cost basis of the securities. We applied a modified retrospective approach through a cumulative-effect adjustment to retained earnings as of the effective date to align our credit loss methodology with the new standard. The adoption of the standard did not have a material impact on our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December 2019, the FASB 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The standard will be effective for us beginning July 1, 2021, with early adoption permitted. We are currently evaluating the impact of this standard in our consolidated financial statements, including accounting policies, processes, and systems.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earnings per share)</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available for common shareholders (A)</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15,463</w:t>
            </w:r>
          </w:p>
        </w:tc>
        <w:tc>
          <w:tcPr>
            <w:tcW w:w="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11,649</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29,356</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75"/>
        </w:trPr>
        <w:tc>
          <w:tcPr>
            <w:tcW w:w="58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36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7,555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7,621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7,561</w:t>
            </w:r>
          </w:p>
        </w:tc>
        <w:tc>
          <w:tcPr>
            <w:tcW w:w="120" w:type="dxa"/>
            <w:vAlign w:val="bottom"/>
          </w:tcPr>
          <w:p>
            <w:pPr>
              <w:spacing w:after="0"/>
              <w:rPr>
                <w:sz w:val="22"/>
                <w:szCs w:val="22"/>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189"/>
        </w:trPr>
        <w:tc>
          <w:tcPr>
            <w:tcW w:w="5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3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61</w:t>
            </w:r>
          </w:p>
        </w:tc>
        <w:tc>
          <w:tcPr>
            <w:tcW w:w="1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70</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E5E5E5"/>
          </w:tcPr>
          <w:p>
            <w:pPr>
              <w:spacing w:after="0"/>
              <w:rPr>
                <w:sz w:val="16"/>
                <w:szCs w:val="16"/>
                <w:color w:val="auto"/>
              </w:rPr>
            </w:pPr>
          </w:p>
        </w:tc>
        <w:tc>
          <w:tcPr>
            <w:tcW w:w="124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68"/>
        </w:trPr>
        <w:tc>
          <w:tcPr>
            <w:tcW w:w="58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820" w:type="dxa"/>
            <w:vAlign w:val="bottom"/>
          </w:tcPr>
          <w:p>
            <w:pPr>
              <w:spacing w:after="0"/>
              <w:rPr>
                <w:sz w:val="20"/>
                <w:szCs w:val="20"/>
                <w:color w:val="auto"/>
              </w:rPr>
            </w:pPr>
            <w:r>
              <w:rPr>
                <w:rFonts w:ascii="Arial" w:cs="Arial" w:eastAsia="Arial" w:hAnsi="Arial"/>
                <w:sz w:val="18"/>
                <w:szCs w:val="18"/>
                <w:color w:val="auto"/>
              </w:rPr>
              <w:t>Common stock and common stock equivalents (C)</w:t>
            </w:r>
          </w:p>
        </w:tc>
        <w:tc>
          <w:tcPr>
            <w:tcW w:w="36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7,616</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7,691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7,627</w:t>
            </w:r>
          </w:p>
        </w:tc>
        <w:tc>
          <w:tcPr>
            <w:tcW w:w="120" w:type="dxa"/>
            <w:vAlign w:val="bottom"/>
          </w:tcPr>
          <w:p>
            <w:pPr>
              <w:spacing w:after="0"/>
              <w:rPr>
                <w:sz w:val="23"/>
                <w:szCs w:val="23"/>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49"/>
        </w:trPr>
        <w:tc>
          <w:tcPr>
            <w:tcW w:w="582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Share</w:t>
            </w: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58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8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2.05</w:t>
            </w:r>
          </w:p>
        </w:tc>
        <w:tc>
          <w:tcPr>
            <w:tcW w:w="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1.53</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3.88</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2.93</w:t>
            </w:r>
          </w:p>
        </w:tc>
        <w:tc>
          <w:tcPr>
            <w:tcW w:w="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2.03</w:t>
            </w:r>
          </w:p>
        </w:tc>
        <w:tc>
          <w:tcPr>
            <w:tcW w:w="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1.51</w:t>
            </w:r>
          </w:p>
        </w:tc>
        <w:tc>
          <w:tcPr>
            <w:tcW w:w="4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3.85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39" w:lineRule="exact"/>
        <w:rPr>
          <w:sz w:val="20"/>
          <w:szCs w:val="20"/>
          <w:color w:val="auto"/>
        </w:rPr>
      </w:pPr>
    </w:p>
    <w:p>
      <w:pPr>
        <w:ind w:right="3720" w:firstLine="3711"/>
        <w:spacing w:after="0" w:line="448"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tbl>
      <w:tblPr>
        <w:tblLayout w:type="fixed"/>
        <w:tblInd w:w="0" w:type="dxa"/>
        <w:tblCellMar>
          <w:top w:w="0" w:type="dxa"/>
          <w:left w:w="0" w:type="dxa"/>
          <w:bottom w:w="0" w:type="dxa"/>
          <w:right w:w="0" w:type="dxa"/>
        </w:tblCellMar>
      </w:tblPr>
      <w:tr>
        <w:trPr>
          <w:trHeight w:val="149"/>
        </w:trPr>
        <w:tc>
          <w:tcPr>
            <w:tcW w:w="54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76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73"/>
              <w:spacing w:after="0" w:line="189" w:lineRule="exact"/>
              <w:rPr>
                <w:sz w:val="20"/>
                <w:szCs w:val="20"/>
                <w:color w:val="auto"/>
              </w:rPr>
            </w:pPr>
            <w:r>
              <w:rPr>
                <w:rFonts w:ascii="Arial" w:cs="Arial" w:eastAsia="Arial" w:hAnsi="Arial"/>
                <w:sz w:val="18"/>
                <w:szCs w:val="18"/>
                <w:b w:val="1"/>
                <w:bCs w:val="1"/>
                <w:color w:val="auto"/>
              </w:rPr>
              <w:t>545</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688</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1,115</w:t>
            </w:r>
          </w:p>
        </w:tc>
        <w:tc>
          <w:tcPr>
            <w:tcW w:w="28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jc w:val="right"/>
              <w:ind w:right="13"/>
              <w:spacing w:after="0" w:line="189" w:lineRule="exact"/>
              <w:rPr>
                <w:sz w:val="20"/>
                <w:szCs w:val="20"/>
                <w:color w:val="auto"/>
              </w:rPr>
            </w:pPr>
            <w:r>
              <w:rPr>
                <w:rFonts w:ascii="Arial" w:cs="Arial" w:eastAsia="Arial" w:hAnsi="Arial"/>
                <w:sz w:val="18"/>
                <w:szCs w:val="18"/>
                <w:b w:val="1"/>
                <w:bCs w:val="1"/>
                <w:color w:val="auto"/>
              </w:rPr>
              <w:t>(571)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(654)</w:t>
            </w:r>
          </w:p>
        </w:tc>
        <w:tc>
          <w:tcPr>
            <w:tcW w:w="38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(1,160)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3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73"/>
              <w:spacing w:after="0" w:line="189" w:lineRule="exact"/>
              <w:rPr>
                <w:sz w:val="20"/>
                <w:szCs w:val="20"/>
                <w:color w:val="auto"/>
              </w:rPr>
            </w:pPr>
            <w:r>
              <w:rPr>
                <w:rFonts w:ascii="Arial" w:cs="Arial" w:eastAsia="Arial" w:hAnsi="Arial"/>
                <w:sz w:val="18"/>
                <w:szCs w:val="18"/>
                <w:b w:val="1"/>
                <w:bCs w:val="1"/>
                <w:color w:val="auto"/>
              </w:rPr>
              <w:t>359</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162</w:t>
            </w:r>
          </w:p>
        </w:tc>
        <w:tc>
          <w:tcPr>
            <w:tcW w:w="3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484</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jc w:val="right"/>
              <w:ind w:right="13"/>
              <w:spacing w:after="0" w:line="189" w:lineRule="exact"/>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41</w:t>
            </w:r>
          </w:p>
        </w:tc>
        <w:tc>
          <w:tcPr>
            <w:tcW w:w="38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3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73"/>
              <w:spacing w:after="0" w:line="189" w:lineRule="exact"/>
              <w:rPr>
                <w:sz w:val="20"/>
                <w:szCs w:val="20"/>
                <w:color w:val="auto"/>
              </w:rPr>
            </w:pPr>
            <w:r>
              <w:rPr>
                <w:rFonts w:ascii="Arial" w:cs="Arial" w:eastAsia="Arial" w:hAnsi="Arial"/>
                <w:sz w:val="18"/>
                <w:szCs w:val="18"/>
                <w:b w:val="1"/>
                <w:bCs w:val="1"/>
                <w:color w:val="auto"/>
              </w:rPr>
              <w:t>42</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(24)</w:t>
            </w:r>
          </w:p>
        </w:tc>
        <w:tc>
          <w:tcPr>
            <w:tcW w:w="3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181</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5"/>
        </w:trPr>
        <w:tc>
          <w:tcPr>
            <w:tcW w:w="546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3"/>
        </w:trPr>
        <w:tc>
          <w:tcPr>
            <w:tcW w:w="54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73"/>
              <w:spacing w:after="0" w:line="189" w:lineRule="exact"/>
              <w:rPr>
                <w:sz w:val="20"/>
                <w:szCs w:val="20"/>
                <w:color w:val="auto"/>
              </w:rPr>
            </w:pPr>
            <w:r>
              <w:rPr>
                <w:rFonts w:ascii="Arial" w:cs="Arial" w:eastAsia="Arial" w:hAnsi="Arial"/>
                <w:sz w:val="18"/>
                <w:szCs w:val="18"/>
                <w:b w:val="1"/>
                <w:bCs w:val="1"/>
                <w:color w:val="auto"/>
              </w:rPr>
              <w:t>440</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194</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688</w:t>
            </w:r>
          </w:p>
        </w:tc>
        <w:tc>
          <w:tcPr>
            <w:tcW w:w="28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Net Recognized Gains (Losses) on Investments</w:t>
            </w:r>
          </w:p>
        </w:tc>
        <w:tc>
          <w:tcPr>
            <w:tcW w:w="3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1"/>
        </w:trPr>
        <w:tc>
          <w:tcPr>
            <w:tcW w:w="5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460" w:type="dxa"/>
            <w:vAlign w:val="bottom"/>
          </w:tcPr>
          <w:p>
            <w:pPr>
              <w:spacing w:after="0"/>
              <w:rPr>
                <w:sz w:val="20"/>
                <w:szCs w:val="20"/>
                <w:color w:val="auto"/>
              </w:rPr>
            </w:pPr>
            <w:r>
              <w:rPr>
                <w:rFonts w:ascii="Arial" w:cs="Arial" w:eastAsia="Arial" w:hAnsi="Arial"/>
                <w:sz w:val="18"/>
                <w:szCs w:val="18"/>
                <w:color w:val="auto"/>
              </w:rPr>
              <w:t>Net recognized gains (losses) on debt investments were as follows:</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4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5"/>
        </w:trPr>
        <w:tc>
          <w:tcPr>
            <w:tcW w:w="5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46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880" w:type="dxa"/>
            <w:vAlign w:val="bottom"/>
            <w:gridSpan w:val="2"/>
          </w:tcPr>
          <w:p>
            <w:pPr>
              <w:spacing w:after="0"/>
              <w:rPr>
                <w:sz w:val="3"/>
                <w:szCs w:val="3"/>
                <w:color w:val="auto"/>
              </w:rPr>
            </w:pPr>
          </w:p>
        </w:tc>
        <w:tc>
          <w:tcPr>
            <w:tcW w:w="280" w:type="dxa"/>
            <w:vAlign w:val="bottom"/>
            <w:gridSpan w:val="2"/>
          </w:tcPr>
          <w:p>
            <w:pPr>
              <w:spacing w:after="0"/>
              <w:rPr>
                <w:sz w:val="3"/>
                <w:szCs w:val="3"/>
                <w:color w:val="auto"/>
              </w:rPr>
            </w:pPr>
          </w:p>
        </w:tc>
        <w:tc>
          <w:tcPr>
            <w:tcW w:w="118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280" w:type="dxa"/>
            <w:vAlign w:val="bottom"/>
            <w:gridSpan w:val="2"/>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76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73"/>
              <w:spacing w:after="0" w:line="189" w:lineRule="exact"/>
              <w:rPr>
                <w:sz w:val="20"/>
                <w:szCs w:val="20"/>
                <w:color w:val="auto"/>
              </w:rPr>
            </w:pPr>
            <w:r>
              <w:rPr>
                <w:rFonts w:ascii="Arial" w:cs="Arial" w:eastAsia="Arial" w:hAnsi="Arial"/>
                <w:sz w:val="18"/>
                <w:szCs w:val="18"/>
                <w:b w:val="1"/>
                <w:bCs w:val="1"/>
                <w:color w:val="auto"/>
              </w:rPr>
              <w:t>32</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14</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51</w:t>
            </w:r>
          </w:p>
        </w:tc>
        <w:tc>
          <w:tcPr>
            <w:tcW w:w="28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Realized losses from sales of available-for-sale securities</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jc w:val="right"/>
              <w:ind w:right="13"/>
              <w:spacing w:after="0" w:line="189" w:lineRule="exact"/>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(6)</w:t>
            </w:r>
          </w:p>
        </w:tc>
        <w:tc>
          <w:tcPr>
            <w:tcW w:w="38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and allowance for credit losses</w:t>
            </w:r>
          </w:p>
        </w:tc>
        <w:tc>
          <w:tcPr>
            <w:tcW w:w="3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73"/>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3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8"/>
        </w:trPr>
        <w:tc>
          <w:tcPr>
            <w:tcW w:w="5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460" w:type="dxa"/>
            <w:vAlign w:val="bottom"/>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19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5460" w:type="dxa"/>
            <w:vAlign w:val="bottom"/>
          </w:tcPr>
          <w:p>
            <w:pPr>
              <w:spacing w:after="0"/>
              <w:rPr>
                <w:sz w:val="4"/>
                <w:szCs w:val="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0"/>
        </w:trPr>
        <w:tc>
          <w:tcPr>
            <w:tcW w:w="546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equity investments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7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7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2019</w:t>
            </w:r>
          </w:p>
        </w:tc>
        <w:tc>
          <w:tcPr>
            <w:tcW w:w="5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realized gains on investments sold</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16</w:t>
            </w:r>
          </w:p>
        </w:tc>
        <w:tc>
          <w:tcPr>
            <w:tcW w:w="4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53</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33</w:t>
            </w:r>
          </w:p>
        </w:tc>
        <w:tc>
          <w:tcPr>
            <w:tcW w:w="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8"/>
                <w:szCs w:val="18"/>
                <w:color w:val="auto"/>
              </w:rPr>
              <w:t>Net unrealized gains on investments still held</w:t>
            </w:r>
          </w:p>
        </w:tc>
        <w:tc>
          <w:tcPr>
            <w:tcW w:w="500" w:type="dxa"/>
            <w:vAlign w:val="bottom"/>
          </w:tcPr>
          <w:p>
            <w:pPr>
              <w:spacing w:after="0"/>
              <w:rPr>
                <w:sz w:val="16"/>
                <w:szCs w:val="16"/>
                <w:color w:val="auto"/>
              </w:rPr>
            </w:pPr>
          </w:p>
        </w:tc>
        <w:tc>
          <w:tcPr>
            <w:tcW w:w="72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326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111</w:t>
            </w:r>
          </w:p>
        </w:tc>
        <w:tc>
          <w:tcPr>
            <w:tcW w:w="50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426</w:t>
            </w:r>
          </w:p>
        </w:tc>
        <w:tc>
          <w:tcPr>
            <w:tcW w:w="2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of investments</w:t>
            </w:r>
          </w:p>
        </w:tc>
        <w:tc>
          <w:tcPr>
            <w:tcW w:w="500" w:type="dxa"/>
            <w:vAlign w:val="bottom"/>
            <w:shd w:val="clear" w:color="auto" w:fill="E5E5E5"/>
          </w:tcPr>
          <w:p>
            <w:pPr>
              <w:spacing w:after="0"/>
              <w:rPr>
                <w:sz w:val="16"/>
                <w:szCs w:val="16"/>
                <w:color w:val="auto"/>
              </w:rPr>
            </w:pPr>
          </w:p>
        </w:tc>
        <w:tc>
          <w:tcPr>
            <w:tcW w:w="920" w:type="dxa"/>
            <w:vAlign w:val="bottom"/>
            <w:gridSpan w:val="3"/>
            <w:shd w:val="clear" w:color="auto" w:fill="E5E5E5"/>
          </w:tcPr>
          <w:p>
            <w:pPr>
              <w:jc w:val="right"/>
              <w:ind w:right="78"/>
              <w:spacing w:after="0" w:line="189" w:lineRule="exact"/>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(9)</w:t>
            </w:r>
          </w:p>
        </w:tc>
        <w:tc>
          <w:tcPr>
            <w:tcW w:w="5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8"/>
        </w:trPr>
        <w:tc>
          <w:tcPr>
            <w:tcW w:w="57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76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57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Recorded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Short-term</w:t>
            </w:r>
          </w:p>
        </w:tc>
        <w:tc>
          <w:tcPr>
            <w:tcW w:w="10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39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and Cash</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80" w:type="dxa"/>
            <w:vAlign w:val="bottom"/>
          </w:tcPr>
          <w:p>
            <w:pPr>
              <w:spacing w:after="0"/>
              <w:rPr>
                <w:sz w:val="16"/>
                <w:szCs w:val="16"/>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Cost Basis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Basis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8"/>
              </w:rPr>
              <w:t>Equivalents</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7"/>
              </w:rPr>
              <w:t>Investments</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4"/>
              </w:rPr>
              <w:t>Investments</w:t>
            </w:r>
          </w:p>
        </w:tc>
        <w:tc>
          <w:tcPr>
            <w:tcW w:w="0" w:type="dxa"/>
            <w:vAlign w:val="bottom"/>
          </w:tcPr>
          <w:p>
            <w:pPr>
              <w:spacing w:after="0"/>
              <w:rPr>
                <w:sz w:val="1"/>
                <w:szCs w:val="1"/>
                <w:color w:val="auto"/>
              </w:rPr>
            </w:pPr>
          </w:p>
        </w:tc>
      </w:tr>
      <w:tr>
        <w:trPr>
          <w:trHeight w:val="44"/>
        </w:trPr>
        <w:tc>
          <w:tcPr>
            <w:tcW w:w="3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90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3"/>
                <w:szCs w:val="13"/>
                <w:b w:val="1"/>
                <w:bCs w:val="1"/>
                <w:color w:val="auto"/>
                <w:w w:val="96"/>
              </w:rPr>
              <w:t>Changes in Fair Value Recorded in Other Comprehensive Income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3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6,618</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6,618</w:t>
            </w:r>
          </w:p>
        </w:tc>
        <w:tc>
          <w:tcPr>
            <w:tcW w:w="1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4,638</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1,980</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760" w:type="dxa"/>
            <w:vAlign w:val="bottom"/>
          </w:tcPr>
          <w:p>
            <w:pPr>
              <w:jc w:val="center"/>
              <w:spacing w:after="0"/>
              <w:rPr>
                <w:sz w:val="20"/>
                <w:szCs w:val="20"/>
                <w:color w:val="auto"/>
              </w:rPr>
            </w:pPr>
            <w:r>
              <w:rPr>
                <w:rFonts w:ascii="Arial" w:cs="Arial" w:eastAsia="Arial" w:hAnsi="Arial"/>
                <w:sz w:val="16"/>
                <w:szCs w:val="16"/>
                <w:color w:val="auto"/>
              </w:rPr>
              <w:t>Level 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2,770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2,770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1,763</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1,007</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0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88,151</w:t>
            </w: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5,580</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(12)</w:t>
            </w:r>
          </w:p>
        </w:tc>
        <w:tc>
          <w:tcPr>
            <w:tcW w:w="14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93,719</w:t>
            </w:r>
          </w:p>
        </w:tc>
        <w:tc>
          <w:tcPr>
            <w:tcW w:w="1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1,151</w:t>
            </w:r>
          </w:p>
        </w:tc>
        <w:tc>
          <w:tcPr>
            <w:tcW w:w="1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92,568</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U.S. agency securities</w:t>
            </w:r>
          </w:p>
        </w:tc>
        <w:tc>
          <w:tcPr>
            <w:tcW w:w="760" w:type="dxa"/>
            <w:vAlign w:val="bottom"/>
          </w:tcPr>
          <w:p>
            <w:pPr>
              <w:jc w:val="center"/>
              <w:spacing w:after="0"/>
              <w:rPr>
                <w:sz w:val="20"/>
                <w:szCs w:val="20"/>
                <w:color w:val="auto"/>
              </w:rPr>
            </w:pPr>
            <w:r>
              <w:rPr>
                <w:rFonts w:ascii="Arial" w:cs="Arial" w:eastAsia="Arial" w:hAnsi="Arial"/>
                <w:sz w:val="16"/>
                <w:szCs w:val="16"/>
                <w:color w:val="auto"/>
              </w:rPr>
              <w:t>Level 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1,772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1,775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418</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1,357</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0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7,196</w:t>
            </w: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7,210</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7,210</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Mortgage- and asset-backed securities</w:t>
            </w:r>
          </w:p>
        </w:tc>
        <w:tc>
          <w:tcPr>
            <w:tcW w:w="760" w:type="dxa"/>
            <w:vAlign w:val="bottom"/>
          </w:tcPr>
          <w:p>
            <w:pPr>
              <w:jc w:val="center"/>
              <w:spacing w:after="0"/>
              <w:rPr>
                <w:sz w:val="20"/>
                <w:szCs w:val="20"/>
                <w:color w:val="auto"/>
              </w:rPr>
            </w:pPr>
            <w:r>
              <w:rPr>
                <w:rFonts w:ascii="Arial" w:cs="Arial" w:eastAsia="Arial" w:hAnsi="Arial"/>
                <w:sz w:val="16"/>
                <w:szCs w:val="16"/>
                <w:color w:val="auto"/>
              </w:rPr>
              <w:t>Level 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4,537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4,571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4,571</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0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8,010</w:t>
            </w: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353</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8,362</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8,362</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760" w:type="dxa"/>
            <w:vAlign w:val="bottom"/>
          </w:tcPr>
          <w:p>
            <w:pPr>
              <w:jc w:val="center"/>
              <w:spacing w:after="0"/>
              <w:rPr>
                <w:sz w:val="20"/>
                <w:szCs w:val="20"/>
                <w:color w:val="auto"/>
              </w:rPr>
            </w:pPr>
            <w:r>
              <w:rPr>
                <w:rFonts w:ascii="Arial" w:cs="Arial" w:eastAsia="Arial" w:hAnsi="Arial"/>
                <w:sz w:val="16"/>
                <w:szCs w:val="16"/>
                <w:color w:val="auto"/>
              </w:rPr>
              <w:t>Level 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62</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0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291</w:t>
            </w: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62</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352</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352</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6"/>
                <w:szCs w:val="16"/>
                <w:color w:val="auto"/>
              </w:rPr>
              <w:t>Municipal securities</w:t>
            </w:r>
          </w:p>
        </w:tc>
        <w:tc>
          <w:tcPr>
            <w:tcW w:w="760" w:type="dxa"/>
            <w:vAlign w:val="bottom"/>
          </w:tcPr>
          <w:p>
            <w:pPr>
              <w:jc w:val="center"/>
              <w:spacing w:after="0"/>
              <w:rPr>
                <w:sz w:val="20"/>
                <w:szCs w:val="20"/>
                <w:color w:val="auto"/>
              </w:rPr>
            </w:pPr>
            <w:r>
              <w:rPr>
                <w:rFonts w:ascii="Arial" w:cs="Arial" w:eastAsia="Arial" w:hAnsi="Arial"/>
                <w:sz w:val="16"/>
                <w:szCs w:val="16"/>
                <w:color w:val="auto"/>
              </w:rPr>
              <w:t>Level 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88</w:t>
            </w: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8"/>
        </w:trPr>
        <w:tc>
          <w:tcPr>
            <w:tcW w:w="3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760" w:type="dxa"/>
            <w:vAlign w:val="bottom"/>
            <w:shd w:val="clear" w:color="auto" w:fill="E5E5E5"/>
          </w:tcPr>
          <w:p>
            <w:pPr>
              <w:spacing w:after="0"/>
              <w:rPr>
                <w:sz w:val="16"/>
                <w:szCs w:val="16"/>
                <w:color w:val="auto"/>
              </w:rPr>
            </w:pP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119,502</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6,051</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(26)</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125,527</w:t>
            </w:r>
          </w:p>
        </w:tc>
        <w:tc>
          <w:tcPr>
            <w:tcW w:w="100" w:type="dxa"/>
            <w:vAlign w:val="bottom"/>
            <w:shd w:val="clear" w:color="auto" w:fill="E5E5E5"/>
          </w:tcPr>
          <w:p>
            <w:pPr>
              <w:spacing w:after="0"/>
              <w:rPr>
                <w:sz w:val="16"/>
                <w:szCs w:val="16"/>
                <w:color w:val="auto"/>
              </w:rPr>
            </w:pPr>
          </w:p>
        </w:tc>
        <w:tc>
          <w:tcPr>
            <w:tcW w:w="1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7,970</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117,557</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75"/>
        </w:trPr>
        <w:tc>
          <w:tcPr>
            <w:tcW w:w="390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 Income</w:t>
            </w: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90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1,655</w:t>
            </w:r>
          </w:p>
        </w:tc>
        <w:tc>
          <w:tcPr>
            <w:tcW w:w="1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897</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758</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6"/>
                <w:szCs w:val="16"/>
                <w:color w:val="auto"/>
              </w:rPr>
              <w:t>Equity investments</w:t>
            </w:r>
          </w:p>
        </w:tc>
        <w:tc>
          <w:tcPr>
            <w:tcW w:w="760" w:type="dxa"/>
            <w:vAlign w:val="bottom"/>
          </w:tcPr>
          <w:p>
            <w:pPr>
              <w:jc w:val="center"/>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3,036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3,036</w:t>
            </w:r>
          </w:p>
        </w:tc>
        <w:tc>
          <w:tcPr>
            <w:tcW w:w="0" w:type="dxa"/>
            <w:vAlign w:val="bottom"/>
          </w:tcPr>
          <w:p>
            <w:pPr>
              <w:spacing w:after="0"/>
              <w:rPr>
                <w:sz w:val="1"/>
                <w:szCs w:val="1"/>
                <w:color w:val="auto"/>
              </w:rPr>
            </w:pPr>
          </w:p>
        </w:tc>
      </w:tr>
      <w:tr>
        <w:trPr>
          <w:trHeight w:val="28"/>
        </w:trPr>
        <w:tc>
          <w:tcPr>
            <w:tcW w:w="3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7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4,691</w:t>
            </w:r>
          </w:p>
        </w:tc>
        <w:tc>
          <w:tcPr>
            <w:tcW w:w="1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897</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3,794</w:t>
            </w:r>
          </w:p>
        </w:tc>
        <w:tc>
          <w:tcPr>
            <w:tcW w:w="0" w:type="dxa"/>
            <w:vAlign w:val="bottom"/>
          </w:tcPr>
          <w:p>
            <w:pPr>
              <w:spacing w:after="0"/>
              <w:rPr>
                <w:sz w:val="1"/>
                <w:szCs w:val="1"/>
                <w:color w:val="auto"/>
              </w:rPr>
            </w:pPr>
          </w:p>
        </w:tc>
      </w:tr>
      <w:tr>
        <w:trPr>
          <w:trHeight w:val="75"/>
        </w:trPr>
        <w:tc>
          <w:tcPr>
            <w:tcW w:w="3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0"/>
                <w:szCs w:val="20"/>
                <w:color w:val="auto"/>
              </w:rPr>
            </w:pPr>
            <w:r>
              <w:rPr>
                <w:rFonts w:ascii="Arial" w:cs="Arial" w:eastAsia="Arial" w:hAnsi="Arial"/>
                <w:sz w:val="16"/>
                <w:szCs w:val="16"/>
                <w:color w:val="auto"/>
              </w:rPr>
              <w:t>Cash</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5,565</w:t>
            </w: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5,565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0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7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(21)</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(21)</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68"/>
        </w:trPr>
        <w:tc>
          <w:tcPr>
            <w:tcW w:w="39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220"/>
              <w:spacing w:after="0"/>
              <w:rPr>
                <w:sz w:val="20"/>
                <w:szCs w:val="20"/>
                <w:color w:val="auto"/>
              </w:rPr>
            </w:pPr>
            <w:r>
              <w:rPr>
                <w:rFonts w:ascii="Arial" w:cs="Arial" w:eastAsia="Arial" w:hAnsi="Arial"/>
                <w:sz w:val="16"/>
                <w:szCs w:val="16"/>
                <w:color w:val="auto"/>
              </w:rPr>
              <w:t>Total</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135,762</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14,432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117,536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3,794</w:t>
            </w:r>
          </w:p>
        </w:tc>
        <w:tc>
          <w:tcPr>
            <w:tcW w:w="0" w:type="dxa"/>
            <w:vAlign w:val="bottom"/>
          </w:tcPr>
          <w:p>
            <w:pPr>
              <w:spacing w:after="0"/>
              <w:rPr>
                <w:sz w:val="1"/>
                <w:szCs w:val="1"/>
                <w:color w:val="auto"/>
              </w:rPr>
            </w:pPr>
          </w:p>
        </w:tc>
      </w:tr>
      <w:tr>
        <w:trPr>
          <w:trHeight w:val="55"/>
        </w:trPr>
        <w:tc>
          <w:tcPr>
            <w:tcW w:w="3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9"/>
              </w:rPr>
              <w:t>12</w:t>
            </w: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7"/>
        </w:trPr>
        <w:tc>
          <w:tcPr>
            <w:tcW w:w="3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9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060" w:type="dxa"/>
            <w:vAlign w:val="bottom"/>
            <w:vMerge w:val="restart"/>
          </w:tcPr>
          <w:p>
            <w:pPr>
              <w:jc w:val="center"/>
              <w:ind w:right="21"/>
              <w:spacing w:after="0"/>
              <w:rPr>
                <w:sz w:val="20"/>
                <w:szCs w:val="20"/>
                <w:color w:val="auto"/>
              </w:rPr>
            </w:pPr>
            <w:r>
              <w:rPr>
                <w:rFonts w:ascii="Arial" w:cs="Arial" w:eastAsia="Arial" w:hAnsi="Arial"/>
                <w:sz w:val="13"/>
                <w:szCs w:val="13"/>
                <w:b w:val="1"/>
                <w:bCs w:val="1"/>
                <w:color w:val="auto"/>
                <w:w w:val="96"/>
              </w:rPr>
              <w:t>Fair Value</w:t>
            </w:r>
          </w:p>
        </w:tc>
        <w:tc>
          <w:tcPr>
            <w:tcW w:w="16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Adjusted</w:t>
            </w:r>
          </w:p>
        </w:tc>
        <w:tc>
          <w:tcPr>
            <w:tcW w:w="14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Recorded</w:t>
            </w:r>
          </w:p>
        </w:tc>
        <w:tc>
          <w:tcPr>
            <w:tcW w:w="12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Cash</w:t>
            </w: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Short-term</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and Cash</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00" w:type="dxa"/>
            <w:vAlign w:val="bottom"/>
            <w:vMerge w:val="continue"/>
          </w:tcPr>
          <w:p>
            <w:pPr>
              <w:spacing w:after="0"/>
              <w:rPr>
                <w:sz w:val="16"/>
                <w:szCs w:val="16"/>
                <w:color w:val="auto"/>
              </w:rPr>
            </w:pPr>
          </w:p>
        </w:tc>
        <w:tc>
          <w:tcPr>
            <w:tcW w:w="1060" w:type="dxa"/>
            <w:vAlign w:val="bottom"/>
          </w:tcPr>
          <w:p>
            <w:pPr>
              <w:jc w:val="center"/>
              <w:ind w:right="21"/>
              <w:spacing w:after="0"/>
              <w:rPr>
                <w:sz w:val="20"/>
                <w:szCs w:val="20"/>
                <w:color w:val="auto"/>
              </w:rPr>
            </w:pPr>
            <w:r>
              <w:rPr>
                <w:rFonts w:ascii="Arial" w:cs="Arial" w:eastAsia="Arial" w:hAnsi="Arial"/>
                <w:sz w:val="13"/>
                <w:szCs w:val="13"/>
                <w:b w:val="1"/>
                <w:bCs w:val="1"/>
                <w:color w:val="auto"/>
                <w:w w:val="96"/>
              </w:rPr>
              <w:t>Level</w:t>
            </w: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Cost Basis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Gains</w:t>
            </w:r>
          </w:p>
        </w:tc>
        <w:tc>
          <w:tcPr>
            <w:tcW w:w="2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Losses</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Basis</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Equivalents</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Investments</w:t>
            </w: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44"/>
        </w:trPr>
        <w:tc>
          <w:tcPr>
            <w:tcW w:w="28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800" w:type="dxa"/>
            <w:vAlign w:val="bottom"/>
          </w:tcPr>
          <w:p>
            <w:pPr>
              <w:spacing w:after="0"/>
              <w:rPr>
                <w:sz w:val="20"/>
                <w:szCs w:val="20"/>
                <w:color w:val="auto"/>
              </w:rPr>
            </w:pPr>
            <w:r>
              <w:rPr>
                <w:rFonts w:ascii="Arial" w:cs="Arial" w:eastAsia="Arial" w:hAnsi="Arial"/>
                <w:sz w:val="13"/>
                <w:szCs w:val="13"/>
                <w:b w:val="1"/>
                <w:bCs w:val="1"/>
                <w:color w:val="auto"/>
              </w:rPr>
              <w:t>June 30, 2020</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80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4,687</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4,688</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1,618</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3,070</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2,898</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2,898</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1,646</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92,067</w:t>
            </w: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6,495</w:t>
            </w: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w:t>
            </w: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98,561</w:t>
            </w: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3,168</w:t>
            </w:r>
          </w:p>
        </w:tc>
        <w:tc>
          <w:tcPr>
            <w:tcW w:w="1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95,393</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U.S. agency securities</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2,439</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2,441</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1,992</w:t>
            </w: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6,982</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w:t>
            </w:r>
          </w:p>
        </w:tc>
        <w:tc>
          <w:tcPr>
            <w:tcW w:w="2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(3)</w:t>
            </w: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6,985</w:t>
            </w: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w:t>
            </w:r>
          </w:p>
        </w:tc>
        <w:tc>
          <w:tcPr>
            <w:tcW w:w="1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6,984</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1"/>
        </w:trPr>
        <w:tc>
          <w:tcPr>
            <w:tcW w:w="2800" w:type="dxa"/>
            <w:vAlign w:val="bottom"/>
          </w:tcPr>
          <w:p>
            <w:pPr>
              <w:spacing w:after="0" w:line="171" w:lineRule="exact"/>
              <w:rPr>
                <w:sz w:val="20"/>
                <w:szCs w:val="20"/>
                <w:color w:val="auto"/>
              </w:rPr>
            </w:pPr>
            <w:r>
              <w:rPr>
                <w:rFonts w:ascii="Arial" w:cs="Arial" w:eastAsia="Arial" w:hAnsi="Arial"/>
                <w:sz w:val="16"/>
                <w:szCs w:val="16"/>
                <w:color w:val="auto"/>
              </w:rPr>
              <w:t>Mortgage- and asset-backed</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80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4,865</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4,900</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4,900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8,500</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327</w:t>
            </w:r>
          </w:p>
        </w:tc>
        <w:tc>
          <w:tcPr>
            <w:tcW w:w="2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(17)</w:t>
            </w: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8,810</w:t>
            </w: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8,810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313</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57</w:t>
            </w:r>
          </w:p>
        </w:tc>
        <w:tc>
          <w:tcPr>
            <w:tcW w:w="2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(4)</w:t>
            </w: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9"/>
        </w:trPr>
        <w:tc>
          <w:tcPr>
            <w:tcW w:w="2800" w:type="dxa"/>
            <w:vAlign w:val="bottom"/>
          </w:tcPr>
          <w:p>
            <w:pPr>
              <w:spacing w:after="0"/>
              <w:rPr>
                <w:sz w:val="20"/>
                <w:szCs w:val="20"/>
                <w:color w:val="auto"/>
              </w:rPr>
            </w:pPr>
            <w:r>
              <w:rPr>
                <w:rFonts w:ascii="Arial" w:cs="Arial" w:eastAsia="Arial" w:hAnsi="Arial"/>
                <w:sz w:val="16"/>
                <w:szCs w:val="16"/>
                <w:color w:val="auto"/>
              </w:rPr>
              <w:t>Municipal securities</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8"/>
        </w:trPr>
        <w:tc>
          <w:tcPr>
            <w:tcW w:w="28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106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122,900</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6,929</w:t>
            </w:r>
          </w:p>
        </w:tc>
        <w:tc>
          <w:tcPr>
            <w:tcW w:w="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(31)</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129,798</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6,882</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122,916</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4"/>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10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06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1,198</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9"/>
        </w:trPr>
        <w:tc>
          <w:tcPr>
            <w:tcW w:w="2800" w:type="dxa"/>
            <w:vAlign w:val="bottom"/>
          </w:tcPr>
          <w:p>
            <w:pPr>
              <w:spacing w:after="0"/>
              <w:rPr>
                <w:sz w:val="20"/>
                <w:szCs w:val="20"/>
                <w:color w:val="auto"/>
              </w:rPr>
            </w:pPr>
            <w:r>
              <w:rPr>
                <w:rFonts w:ascii="Arial" w:cs="Arial" w:eastAsia="Arial" w:hAnsi="Arial"/>
                <w:sz w:val="16"/>
                <w:szCs w:val="16"/>
                <w:color w:val="auto"/>
              </w:rPr>
              <w:t>Equity investments</w:t>
            </w:r>
          </w:p>
        </w:tc>
        <w:tc>
          <w:tcPr>
            <w:tcW w:w="1060" w:type="dxa"/>
            <w:vAlign w:val="bottom"/>
          </w:tcPr>
          <w:p>
            <w:pPr>
              <w:jc w:val="center"/>
              <w:ind w:right="21"/>
              <w:spacing w:after="0"/>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2,551</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38"/>
        </w:trPr>
        <w:tc>
          <w:tcPr>
            <w:tcW w:w="28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10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3,749</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r>
        <w:trPr>
          <w:trHeight w:val="74"/>
        </w:trPr>
        <w:tc>
          <w:tcPr>
            <w:tcW w:w="2800" w:type="dxa"/>
            <w:vAlign w:val="bottom"/>
            <w:vMerge w:val="restart"/>
          </w:tcPr>
          <w:p>
            <w:pPr>
              <w:spacing w:after="0"/>
              <w:rPr>
                <w:sz w:val="20"/>
                <w:szCs w:val="20"/>
                <w:color w:val="auto"/>
              </w:rPr>
            </w:pPr>
            <w:r>
              <w:rPr>
                <w:rFonts w:ascii="Arial" w:cs="Arial" w:eastAsia="Arial" w:hAnsi="Arial"/>
                <w:sz w:val="16"/>
                <w:szCs w:val="16"/>
                <w:color w:val="auto"/>
              </w:rPr>
              <w:t>Cash</w:t>
            </w: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00" w:type="dxa"/>
            <w:vAlign w:val="bottom"/>
            <w:vMerge w:val="continue"/>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5,910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5,910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10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35</w:t>
            </w: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35</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8"/>
        </w:trPr>
        <w:tc>
          <w:tcPr>
            <w:tcW w:w="28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800" w:type="dxa"/>
            <w:vAlign w:val="bottom"/>
          </w:tcPr>
          <w:p>
            <w:pPr>
              <w:ind w:left="220"/>
              <w:spacing w:after="0"/>
              <w:rPr>
                <w:sz w:val="20"/>
                <w:szCs w:val="20"/>
                <w:color w:val="auto"/>
              </w:rPr>
            </w:pPr>
            <w:r>
              <w:rPr>
                <w:rFonts w:ascii="Arial" w:cs="Arial" w:eastAsia="Arial" w:hAnsi="Arial"/>
                <w:sz w:val="16"/>
                <w:szCs w:val="16"/>
                <w:color w:val="auto"/>
              </w:rPr>
              <w:t>Total</w:t>
            </w: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139,492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13,576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122,951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35560</wp:posOffset>
            </wp:positionV>
            <wp:extent cx="25717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23"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December 31, 2020 and June 30, 2020, equity investments without readily determinable fair values measured at cost with adjustments for observable changes in price or impairments were $1.5 billion and $1.4 billion,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6"/>
                <w:szCs w:val="16"/>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3"/>
                <w:szCs w:val="3"/>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90"/>
        </w:trPr>
        <w:tc>
          <w:tcPr>
            <w:tcW w:w="35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45"/>
        </w:trPr>
        <w:tc>
          <w:tcPr>
            <w:tcW w:w="3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56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2,777</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2,777</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1,708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1,708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1,148</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1,148</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5,914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49"/>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7"/>
        </w:trPr>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7"/>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5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6"/>
                <w:szCs w:val="16"/>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4"/>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3"/>
                <w:szCs w:val="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90"/>
        </w:trPr>
        <w:tc>
          <w:tcPr>
            <w:tcW w:w="35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45"/>
        </w:trPr>
        <w:tc>
          <w:tcPr>
            <w:tcW w:w="3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r>
              <w:rPr>
                <w:rFonts w:ascii="Arial" w:cs="Arial" w:eastAsia="Arial" w:hAnsi="Arial"/>
                <w:sz w:val="13"/>
                <w:szCs w:val="13"/>
                <w:b w:val="1"/>
                <w:bCs w:val="1"/>
                <w:color w:val="auto"/>
              </w:rPr>
              <w:t>June 30, 2020</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2,323</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2,323</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500</w:t>
            </w: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1,014</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1,014</w:t>
            </w: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649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649</w:t>
            </w: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66</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66</w:t>
            </w: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4,552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57"/>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Adjusted</w:t>
            </w:r>
          </w:p>
        </w:tc>
        <w:tc>
          <w:tcPr>
            <w:tcW w:w="46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90"/>
        </w:trPr>
        <w:tc>
          <w:tcPr>
            <w:tcW w:w="80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 Basis</w:t>
            </w:r>
          </w:p>
        </w:tc>
        <w:tc>
          <w:tcPr>
            <w:tcW w:w="4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45"/>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00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8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29,516</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29,559</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460" w:type="dxa"/>
            <w:vAlign w:val="bottom"/>
          </w:tcPr>
          <w:p>
            <w:pPr>
              <w:spacing w:after="0"/>
              <w:rPr>
                <w:sz w:val="16"/>
                <w:szCs w:val="16"/>
                <w:color w:val="auto"/>
              </w:rPr>
            </w:pPr>
          </w:p>
        </w:tc>
        <w:tc>
          <w:tcPr>
            <w:tcW w:w="12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58,954</w:t>
            </w:r>
          </w:p>
        </w:tc>
        <w:tc>
          <w:tcPr>
            <w:tcW w:w="46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62,275</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460" w:type="dxa"/>
            <w:vAlign w:val="bottom"/>
            <w:shd w:val="clear" w:color="auto" w:fill="E5E5E5"/>
          </w:tcPr>
          <w:p>
            <w:pPr>
              <w:spacing w:after="0"/>
              <w:rPr>
                <w:sz w:val="16"/>
                <w:szCs w:val="16"/>
                <w:color w:val="auto"/>
              </w:rPr>
            </w:pP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28,343</w:t>
            </w:r>
          </w:p>
        </w:tc>
        <w:tc>
          <w:tcPr>
            <w:tcW w:w="4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30,824</w:t>
            </w:r>
          </w:p>
        </w:tc>
        <w:tc>
          <w:tcPr>
            <w:tcW w:w="0" w:type="dxa"/>
            <w:vAlign w:val="bottom"/>
          </w:tcPr>
          <w:p>
            <w:pPr>
              <w:spacing w:after="0"/>
              <w:rPr>
                <w:sz w:val="1"/>
                <w:szCs w:val="1"/>
                <w:color w:val="auto"/>
              </w:rPr>
            </w:pPr>
          </w:p>
        </w:tc>
      </w:tr>
      <w:tr>
        <w:trPr>
          <w:trHeight w:val="255"/>
        </w:trPr>
        <w:tc>
          <w:tcPr>
            <w:tcW w:w="8000" w:type="dxa"/>
            <w:vAlign w:val="bottom"/>
          </w:tcPr>
          <w:p>
            <w:pPr>
              <w:spacing w:after="0"/>
              <w:rPr>
                <w:sz w:val="20"/>
                <w:szCs w:val="20"/>
                <w:color w:val="auto"/>
              </w:rPr>
            </w:pPr>
            <w:r>
              <w:rPr>
                <w:rFonts w:ascii="Arial" w:cs="Arial" w:eastAsia="Arial" w:hAnsi="Arial"/>
                <w:sz w:val="18"/>
                <w:szCs w:val="18"/>
                <w:color w:val="auto"/>
              </w:rPr>
              <w:t>Due after 10 years</w:t>
            </w:r>
          </w:p>
        </w:tc>
        <w:tc>
          <w:tcPr>
            <w:tcW w:w="4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2,689</w:t>
            </w:r>
          </w:p>
        </w:tc>
        <w:tc>
          <w:tcPr>
            <w:tcW w:w="4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2,869</w:t>
            </w:r>
          </w:p>
        </w:tc>
        <w:tc>
          <w:tcPr>
            <w:tcW w:w="0" w:type="dxa"/>
            <w:vAlign w:val="bottom"/>
          </w:tcPr>
          <w:p>
            <w:pPr>
              <w:spacing w:after="0"/>
              <w:rPr>
                <w:sz w:val="1"/>
                <w:szCs w:val="1"/>
                <w:color w:val="auto"/>
              </w:rPr>
            </w:pPr>
          </w:p>
        </w:tc>
      </w:tr>
      <w:tr>
        <w:trPr>
          <w:trHeight w:val="63"/>
        </w:trPr>
        <w:tc>
          <w:tcPr>
            <w:tcW w:w="80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119,502</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125,527</w:t>
            </w:r>
          </w:p>
        </w:tc>
        <w:tc>
          <w:tcPr>
            <w:tcW w:w="0" w:type="dxa"/>
            <w:vAlign w:val="bottom"/>
          </w:tcPr>
          <w:p>
            <w:pPr>
              <w:spacing w:after="0"/>
              <w:rPr>
                <w:sz w:val="1"/>
                <w:szCs w:val="1"/>
                <w:color w:val="auto"/>
              </w:rPr>
            </w:pPr>
          </w:p>
        </w:tc>
      </w:tr>
      <w:tr>
        <w:trPr>
          <w:trHeight w:val="74"/>
        </w:trPr>
        <w:tc>
          <w:tcPr>
            <w:tcW w:w="80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the past, option and forward contracts were used to hedge a portion of forecasted international revenue and were designated as cash flow hedging instruments. Principal currencies hedged included the Euro, Japanese yen, British pound, Canadian dollar, and Australian dollar.</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 -counter swap and option contracts. These contracts are not designated as hedging instruments and are included in “Other contracts” in the tables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 and are included in “Other contracts” in the tables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December 31, 2020, our long-term unsecured debt rating was AAA, and cash investments were in excess of $1.0 billion. As a result, no collateral was required to be posted.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0808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jc w:val="right"/>
              <w:ind w:right="15"/>
              <w:spacing w:after="0"/>
              <w:rPr>
                <w:sz w:val="20"/>
                <w:szCs w:val="20"/>
                <w:color w:val="auto"/>
              </w:rPr>
            </w:pPr>
            <w:r>
              <w:rPr>
                <w:rFonts w:ascii="Arial" w:cs="Arial" w:eastAsia="Arial" w:hAnsi="Arial"/>
                <w:sz w:val="13"/>
                <w:szCs w:val="13"/>
                <w:b w:val="1"/>
                <w:bCs w:val="1"/>
                <w:color w:val="auto"/>
              </w:rPr>
              <w:t>December 31,</w:t>
            </w:r>
          </w:p>
        </w:tc>
        <w:tc>
          <w:tcPr>
            <w:tcW w:w="620" w:type="dxa"/>
            <w:vAlign w:val="bottom"/>
          </w:tcPr>
          <w:p>
            <w:pPr>
              <w:spacing w:after="0"/>
              <w:rPr>
                <w:sz w:val="13"/>
                <w:szCs w:val="13"/>
                <w:color w:val="auto"/>
              </w:rPr>
            </w:pPr>
          </w:p>
        </w:tc>
        <w:tc>
          <w:tcPr>
            <w:tcW w:w="1020" w:type="dxa"/>
            <w:vAlign w:val="bottom"/>
            <w:gridSpan w:val="2"/>
          </w:tcPr>
          <w:p>
            <w:pPr>
              <w:ind w:left="400"/>
              <w:spacing w:after="0"/>
              <w:rPr>
                <w:sz w:val="20"/>
                <w:szCs w:val="20"/>
                <w:color w:val="auto"/>
              </w:rPr>
            </w:pPr>
            <w:r>
              <w:rPr>
                <w:rFonts w:ascii="Arial" w:cs="Arial" w:eastAsia="Arial" w:hAnsi="Arial"/>
                <w:sz w:val="13"/>
                <w:szCs w:val="13"/>
                <w:b w:val="1"/>
                <w:bCs w:val="1"/>
                <w:color w:val="auto"/>
              </w:rPr>
              <w:t>June 30,</w:t>
            </w:r>
          </w:p>
        </w:tc>
      </w:tr>
      <w:tr>
        <w:trPr>
          <w:trHeight w:val="190"/>
        </w:trPr>
        <w:tc>
          <w:tcPr>
            <w:tcW w:w="43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40" w:type="dxa"/>
            <w:vAlign w:val="bottom"/>
          </w:tcPr>
          <w:p>
            <w:pPr>
              <w:jc w:val="right"/>
              <w:ind w:right="15"/>
              <w:spacing w:after="0"/>
              <w:rPr>
                <w:sz w:val="20"/>
                <w:szCs w:val="20"/>
                <w:color w:val="auto"/>
              </w:rPr>
            </w:pPr>
            <w:r>
              <w:rPr>
                <w:rFonts w:ascii="Arial" w:cs="Arial" w:eastAsia="Arial" w:hAnsi="Arial"/>
                <w:sz w:val="13"/>
                <w:szCs w:val="13"/>
                <w:b w:val="1"/>
                <w:bCs w:val="1"/>
                <w:color w:val="auto"/>
              </w:rPr>
              <w:t>2020</w:t>
            </w:r>
          </w:p>
        </w:tc>
        <w:tc>
          <w:tcPr>
            <w:tcW w:w="6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r>
      <w:tr>
        <w:trPr>
          <w:trHeight w:val="216"/>
        </w:trPr>
        <w:tc>
          <w:tcPr>
            <w:tcW w:w="434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4"/>
        </w:trPr>
        <w:tc>
          <w:tcPr>
            <w:tcW w:w="434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020" w:type="dxa"/>
            <w:vAlign w:val="bottom"/>
            <w:shd w:val="clear" w:color="auto" w:fill="E5E5E5"/>
          </w:tcPr>
          <w:p>
            <w:pPr>
              <w:jc w:val="right"/>
              <w:ind w:right="159"/>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635</w:t>
            </w:r>
          </w:p>
        </w:tc>
        <w:tc>
          <w:tcPr>
            <w:tcW w:w="62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635</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020" w:type="dxa"/>
            <w:vAlign w:val="bottom"/>
          </w:tcPr>
          <w:p>
            <w:pPr>
              <w:spacing w:after="0"/>
              <w:rPr>
                <w:sz w:val="16"/>
                <w:szCs w:val="16"/>
                <w:color w:val="auto"/>
              </w:rPr>
            </w:pPr>
          </w:p>
        </w:tc>
        <w:tc>
          <w:tcPr>
            <w:tcW w:w="124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6,953</w:t>
            </w:r>
          </w:p>
        </w:tc>
        <w:tc>
          <w:tcPr>
            <w:tcW w:w="620" w:type="dxa"/>
            <w:vAlign w:val="bottom"/>
          </w:tcPr>
          <w:p>
            <w:pPr>
              <w:spacing w:after="0"/>
              <w:rPr>
                <w:sz w:val="16"/>
                <w:szCs w:val="16"/>
                <w:color w:val="auto"/>
              </w:rPr>
            </w:pP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6,754</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 purchased</w:t>
            </w:r>
          </w:p>
        </w:tc>
        <w:tc>
          <w:tcPr>
            <w:tcW w:w="4020" w:type="dxa"/>
            <w:vAlign w:val="bottom"/>
            <w:shd w:val="clear" w:color="auto" w:fill="E5E5E5"/>
          </w:tcPr>
          <w:p>
            <w:pPr>
              <w:spacing w:after="0"/>
              <w:rPr>
                <w:sz w:val="16"/>
                <w:szCs w:val="16"/>
                <w:color w:val="auto"/>
              </w:rPr>
            </w:pPr>
          </w:p>
        </w:tc>
        <w:tc>
          <w:tcPr>
            <w:tcW w:w="12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1,283</w:t>
            </w:r>
          </w:p>
        </w:tc>
        <w:tc>
          <w:tcPr>
            <w:tcW w:w="6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1,295</w:t>
            </w:r>
          </w:p>
        </w:tc>
      </w:tr>
      <w:tr>
        <w:trPr>
          <w:trHeight w:val="239"/>
        </w:trPr>
        <w:tc>
          <w:tcPr>
            <w:tcW w:w="43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4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
        </w:trPr>
        <w:tc>
          <w:tcPr>
            <w:tcW w:w="434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020" w:type="dxa"/>
            <w:vAlign w:val="bottom"/>
            <w:shd w:val="clear" w:color="auto" w:fill="E5E5E5"/>
          </w:tcPr>
          <w:p>
            <w:pPr>
              <w:spacing w:after="0"/>
              <w:rPr>
                <w:sz w:val="16"/>
                <w:szCs w:val="16"/>
                <w:color w:val="auto"/>
              </w:rPr>
            </w:pPr>
          </w:p>
        </w:tc>
        <w:tc>
          <w:tcPr>
            <w:tcW w:w="12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11,247</w:t>
            </w:r>
          </w:p>
        </w:tc>
        <w:tc>
          <w:tcPr>
            <w:tcW w:w="6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11,896</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020" w:type="dxa"/>
            <w:vAlign w:val="bottom"/>
          </w:tcPr>
          <w:p>
            <w:pPr>
              <w:spacing w:after="0"/>
              <w:rPr>
                <w:sz w:val="16"/>
                <w:szCs w:val="16"/>
                <w:color w:val="auto"/>
              </w:rPr>
            </w:pPr>
          </w:p>
        </w:tc>
        <w:tc>
          <w:tcPr>
            <w:tcW w:w="124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14,598</w:t>
            </w:r>
          </w:p>
        </w:tc>
        <w:tc>
          <w:tcPr>
            <w:tcW w:w="620" w:type="dxa"/>
            <w:vAlign w:val="bottom"/>
          </w:tcPr>
          <w:p>
            <w:pPr>
              <w:spacing w:after="0"/>
              <w:rPr>
                <w:sz w:val="16"/>
                <w:szCs w:val="16"/>
                <w:color w:val="auto"/>
              </w:rPr>
            </w:pP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15,595</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 purchased</w:t>
            </w:r>
          </w:p>
        </w:tc>
        <w:tc>
          <w:tcPr>
            <w:tcW w:w="4020" w:type="dxa"/>
            <w:vAlign w:val="bottom"/>
            <w:shd w:val="clear" w:color="auto" w:fill="E5E5E5"/>
          </w:tcPr>
          <w:p>
            <w:pPr>
              <w:spacing w:after="0"/>
              <w:rPr>
                <w:sz w:val="16"/>
                <w:szCs w:val="16"/>
                <w:color w:val="auto"/>
              </w:rPr>
            </w:pPr>
          </w:p>
        </w:tc>
        <w:tc>
          <w:tcPr>
            <w:tcW w:w="12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2,350</w:t>
            </w:r>
          </w:p>
        </w:tc>
        <w:tc>
          <w:tcPr>
            <w:tcW w:w="6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1,844</w:t>
            </w:r>
          </w:p>
        </w:tc>
      </w:tr>
      <w:tr>
        <w:trPr>
          <w:trHeight w:val="255"/>
        </w:trPr>
        <w:tc>
          <w:tcPr>
            <w:tcW w:w="4340" w:type="dxa"/>
            <w:vAlign w:val="bottom"/>
          </w:tcPr>
          <w:p>
            <w:pPr>
              <w:spacing w:after="0"/>
              <w:rPr>
                <w:sz w:val="20"/>
                <w:szCs w:val="20"/>
                <w:color w:val="auto"/>
              </w:rPr>
            </w:pPr>
            <w:r>
              <w:rPr>
                <w:rFonts w:ascii="Arial" w:cs="Arial" w:eastAsia="Arial" w:hAnsi="Arial"/>
                <w:sz w:val="18"/>
                <w:szCs w:val="18"/>
                <w:color w:val="auto"/>
              </w:rPr>
              <w:t>Other contracts sold</w:t>
            </w:r>
          </w:p>
        </w:tc>
        <w:tc>
          <w:tcPr>
            <w:tcW w:w="402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b w:val="1"/>
                <w:bCs w:val="1"/>
                <w:color w:val="auto"/>
              </w:rPr>
              <w:t>745</w:t>
            </w:r>
          </w:p>
        </w:tc>
        <w:tc>
          <w:tcPr>
            <w:tcW w:w="6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r>
      <w:tr>
        <w:trPr>
          <w:trHeight w:val="662"/>
        </w:trPr>
        <w:tc>
          <w:tcPr>
            <w:tcW w:w="4340" w:type="dxa"/>
            <w:vAlign w:val="bottom"/>
            <w:tcBorders>
              <w:top w:val="single" w:sz="8" w:color="auto"/>
            </w:tcBorders>
          </w:tcPr>
          <w:p>
            <w:pPr>
              <w:spacing w:after="0"/>
              <w:rPr>
                <w:sz w:val="24"/>
                <w:szCs w:val="24"/>
                <w:color w:val="auto"/>
              </w:rPr>
            </w:pPr>
          </w:p>
        </w:tc>
        <w:tc>
          <w:tcPr>
            <w:tcW w:w="4020" w:type="dxa"/>
            <w:vAlign w:val="bottom"/>
            <w:tcBorders>
              <w:top w:val="single" w:sz="8" w:color="auto"/>
            </w:tcBorders>
          </w:tcPr>
          <w:p>
            <w:pPr>
              <w:jc w:val="right"/>
              <w:ind w:right="2579"/>
              <w:spacing w:after="0"/>
              <w:rPr>
                <w:sz w:val="20"/>
                <w:szCs w:val="20"/>
                <w:color w:val="auto"/>
              </w:rPr>
            </w:pPr>
            <w:r>
              <w:rPr>
                <w:rFonts w:ascii="Arial" w:cs="Arial" w:eastAsia="Arial" w:hAnsi="Arial"/>
                <w:sz w:val="14"/>
                <w:szCs w:val="14"/>
                <w:color w:val="auto"/>
              </w:rPr>
              <w:t>15</w:t>
            </w:r>
          </w:p>
        </w:tc>
        <w:tc>
          <w:tcPr>
            <w:tcW w:w="1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96"/>
        </w:trPr>
        <w:tc>
          <w:tcPr>
            <w:tcW w:w="434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Assets</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45"/>
        </w:trPr>
        <w:tc>
          <w:tcPr>
            <w:tcW w:w="5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(72)</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77</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5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409</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(463)</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245</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8"/>
                <w:szCs w:val="18"/>
                <w:color w:val="auto"/>
              </w:rPr>
              <w:t>Other contracts</w:t>
            </w:r>
          </w:p>
        </w:tc>
        <w:tc>
          <w:tcPr>
            <w:tcW w:w="28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44</w:t>
            </w:r>
          </w:p>
        </w:tc>
        <w:tc>
          <w:tcPr>
            <w:tcW w:w="18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2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63"/>
        </w:trPr>
        <w:tc>
          <w:tcPr>
            <w:tcW w:w="59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Gross amounts of derivatives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544</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(544)</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400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Gross amounts of derivatives offset in the balance sheet</w:t>
            </w:r>
          </w:p>
        </w:tc>
        <w:tc>
          <w:tcPr>
            <w:tcW w:w="280" w:type="dxa"/>
            <w:vAlign w:val="bottom"/>
          </w:tcPr>
          <w:p>
            <w:pPr>
              <w:spacing w:after="0"/>
              <w:rPr>
                <w:sz w:val="16"/>
                <w:szCs w:val="16"/>
                <w:color w:val="auto"/>
              </w:rPr>
            </w:pP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(157)</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158</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(154)</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collateral received</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(288)</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980" w:type="dxa"/>
            <w:vAlign w:val="bottom"/>
          </w:tcPr>
          <w:p>
            <w:pPr>
              <w:ind w:left="220"/>
              <w:spacing w:after="0"/>
              <w:rPr>
                <w:sz w:val="20"/>
                <w:szCs w:val="20"/>
                <w:color w:val="auto"/>
              </w:rPr>
            </w:pPr>
            <w:r>
              <w:rPr>
                <w:rFonts w:ascii="Arial" w:cs="Arial" w:eastAsia="Arial" w:hAnsi="Arial"/>
                <w:sz w:val="18"/>
                <w:szCs w:val="18"/>
                <w:color w:val="auto"/>
              </w:rPr>
              <w:t>Net amounts of derivatives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387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49"/>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59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(21)</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320</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199</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88</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(648)</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387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49"/>
        </w:trPr>
        <w:tc>
          <w:tcPr>
            <w:tcW w:w="59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$540 million and $544 million, respectively, as of December 31, 2020, and $399 million and $399 million, respectively, as of June 30, 2020.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20" w:type="dxa"/>
            <w:vAlign w:val="bottom"/>
          </w:tcPr>
          <w:p>
            <w:pPr>
              <w:spacing w:after="0"/>
              <w:rPr>
                <w:sz w:val="16"/>
                <w:szCs w:val="16"/>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6"/>
                <w:szCs w:val="16"/>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6"/>
                <w:szCs w:val="16"/>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3</w:t>
            </w:r>
          </w:p>
        </w:tc>
        <w:tc>
          <w:tcPr>
            <w:tcW w:w="5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45"/>
        </w:trPr>
        <w:tc>
          <w:tcPr>
            <w:tcW w:w="35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3"/>
        </w:trPr>
        <w:tc>
          <w:tcPr>
            <w:tcW w:w="354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2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
        </w:trPr>
        <w:tc>
          <w:tcPr>
            <w:tcW w:w="35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jc w:val="right"/>
              <w:ind w:right="199"/>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1</w:t>
            </w:r>
          </w:p>
        </w:tc>
        <w:tc>
          <w:tcPr>
            <w:tcW w:w="50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542</w:t>
            </w:r>
          </w:p>
        </w:tc>
        <w:tc>
          <w:tcPr>
            <w:tcW w:w="46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w:t>
            </w:r>
          </w:p>
        </w:tc>
        <w:tc>
          <w:tcPr>
            <w:tcW w:w="5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544</w:t>
            </w:r>
          </w:p>
        </w:tc>
      </w:tr>
      <w:tr>
        <w:trPr>
          <w:trHeight w:val="238"/>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0"/>
                <w:szCs w:val="20"/>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(544)</w:t>
            </w:r>
          </w:p>
        </w:tc>
        <w:tc>
          <w:tcPr>
            <w:tcW w:w="46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5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(544)</w:t>
            </w:r>
          </w:p>
        </w:tc>
      </w:tr>
      <w:tr>
        <w:trPr>
          <w:trHeight w:val="190"/>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2020</w:t>
            </w:r>
          </w:p>
        </w:tc>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4"/>
        </w:trPr>
        <w:tc>
          <w:tcPr>
            <w:tcW w:w="35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1</w:t>
            </w:r>
          </w:p>
        </w:tc>
        <w:tc>
          <w:tcPr>
            <w:tcW w:w="5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398</w:t>
            </w:r>
          </w:p>
        </w:tc>
        <w:tc>
          <w:tcPr>
            <w:tcW w:w="46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1</w:t>
            </w:r>
          </w:p>
        </w:tc>
        <w:tc>
          <w:tcPr>
            <w:tcW w:w="5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400</w:t>
            </w:r>
          </w:p>
        </w:tc>
      </w:tr>
      <w:tr>
        <w:trPr>
          <w:trHeight w:val="250"/>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w:t>
            </w:r>
          </w:p>
        </w:tc>
        <w:tc>
          <w:tcPr>
            <w:tcW w:w="46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r>
      <w:tr>
        <w:trPr>
          <w:trHeight w:val="599"/>
        </w:trPr>
        <w:tc>
          <w:tcPr>
            <w:tcW w:w="354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jc w:val="right"/>
              <w:ind w:right="579"/>
              <w:spacing w:after="0"/>
              <w:rPr>
                <w:sz w:val="20"/>
                <w:szCs w:val="20"/>
                <w:color w:val="auto"/>
              </w:rPr>
            </w:pPr>
            <w:r>
              <w:rPr>
                <w:rFonts w:ascii="Arial" w:cs="Arial" w:eastAsia="Arial" w:hAnsi="Arial"/>
                <w:sz w:val="14"/>
                <w:szCs w:val="14"/>
                <w:color w:val="auto"/>
              </w:rPr>
              <w:t>16</w:t>
            </w: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6"/>
        </w:trPr>
        <w:tc>
          <w:tcPr>
            <w:tcW w:w="354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our consolidated income statements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3"/>
          </w:tcPr>
          <w:p>
            <w:pPr>
              <w:jc w:val="right"/>
              <w:ind w:right="38"/>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jc w:val="right"/>
              <w:ind w:right="38"/>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b w:val="1"/>
                <w:bCs w:val="1"/>
                <w:color w:val="auto"/>
              </w:rPr>
              <w:t>Income</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Income</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rPr>
              <w:t>Income</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48"/>
        </w:trPr>
        <w:tc>
          <w:tcPr>
            <w:tcW w:w="31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2"/>
                <w:szCs w:val="12"/>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3"/>
                <w:szCs w:val="13"/>
                <w:b w:val="1"/>
                <w:bCs w:val="1"/>
                <w:color w:val="auto"/>
              </w:rPr>
              <w:t>Revenue</w:t>
            </w:r>
          </w:p>
        </w:tc>
        <w:tc>
          <w:tcPr>
            <w:tcW w:w="240" w:type="dxa"/>
            <w:vAlign w:val="bottom"/>
          </w:tcPr>
          <w:p>
            <w:pPr>
              <w:spacing w:after="0"/>
              <w:rPr>
                <w:sz w:val="12"/>
                <w:szCs w:val="12"/>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b w:val="1"/>
                <w:bCs w:val="1"/>
                <w:color w:val="auto"/>
              </w:rPr>
              <w:t>(Expense),</w:t>
            </w:r>
          </w:p>
        </w:tc>
        <w:tc>
          <w:tcPr>
            <w:tcW w:w="260" w:type="dxa"/>
            <w:vAlign w:val="bottom"/>
          </w:tcPr>
          <w:p>
            <w:pPr>
              <w:spacing w:after="0"/>
              <w:rPr>
                <w:sz w:val="12"/>
                <w:szCs w:val="12"/>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Revenue</w:t>
            </w:r>
          </w:p>
        </w:tc>
        <w:tc>
          <w:tcPr>
            <w:tcW w:w="260" w:type="dxa"/>
            <w:vAlign w:val="bottom"/>
          </w:tcPr>
          <w:p>
            <w:pPr>
              <w:spacing w:after="0"/>
              <w:rPr>
                <w:sz w:val="12"/>
                <w:szCs w:val="1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(Expense),</w:t>
            </w:r>
          </w:p>
        </w:tc>
        <w:tc>
          <w:tcPr>
            <w:tcW w:w="240" w:type="dxa"/>
            <w:vAlign w:val="bottom"/>
          </w:tcPr>
          <w:p>
            <w:pPr>
              <w:spacing w:after="0"/>
              <w:rPr>
                <w:sz w:val="12"/>
                <w:szCs w:val="12"/>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3"/>
                <w:szCs w:val="13"/>
                <w:b w:val="1"/>
                <w:bCs w:val="1"/>
                <w:color w:val="auto"/>
              </w:rPr>
              <w:t>Revenue</w:t>
            </w:r>
          </w:p>
        </w:tc>
        <w:tc>
          <w:tcPr>
            <w:tcW w:w="240" w:type="dxa"/>
            <w:vAlign w:val="bottom"/>
          </w:tcPr>
          <w:p>
            <w:pPr>
              <w:spacing w:after="0"/>
              <w:rPr>
                <w:sz w:val="12"/>
                <w:szCs w:val="12"/>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w w:val="94"/>
              </w:rPr>
              <w:t>(Expense),</w:t>
            </w:r>
          </w:p>
        </w:tc>
        <w:tc>
          <w:tcPr>
            <w:tcW w:w="240" w:type="dxa"/>
            <w:vAlign w:val="bottom"/>
          </w:tcPr>
          <w:p>
            <w:pPr>
              <w:spacing w:after="0"/>
              <w:rPr>
                <w:sz w:val="12"/>
                <w:szCs w:val="12"/>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Revenue</w:t>
            </w:r>
          </w:p>
        </w:tc>
        <w:tc>
          <w:tcPr>
            <w:tcW w:w="24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7"/>
              </w:rPr>
              <w:t>(Expense),</w:t>
            </w:r>
          </w:p>
        </w:tc>
        <w:tc>
          <w:tcPr>
            <w:tcW w:w="0" w:type="dxa"/>
            <w:vAlign w:val="bottom"/>
          </w:tcPr>
          <w:p>
            <w:pPr>
              <w:spacing w:after="0"/>
              <w:rPr>
                <w:sz w:val="1"/>
                <w:szCs w:val="1"/>
                <w:color w:val="auto"/>
              </w:rPr>
            </w:pPr>
          </w:p>
        </w:tc>
      </w:tr>
      <w:tr>
        <w:trPr>
          <w:trHeight w:val="190"/>
        </w:trPr>
        <w:tc>
          <w:tcPr>
            <w:tcW w:w="31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b w:val="1"/>
                <w:bCs w:val="1"/>
                <w:color w:val="auto"/>
              </w:rPr>
              <w:t>Net</w:t>
            </w: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Net</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rPr>
              <w:t>Net</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58"/>
        </w:trPr>
        <w:tc>
          <w:tcPr>
            <w:tcW w:w="3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14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(124)</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line="189" w:lineRule="exact"/>
              <w:rPr>
                <w:sz w:val="20"/>
                <w:szCs w:val="20"/>
                <w:color w:val="auto"/>
              </w:rPr>
            </w:pPr>
            <w:r>
              <w:rPr>
                <w:rFonts w:ascii="Arial" w:cs="Arial" w:eastAsia="Arial" w:hAnsi="Arial"/>
                <w:sz w:val="18"/>
                <w:szCs w:val="18"/>
                <w:color w:val="auto"/>
              </w:rPr>
              <w:t>0</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8"/>
              <w:spacing w:after="0" w:line="189" w:lineRule="exact"/>
              <w:rPr>
                <w:sz w:val="20"/>
                <w:szCs w:val="20"/>
                <w:color w:val="auto"/>
              </w:rPr>
            </w:pPr>
            <w:r>
              <w:rPr>
                <w:rFonts w:ascii="Arial" w:cs="Arial" w:eastAsia="Arial" w:hAnsi="Arial"/>
                <w:sz w:val="18"/>
                <w:szCs w:val="18"/>
                <w:color w:val="auto"/>
              </w:rPr>
              <w:t>23</w:t>
            </w:r>
          </w:p>
        </w:tc>
        <w:tc>
          <w:tcPr>
            <w:tcW w:w="2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(293)</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line="189"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125</w:t>
            </w:r>
          </w:p>
        </w:tc>
        <w:tc>
          <w:tcPr>
            <w:tcW w:w="260" w:type="dxa"/>
            <w:vAlign w:val="bottom"/>
            <w:shd w:val="clear" w:color="auto" w:fill="E5E5E5"/>
          </w:tcPr>
          <w:p>
            <w:pPr>
              <w:spacing w:after="0"/>
              <w:rPr>
                <w:sz w:val="16"/>
                <w:szCs w:val="16"/>
                <w:color w:val="auto"/>
              </w:rPr>
            </w:pPr>
          </w:p>
        </w:tc>
        <w:tc>
          <w:tcPr>
            <w:tcW w:w="74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0</w:t>
            </w:r>
          </w:p>
        </w:tc>
        <w:tc>
          <w:tcPr>
            <w:tcW w:w="26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(26)</w:t>
            </w: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293</w:t>
            </w:r>
          </w:p>
        </w:tc>
        <w:tc>
          <w:tcPr>
            <w:tcW w:w="24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53"/>
        </w:trPr>
        <w:tc>
          <w:tcPr>
            <w:tcW w:w="3140" w:type="dxa"/>
            <w:vAlign w:val="bottom"/>
          </w:tcPr>
          <w:p>
            <w:pPr>
              <w:ind w:left="220"/>
              <w:spacing w:after="0" w:line="153" w:lineRule="exact"/>
              <w:rPr>
                <w:sz w:val="20"/>
                <w:szCs w:val="20"/>
                <w:color w:val="auto"/>
              </w:rPr>
            </w:pPr>
            <w:r>
              <w:rPr>
                <w:rFonts w:ascii="Arial" w:cs="Arial" w:eastAsia="Arial" w:hAnsi="Arial"/>
                <w:sz w:val="17"/>
                <w:szCs w:val="17"/>
                <w:color w:val="auto"/>
              </w:rPr>
              <w:t>Excluded from effectiveness</w:t>
            </w:r>
          </w:p>
        </w:tc>
        <w:tc>
          <w:tcPr>
            <w:tcW w:w="300" w:type="dxa"/>
            <w:vAlign w:val="bottom"/>
          </w:tcPr>
          <w:p>
            <w:pPr>
              <w:spacing w:after="0"/>
              <w:rPr>
                <w:sz w:val="13"/>
                <w:szCs w:val="13"/>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3"/>
                <w:szCs w:val="13"/>
                <w:color w:val="auto"/>
              </w:rPr>
            </w:pPr>
          </w:p>
        </w:tc>
        <w:tc>
          <w:tcPr>
            <w:tcW w:w="82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3"/>
                <w:szCs w:val="13"/>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3"/>
                <w:szCs w:val="13"/>
                <w:color w:val="auto"/>
              </w:rPr>
            </w:pPr>
          </w:p>
        </w:tc>
        <w:tc>
          <w:tcPr>
            <w:tcW w:w="800" w:type="dxa"/>
            <w:vAlign w:val="bottom"/>
            <w:vMerge w:val="restart"/>
          </w:tcPr>
          <w:p>
            <w:pPr>
              <w:jc w:val="right"/>
              <w:ind w:right="38"/>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3"/>
                <w:szCs w:val="13"/>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3"/>
                <w:szCs w:val="13"/>
                <w:color w:val="auto"/>
              </w:rPr>
            </w:pPr>
          </w:p>
        </w:tc>
        <w:tc>
          <w:tcPr>
            <w:tcW w:w="78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18</w:t>
            </w:r>
          </w:p>
        </w:tc>
        <w:tc>
          <w:tcPr>
            <w:tcW w:w="240" w:type="dxa"/>
            <w:vAlign w:val="bottom"/>
          </w:tcPr>
          <w:p>
            <w:pPr>
              <w:spacing w:after="0"/>
              <w:rPr>
                <w:sz w:val="13"/>
                <w:szCs w:val="13"/>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3"/>
                <w:szCs w:val="13"/>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5"/>
        </w:trPr>
        <w:tc>
          <w:tcPr>
            <w:tcW w:w="3140" w:type="dxa"/>
            <w:vAlign w:val="bottom"/>
          </w:tcPr>
          <w:p>
            <w:pPr>
              <w:ind w:left="440"/>
              <w:spacing w:after="0"/>
              <w:rPr>
                <w:sz w:val="20"/>
                <w:szCs w:val="20"/>
                <w:color w:val="auto"/>
              </w:rPr>
            </w:pPr>
            <w:r>
              <w:rPr>
                <w:rFonts w:ascii="Arial" w:cs="Arial" w:eastAsia="Arial" w:hAnsi="Arial"/>
                <w:sz w:val="18"/>
                <w:szCs w:val="18"/>
                <w:color w:val="auto"/>
              </w:rPr>
              <w:t>assessment</w:t>
            </w:r>
          </w:p>
        </w:tc>
        <w:tc>
          <w:tcPr>
            <w:tcW w:w="3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300" w:type="dxa"/>
            <w:vAlign w:val="bottom"/>
          </w:tcPr>
          <w:p>
            <w:pPr>
              <w:spacing w:after="0"/>
              <w:rPr>
                <w:sz w:val="16"/>
                <w:szCs w:val="16"/>
                <w:color w:val="auto"/>
              </w:rPr>
            </w:pPr>
          </w:p>
        </w:tc>
        <w:tc>
          <w:tcPr>
            <w:tcW w:w="76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16"/>
                <w:szCs w:val="16"/>
                <w:color w:val="auto"/>
              </w:rPr>
            </w:pPr>
          </w:p>
        </w:tc>
        <w:tc>
          <w:tcPr>
            <w:tcW w:w="740" w:type="dxa"/>
            <w:vAlign w:val="bottom"/>
          </w:tcPr>
          <w:p>
            <w:pPr>
              <w:jc w:val="right"/>
              <w:ind w:right="14"/>
              <w:spacing w:after="0" w:line="189"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6"/>
                <w:szCs w:val="16"/>
                <w:color w:val="auto"/>
              </w:rPr>
            </w:pPr>
          </w:p>
        </w:tc>
        <w:tc>
          <w:tcPr>
            <w:tcW w:w="7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16"/>
                <w:szCs w:val="16"/>
                <w:color w:val="auto"/>
              </w:rPr>
            </w:pPr>
          </w:p>
        </w:tc>
        <w:tc>
          <w:tcPr>
            <w:tcW w:w="700" w:type="dxa"/>
            <w:vAlign w:val="bottom"/>
          </w:tcPr>
          <w:p>
            <w:pPr>
              <w:jc w:val="right"/>
              <w:ind w:right="14"/>
              <w:spacing w:after="0" w:line="189"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E5E5E5"/>
          </w:tcPr>
          <w:p>
            <w:pPr>
              <w:spacing w:after="0"/>
              <w:rPr>
                <w:sz w:val="16"/>
                <w:szCs w:val="16"/>
                <w:color w:val="auto"/>
              </w:rPr>
            </w:pPr>
          </w:p>
        </w:tc>
        <w:tc>
          <w:tcPr>
            <w:tcW w:w="74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0</w:t>
            </w:r>
          </w:p>
        </w:tc>
        <w:tc>
          <w:tcPr>
            <w:tcW w:w="260" w:type="dxa"/>
            <w:vAlign w:val="bottom"/>
            <w:shd w:val="clear" w:color="auto" w:fill="E5E5E5"/>
          </w:tcPr>
          <w:p>
            <w:pPr>
              <w:spacing w:after="0"/>
              <w:rPr>
                <w:sz w:val="16"/>
                <w:szCs w:val="16"/>
                <w:color w:val="auto"/>
              </w:rPr>
            </w:pPr>
          </w:p>
        </w:tc>
        <w:tc>
          <w:tcPr>
            <w:tcW w:w="80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color w:val="auto"/>
              </w:rPr>
              <w:t>13</w:t>
            </w: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40" w:type="dxa"/>
            <w:vAlign w:val="bottom"/>
          </w:tcPr>
          <w:p>
            <w:pPr>
              <w:ind w:left="220"/>
              <w:spacing w:after="0" w:line="153" w:lineRule="exact"/>
              <w:rPr>
                <w:sz w:val="20"/>
                <w:szCs w:val="20"/>
                <w:color w:val="auto"/>
              </w:rPr>
            </w:pPr>
            <w:r>
              <w:rPr>
                <w:rFonts w:ascii="Arial" w:cs="Arial" w:eastAsia="Arial" w:hAnsi="Arial"/>
                <w:sz w:val="17"/>
                <w:szCs w:val="17"/>
                <w:color w:val="auto"/>
              </w:rPr>
              <w:t>Amount reclassified from</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440"/>
              <w:spacing w:after="0" w:line="189" w:lineRule="exact"/>
              <w:rPr>
                <w:sz w:val="20"/>
                <w:szCs w:val="20"/>
                <w:color w:val="auto"/>
              </w:rPr>
            </w:pPr>
            <w:r>
              <w:rPr>
                <w:rFonts w:ascii="Arial" w:cs="Arial" w:eastAsia="Arial" w:hAnsi="Arial"/>
                <w:sz w:val="18"/>
                <w:szCs w:val="18"/>
                <w:color w:val="auto"/>
              </w:rPr>
              <w:t>accumulated other</w:t>
            </w:r>
          </w:p>
        </w:tc>
        <w:tc>
          <w:tcPr>
            <w:tcW w:w="300" w:type="dxa"/>
            <w:vAlign w:val="bottom"/>
          </w:tcPr>
          <w:p>
            <w:pPr>
              <w:spacing w:after="0"/>
              <w:rPr>
                <w:sz w:val="16"/>
                <w:szCs w:val="16"/>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82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16"/>
                <w:szCs w:val="16"/>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6"/>
                <w:szCs w:val="16"/>
                <w:color w:val="auto"/>
              </w:rPr>
            </w:pPr>
          </w:p>
        </w:tc>
        <w:tc>
          <w:tcPr>
            <w:tcW w:w="800" w:type="dxa"/>
            <w:vAlign w:val="bottom"/>
            <w:vMerge w:val="restart"/>
          </w:tcPr>
          <w:p>
            <w:pPr>
              <w:jc w:val="right"/>
              <w:ind w:right="38"/>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6"/>
                <w:szCs w:val="16"/>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78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41</w:t>
            </w:r>
          </w:p>
        </w:tc>
        <w:tc>
          <w:tcPr>
            <w:tcW w:w="240" w:type="dxa"/>
            <w:vAlign w:val="bottom"/>
          </w:tcPr>
          <w:p>
            <w:pPr>
              <w:spacing w:after="0"/>
              <w:rPr>
                <w:sz w:val="16"/>
                <w:szCs w:val="16"/>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4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140" w:type="dxa"/>
            <w:vAlign w:val="bottom"/>
            <w:shd w:val="clear" w:color="auto" w:fill="E5E5E5"/>
          </w:tcPr>
          <w:p>
            <w:pPr>
              <w:ind w:left="220"/>
              <w:spacing w:after="0" w:line="153" w:lineRule="exact"/>
              <w:rPr>
                <w:sz w:val="20"/>
                <w:szCs w:val="20"/>
                <w:color w:val="auto"/>
              </w:rPr>
            </w:pPr>
            <w:r>
              <w:rPr>
                <w:rFonts w:ascii="Arial" w:cs="Arial" w:eastAsia="Arial" w:hAnsi="Arial"/>
                <w:sz w:val="17"/>
                <w:szCs w:val="17"/>
                <w:color w:val="auto"/>
              </w:rPr>
              <w:t>Excluded from effectiveness</w:t>
            </w:r>
          </w:p>
        </w:tc>
        <w:tc>
          <w:tcPr>
            <w:tcW w:w="300" w:type="dxa"/>
            <w:vAlign w:val="bottom"/>
            <w:shd w:val="clear" w:color="auto" w:fill="E5E5E5"/>
          </w:tcPr>
          <w:p>
            <w:pPr>
              <w:spacing w:after="0"/>
              <w:rPr>
                <w:sz w:val="13"/>
                <w:szCs w:val="13"/>
                <w:color w:val="auto"/>
              </w:rPr>
            </w:pPr>
          </w:p>
        </w:tc>
        <w:tc>
          <w:tcPr>
            <w:tcW w:w="760" w:type="dxa"/>
            <w:vAlign w:val="bottom"/>
            <w:vMerge w:val="restart"/>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3"/>
                <w:szCs w:val="13"/>
                <w:color w:val="auto"/>
              </w:rPr>
            </w:pPr>
          </w:p>
        </w:tc>
        <w:tc>
          <w:tcPr>
            <w:tcW w:w="820" w:type="dxa"/>
            <w:vAlign w:val="bottom"/>
            <w:vMerge w:val="restart"/>
            <w:shd w:val="clear" w:color="auto" w:fill="E5E5E5"/>
          </w:tcPr>
          <w:p>
            <w:pPr>
              <w:jc w:val="right"/>
              <w:ind w:right="58"/>
              <w:spacing w:after="0"/>
              <w:rPr>
                <w:sz w:val="20"/>
                <w:szCs w:val="20"/>
                <w:color w:val="auto"/>
              </w:rPr>
            </w:pPr>
            <w:r>
              <w:rPr>
                <w:rFonts w:ascii="Arial" w:cs="Arial" w:eastAsia="Arial" w:hAnsi="Arial"/>
                <w:sz w:val="18"/>
                <w:szCs w:val="18"/>
                <w:b w:val="1"/>
                <w:bCs w:val="1"/>
                <w:color w:val="auto"/>
              </w:rPr>
              <w:t>0</w:t>
            </w:r>
          </w:p>
        </w:tc>
        <w:tc>
          <w:tcPr>
            <w:tcW w:w="260" w:type="dxa"/>
            <w:vAlign w:val="bottom"/>
            <w:shd w:val="clear" w:color="auto" w:fill="E5E5E5"/>
          </w:tcPr>
          <w:p>
            <w:pPr>
              <w:spacing w:after="0"/>
              <w:rPr>
                <w:sz w:val="13"/>
                <w:szCs w:val="13"/>
                <w:color w:val="auto"/>
              </w:rPr>
            </w:pPr>
          </w:p>
        </w:tc>
        <w:tc>
          <w:tcPr>
            <w:tcW w:w="740" w:type="dxa"/>
            <w:vAlign w:val="bottom"/>
            <w:vMerge w:val="restart"/>
            <w:shd w:val="clear" w:color="auto" w:fill="E5E5E5"/>
          </w:tcPr>
          <w:p>
            <w:pPr>
              <w:jc w:val="right"/>
              <w:ind w:right="14"/>
              <w:spacing w:after="0"/>
              <w:rPr>
                <w:sz w:val="20"/>
                <w:szCs w:val="20"/>
                <w:color w:val="auto"/>
              </w:rPr>
            </w:pPr>
            <w:r>
              <w:rPr>
                <w:rFonts w:ascii="Arial" w:cs="Arial" w:eastAsia="Arial" w:hAnsi="Arial"/>
                <w:sz w:val="18"/>
                <w:szCs w:val="18"/>
                <w:color w:val="auto"/>
              </w:rPr>
              <w:t>0</w:t>
            </w:r>
          </w:p>
        </w:tc>
        <w:tc>
          <w:tcPr>
            <w:tcW w:w="260" w:type="dxa"/>
            <w:vAlign w:val="bottom"/>
            <w:shd w:val="clear" w:color="auto" w:fill="E5E5E5"/>
          </w:tcPr>
          <w:p>
            <w:pPr>
              <w:spacing w:after="0"/>
              <w:rPr>
                <w:sz w:val="13"/>
                <w:szCs w:val="13"/>
                <w:color w:val="auto"/>
              </w:rPr>
            </w:pPr>
          </w:p>
        </w:tc>
        <w:tc>
          <w:tcPr>
            <w:tcW w:w="800" w:type="dxa"/>
            <w:vAlign w:val="bottom"/>
            <w:vMerge w:val="restart"/>
            <w:shd w:val="clear" w:color="auto" w:fill="E5E5E5"/>
          </w:tcPr>
          <w:p>
            <w:pPr>
              <w:jc w:val="right"/>
              <w:ind w:right="38"/>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3"/>
                <w:szCs w:val="13"/>
                <w:color w:val="auto"/>
              </w:rPr>
            </w:pPr>
          </w:p>
        </w:tc>
        <w:tc>
          <w:tcPr>
            <w:tcW w:w="72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3"/>
                <w:szCs w:val="13"/>
                <w:color w:val="auto"/>
              </w:rPr>
            </w:pPr>
          </w:p>
        </w:tc>
        <w:tc>
          <w:tcPr>
            <w:tcW w:w="780" w:type="dxa"/>
            <w:vAlign w:val="bottom"/>
            <w:vMerge w:val="restart"/>
            <w:shd w:val="clear" w:color="auto" w:fill="E5E5E5"/>
          </w:tcPr>
          <w:p>
            <w:pPr>
              <w:jc w:val="right"/>
              <w:ind w:right="58"/>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3"/>
                <w:szCs w:val="13"/>
                <w:color w:val="auto"/>
              </w:rPr>
            </w:pPr>
          </w:p>
        </w:tc>
        <w:tc>
          <w:tcPr>
            <w:tcW w:w="700" w:type="dxa"/>
            <w:vAlign w:val="bottom"/>
            <w:vMerge w:val="restart"/>
            <w:shd w:val="clear" w:color="auto" w:fill="E5E5E5"/>
          </w:tcPr>
          <w:p>
            <w:pPr>
              <w:jc w:val="right"/>
              <w:ind w:right="14"/>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3"/>
                <w:szCs w:val="13"/>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assessment</w:t>
            </w:r>
          </w:p>
        </w:tc>
        <w:tc>
          <w:tcPr>
            <w:tcW w:w="300" w:type="dxa"/>
            <w:vAlign w:val="bottom"/>
            <w:shd w:val="clear" w:color="auto" w:fill="E5E5E5"/>
          </w:tcPr>
          <w:p>
            <w:pPr>
              <w:spacing w:after="0"/>
              <w:rPr>
                <w:sz w:val="19"/>
                <w:szCs w:val="19"/>
                <w:color w:val="auto"/>
              </w:rPr>
            </w:pPr>
          </w:p>
        </w:tc>
        <w:tc>
          <w:tcPr>
            <w:tcW w:w="760" w:type="dxa"/>
            <w:vAlign w:val="bottom"/>
            <w:vMerge w:val="continue"/>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20" w:type="dxa"/>
            <w:vAlign w:val="bottom"/>
            <w:vMerge w:val="continue"/>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vMerge w:val="continue"/>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800" w:type="dxa"/>
            <w:vAlign w:val="bottom"/>
            <w:vMerge w:val="continue"/>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720" w:type="dxa"/>
            <w:vAlign w:val="bottom"/>
            <w:vMerge w:val="continue"/>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780" w:type="dxa"/>
            <w:vAlign w:val="bottom"/>
            <w:vMerge w:val="continue"/>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700" w:type="dxa"/>
            <w:vAlign w:val="bottom"/>
            <w:vMerge w:val="continue"/>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660" w:type="dxa"/>
            <w:vAlign w:val="bottom"/>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139</w:t>
            </w:r>
          </w:p>
        </w:tc>
        <w:tc>
          <w:tcPr>
            <w:tcW w:w="260" w:type="dxa"/>
            <w:vAlign w:val="bottom"/>
            <w:shd w:val="clear" w:color="auto" w:fill="E5E5E5"/>
          </w:tcPr>
          <w:p>
            <w:pPr>
              <w:spacing w:after="0"/>
              <w:rPr>
                <w:sz w:val="16"/>
                <w:szCs w:val="16"/>
                <w:color w:val="auto"/>
              </w:rPr>
            </w:pPr>
          </w:p>
        </w:tc>
        <w:tc>
          <w:tcPr>
            <w:tcW w:w="74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0</w:t>
            </w:r>
          </w:p>
        </w:tc>
        <w:tc>
          <w:tcPr>
            <w:tcW w:w="260" w:type="dxa"/>
            <w:vAlign w:val="bottom"/>
            <w:shd w:val="clear" w:color="auto" w:fill="E5E5E5"/>
          </w:tcPr>
          <w:p>
            <w:pPr>
              <w:spacing w:after="0"/>
              <w:rPr>
                <w:sz w:val="16"/>
                <w:szCs w:val="16"/>
                <w:color w:val="auto"/>
              </w:rPr>
            </w:pPr>
          </w:p>
        </w:tc>
        <w:tc>
          <w:tcPr>
            <w:tcW w:w="80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color w:val="auto"/>
              </w:rPr>
              <w:t>52</w:t>
            </w: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197</w:t>
            </w:r>
          </w:p>
        </w:tc>
        <w:tc>
          <w:tcPr>
            <w:tcW w:w="24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5"/>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contracts</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Three Months Ended</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4560" w:type="dxa"/>
            <w:vAlign w:val="bottom"/>
            <w:vMerge w:val="continue"/>
          </w:tcPr>
          <w:p>
            <w:pPr>
              <w:spacing w:after="0"/>
              <w:rPr>
                <w:sz w:val="16"/>
                <w:szCs w:val="16"/>
                <w:color w:val="auto"/>
              </w:rPr>
            </w:pPr>
          </w:p>
        </w:tc>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5"/>
        </w:trPr>
        <w:tc>
          <w:tcPr>
            <w:tcW w:w="45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2019</w:t>
            </w:r>
          </w:p>
        </w:tc>
        <w:tc>
          <w:tcPr>
            <w:tcW w:w="13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7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560" w:type="dxa"/>
            <w:vAlign w:val="bottom"/>
          </w:tcPr>
          <w:p>
            <w:pPr>
              <w:ind w:left="220"/>
              <w:spacing w:after="0"/>
              <w:rPr>
                <w:sz w:val="20"/>
                <w:szCs w:val="20"/>
                <w:color w:val="auto"/>
              </w:rPr>
            </w:pPr>
            <w:r>
              <w:rPr>
                <w:rFonts w:ascii="Arial" w:cs="Arial" w:eastAsia="Arial" w:hAnsi="Arial"/>
                <w:sz w:val="18"/>
                <w:szCs w:val="18"/>
                <w:color w:val="auto"/>
              </w:rPr>
              <w:t>Included in effectiveness assessment</w:t>
            </w:r>
          </w:p>
        </w:tc>
        <w:tc>
          <w:tcPr>
            <w:tcW w:w="178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w:t>
            </w:r>
          </w:p>
        </w:tc>
        <w:tc>
          <w:tcPr>
            <w:tcW w:w="4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960" w:type="dxa"/>
            <w:vAlign w:val="bottom"/>
          </w:tcPr>
          <w:p>
            <w:pPr>
              <w:jc w:val="right"/>
              <w:ind w:right="658"/>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45</w:t>
            </w:r>
          </w:p>
        </w:tc>
        <w:tc>
          <w:tcPr>
            <w:tcW w:w="2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1"/>
        </w:trPr>
        <w:tc>
          <w:tcPr>
            <w:tcW w:w="456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8"/>
                <w:szCs w:val="18"/>
                <w:color w:val="auto"/>
                <w:w w:val="99"/>
              </w:rPr>
              <w:t>NOTE 6 — INVENTORIES</w:t>
            </w:r>
          </w:p>
        </w:tc>
        <w:tc>
          <w:tcPr>
            <w:tcW w:w="4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56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17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5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4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ind w:left="46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45"/>
        </w:trPr>
        <w:tc>
          <w:tcPr>
            <w:tcW w:w="4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17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560</w:t>
            </w:r>
          </w:p>
        </w:tc>
        <w:tc>
          <w:tcPr>
            <w:tcW w:w="3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6"/>
                <w:szCs w:val="16"/>
                <w:color w:val="auto"/>
              </w:rPr>
            </w:pPr>
          </w:p>
        </w:tc>
        <w:tc>
          <w:tcPr>
            <w:tcW w:w="110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189"/>
        </w:trPr>
        <w:tc>
          <w:tcPr>
            <w:tcW w:w="456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83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17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1,281</w:t>
            </w:r>
          </w:p>
        </w:tc>
        <w:tc>
          <w:tcPr>
            <w:tcW w:w="2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10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68"/>
        </w:trPr>
        <w:tc>
          <w:tcPr>
            <w:tcW w:w="45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560" w:type="dxa"/>
            <w:vAlign w:val="bottom"/>
          </w:tcPr>
          <w:p>
            <w:pPr>
              <w:ind w:left="220"/>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1,924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49"/>
        </w:trPr>
        <w:tc>
          <w:tcPr>
            <w:tcW w:w="4560" w:type="dxa"/>
            <w:vAlign w:val="bottom"/>
          </w:tcPr>
          <w:p>
            <w:pPr>
              <w:spacing w:after="0"/>
              <w:rPr>
                <w:sz w:val="4"/>
                <w:szCs w:val="4"/>
                <w:color w:val="auto"/>
              </w:rPr>
            </w:pPr>
          </w:p>
        </w:tc>
        <w:tc>
          <w:tcPr>
            <w:tcW w:w="1780" w:type="dxa"/>
            <w:vAlign w:val="bottom"/>
            <w:vMerge w:val="restart"/>
          </w:tcPr>
          <w:p>
            <w:pPr>
              <w:jc w:val="right"/>
              <w:ind w:right="556"/>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7"/>
        </w:trPr>
        <w:tc>
          <w:tcPr>
            <w:tcW w:w="45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5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BUSINESS COMBINATIONS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September 19, 2020, we entered into a definitive agreement to acquire ZeniMax Media Inc., the parent company of Bethesda Softworks LLC (“Bethesda”), for $7.5 billion in cash. Bethesda is one of the largest, privately held game developers and publishers in the world, and will bring a broad portfolio of games, technology, and talent to Xbox. We expect this acquisition to close in the second half of fiscal year 2021, subject to customary closing conditions and completion of regulatory review.</w:t>
      </w:r>
    </w:p>
    <w:p>
      <w:pPr>
        <w:spacing w:after="0" w:line="224"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8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ind w:left="300"/>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Acquisitions</w:t>
            </w:r>
          </w:p>
        </w:tc>
        <w:tc>
          <w:tcPr>
            <w:tcW w:w="46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90"/>
        </w:trPr>
        <w:tc>
          <w:tcPr>
            <w:tcW w:w="446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44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E5E5E5"/>
          </w:tcPr>
          <w:p>
            <w:pPr>
              <w:spacing w:after="0"/>
              <w:rPr>
                <w:sz w:val="20"/>
                <w:szCs w:val="20"/>
                <w:color w:val="auto"/>
              </w:rPr>
            </w:pPr>
            <w:r>
              <w:rPr>
                <w:rFonts w:ascii="Arial" w:cs="Arial" w:eastAsia="Arial" w:hAnsi="Arial"/>
                <w:sz w:val="18"/>
                <w:szCs w:val="18"/>
                <w:color w:val="auto"/>
              </w:rPr>
              <w:t>Productivity and Business Processes</w:t>
            </w:r>
          </w:p>
        </w:tc>
        <w:tc>
          <w:tcPr>
            <w:tcW w:w="188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24,190</w:t>
            </w:r>
          </w:p>
        </w:tc>
        <w:tc>
          <w:tcPr>
            <w:tcW w:w="2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112</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24,302</w:t>
            </w:r>
          </w:p>
        </w:tc>
        <w:tc>
          <w:tcPr>
            <w:tcW w:w="14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12,697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443</w:t>
            </w:r>
          </w:p>
        </w:tc>
        <w:tc>
          <w:tcPr>
            <w:tcW w:w="460" w:type="dxa"/>
            <w:vAlign w:val="bottom"/>
          </w:tcPr>
          <w:p>
            <w:pPr>
              <w:spacing w:after="0"/>
              <w:rPr>
                <w:sz w:val="16"/>
                <w:szCs w:val="16"/>
                <w:color w:val="auto"/>
              </w:rPr>
            </w:pPr>
          </w:p>
        </w:tc>
        <w:tc>
          <w:tcPr>
            <w:tcW w:w="90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58</w:t>
            </w:r>
          </w:p>
        </w:tc>
        <w:tc>
          <w:tcPr>
            <w:tcW w:w="1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13,198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5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6,464</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w:t>
            </w:r>
          </w:p>
        </w:tc>
        <w:tc>
          <w:tcPr>
            <w:tcW w:w="4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253</w:t>
            </w: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6,719</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46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43,351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445</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423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44,219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44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191"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NOTE 9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27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Carrying</w:t>
            </w:r>
          </w:p>
        </w:tc>
        <w:tc>
          <w:tcPr>
            <w:tcW w:w="0" w:type="dxa"/>
            <w:vAlign w:val="bottom"/>
          </w:tcPr>
          <w:p>
            <w:pPr>
              <w:spacing w:after="0"/>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45"/>
        </w:trPr>
        <w:tc>
          <w:tcPr>
            <w:tcW w:w="27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7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15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8,355</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(6,672)</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1,683</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8,160</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(6,381)</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1,779</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4,955</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(2,532)</w:t>
            </w:r>
          </w:p>
        </w:tc>
        <w:tc>
          <w:tcPr>
            <w:tcW w:w="12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2,423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4,967</w:t>
            </w:r>
          </w:p>
        </w:tc>
        <w:tc>
          <w:tcPr>
            <w:tcW w:w="140" w:type="dxa"/>
            <w:vAlign w:val="bottom"/>
          </w:tcPr>
          <w:p>
            <w:pPr>
              <w:spacing w:after="0"/>
              <w:rPr>
                <w:sz w:val="16"/>
                <w:szCs w:val="16"/>
                <w:color w:val="auto"/>
              </w:rPr>
            </w:pP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(2,320)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2,647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12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4,162</w:t>
            </w:r>
          </w:p>
        </w:tc>
        <w:tc>
          <w:tcPr>
            <w:tcW w:w="1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(1,723)</w:t>
            </w:r>
          </w:p>
        </w:tc>
        <w:tc>
          <w:tcPr>
            <w:tcW w:w="1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2,439</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4,158</w:t>
            </w:r>
          </w:p>
        </w:tc>
        <w:tc>
          <w:tcPr>
            <w:tcW w:w="1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(1,588)</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2,570</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720" w:type="dxa"/>
            <w:vAlign w:val="bottom"/>
          </w:tcPr>
          <w:p>
            <w:pPr>
              <w:spacing w:after="0"/>
              <w:rPr>
                <w:sz w:val="20"/>
                <w:szCs w:val="20"/>
                <w:color w:val="auto"/>
              </w:rPr>
            </w:pPr>
            <w:r>
              <w:rPr>
                <w:rFonts w:ascii="Arial" w:cs="Arial" w:eastAsia="Arial" w:hAnsi="Arial"/>
                <w:sz w:val="18"/>
                <w:szCs w:val="18"/>
                <w:color w:val="auto"/>
              </w:rPr>
              <w:t>Contract-based</w:t>
            </w: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435</w:t>
            </w:r>
          </w:p>
        </w:tc>
        <w:tc>
          <w:tcPr>
            <w:tcW w:w="1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(425)</w:t>
            </w:r>
          </w:p>
        </w:tc>
        <w:tc>
          <w:tcPr>
            <w:tcW w:w="1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720" w:type="dxa"/>
            <w:vAlign w:val="bottom"/>
            <w:tcBorders>
              <w:top w:val="single" w:sz="8" w:color="auto"/>
            </w:tcBorders>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17,907</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(11,352)</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6,555</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17,759</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(10,721)</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7,038</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7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9"/>
        </w:trPr>
        <w:tc>
          <w:tcPr>
            <w:tcW w:w="2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7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7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Intangible assets amortization expense was $378 million and $ 761 million for the three and six months ended December 31, 2020, respectively, and $411 million and $845 million for the three and six months ended December 31, 2019,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December 31, 2020: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0637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4"/>
        </w:trPr>
        <w:tc>
          <w:tcPr>
            <w:tcW w:w="73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 (excluding the six months ended December 31, 2020)</w:t>
            </w:r>
          </w:p>
        </w:tc>
        <w:tc>
          <w:tcPr>
            <w:tcW w:w="30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763</w:t>
            </w: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1,459</w:t>
            </w: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25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1,267</w:t>
            </w: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905</w:t>
            </w: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25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490</w:t>
            </w:r>
          </w:p>
        </w:tc>
      </w:tr>
      <w:tr>
        <w:trPr>
          <w:trHeight w:val="255"/>
        </w:trPr>
        <w:tc>
          <w:tcPr>
            <w:tcW w:w="7320" w:type="dxa"/>
            <w:vAlign w:val="bottom"/>
          </w:tcPr>
          <w:p>
            <w:pPr>
              <w:spacing w:after="0"/>
              <w:rPr>
                <w:sz w:val="20"/>
                <w:szCs w:val="20"/>
                <w:color w:val="auto"/>
              </w:rPr>
            </w:pPr>
            <w:r>
              <w:rPr>
                <w:rFonts w:ascii="Arial" w:cs="Arial" w:eastAsia="Arial" w:hAnsi="Arial"/>
                <w:sz w:val="18"/>
                <w:szCs w:val="18"/>
                <w:color w:val="auto"/>
              </w:rPr>
              <w:t>Thereafter</w:t>
            </w:r>
          </w:p>
        </w:tc>
        <w:tc>
          <w:tcPr>
            <w:tcW w:w="2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1,671</w:t>
            </w:r>
          </w:p>
        </w:tc>
      </w:tr>
      <w:tr>
        <w:trPr>
          <w:trHeight w:val="63"/>
        </w:trPr>
        <w:tc>
          <w:tcPr>
            <w:tcW w:w="7320" w:type="dxa"/>
            <w:vAlign w:val="bottom"/>
            <w:tcBorders>
              <w:top w:val="single" w:sz="8" w:color="auto"/>
            </w:tcBorders>
          </w:tcPr>
          <w:p>
            <w:pPr>
              <w:spacing w:after="0"/>
              <w:rPr>
                <w:sz w:val="5"/>
                <w:szCs w:val="5"/>
                <w:color w:val="auto"/>
              </w:rPr>
            </w:pPr>
          </w:p>
        </w:tc>
        <w:tc>
          <w:tcPr>
            <w:tcW w:w="25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73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6,555</w:t>
            </w:r>
          </w:p>
        </w:tc>
      </w:tr>
      <w:tr>
        <w:trPr>
          <w:trHeight w:val="74"/>
        </w:trPr>
        <w:tc>
          <w:tcPr>
            <w:tcW w:w="73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10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400" w:type="dxa"/>
            <w:vAlign w:val="bottom"/>
          </w:tcPr>
          <w:p>
            <w:pPr>
              <w:jc w:val="right"/>
              <w:ind w:right="314"/>
              <w:spacing w:after="0"/>
              <w:rPr>
                <w:sz w:val="20"/>
                <w:szCs w:val="20"/>
                <w:color w:val="auto"/>
              </w:rPr>
            </w:pPr>
            <w:r>
              <w:rPr>
                <w:rFonts w:ascii="Arial" w:cs="Arial" w:eastAsia="Arial" w:hAnsi="Arial"/>
                <w:sz w:val="13"/>
                <w:szCs w:val="13"/>
                <w:b w:val="1"/>
                <w:bCs w:val="1"/>
                <w:color w:val="auto"/>
              </w:rPr>
              <w:t>Maturities</w:t>
            </w:r>
          </w:p>
        </w:tc>
        <w:tc>
          <w:tcPr>
            <w:tcW w:w="1760" w:type="dxa"/>
            <w:vAlign w:val="bottom"/>
          </w:tcPr>
          <w:p>
            <w:pPr>
              <w:jc w:val="right"/>
              <w:ind w:right="374"/>
              <w:spacing w:after="0"/>
              <w:rPr>
                <w:sz w:val="20"/>
                <w:szCs w:val="20"/>
                <w:color w:val="auto"/>
              </w:rPr>
            </w:pPr>
            <w:r>
              <w:rPr>
                <w:rFonts w:ascii="Arial" w:cs="Arial" w:eastAsia="Arial" w:hAnsi="Arial"/>
                <w:sz w:val="13"/>
                <w:szCs w:val="13"/>
                <w:b w:val="1"/>
                <w:bCs w:val="1"/>
                <w:color w:val="auto"/>
              </w:rPr>
              <w:t>Stated Interest</w:t>
            </w:r>
          </w:p>
        </w:tc>
        <w:tc>
          <w:tcPr>
            <w:tcW w:w="1700" w:type="dxa"/>
            <w:vAlign w:val="bottom"/>
          </w:tcPr>
          <w:p>
            <w:pPr>
              <w:jc w:val="right"/>
              <w:ind w:right="194"/>
              <w:spacing w:after="0"/>
              <w:rPr>
                <w:sz w:val="20"/>
                <w:szCs w:val="20"/>
                <w:color w:val="auto"/>
              </w:rPr>
            </w:pPr>
            <w:r>
              <w:rPr>
                <w:rFonts w:ascii="Arial" w:cs="Arial" w:eastAsia="Arial" w:hAnsi="Arial"/>
                <w:sz w:val="13"/>
                <w:szCs w:val="13"/>
                <w:b w:val="1"/>
                <w:bCs w:val="1"/>
                <w:color w:val="auto"/>
              </w:rPr>
              <w:t>Effective Interest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0"/>
        </w:trPr>
        <w:tc>
          <w:tcPr>
            <w:tcW w:w="3540" w:type="dxa"/>
            <w:vAlign w:val="bottom"/>
            <w:vMerge w:val="continue"/>
          </w:tcPr>
          <w:p>
            <w:pPr>
              <w:spacing w:after="0"/>
              <w:rPr>
                <w:sz w:val="16"/>
                <w:szCs w:val="16"/>
                <w:color w:val="auto"/>
              </w:rPr>
            </w:pPr>
          </w:p>
        </w:tc>
        <w:tc>
          <w:tcPr>
            <w:tcW w:w="1400" w:type="dxa"/>
            <w:vAlign w:val="bottom"/>
          </w:tcPr>
          <w:p>
            <w:pPr>
              <w:jc w:val="right"/>
              <w:ind w:right="154"/>
              <w:spacing w:after="0"/>
              <w:rPr>
                <w:sz w:val="20"/>
                <w:szCs w:val="20"/>
                <w:color w:val="auto"/>
              </w:rPr>
            </w:pPr>
            <w:r>
              <w:rPr>
                <w:rFonts w:ascii="Arial" w:cs="Arial" w:eastAsia="Arial" w:hAnsi="Arial"/>
                <w:sz w:val="13"/>
                <w:szCs w:val="13"/>
                <w:b w:val="1"/>
                <w:bCs w:val="1"/>
                <w:color w:val="auto"/>
              </w:rPr>
              <w:t>(calendar year)</w:t>
            </w:r>
          </w:p>
        </w:tc>
        <w:tc>
          <w:tcPr>
            <w:tcW w:w="1760" w:type="dxa"/>
            <w:vAlign w:val="bottom"/>
          </w:tcPr>
          <w:p>
            <w:pPr>
              <w:jc w:val="right"/>
              <w:ind w:right="694"/>
              <w:spacing w:after="0"/>
              <w:rPr>
                <w:sz w:val="20"/>
                <w:szCs w:val="20"/>
                <w:color w:val="auto"/>
              </w:rPr>
            </w:pPr>
            <w:r>
              <w:rPr>
                <w:rFonts w:ascii="Arial" w:cs="Arial" w:eastAsia="Arial" w:hAnsi="Arial"/>
                <w:sz w:val="13"/>
                <w:szCs w:val="13"/>
                <w:b w:val="1"/>
                <w:bCs w:val="1"/>
                <w:color w:val="auto"/>
              </w:rPr>
              <w:t>Rate</w:t>
            </w:r>
          </w:p>
        </w:tc>
        <w:tc>
          <w:tcPr>
            <w:tcW w:w="1700" w:type="dxa"/>
            <w:vAlign w:val="bottom"/>
          </w:tcPr>
          <w:p>
            <w:pPr>
              <w:jc w:val="right"/>
              <w:ind w:right="594"/>
              <w:spacing w:after="0"/>
              <w:rPr>
                <w:sz w:val="20"/>
                <w:szCs w:val="20"/>
                <w:color w:val="auto"/>
              </w:rPr>
            </w:pPr>
            <w:r>
              <w:rPr>
                <w:rFonts w:ascii="Arial" w:cs="Arial" w:eastAsia="Arial" w:hAnsi="Arial"/>
                <w:sz w:val="13"/>
                <w:szCs w:val="13"/>
                <w:b w:val="1"/>
                <w:bCs w:val="1"/>
                <w:color w:val="auto"/>
              </w:rPr>
              <w:t>Rate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45"/>
        </w:trPr>
        <w:tc>
          <w:tcPr>
            <w:tcW w:w="35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5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2009 issuance of $3.8 billion </w:t>
            </w:r>
            <w:r>
              <w:rPr>
                <w:rFonts w:ascii="Arial" w:cs="Arial" w:eastAsia="Arial" w:hAnsi="Arial"/>
                <w:sz w:val="15"/>
                <w:szCs w:val="15"/>
                <w:color w:val="auto"/>
              </w:rPr>
              <w:t>(a)</w:t>
            </w:r>
          </w:p>
        </w:tc>
        <w:tc>
          <w:tcPr>
            <w:tcW w:w="140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b w:val="1"/>
                <w:bCs w:val="1"/>
                <w:color w:val="auto"/>
              </w:rPr>
              <w:t>2039</w:t>
            </w:r>
          </w:p>
        </w:tc>
        <w:tc>
          <w:tcPr>
            <w:tcW w:w="1760" w:type="dxa"/>
            <w:vAlign w:val="bottom"/>
            <w:shd w:val="clear" w:color="auto" w:fill="E5E5E5"/>
          </w:tcPr>
          <w:p>
            <w:pPr>
              <w:jc w:val="right"/>
              <w:ind w:right="254"/>
              <w:spacing w:after="0" w:line="189" w:lineRule="exact"/>
              <w:rPr>
                <w:sz w:val="20"/>
                <w:szCs w:val="20"/>
                <w:color w:val="auto"/>
              </w:rPr>
            </w:pPr>
            <w:r>
              <w:rPr>
                <w:rFonts w:ascii="Arial" w:cs="Arial" w:eastAsia="Arial" w:hAnsi="Arial"/>
                <w:sz w:val="18"/>
                <w:szCs w:val="18"/>
                <w:b w:val="1"/>
                <w:bCs w:val="1"/>
                <w:color w:val="auto"/>
              </w:rPr>
              <w:t>5.20%</w:t>
            </w:r>
          </w:p>
        </w:tc>
        <w:tc>
          <w:tcPr>
            <w:tcW w:w="170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b w:val="1"/>
                <w:bCs w:val="1"/>
                <w:color w:val="auto"/>
              </w:rPr>
              <w:t>5.24%</w:t>
            </w:r>
          </w:p>
        </w:tc>
        <w:tc>
          <w:tcPr>
            <w:tcW w:w="4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559</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2010 issuance of $4.8 billion </w:t>
            </w:r>
            <w:r>
              <w:rPr>
                <w:rFonts w:ascii="Arial" w:cs="Arial" w:eastAsia="Arial" w:hAnsi="Arial"/>
                <w:sz w:val="15"/>
                <w:szCs w:val="15"/>
                <w:color w:val="auto"/>
              </w:rPr>
              <w:t>(a)</w:t>
            </w:r>
          </w:p>
        </w:tc>
        <w:tc>
          <w:tcPr>
            <w:tcW w:w="1400" w:type="dxa"/>
            <w:vAlign w:val="bottom"/>
          </w:tcPr>
          <w:p>
            <w:pPr>
              <w:jc w:val="right"/>
              <w:ind w:right="134"/>
              <w:spacing w:after="0" w:line="189" w:lineRule="exact"/>
              <w:rPr>
                <w:sz w:val="20"/>
                <w:szCs w:val="20"/>
                <w:color w:val="auto"/>
              </w:rPr>
            </w:pPr>
            <w:r>
              <w:rPr>
                <w:rFonts w:ascii="Arial" w:cs="Arial" w:eastAsia="Arial" w:hAnsi="Arial"/>
                <w:sz w:val="18"/>
                <w:szCs w:val="18"/>
                <w:b w:val="1"/>
                <w:bCs w:val="1"/>
                <w:color w:val="auto"/>
              </w:rPr>
              <w:t>2040</w:t>
            </w:r>
          </w:p>
        </w:tc>
        <w:tc>
          <w:tcPr>
            <w:tcW w:w="1760" w:type="dxa"/>
            <w:vAlign w:val="bottom"/>
          </w:tcPr>
          <w:p>
            <w:pPr>
              <w:jc w:val="right"/>
              <w:ind w:right="254"/>
              <w:spacing w:after="0" w:line="189" w:lineRule="exact"/>
              <w:rPr>
                <w:sz w:val="20"/>
                <w:szCs w:val="20"/>
                <w:color w:val="auto"/>
              </w:rPr>
            </w:pPr>
            <w:r>
              <w:rPr>
                <w:rFonts w:ascii="Arial" w:cs="Arial" w:eastAsia="Arial" w:hAnsi="Arial"/>
                <w:sz w:val="18"/>
                <w:szCs w:val="18"/>
                <w:b w:val="1"/>
                <w:bCs w:val="1"/>
                <w:color w:val="auto"/>
              </w:rPr>
              <w:t>4.50%</w:t>
            </w:r>
          </w:p>
        </w:tc>
        <w:tc>
          <w:tcPr>
            <w:tcW w:w="1700" w:type="dxa"/>
            <w:vAlign w:val="bottom"/>
          </w:tcPr>
          <w:p>
            <w:pPr>
              <w:jc w:val="right"/>
              <w:ind w:right="134"/>
              <w:spacing w:after="0" w:line="189" w:lineRule="exact"/>
              <w:rPr>
                <w:sz w:val="20"/>
                <w:szCs w:val="20"/>
                <w:color w:val="auto"/>
              </w:rPr>
            </w:pPr>
            <w:r>
              <w:rPr>
                <w:rFonts w:ascii="Arial" w:cs="Arial" w:eastAsia="Arial" w:hAnsi="Arial"/>
                <w:sz w:val="18"/>
                <w:szCs w:val="18"/>
                <w:b w:val="1"/>
                <w:bCs w:val="1"/>
                <w:color w:val="auto"/>
              </w:rPr>
              <w:t>4.57%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571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2011 issuance of $2.3 billion </w:t>
            </w:r>
            <w:r>
              <w:rPr>
                <w:rFonts w:ascii="Arial" w:cs="Arial" w:eastAsia="Arial" w:hAnsi="Arial"/>
                <w:sz w:val="15"/>
                <w:szCs w:val="15"/>
                <w:color w:val="auto"/>
              </w:rPr>
              <w:t>(a)</w:t>
            </w:r>
          </w:p>
        </w:tc>
        <w:tc>
          <w:tcPr>
            <w:tcW w:w="140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b w:val="1"/>
                <w:bCs w:val="1"/>
                <w:color w:val="auto"/>
              </w:rPr>
              <w:t>2021–2041</w:t>
            </w:r>
          </w:p>
        </w:tc>
        <w:tc>
          <w:tcPr>
            <w:tcW w:w="1760" w:type="dxa"/>
            <w:vAlign w:val="bottom"/>
            <w:shd w:val="clear" w:color="auto" w:fill="E5E5E5"/>
          </w:tcPr>
          <w:p>
            <w:pPr>
              <w:jc w:val="right"/>
              <w:ind w:right="254"/>
              <w:spacing w:after="0" w:line="189" w:lineRule="exact"/>
              <w:rPr>
                <w:sz w:val="20"/>
                <w:szCs w:val="20"/>
                <w:color w:val="auto"/>
              </w:rPr>
            </w:pPr>
            <w:r>
              <w:rPr>
                <w:rFonts w:ascii="Arial" w:cs="Arial" w:eastAsia="Arial" w:hAnsi="Arial"/>
                <w:sz w:val="18"/>
                <w:szCs w:val="18"/>
                <w:b w:val="1"/>
                <w:bCs w:val="1"/>
                <w:color w:val="auto"/>
              </w:rPr>
              <w:t>4.00% – 5.30%</w:t>
            </w:r>
          </w:p>
        </w:tc>
        <w:tc>
          <w:tcPr>
            <w:tcW w:w="170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b w:val="1"/>
                <w:bCs w:val="1"/>
                <w:color w:val="auto"/>
              </w:rPr>
              <w:t>4.08%–5.36%</w:t>
            </w: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1,270</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2012 issuance of $2.3 billion</w:t>
            </w:r>
          </w:p>
        </w:tc>
        <w:tc>
          <w:tcPr>
            <w:tcW w:w="1400" w:type="dxa"/>
            <w:vAlign w:val="bottom"/>
          </w:tcPr>
          <w:p>
            <w:pPr>
              <w:jc w:val="right"/>
              <w:ind w:right="134"/>
              <w:spacing w:after="0" w:line="189" w:lineRule="exact"/>
              <w:rPr>
                <w:sz w:val="20"/>
                <w:szCs w:val="20"/>
                <w:color w:val="auto"/>
              </w:rPr>
            </w:pPr>
            <w:r>
              <w:rPr>
                <w:rFonts w:ascii="Arial" w:cs="Arial" w:eastAsia="Arial" w:hAnsi="Arial"/>
                <w:sz w:val="18"/>
                <w:szCs w:val="18"/>
                <w:b w:val="1"/>
                <w:bCs w:val="1"/>
                <w:color w:val="auto"/>
              </w:rPr>
              <w:t>2022–2042</w:t>
            </w:r>
          </w:p>
        </w:tc>
        <w:tc>
          <w:tcPr>
            <w:tcW w:w="1760" w:type="dxa"/>
            <w:vAlign w:val="bottom"/>
          </w:tcPr>
          <w:p>
            <w:pPr>
              <w:jc w:val="right"/>
              <w:ind w:right="254"/>
              <w:spacing w:after="0" w:line="189" w:lineRule="exact"/>
              <w:rPr>
                <w:sz w:val="20"/>
                <w:szCs w:val="20"/>
                <w:color w:val="auto"/>
              </w:rPr>
            </w:pPr>
            <w:r>
              <w:rPr>
                <w:rFonts w:ascii="Arial" w:cs="Arial" w:eastAsia="Arial" w:hAnsi="Arial"/>
                <w:sz w:val="18"/>
                <w:szCs w:val="18"/>
                <w:b w:val="1"/>
                <w:bCs w:val="1"/>
                <w:color w:val="auto"/>
              </w:rPr>
              <w:t>2.13% – 3.50%</w:t>
            </w:r>
          </w:p>
        </w:tc>
        <w:tc>
          <w:tcPr>
            <w:tcW w:w="1700" w:type="dxa"/>
            <w:vAlign w:val="bottom"/>
          </w:tcPr>
          <w:p>
            <w:pPr>
              <w:jc w:val="right"/>
              <w:ind w:right="134"/>
              <w:spacing w:after="0" w:line="189" w:lineRule="exact"/>
              <w:rPr>
                <w:sz w:val="20"/>
                <w:szCs w:val="20"/>
                <w:color w:val="auto"/>
              </w:rPr>
            </w:pPr>
            <w:r>
              <w:rPr>
                <w:rFonts w:ascii="Arial" w:cs="Arial" w:eastAsia="Arial" w:hAnsi="Arial"/>
                <w:sz w:val="18"/>
                <w:szCs w:val="18"/>
                <w:b w:val="1"/>
                <w:bCs w:val="1"/>
                <w:color w:val="auto"/>
              </w:rPr>
              <w:t>2.24%–3.57%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1,650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2013 issuance of $5.2 billion </w:t>
            </w:r>
            <w:r>
              <w:rPr>
                <w:rFonts w:ascii="Arial" w:cs="Arial" w:eastAsia="Arial" w:hAnsi="Arial"/>
                <w:sz w:val="15"/>
                <w:szCs w:val="15"/>
                <w:color w:val="auto"/>
              </w:rPr>
              <w:t>(a)</w:t>
            </w:r>
          </w:p>
        </w:tc>
        <w:tc>
          <w:tcPr>
            <w:tcW w:w="140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b w:val="1"/>
                <w:bCs w:val="1"/>
                <w:color w:val="auto"/>
              </w:rPr>
              <w:t>2023–2043</w:t>
            </w:r>
          </w:p>
        </w:tc>
        <w:tc>
          <w:tcPr>
            <w:tcW w:w="1760" w:type="dxa"/>
            <w:vAlign w:val="bottom"/>
            <w:shd w:val="clear" w:color="auto" w:fill="E5E5E5"/>
          </w:tcPr>
          <w:p>
            <w:pPr>
              <w:jc w:val="right"/>
              <w:ind w:right="254"/>
              <w:spacing w:after="0" w:line="189" w:lineRule="exact"/>
              <w:rPr>
                <w:sz w:val="20"/>
                <w:szCs w:val="20"/>
                <w:color w:val="auto"/>
              </w:rPr>
            </w:pPr>
            <w:r>
              <w:rPr>
                <w:rFonts w:ascii="Arial" w:cs="Arial" w:eastAsia="Arial" w:hAnsi="Arial"/>
                <w:sz w:val="18"/>
                <w:szCs w:val="18"/>
                <w:b w:val="1"/>
                <w:bCs w:val="1"/>
                <w:color w:val="auto"/>
              </w:rPr>
              <w:t>2.38% – 4.88%</w:t>
            </w:r>
          </w:p>
        </w:tc>
        <w:tc>
          <w:tcPr>
            <w:tcW w:w="170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b w:val="1"/>
                <w:bCs w:val="1"/>
                <w:color w:val="auto"/>
              </w:rPr>
              <w:t>2.47%–4.92%</w:t>
            </w: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2,919</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2013 issuance of €4.1 billion</w:t>
            </w:r>
          </w:p>
        </w:tc>
        <w:tc>
          <w:tcPr>
            <w:tcW w:w="1400" w:type="dxa"/>
            <w:vAlign w:val="bottom"/>
          </w:tcPr>
          <w:p>
            <w:pPr>
              <w:jc w:val="right"/>
              <w:ind w:right="134"/>
              <w:spacing w:after="0" w:line="189" w:lineRule="exact"/>
              <w:rPr>
                <w:sz w:val="20"/>
                <w:szCs w:val="20"/>
                <w:color w:val="auto"/>
              </w:rPr>
            </w:pPr>
            <w:r>
              <w:rPr>
                <w:rFonts w:ascii="Arial" w:cs="Arial" w:eastAsia="Arial" w:hAnsi="Arial"/>
                <w:sz w:val="18"/>
                <w:szCs w:val="18"/>
                <w:b w:val="1"/>
                <w:bCs w:val="1"/>
                <w:color w:val="auto"/>
              </w:rPr>
              <w:t>2021–2033</w:t>
            </w:r>
          </w:p>
        </w:tc>
        <w:tc>
          <w:tcPr>
            <w:tcW w:w="1760" w:type="dxa"/>
            <w:vAlign w:val="bottom"/>
          </w:tcPr>
          <w:p>
            <w:pPr>
              <w:jc w:val="right"/>
              <w:ind w:right="254"/>
              <w:spacing w:after="0" w:line="189" w:lineRule="exact"/>
              <w:rPr>
                <w:sz w:val="20"/>
                <w:szCs w:val="20"/>
                <w:color w:val="auto"/>
              </w:rPr>
            </w:pPr>
            <w:r>
              <w:rPr>
                <w:rFonts w:ascii="Arial" w:cs="Arial" w:eastAsia="Arial" w:hAnsi="Arial"/>
                <w:sz w:val="18"/>
                <w:szCs w:val="18"/>
                <w:b w:val="1"/>
                <w:bCs w:val="1"/>
                <w:color w:val="auto"/>
              </w:rPr>
              <w:t>2.13% – 3.13%</w:t>
            </w:r>
          </w:p>
        </w:tc>
        <w:tc>
          <w:tcPr>
            <w:tcW w:w="1700" w:type="dxa"/>
            <w:vAlign w:val="bottom"/>
          </w:tcPr>
          <w:p>
            <w:pPr>
              <w:jc w:val="right"/>
              <w:ind w:right="134"/>
              <w:spacing w:after="0" w:line="189" w:lineRule="exact"/>
              <w:rPr>
                <w:sz w:val="20"/>
                <w:szCs w:val="20"/>
                <w:color w:val="auto"/>
              </w:rPr>
            </w:pPr>
            <w:r>
              <w:rPr>
                <w:rFonts w:ascii="Arial" w:cs="Arial" w:eastAsia="Arial" w:hAnsi="Arial"/>
                <w:sz w:val="18"/>
                <w:szCs w:val="18"/>
                <w:b w:val="1"/>
                <w:bCs w:val="1"/>
                <w:color w:val="auto"/>
              </w:rPr>
              <w:t>2.23%–3.22%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4,955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2015 issuance of $23.8 billion </w:t>
            </w:r>
            <w:r>
              <w:rPr>
                <w:rFonts w:ascii="Arial" w:cs="Arial" w:eastAsia="Arial" w:hAnsi="Arial"/>
                <w:sz w:val="15"/>
                <w:szCs w:val="15"/>
                <w:color w:val="auto"/>
              </w:rPr>
              <w:t>(a)</w:t>
            </w:r>
          </w:p>
        </w:tc>
        <w:tc>
          <w:tcPr>
            <w:tcW w:w="140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b w:val="1"/>
                <w:bCs w:val="1"/>
                <w:color w:val="auto"/>
              </w:rPr>
              <w:t>2022–2055</w:t>
            </w:r>
          </w:p>
        </w:tc>
        <w:tc>
          <w:tcPr>
            <w:tcW w:w="1760" w:type="dxa"/>
            <w:vAlign w:val="bottom"/>
            <w:shd w:val="clear" w:color="auto" w:fill="E5E5E5"/>
          </w:tcPr>
          <w:p>
            <w:pPr>
              <w:jc w:val="right"/>
              <w:ind w:right="254"/>
              <w:spacing w:after="0" w:line="189" w:lineRule="exact"/>
              <w:rPr>
                <w:sz w:val="20"/>
                <w:szCs w:val="20"/>
                <w:color w:val="auto"/>
              </w:rPr>
            </w:pPr>
            <w:r>
              <w:rPr>
                <w:rFonts w:ascii="Arial" w:cs="Arial" w:eastAsia="Arial" w:hAnsi="Arial"/>
                <w:sz w:val="18"/>
                <w:szCs w:val="18"/>
                <w:b w:val="1"/>
                <w:bCs w:val="1"/>
                <w:color w:val="auto"/>
              </w:rPr>
              <w:t>2.38% – 4.75%</w:t>
            </w:r>
          </w:p>
        </w:tc>
        <w:tc>
          <w:tcPr>
            <w:tcW w:w="170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b w:val="1"/>
                <w:bCs w:val="1"/>
                <w:color w:val="auto"/>
              </w:rPr>
              <w:t>2.47%–4.78%</w:t>
            </w: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13,299</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2016 issuance of $19.8 billion </w:t>
            </w:r>
            <w:r>
              <w:rPr>
                <w:rFonts w:ascii="Arial" w:cs="Arial" w:eastAsia="Arial" w:hAnsi="Arial"/>
                <w:sz w:val="15"/>
                <w:szCs w:val="15"/>
                <w:color w:val="auto"/>
              </w:rPr>
              <w:t>(a)</w:t>
            </w:r>
          </w:p>
        </w:tc>
        <w:tc>
          <w:tcPr>
            <w:tcW w:w="1400" w:type="dxa"/>
            <w:vAlign w:val="bottom"/>
          </w:tcPr>
          <w:p>
            <w:pPr>
              <w:jc w:val="right"/>
              <w:ind w:right="134"/>
              <w:spacing w:after="0" w:line="189" w:lineRule="exact"/>
              <w:rPr>
                <w:sz w:val="20"/>
                <w:szCs w:val="20"/>
                <w:color w:val="auto"/>
              </w:rPr>
            </w:pPr>
            <w:r>
              <w:rPr>
                <w:rFonts w:ascii="Arial" w:cs="Arial" w:eastAsia="Arial" w:hAnsi="Arial"/>
                <w:sz w:val="18"/>
                <w:szCs w:val="18"/>
                <w:b w:val="1"/>
                <w:bCs w:val="1"/>
                <w:color w:val="auto"/>
              </w:rPr>
              <w:t>2021–2056</w:t>
            </w:r>
          </w:p>
        </w:tc>
        <w:tc>
          <w:tcPr>
            <w:tcW w:w="1760" w:type="dxa"/>
            <w:vAlign w:val="bottom"/>
          </w:tcPr>
          <w:p>
            <w:pPr>
              <w:jc w:val="right"/>
              <w:ind w:right="254"/>
              <w:spacing w:after="0" w:line="189" w:lineRule="exact"/>
              <w:rPr>
                <w:sz w:val="20"/>
                <w:szCs w:val="20"/>
                <w:color w:val="auto"/>
              </w:rPr>
            </w:pPr>
            <w:r>
              <w:rPr>
                <w:rFonts w:ascii="Arial" w:cs="Arial" w:eastAsia="Arial" w:hAnsi="Arial"/>
                <w:sz w:val="18"/>
                <w:szCs w:val="18"/>
                <w:b w:val="1"/>
                <w:bCs w:val="1"/>
                <w:color w:val="auto"/>
              </w:rPr>
              <w:t>1.55% – 3.95%</w:t>
            </w:r>
          </w:p>
        </w:tc>
        <w:tc>
          <w:tcPr>
            <w:tcW w:w="1700" w:type="dxa"/>
            <w:vAlign w:val="bottom"/>
          </w:tcPr>
          <w:p>
            <w:pPr>
              <w:jc w:val="right"/>
              <w:ind w:right="134"/>
              <w:spacing w:after="0" w:line="189" w:lineRule="exact"/>
              <w:rPr>
                <w:sz w:val="20"/>
                <w:szCs w:val="20"/>
                <w:color w:val="auto"/>
              </w:rPr>
            </w:pPr>
            <w:r>
              <w:rPr>
                <w:rFonts w:ascii="Arial" w:cs="Arial" w:eastAsia="Arial" w:hAnsi="Arial"/>
                <w:sz w:val="18"/>
                <w:szCs w:val="18"/>
                <w:b w:val="1"/>
                <w:bCs w:val="1"/>
                <w:color w:val="auto"/>
              </w:rPr>
              <w:t>1.64%–4.03%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16,955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16,955</w:t>
            </w:r>
          </w:p>
        </w:tc>
        <w:tc>
          <w:tcPr>
            <w:tcW w:w="0" w:type="dxa"/>
            <w:vAlign w:val="bottom"/>
          </w:tcPr>
          <w:p>
            <w:pPr>
              <w:spacing w:after="0"/>
              <w:rPr>
                <w:sz w:val="1"/>
                <w:szCs w:val="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2017 issuance of $17.0 billion </w:t>
            </w:r>
            <w:r>
              <w:rPr>
                <w:rFonts w:ascii="Arial" w:cs="Arial" w:eastAsia="Arial" w:hAnsi="Arial"/>
                <w:sz w:val="15"/>
                <w:szCs w:val="15"/>
                <w:color w:val="auto"/>
              </w:rPr>
              <w:t>(a)</w:t>
            </w:r>
          </w:p>
        </w:tc>
        <w:tc>
          <w:tcPr>
            <w:tcW w:w="140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b w:val="1"/>
                <w:bCs w:val="1"/>
                <w:color w:val="auto"/>
              </w:rPr>
              <w:t>2022–2057</w:t>
            </w:r>
          </w:p>
        </w:tc>
        <w:tc>
          <w:tcPr>
            <w:tcW w:w="1760" w:type="dxa"/>
            <w:vAlign w:val="bottom"/>
            <w:shd w:val="clear" w:color="auto" w:fill="E5E5E5"/>
          </w:tcPr>
          <w:p>
            <w:pPr>
              <w:jc w:val="right"/>
              <w:ind w:right="254"/>
              <w:spacing w:after="0" w:line="189" w:lineRule="exact"/>
              <w:rPr>
                <w:sz w:val="20"/>
                <w:szCs w:val="20"/>
                <w:color w:val="auto"/>
              </w:rPr>
            </w:pPr>
            <w:r>
              <w:rPr>
                <w:rFonts w:ascii="Arial" w:cs="Arial" w:eastAsia="Arial" w:hAnsi="Arial"/>
                <w:sz w:val="18"/>
                <w:szCs w:val="18"/>
                <w:b w:val="1"/>
                <w:bCs w:val="1"/>
                <w:color w:val="auto"/>
              </w:rPr>
              <w:t>2.40% – 4.50%</w:t>
            </w:r>
          </w:p>
        </w:tc>
        <w:tc>
          <w:tcPr>
            <w:tcW w:w="170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b w:val="1"/>
                <w:bCs w:val="1"/>
                <w:color w:val="auto"/>
              </w:rPr>
              <w:t>2.52%–4.53%</w:t>
            </w: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12,385</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12,385</w:t>
            </w:r>
          </w:p>
        </w:tc>
        <w:tc>
          <w:tcPr>
            <w:tcW w:w="0" w:type="dxa"/>
            <w:vAlign w:val="bottom"/>
          </w:tcPr>
          <w:p>
            <w:pPr>
              <w:spacing w:after="0"/>
              <w:rPr>
                <w:sz w:val="1"/>
                <w:szCs w:val="1"/>
                <w:color w:val="auto"/>
              </w:rPr>
            </w:pPr>
          </w:p>
        </w:tc>
      </w:tr>
      <w:tr>
        <w:trPr>
          <w:trHeight w:val="255"/>
        </w:trPr>
        <w:tc>
          <w:tcPr>
            <w:tcW w:w="3540" w:type="dxa"/>
            <w:vAlign w:val="bottom"/>
          </w:tcPr>
          <w:p>
            <w:pPr>
              <w:spacing w:after="0"/>
              <w:rPr>
                <w:sz w:val="20"/>
                <w:szCs w:val="20"/>
                <w:color w:val="auto"/>
              </w:rPr>
            </w:pPr>
            <w:r>
              <w:rPr>
                <w:rFonts w:ascii="Arial" w:cs="Arial" w:eastAsia="Arial" w:hAnsi="Arial"/>
                <w:sz w:val="18"/>
                <w:szCs w:val="18"/>
                <w:color w:val="auto"/>
              </w:rPr>
              <w:t xml:space="preserve">2020 issuance of $10.0 billion </w:t>
            </w:r>
            <w:r>
              <w:rPr>
                <w:rFonts w:ascii="Arial" w:cs="Arial" w:eastAsia="Arial" w:hAnsi="Arial"/>
                <w:sz w:val="15"/>
                <w:szCs w:val="15"/>
                <w:color w:val="auto"/>
              </w:rPr>
              <w:t>(a)</w:t>
            </w:r>
          </w:p>
        </w:tc>
        <w:tc>
          <w:tcPr>
            <w:tcW w:w="1400" w:type="dxa"/>
            <w:vAlign w:val="bottom"/>
          </w:tcPr>
          <w:p>
            <w:pPr>
              <w:jc w:val="right"/>
              <w:ind w:right="134"/>
              <w:spacing w:after="0"/>
              <w:rPr>
                <w:sz w:val="20"/>
                <w:szCs w:val="20"/>
                <w:color w:val="auto"/>
              </w:rPr>
            </w:pPr>
            <w:r>
              <w:rPr>
                <w:rFonts w:ascii="Arial" w:cs="Arial" w:eastAsia="Arial" w:hAnsi="Arial"/>
                <w:sz w:val="18"/>
                <w:szCs w:val="18"/>
                <w:b w:val="1"/>
                <w:bCs w:val="1"/>
                <w:color w:val="auto"/>
              </w:rPr>
              <w:t>2050–2060</w:t>
            </w:r>
          </w:p>
        </w:tc>
        <w:tc>
          <w:tcPr>
            <w:tcW w:w="1760" w:type="dxa"/>
            <w:vAlign w:val="bottom"/>
          </w:tcPr>
          <w:p>
            <w:pPr>
              <w:jc w:val="right"/>
              <w:ind w:right="254"/>
              <w:spacing w:after="0"/>
              <w:rPr>
                <w:sz w:val="20"/>
                <w:szCs w:val="20"/>
                <w:color w:val="auto"/>
              </w:rPr>
            </w:pPr>
            <w:r>
              <w:rPr>
                <w:rFonts w:ascii="Arial" w:cs="Arial" w:eastAsia="Arial" w:hAnsi="Arial"/>
                <w:sz w:val="18"/>
                <w:szCs w:val="18"/>
                <w:b w:val="1"/>
                <w:bCs w:val="1"/>
                <w:color w:val="auto"/>
              </w:rPr>
              <w:t>2.53% – 2.68%</w:t>
            </w:r>
          </w:p>
        </w:tc>
        <w:tc>
          <w:tcPr>
            <w:tcW w:w="1700" w:type="dxa"/>
            <w:vAlign w:val="bottom"/>
          </w:tcPr>
          <w:p>
            <w:pPr>
              <w:jc w:val="right"/>
              <w:ind w:right="134"/>
              <w:spacing w:after="0"/>
              <w:rPr>
                <w:sz w:val="20"/>
                <w:szCs w:val="20"/>
                <w:color w:val="auto"/>
              </w:rPr>
            </w:pPr>
            <w:r>
              <w:rPr>
                <w:rFonts w:ascii="Arial" w:cs="Arial" w:eastAsia="Arial" w:hAnsi="Arial"/>
                <w:sz w:val="18"/>
                <w:szCs w:val="18"/>
                <w:b w:val="1"/>
                <w:bCs w:val="1"/>
                <w:color w:val="auto"/>
              </w:rPr>
              <w:t>2.53%–2.68%</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63"/>
        </w:trPr>
        <w:tc>
          <w:tcPr>
            <w:tcW w:w="35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1760" w:type="dxa"/>
            <w:vAlign w:val="bottom"/>
            <w:tcBorders>
              <w:top w:val="single" w:sz="8" w:color="auto"/>
            </w:tcBorders>
          </w:tcPr>
          <w:p>
            <w:pPr>
              <w:spacing w:after="0"/>
              <w:rPr>
                <w:sz w:val="5"/>
                <w:szCs w:val="5"/>
                <w:color w:val="auto"/>
              </w:rPr>
            </w:pPr>
          </w:p>
        </w:tc>
        <w:tc>
          <w:tcPr>
            <w:tcW w:w="17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face value</w:t>
            </w:r>
          </w:p>
        </w:tc>
        <w:tc>
          <w:tcPr>
            <w:tcW w:w="1400" w:type="dxa"/>
            <w:vAlign w:val="bottom"/>
            <w:shd w:val="clear" w:color="auto" w:fill="E5E5E5"/>
          </w:tcPr>
          <w:p>
            <w:pPr>
              <w:spacing w:after="0"/>
              <w:rPr>
                <w:sz w:val="16"/>
                <w:szCs w:val="16"/>
                <w:color w:val="auto"/>
              </w:rPr>
            </w:pPr>
          </w:p>
        </w:tc>
        <w:tc>
          <w:tcPr>
            <w:tcW w:w="176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64,563</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67,407</w:t>
            </w: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Unamortized discount and issuance costs</w:t>
            </w:r>
          </w:p>
        </w:tc>
        <w:tc>
          <w:tcPr>
            <w:tcW w:w="1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15"/>
                <w:szCs w:val="15"/>
                <w:color w:val="auto"/>
              </w:rPr>
              <w:t>(b)</w:t>
            </w:r>
          </w:p>
        </w:tc>
        <w:tc>
          <w:tcPr>
            <w:tcW w:w="1400" w:type="dxa"/>
            <w:vAlign w:val="bottom"/>
            <w:shd w:val="clear" w:color="auto" w:fill="E5E5E5"/>
          </w:tcPr>
          <w:p>
            <w:pPr>
              <w:spacing w:after="0"/>
              <w:rPr>
                <w:sz w:val="16"/>
                <w:szCs w:val="16"/>
                <w:color w:val="auto"/>
              </w:rPr>
            </w:pPr>
          </w:p>
        </w:tc>
        <w:tc>
          <w:tcPr>
            <w:tcW w:w="176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5"/>
        </w:trPr>
        <w:tc>
          <w:tcPr>
            <w:tcW w:w="3540" w:type="dxa"/>
            <w:vAlign w:val="bottom"/>
          </w:tcPr>
          <w:p>
            <w:pPr>
              <w:spacing w:after="0"/>
              <w:rPr>
                <w:sz w:val="20"/>
                <w:szCs w:val="20"/>
                <w:color w:val="auto"/>
              </w:rPr>
            </w:pPr>
            <w:r>
              <w:rPr>
                <w:rFonts w:ascii="Arial" w:cs="Arial" w:eastAsia="Arial" w:hAnsi="Arial"/>
                <w:sz w:val="18"/>
                <w:szCs w:val="18"/>
                <w:color w:val="auto"/>
              </w:rPr>
              <w:t xml:space="preserve">Premium on debt exchange </w:t>
            </w:r>
            <w:r>
              <w:rPr>
                <w:rFonts w:ascii="Arial" w:cs="Arial" w:eastAsia="Arial" w:hAnsi="Arial"/>
                <w:sz w:val="15"/>
                <w:szCs w:val="15"/>
                <w:color w:val="auto"/>
              </w:rPr>
              <w:t>(a)</w:t>
            </w:r>
          </w:p>
        </w:tc>
        <w:tc>
          <w:tcPr>
            <w:tcW w:w="14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63"/>
        </w:trPr>
        <w:tc>
          <w:tcPr>
            <w:tcW w:w="35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1760" w:type="dxa"/>
            <w:vAlign w:val="bottom"/>
            <w:tcBorders>
              <w:top w:val="single" w:sz="8" w:color="auto"/>
            </w:tcBorders>
          </w:tcPr>
          <w:p>
            <w:pPr>
              <w:spacing w:after="0"/>
              <w:rPr>
                <w:sz w:val="5"/>
                <w:szCs w:val="5"/>
                <w:color w:val="auto"/>
              </w:rPr>
            </w:pPr>
          </w:p>
        </w:tc>
        <w:tc>
          <w:tcPr>
            <w:tcW w:w="17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debt</w:t>
            </w:r>
          </w:p>
        </w:tc>
        <w:tc>
          <w:tcPr>
            <w:tcW w:w="1400" w:type="dxa"/>
            <w:vAlign w:val="bottom"/>
            <w:shd w:val="clear" w:color="auto" w:fill="E5E5E5"/>
          </w:tcPr>
          <w:p>
            <w:pPr>
              <w:spacing w:after="0"/>
              <w:rPr>
                <w:sz w:val="16"/>
                <w:szCs w:val="16"/>
                <w:color w:val="auto"/>
              </w:rPr>
            </w:pPr>
          </w:p>
        </w:tc>
        <w:tc>
          <w:tcPr>
            <w:tcW w:w="176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60,523</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63,327</w:t>
            </w:r>
          </w:p>
        </w:tc>
        <w:tc>
          <w:tcPr>
            <w:tcW w:w="0" w:type="dxa"/>
            <w:vAlign w:val="bottom"/>
          </w:tcPr>
          <w:p>
            <w:pPr>
              <w:spacing w:after="0"/>
              <w:rPr>
                <w:sz w:val="1"/>
                <w:szCs w:val="1"/>
                <w:color w:val="auto"/>
              </w:rPr>
            </w:pPr>
          </w:p>
        </w:tc>
      </w:tr>
      <w:tr>
        <w:trPr>
          <w:trHeight w:val="255"/>
        </w:trPr>
        <w:tc>
          <w:tcPr>
            <w:tcW w:w="35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(5,387)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63"/>
        </w:trPr>
        <w:tc>
          <w:tcPr>
            <w:tcW w:w="35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1760" w:type="dxa"/>
            <w:vAlign w:val="bottom"/>
            <w:tcBorders>
              <w:top w:val="single" w:sz="8" w:color="auto"/>
            </w:tcBorders>
          </w:tcPr>
          <w:p>
            <w:pPr>
              <w:spacing w:after="0"/>
              <w:rPr>
                <w:sz w:val="5"/>
                <w:szCs w:val="5"/>
                <w:color w:val="auto"/>
              </w:rPr>
            </w:pPr>
          </w:p>
        </w:tc>
        <w:tc>
          <w:tcPr>
            <w:tcW w:w="17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Long-term debt</w:t>
            </w:r>
          </w:p>
        </w:tc>
        <w:tc>
          <w:tcPr>
            <w:tcW w:w="1400" w:type="dxa"/>
            <w:vAlign w:val="bottom"/>
            <w:shd w:val="clear" w:color="auto" w:fill="E5E5E5"/>
          </w:tcPr>
          <w:p>
            <w:pPr>
              <w:spacing w:after="0"/>
              <w:rPr>
                <w:sz w:val="16"/>
                <w:szCs w:val="16"/>
                <w:color w:val="auto"/>
              </w:rPr>
            </w:pPr>
          </w:p>
        </w:tc>
        <w:tc>
          <w:tcPr>
            <w:tcW w:w="176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4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55,136</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59,578</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40" w:hanging="532"/>
        <w:spacing w:after="0" w:line="246"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 June 2020, we exchanged a portion of our existing debt at premium for cash and new debt with longer maturities. The premium is amortized over the term of the new debt.</w:t>
      </w: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3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As of December 31, 2020 and June 30, 2020, the estimated fair value of long-term debt, including the current portion, was $75.1 billion and $77.1 billion, respectively. The estimated fair values are based on Level 2 inputs.</w:t>
      </w:r>
    </w:p>
    <w:p>
      <w:pPr>
        <w:spacing w:after="0" w:line="9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3"/>
        </w:trPr>
        <w:tc>
          <w:tcPr>
            <w:tcW w:w="10020" w:type="dxa"/>
            <w:vAlign w:val="bottom"/>
            <w:gridSpan w:val="3"/>
          </w:tcPr>
          <w:p>
            <w:pPr>
              <w:ind w:left="5420"/>
              <w:spacing w:after="0"/>
              <w:rPr>
                <w:sz w:val="20"/>
                <w:szCs w:val="20"/>
                <w:color w:val="auto"/>
              </w:rPr>
            </w:pPr>
            <w:r>
              <w:rPr>
                <w:rFonts w:ascii="Arial" w:cs="Arial" w:eastAsia="Arial" w:hAnsi="Arial"/>
                <w:sz w:val="13"/>
                <w:szCs w:val="13"/>
                <w:color w:val="auto"/>
              </w:rPr>
              <w:t>PART I</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5420" w:type="dxa"/>
            <w:vAlign w:val="bottom"/>
          </w:tcPr>
          <w:p>
            <w:pPr>
              <w:spacing w:after="0"/>
              <w:rPr>
                <w:sz w:val="15"/>
                <w:szCs w:val="15"/>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Item 1</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53"/>
        </w:trPr>
        <w:tc>
          <w:tcPr>
            <w:tcW w:w="10020" w:type="dxa"/>
            <w:vAlign w:val="bottom"/>
            <w:gridSpan w:val="3"/>
          </w:tcPr>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December 31, 2020:</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1002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3"/>
        </w:trPr>
        <w:tc>
          <w:tcPr>
            <w:tcW w:w="10020" w:type="dxa"/>
            <w:vAlign w:val="bottom"/>
            <w:gridSpan w:val="3"/>
          </w:tcPr>
          <w:p>
            <w:pPr>
              <w:spacing w:after="0"/>
              <w:rPr>
                <w:sz w:val="20"/>
                <w:szCs w:val="20"/>
                <w:color w:val="auto"/>
              </w:rPr>
            </w:pPr>
            <w:r>
              <w:rPr>
                <w:rFonts w:ascii="Arial" w:cs="Arial" w:eastAsia="Arial" w:hAnsi="Arial"/>
                <w:sz w:val="13"/>
                <w:szCs w:val="13"/>
                <w:b w:val="1"/>
                <w:bCs w:val="1"/>
                <w:color w:val="auto"/>
              </w:rPr>
              <w:t>Year Ending June 30,</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89"/>
        </w:trPr>
        <w:tc>
          <w:tcPr>
            <w:tcW w:w="100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2021 (excluding the six months ended December 31, 2020)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500</w:t>
            </w: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4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8,141</w:t>
            </w:r>
          </w:p>
        </w:tc>
      </w:tr>
      <w:tr>
        <w:trPr>
          <w:trHeight w:val="189"/>
        </w:trPr>
        <w:tc>
          <w:tcPr>
            <w:tcW w:w="5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420" w:type="dxa"/>
            <w:vAlign w:val="bottom"/>
            <w:shd w:val="clear" w:color="auto" w:fill="E5E5E5"/>
          </w:tcPr>
          <w:p>
            <w:pPr>
              <w:spacing w:after="0"/>
              <w:rPr>
                <w:sz w:val="16"/>
                <w:szCs w:val="16"/>
                <w:color w:val="auto"/>
              </w:rPr>
            </w:pPr>
          </w:p>
        </w:tc>
        <w:tc>
          <w:tcPr>
            <w:tcW w:w="4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2,750</w:t>
            </w: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4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5,250</w:t>
            </w:r>
          </w:p>
        </w:tc>
      </w:tr>
      <w:tr>
        <w:trPr>
          <w:trHeight w:val="189"/>
        </w:trPr>
        <w:tc>
          <w:tcPr>
            <w:tcW w:w="5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420" w:type="dxa"/>
            <w:vAlign w:val="bottom"/>
            <w:shd w:val="clear" w:color="auto" w:fill="E5E5E5"/>
          </w:tcPr>
          <w:p>
            <w:pPr>
              <w:spacing w:after="0"/>
              <w:rPr>
                <w:sz w:val="16"/>
                <w:szCs w:val="16"/>
                <w:color w:val="auto"/>
              </w:rPr>
            </w:pPr>
          </w:p>
        </w:tc>
        <w:tc>
          <w:tcPr>
            <w:tcW w:w="4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r>
      <w:tr>
        <w:trPr>
          <w:trHeight w:val="255"/>
        </w:trPr>
        <w:tc>
          <w:tcPr>
            <w:tcW w:w="100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45,672</w:t>
            </w:r>
          </w:p>
        </w:tc>
      </w:tr>
      <w:tr>
        <w:trPr>
          <w:trHeight w:val="63"/>
        </w:trPr>
        <w:tc>
          <w:tcPr>
            <w:tcW w:w="54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418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10020" w:type="dxa"/>
            <w:vAlign w:val="bottom"/>
            <w:gridSpan w:val="3"/>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64,563</w:t>
            </w:r>
          </w:p>
        </w:tc>
      </w:tr>
      <w:tr>
        <w:trPr>
          <w:trHeight w:val="74"/>
        </w:trPr>
        <w:tc>
          <w:tcPr>
            <w:tcW w:w="5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INCOME TAXES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effective tax rate was 16% and 17% for the three months ended December 31, 2020 and 2019, respectively, and 15% and 17% for the six months ended December 31, 2020 and 2019, respectively. The decrease in our effective tax rate for the three and six months ended December 31, 2020 compared to the prior year was primarily due to tax benefits from final Tax Cuts and Jobs Act regulations and an increase in tax benefits relating to stock-based compensation.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was lower than the U.S. federal statutory rate for the three and six months ended December 31, 2020, primarily due to earnings taxed at lower rates in foreign jurisdictions resulting from producing and distributing our products and services through our foreign regional operations centers in Ireland and Puerto Rico, and tax benefits relating to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and June 30, 2020, unrecognized tax benefits and other income tax liabilities were $15.4 billion and $16.6 billion, respectively, and are included in long-term income taxes in our consolidated balance sheets. The decrease is primarily driven by a partial settlement of the Internal Revenue Service (“IRS”) audits for tax years 2004 to 2013.</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settled a portion of the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December 31, 2020,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2020, some of which are currently under audit by local tax authorities. The resolution of each of these audits is not expected to be material to our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tcPr>
          <w:p>
            <w:pPr>
              <w:ind w:left="260"/>
              <w:spacing w:after="0"/>
              <w:rPr>
                <w:sz w:val="20"/>
                <w:szCs w:val="20"/>
                <w:color w:val="auto"/>
              </w:rPr>
            </w:pPr>
            <w:r>
              <w:rPr>
                <w:rFonts w:ascii="Arial" w:cs="Arial" w:eastAsia="Arial" w:hAnsi="Arial"/>
                <w:sz w:val="13"/>
                <w:szCs w:val="13"/>
                <w:b w:val="1"/>
                <w:bCs w:val="1"/>
                <w:color w:val="auto"/>
              </w:rPr>
              <w:t>December 31,</w:t>
            </w:r>
          </w:p>
        </w:tc>
        <w:tc>
          <w:tcPr>
            <w:tcW w:w="4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0"/>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8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16,225</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18,643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60" w:type="dxa"/>
            <w:vAlign w:val="bottom"/>
          </w:tcPr>
          <w:p>
            <w:pPr>
              <w:spacing w:after="0"/>
              <w:rPr>
                <w:sz w:val="16"/>
                <w:szCs w:val="16"/>
                <w:color w:val="auto"/>
              </w:rPr>
            </w:pPr>
          </w:p>
        </w:tc>
        <w:tc>
          <w:tcPr>
            <w:tcW w:w="132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13,786</w:t>
            </w:r>
          </w:p>
        </w:tc>
        <w:tc>
          <w:tcPr>
            <w:tcW w:w="4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16,620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60" w:type="dxa"/>
            <w:vAlign w:val="bottom"/>
            <w:shd w:val="clear" w:color="auto" w:fill="E5E5E5"/>
          </w:tcPr>
          <w:p>
            <w:pPr>
              <w:spacing w:after="0"/>
              <w:rPr>
                <w:sz w:val="16"/>
                <w:szCs w:val="16"/>
                <w:color w:val="auto"/>
              </w:rPr>
            </w:pPr>
          </w:p>
        </w:tc>
        <w:tc>
          <w:tcPr>
            <w:tcW w:w="13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3,376</w:t>
            </w:r>
          </w:p>
        </w:tc>
        <w:tc>
          <w:tcPr>
            <w:tcW w:w="48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3,917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80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33,387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39,180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8000" w:type="dxa"/>
            <w:vAlign w:val="bottom"/>
            <w:vMerge w:val="restart"/>
          </w:tcPr>
          <w:p>
            <w:pPr>
              <w:spacing w:after="0"/>
              <w:rPr>
                <w:sz w:val="20"/>
                <w:szCs w:val="20"/>
                <w:color w:val="auto"/>
              </w:rPr>
            </w:pPr>
            <w:r>
              <w:rPr>
                <w:rFonts w:ascii="Arial" w:cs="Arial" w:eastAsia="Arial" w:hAnsi="Arial"/>
                <w:sz w:val="18"/>
                <w:szCs w:val="18"/>
                <w:color w:val="auto"/>
              </w:rPr>
              <w:t>Changes in unearned revenue were as follows:</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3"/>
        </w:trPr>
        <w:tc>
          <w:tcPr>
            <w:tcW w:w="8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80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000" w:type="dxa"/>
            <w:vAlign w:val="bottom"/>
          </w:tcPr>
          <w:p>
            <w:pPr>
              <w:spacing w:after="0"/>
              <w:rPr>
                <w:sz w:val="20"/>
                <w:szCs w:val="20"/>
                <w:color w:val="auto"/>
              </w:rPr>
            </w:pPr>
            <w:r>
              <w:rPr>
                <w:rFonts w:ascii="Arial" w:cs="Arial" w:eastAsia="Arial" w:hAnsi="Arial"/>
                <w:sz w:val="13"/>
                <w:szCs w:val="13"/>
                <w:b w:val="1"/>
                <w:bCs w:val="1"/>
                <w:color w:val="auto"/>
              </w:rPr>
              <w:t>Six Months Ended December 31, 2020</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8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39,180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Deferral of revenue</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37,044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Recognition of unearned revenue</w:t>
            </w:r>
          </w:p>
        </w:tc>
        <w:tc>
          <w:tcPr>
            <w:tcW w:w="36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(42,837)</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8000" w:type="dxa"/>
            <w:vAlign w:val="bottom"/>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33,387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8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$117 billion as of December 31, 2020, of which $112 billion is related to the commercial portion of revenue. We expect to recognize approximately 50% of this revenue over the next 12 months and the remainder thereafter.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LEASES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1 year to 20 years, some of which include options to extend the leases for up to 5 years, and some of which include options to terminate the leases within 1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ind w:left="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424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5"/>
        </w:trPr>
        <w:tc>
          <w:tcPr>
            <w:tcW w:w="4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45"/>
        </w:trPr>
        <w:tc>
          <w:tcPr>
            <w:tcW w:w="4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190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503</w:t>
            </w:r>
          </w:p>
        </w:tc>
        <w:tc>
          <w:tcPr>
            <w:tcW w:w="4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478</w:t>
            </w:r>
          </w:p>
        </w:tc>
        <w:tc>
          <w:tcPr>
            <w:tcW w:w="5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1,001</w:t>
            </w:r>
          </w:p>
        </w:tc>
        <w:tc>
          <w:tcPr>
            <w:tcW w:w="3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75"/>
        </w:trPr>
        <w:tc>
          <w:tcPr>
            <w:tcW w:w="424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13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240" w:type="dxa"/>
            <w:vAlign w:val="bottom"/>
            <w:vMerge w:val="continue"/>
          </w:tcPr>
          <w:p>
            <w:pPr>
              <w:spacing w:after="0"/>
              <w:rPr>
                <w:sz w:val="22"/>
                <w:szCs w:val="22"/>
                <w:color w:val="auto"/>
              </w:rPr>
            </w:pPr>
          </w:p>
        </w:tc>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Amortization of right-of-use assets</w:t>
            </w:r>
          </w:p>
        </w:tc>
        <w:tc>
          <w:tcPr>
            <w:tcW w:w="190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249</w:t>
            </w:r>
          </w:p>
        </w:tc>
        <w:tc>
          <w:tcPr>
            <w:tcW w:w="4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163</w:t>
            </w:r>
          </w:p>
        </w:tc>
        <w:tc>
          <w:tcPr>
            <w:tcW w:w="5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455</w:t>
            </w:r>
          </w:p>
        </w:tc>
        <w:tc>
          <w:tcPr>
            <w:tcW w:w="3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55"/>
        </w:trPr>
        <w:tc>
          <w:tcPr>
            <w:tcW w:w="424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63"/>
        </w:trPr>
        <w:tc>
          <w:tcPr>
            <w:tcW w:w="4240" w:type="dxa"/>
            <w:vAlign w:val="bottom"/>
            <w:tcBorders>
              <w:top w:val="single" w:sz="8" w:color="auto"/>
            </w:tcBorders>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 finance lease cost</w:t>
            </w:r>
          </w:p>
        </w:tc>
        <w:tc>
          <w:tcPr>
            <w:tcW w:w="190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343</w:t>
            </w:r>
          </w:p>
        </w:tc>
        <w:tc>
          <w:tcPr>
            <w:tcW w:w="4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247</w:t>
            </w:r>
          </w:p>
        </w:tc>
        <w:tc>
          <w:tcPr>
            <w:tcW w:w="5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641</w:t>
            </w:r>
          </w:p>
        </w:tc>
        <w:tc>
          <w:tcPr>
            <w:tcW w:w="3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74"/>
        </w:trPr>
        <w:tc>
          <w:tcPr>
            <w:tcW w:w="4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0"/>
        </w:trPr>
        <w:tc>
          <w:tcPr>
            <w:tcW w:w="4240" w:type="dxa"/>
            <w:vAlign w:val="bottom"/>
          </w:tcPr>
          <w:p>
            <w:pPr>
              <w:spacing w:after="0"/>
              <w:rPr>
                <w:sz w:val="24"/>
                <w:szCs w:val="24"/>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4"/>
                <w:szCs w:val="14"/>
                <w:color w:val="auto"/>
              </w:rPr>
              <w:t>21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0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5"/>
        </w:trPr>
        <w:tc>
          <w:tcPr>
            <w:tcW w:w="5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auto"/>
              </w:rPr>
              <w:t>2019</w:t>
            </w:r>
          </w:p>
        </w:tc>
        <w:tc>
          <w:tcPr>
            <w:tcW w:w="54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44"/>
        </w:trPr>
        <w:tc>
          <w:tcPr>
            <w:tcW w:w="5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5320" w:type="dxa"/>
            <w:vAlign w:val="bottom"/>
            <w:shd w:val="clear" w:color="auto" w:fill="E5E5E5"/>
          </w:tcPr>
          <w:p>
            <w:pPr>
              <w:spacing w:after="0" w:line="153" w:lineRule="exact"/>
              <w:rPr>
                <w:sz w:val="20"/>
                <w:szCs w:val="20"/>
                <w:color w:val="auto"/>
              </w:rPr>
            </w:pPr>
            <w:r>
              <w:rPr>
                <w:rFonts w:ascii="Arial" w:cs="Arial" w:eastAsia="Arial" w:hAnsi="Arial"/>
                <w:sz w:val="17"/>
                <w:szCs w:val="17"/>
                <w:color w:val="auto"/>
              </w:rPr>
              <w:t>Cash paid for amounts included in the measurement of lease</w:t>
            </w:r>
          </w:p>
        </w:tc>
        <w:tc>
          <w:tcPr>
            <w:tcW w:w="74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11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3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liabilities:</w:t>
            </w:r>
          </w:p>
        </w:tc>
        <w:tc>
          <w:tcPr>
            <w:tcW w:w="74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740" w:type="dxa"/>
            <w:vAlign w:val="bottom"/>
          </w:tcPr>
          <w:p>
            <w:pPr>
              <w:jc w:val="right"/>
              <w:ind w:right="25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482</w:t>
            </w:r>
          </w:p>
        </w:tc>
        <w:tc>
          <w:tcPr>
            <w:tcW w:w="400" w:type="dxa"/>
            <w:vAlign w:val="bottom"/>
          </w:tcPr>
          <w:p>
            <w:pPr>
              <w:jc w:val="right"/>
              <w:ind w:right="61"/>
              <w:spacing w:after="0" w:line="189"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line="189" w:lineRule="exact"/>
              <w:rPr>
                <w:sz w:val="20"/>
                <w:szCs w:val="20"/>
                <w:color w:val="auto"/>
              </w:rPr>
            </w:pPr>
            <w:r>
              <w:rPr>
                <w:rFonts w:ascii="Arial" w:cs="Arial" w:eastAsia="Arial" w:hAnsi="Arial"/>
                <w:sz w:val="18"/>
                <w:szCs w:val="18"/>
                <w:color w:val="auto"/>
              </w:rPr>
              <w:t>479</w:t>
            </w:r>
          </w:p>
        </w:tc>
        <w:tc>
          <w:tcPr>
            <w:tcW w:w="540" w:type="dxa"/>
            <w:vAlign w:val="bottom"/>
          </w:tcPr>
          <w:p>
            <w:pPr>
              <w:jc w:val="right"/>
              <w:ind w:right="25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4"/>
              <w:spacing w:after="0" w:line="189" w:lineRule="exact"/>
              <w:rPr>
                <w:sz w:val="20"/>
                <w:szCs w:val="20"/>
                <w:color w:val="auto"/>
              </w:rPr>
            </w:pPr>
            <w:r>
              <w:rPr>
                <w:rFonts w:ascii="Arial" w:cs="Arial" w:eastAsia="Arial" w:hAnsi="Arial"/>
                <w:sz w:val="18"/>
                <w:szCs w:val="18"/>
                <w:b w:val="1"/>
                <w:bCs w:val="1"/>
                <w:color w:val="auto"/>
              </w:rPr>
              <w:t>973</w:t>
            </w:r>
          </w:p>
        </w:tc>
        <w:tc>
          <w:tcPr>
            <w:tcW w:w="320" w:type="dxa"/>
            <w:vAlign w:val="bottom"/>
          </w:tcPr>
          <w:p>
            <w:pPr>
              <w:jc w:val="right"/>
              <w:ind w:right="41"/>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189"/>
        </w:trPr>
        <w:tc>
          <w:tcPr>
            <w:tcW w:w="53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cash flows from finance leases</w:t>
            </w:r>
          </w:p>
        </w:tc>
        <w:tc>
          <w:tcPr>
            <w:tcW w:w="7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94</w:t>
            </w:r>
          </w:p>
        </w:tc>
        <w:tc>
          <w:tcPr>
            <w:tcW w:w="40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84</w:t>
            </w: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b w:val="1"/>
                <w:bCs w:val="1"/>
                <w:color w:val="auto"/>
              </w:rPr>
              <w:t>186</w:t>
            </w:r>
          </w:p>
        </w:tc>
        <w:tc>
          <w:tcPr>
            <w:tcW w:w="32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55"/>
        </w:trPr>
        <w:tc>
          <w:tcPr>
            <w:tcW w:w="532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7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40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b w:val="1"/>
                <w:bCs w:val="1"/>
                <w:color w:val="auto"/>
              </w:rPr>
              <w:t>289</w:t>
            </w:r>
          </w:p>
        </w:tc>
        <w:tc>
          <w:tcPr>
            <w:tcW w:w="3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91"/>
        </w:trPr>
        <w:tc>
          <w:tcPr>
            <w:tcW w:w="5320" w:type="dxa"/>
            <w:vAlign w:val="bottom"/>
            <w:shd w:val="clear" w:color="auto" w:fill="E5E5E5"/>
          </w:tcPr>
          <w:p>
            <w:pPr>
              <w:spacing w:after="0" w:line="191" w:lineRule="exact"/>
              <w:rPr>
                <w:sz w:val="20"/>
                <w:szCs w:val="20"/>
                <w:color w:val="auto"/>
              </w:rPr>
            </w:pPr>
            <w:r>
              <w:rPr>
                <w:rFonts w:ascii="Arial" w:cs="Arial" w:eastAsia="Arial" w:hAnsi="Arial"/>
                <w:sz w:val="18"/>
                <w:szCs w:val="18"/>
                <w:color w:val="auto"/>
              </w:rPr>
              <w:t>Right-of-use assets obtained in exchange for lease obligations:</w:t>
            </w:r>
          </w:p>
        </w:tc>
        <w:tc>
          <w:tcPr>
            <w:tcW w:w="74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7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1,578</w:t>
            </w:r>
          </w:p>
        </w:tc>
        <w:tc>
          <w:tcPr>
            <w:tcW w:w="400" w:type="dxa"/>
            <w:vAlign w:val="bottom"/>
          </w:tcPr>
          <w:p>
            <w:pPr>
              <w:spacing w:after="0"/>
              <w:rPr>
                <w:sz w:val="16"/>
                <w:szCs w:val="16"/>
                <w:color w:val="auto"/>
              </w:rPr>
            </w:pPr>
          </w:p>
        </w:tc>
        <w:tc>
          <w:tcPr>
            <w:tcW w:w="1100" w:type="dxa"/>
            <w:vAlign w:val="bottom"/>
          </w:tcPr>
          <w:p>
            <w:pPr>
              <w:jc w:val="right"/>
              <w:ind w:right="16"/>
              <w:spacing w:after="0" w:line="189" w:lineRule="exact"/>
              <w:rPr>
                <w:sz w:val="20"/>
                <w:szCs w:val="20"/>
                <w:color w:val="auto"/>
              </w:rPr>
            </w:pPr>
            <w:r>
              <w:rPr>
                <w:rFonts w:ascii="Arial" w:cs="Arial" w:eastAsia="Arial" w:hAnsi="Arial"/>
                <w:sz w:val="18"/>
                <w:szCs w:val="18"/>
                <w:color w:val="auto"/>
              </w:rPr>
              <w:t>948</w:t>
            </w:r>
          </w:p>
        </w:tc>
        <w:tc>
          <w:tcPr>
            <w:tcW w:w="540" w:type="dxa"/>
            <w:vAlign w:val="bottom"/>
          </w:tcPr>
          <w:p>
            <w:pPr>
              <w:spacing w:after="0"/>
              <w:rPr>
                <w:sz w:val="16"/>
                <w:szCs w:val="16"/>
                <w:color w:val="auto"/>
              </w:rPr>
            </w:pPr>
          </w:p>
        </w:tc>
        <w:tc>
          <w:tcPr>
            <w:tcW w:w="900" w:type="dxa"/>
            <w:vAlign w:val="bottom"/>
          </w:tcPr>
          <w:p>
            <w:pPr>
              <w:jc w:val="right"/>
              <w:ind w:right="34"/>
              <w:spacing w:after="0" w:line="189" w:lineRule="exact"/>
              <w:rPr>
                <w:sz w:val="20"/>
                <w:szCs w:val="20"/>
                <w:color w:val="auto"/>
              </w:rPr>
            </w:pPr>
            <w:r>
              <w:rPr>
                <w:rFonts w:ascii="Arial" w:cs="Arial" w:eastAsia="Arial" w:hAnsi="Arial"/>
                <w:sz w:val="18"/>
                <w:szCs w:val="18"/>
                <w:b w:val="1"/>
                <w:bCs w:val="1"/>
                <w:color w:val="auto"/>
              </w:rPr>
              <w:t>2,256</w:t>
            </w:r>
          </w:p>
        </w:tc>
        <w:tc>
          <w:tcPr>
            <w:tcW w:w="32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189"/>
        </w:trPr>
        <w:tc>
          <w:tcPr>
            <w:tcW w:w="53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Finance leases</w:t>
            </w:r>
          </w:p>
        </w:tc>
        <w:tc>
          <w:tcPr>
            <w:tcW w:w="7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1,193</w:t>
            </w:r>
          </w:p>
        </w:tc>
        <w:tc>
          <w:tcPr>
            <w:tcW w:w="40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863</w:t>
            </w: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b w:val="1"/>
                <w:bCs w:val="1"/>
                <w:color w:val="auto"/>
              </w:rPr>
              <w:t>1,828</w:t>
            </w:r>
          </w:p>
        </w:tc>
        <w:tc>
          <w:tcPr>
            <w:tcW w:w="32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68"/>
        </w:trPr>
        <w:tc>
          <w:tcPr>
            <w:tcW w:w="5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1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41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10,298</w:t>
            </w:r>
          </w:p>
        </w:tc>
        <w:tc>
          <w:tcPr>
            <w:tcW w:w="5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74"/>
        </w:trPr>
        <w:tc>
          <w:tcPr>
            <w:tcW w:w="41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1,866</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38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8,875</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68"/>
        </w:trPr>
        <w:tc>
          <w:tcPr>
            <w:tcW w:w="418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18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4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10,741</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49"/>
        </w:trPr>
        <w:tc>
          <w:tcPr>
            <w:tcW w:w="4180" w:type="dxa"/>
            <w:vAlign w:val="bottom"/>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38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4180" w:type="dxa"/>
            <w:vAlign w:val="bottom"/>
            <w:vMerge w:val="continue"/>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41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at cost</w:t>
            </w:r>
          </w:p>
        </w:tc>
        <w:tc>
          <w:tcPr>
            <w:tcW w:w="41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12,694</w:t>
            </w:r>
          </w:p>
        </w:tc>
        <w:tc>
          <w:tcPr>
            <w:tcW w:w="5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10,371</w:t>
            </w: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(1,840)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63"/>
        </w:trPr>
        <w:tc>
          <w:tcPr>
            <w:tcW w:w="4180" w:type="dxa"/>
            <w:vAlign w:val="bottom"/>
            <w:tcBorders>
              <w:top w:val="single" w:sz="8" w:color="auto"/>
            </w:tcBorders>
          </w:tcPr>
          <w:p>
            <w:pPr>
              <w:spacing w:after="0"/>
              <w:rPr>
                <w:sz w:val="5"/>
                <w:szCs w:val="5"/>
                <w:color w:val="auto"/>
              </w:rPr>
            </w:pPr>
          </w:p>
        </w:tc>
        <w:tc>
          <w:tcPr>
            <w:tcW w:w="38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Property and equipment, net</w:t>
            </w:r>
          </w:p>
        </w:tc>
        <w:tc>
          <w:tcPr>
            <w:tcW w:w="41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10,854</w:t>
            </w:r>
          </w:p>
        </w:tc>
        <w:tc>
          <w:tcPr>
            <w:tcW w:w="5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75"/>
        </w:trPr>
        <w:tc>
          <w:tcPr>
            <w:tcW w:w="41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699</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38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10,819</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8,956</w:t>
            </w:r>
          </w:p>
        </w:tc>
        <w:tc>
          <w:tcPr>
            <w:tcW w:w="0" w:type="dxa"/>
            <w:vAlign w:val="bottom"/>
          </w:tcPr>
          <w:p>
            <w:pPr>
              <w:spacing w:after="0"/>
              <w:rPr>
                <w:sz w:val="1"/>
                <w:szCs w:val="1"/>
                <w:color w:val="auto"/>
              </w:rPr>
            </w:pPr>
          </w:p>
        </w:tc>
      </w:tr>
      <w:tr>
        <w:trPr>
          <w:trHeight w:val="68"/>
        </w:trPr>
        <w:tc>
          <w:tcPr>
            <w:tcW w:w="418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18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4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11,518</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49"/>
        </w:trPr>
        <w:tc>
          <w:tcPr>
            <w:tcW w:w="4180" w:type="dxa"/>
            <w:vAlign w:val="bottom"/>
            <w:vMerge w:val="restart"/>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38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4180" w:type="dxa"/>
            <w:vAlign w:val="bottom"/>
            <w:vMerge w:val="continue"/>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1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38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 years</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38"/>
        </w:trPr>
        <w:tc>
          <w:tcPr>
            <w:tcW w:w="41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 years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190"/>
        </w:trPr>
        <w:tc>
          <w:tcPr>
            <w:tcW w:w="418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1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38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5"/>
        </w:trPr>
        <w:tc>
          <w:tcPr>
            <w:tcW w:w="41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595"/>
        </w:trPr>
        <w:tc>
          <w:tcPr>
            <w:tcW w:w="418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jc w:val="right"/>
              <w:ind w:right="2212"/>
              <w:spacing w:after="0"/>
              <w:rPr>
                <w:sz w:val="20"/>
                <w:szCs w:val="20"/>
                <w:color w:val="auto"/>
              </w:rPr>
            </w:pPr>
            <w:r>
              <w:rPr>
                <w:rFonts w:ascii="Arial" w:cs="Arial" w:eastAsia="Arial" w:hAnsi="Arial"/>
                <w:sz w:val="14"/>
                <w:szCs w:val="14"/>
                <w:color w:val="auto"/>
              </w:rPr>
              <w:t>22</w:t>
            </w: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18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lease liabilities as of December 31, 2020: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0637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Operating Leases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Finance Leases</w:t>
            </w:r>
          </w:p>
        </w:tc>
      </w:tr>
      <w:tr>
        <w:trPr>
          <w:trHeight w:val="45"/>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 (excluding the six months ended December 31, 2020)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1,099</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533</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1,997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1,080</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1,811</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1,092</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1,579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1,107</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1,280</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1,431</w:t>
            </w:r>
          </w:p>
        </w:tc>
      </w:tr>
      <w:tr>
        <w:trPr>
          <w:trHeight w:val="255"/>
        </w:trPr>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2"/>
                <w:szCs w:val="2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4,309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8,943</w:t>
            </w:r>
          </w:p>
        </w:tc>
      </w:tr>
      <w:tr>
        <w:trPr>
          <w:trHeight w:val="63"/>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12,075</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14,186</w:t>
            </w:r>
          </w:p>
        </w:tc>
      </w:tr>
      <w:tr>
        <w:trPr>
          <w:trHeight w:val="255"/>
        </w:trPr>
        <w:tc>
          <w:tcPr>
            <w:tcW w:w="80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2"/>
                <w:szCs w:val="22"/>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(1,334)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(2,668)</w:t>
            </w:r>
          </w:p>
        </w:tc>
      </w:tr>
      <w:tr>
        <w:trPr>
          <w:trHeight w:val="63"/>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10,741</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11,518</w:t>
            </w: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we have additional operating and finance leases, primarily for datacenters, that have not yet commenced of $4.0 billion and $6.9 billion, respectively. These operating and finance leases will commence between fiscal year 2021 and fiscal year 2026 with lease terms of 1 year to 15 years.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were 73 patent infringement cases pending against Microsoft as of December 31, 2020, none of which are material individually or in aggregate.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 All three have been certified on behalf of Canadian indirect purchasers who acquired licenses for Microsoft operating system software and/or productivity application software between 1998 and 2010.</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trial of the British Columbia action commenced in May 2016. Following a mediation, the parties agreed to a global settlement of all three Canadian actions, and submitted the proposed settlement agreement to the courts in all three jurisdictions for approval. The final settlement and form of notice have been approved by the courts in British Columbia, Ontario, and Quebec. The ten-month claims period commenced on November 23, 2020 and will close on September 23,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Industry and Commerce Investigation</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2014, Microsoft was informed that China’s State Agency for Market Regulation (“SAMR”) (formerly State Administration for Industry and Commerce) had begun a formal investigation relating to China’s Anti -Monopoly Law, and the SAMR conducted onsite inspections of Microsoft offices in Beijing, Shanghai, Guangzhou, and Chengdu. The SAMR has presented its preliminary views as to certain possible violations of China's Anti-Monopoly Law, and discussions are expected to continue.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40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the defendants have moved to strike. In August 2018, the trial court issued an order striking portions of the plaintiffs’ expert reports. A hearing on general causation is scheduled for July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2020, we accrued aggregate legal liabilities of $ 322 million. While we intend to defend these matters vigorously, adverse outcomes that we estimate could reach approximately $500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 15 — STOCKHOLDERS’ EQUITY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On September 20, 2016, our Board of Directors approved a share repurchase program authorizing up to $40.0 billion in share repurchases.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This share repurchase program commenced in December 2016 and was completed in February 2020.</w:t>
      </w:r>
    </w:p>
    <w:p>
      <w:pPr>
        <w:spacing w:after="0" w:line="1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September 18, 2019, our Board of Directors approved a share repurchase program authorizing up to $40.0 billion in share repurchases. This share repurchase program commenced in February 2020, following completion of the program approved on September 20, 2016, has no expiration date, and may be terminated at any time. As of December 31, 2020, $20.7 billion remained of this $40.0 billion share repurchase program.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6"/>
                <w:szCs w:val="16"/>
                <w:color w:val="auto"/>
              </w:rPr>
            </w:pPr>
          </w:p>
        </w:tc>
        <w:tc>
          <w:tcPr>
            <w:tcW w:w="840" w:type="dxa"/>
            <w:vAlign w:val="bottom"/>
            <w:gridSpan w:val="2"/>
          </w:tcPr>
          <w:p>
            <w:pPr>
              <w:ind w:left="200"/>
              <w:spacing w:after="0"/>
              <w:rPr>
                <w:sz w:val="20"/>
                <w:szCs w:val="20"/>
                <w:color w:val="auto"/>
              </w:rPr>
            </w:pPr>
            <w:r>
              <w:rPr>
                <w:rFonts w:ascii="Arial" w:cs="Arial" w:eastAsia="Arial" w:hAnsi="Arial"/>
                <w:sz w:val="13"/>
                <w:szCs w:val="13"/>
                <w:b w:val="1"/>
                <w:bCs w:val="1"/>
                <w:color w:val="auto"/>
              </w:rPr>
              <w:t>Amount</w:t>
            </w:r>
          </w:p>
        </w:tc>
      </w:tr>
      <w:tr>
        <w:trPr>
          <w:trHeight w:val="45"/>
        </w:trPr>
        <w:tc>
          <w:tcPr>
            <w:tcW w:w="6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33"/>
        </w:trPr>
        <w:tc>
          <w:tcPr>
            <w:tcW w:w="6440" w:type="dxa"/>
            <w:vAlign w:val="bottom"/>
          </w:tcPr>
          <w:p>
            <w:pPr>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0"/>
                <w:szCs w:val="20"/>
                <w:color w:val="auto"/>
              </w:rPr>
            </w:pPr>
          </w:p>
        </w:tc>
      </w:tr>
      <w:tr>
        <w:trPr>
          <w:trHeight w:val="44"/>
        </w:trPr>
        <w:tc>
          <w:tcPr>
            <w:tcW w:w="6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89"/>
        </w:trPr>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25</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5,270</w:t>
            </w: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29</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4,000</w:t>
            </w:r>
          </w:p>
        </w:tc>
        <w:tc>
          <w:tcPr>
            <w:tcW w:w="120" w:type="dxa"/>
            <w:vAlign w:val="bottom"/>
            <w:shd w:val="clear" w:color="auto" w:fill="E5E5E5"/>
          </w:tcPr>
          <w:p>
            <w:pPr>
              <w:spacing w:after="0"/>
              <w:rPr>
                <w:sz w:val="16"/>
                <w:szCs w:val="16"/>
                <w:color w:val="auto"/>
              </w:rPr>
            </w:pPr>
          </w:p>
        </w:tc>
      </w:tr>
      <w:tr>
        <w:trPr>
          <w:trHeight w:val="255"/>
        </w:trPr>
        <w:tc>
          <w:tcPr>
            <w:tcW w:w="6440" w:type="dxa"/>
            <w:vAlign w:val="bottom"/>
          </w:tcPr>
          <w:p>
            <w:pPr>
              <w:spacing w:after="0"/>
              <w:rPr>
                <w:sz w:val="20"/>
                <w:szCs w:val="20"/>
                <w:color w:val="auto"/>
              </w:rPr>
            </w:pPr>
            <w:r>
              <w:rPr>
                <w:rFonts w:ascii="Arial" w:cs="Arial" w:eastAsia="Arial" w:hAnsi="Arial"/>
                <w:sz w:val="18"/>
                <w:szCs w:val="18"/>
                <w:color w:val="auto"/>
              </w:rPr>
              <w:t>Second Quarter</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w:t>
            </w:r>
          </w:p>
        </w:tc>
        <w:tc>
          <w:tcPr>
            <w:tcW w:w="3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5,750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22"/>
                <w:szCs w:val="22"/>
                <w:color w:val="auto"/>
              </w:rPr>
            </w:pPr>
          </w:p>
        </w:tc>
      </w:tr>
      <w:tr>
        <w:trPr>
          <w:trHeight w:val="63"/>
        </w:trPr>
        <w:tc>
          <w:tcPr>
            <w:tcW w:w="644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64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52</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11,020</w:t>
            </w: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61</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8,600</w:t>
            </w:r>
          </w:p>
        </w:tc>
        <w:tc>
          <w:tcPr>
            <w:tcW w:w="120" w:type="dxa"/>
            <w:vAlign w:val="bottom"/>
            <w:shd w:val="clear" w:color="auto" w:fill="E5E5E5"/>
          </w:tcPr>
          <w:p>
            <w:pPr>
              <w:spacing w:after="0"/>
              <w:rPr>
                <w:sz w:val="16"/>
                <w:szCs w:val="16"/>
                <w:color w:val="auto"/>
              </w:rPr>
            </w:pPr>
          </w:p>
        </w:tc>
      </w:tr>
      <w:tr>
        <w:trPr>
          <w:trHeight w:val="74"/>
        </w:trPr>
        <w:tc>
          <w:tcPr>
            <w:tcW w:w="644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Shares repurchased during the first and second quarters of fiscal year 2021 were under the share repurchase program approved on September 18, 2019. Shares repurchased during the first and second quarters of fiscal year 2020 were under the share repurchase program approved on September 20, 2016. The above table excludes shares repurchased to settle employee tax withholding related to the vesting of stock awards of $785 million and $ 2.3 billion for the three and six months ended December 31, 2020, respectively, and $551 million and $1.5 billion for the three and six months ended December 31, 2019, respectively. All repurchases were made using cash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2960" w:type="dxa"/>
            <w:vAlign w:val="bottom"/>
            <w:vMerge w:val="restart"/>
          </w:tcPr>
          <w:p>
            <w:pPr>
              <w:ind w:left="940"/>
              <w:spacing w:after="0"/>
              <w:rPr>
                <w:sz w:val="20"/>
                <w:szCs w:val="20"/>
                <w:color w:val="auto"/>
              </w:rPr>
            </w:pPr>
            <w:r>
              <w:rPr>
                <w:rFonts w:ascii="Arial" w:cs="Arial" w:eastAsia="Arial" w:hAnsi="Arial"/>
                <w:sz w:val="13"/>
                <w:szCs w:val="13"/>
                <w:b w:val="1"/>
                <w:bCs w:val="1"/>
                <w:color w:val="auto"/>
              </w:rPr>
              <w:t>Record Date</w:t>
            </w:r>
          </w:p>
        </w:tc>
        <w:tc>
          <w:tcPr>
            <w:tcW w:w="296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Payment Date</w:t>
            </w:r>
          </w:p>
        </w:tc>
        <w:tc>
          <w:tcPr>
            <w:tcW w:w="3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Dividend</w:t>
            </w:r>
          </w:p>
        </w:tc>
        <w:tc>
          <w:tcPr>
            <w:tcW w:w="280" w:type="dxa"/>
            <w:vAlign w:val="bottom"/>
          </w:tcPr>
          <w:p>
            <w:pPr>
              <w:spacing w:after="0"/>
              <w:rPr>
                <w:sz w:val="13"/>
                <w:szCs w:val="13"/>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90"/>
        </w:trPr>
        <w:tc>
          <w:tcPr>
            <w:tcW w:w="2600" w:type="dxa"/>
            <w:vAlign w:val="bottom"/>
            <w:vMerge w:val="continue"/>
          </w:tcPr>
          <w:p>
            <w:pPr>
              <w:spacing w:after="0"/>
              <w:rPr>
                <w:sz w:val="16"/>
                <w:szCs w:val="16"/>
                <w:color w:val="auto"/>
              </w:rPr>
            </w:pPr>
          </w:p>
        </w:tc>
        <w:tc>
          <w:tcPr>
            <w:tcW w:w="2960" w:type="dxa"/>
            <w:vAlign w:val="bottom"/>
            <w:vMerge w:val="continue"/>
          </w:tcPr>
          <w:p>
            <w:pPr>
              <w:spacing w:after="0"/>
              <w:rPr>
                <w:sz w:val="16"/>
                <w:szCs w:val="16"/>
                <w:color w:val="auto"/>
              </w:rPr>
            </w:pPr>
          </w:p>
        </w:tc>
        <w:tc>
          <w:tcPr>
            <w:tcW w:w="2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Per Share</w:t>
            </w: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60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00" w:type="dxa"/>
            <w:vAlign w:val="bottom"/>
          </w:tcPr>
          <w:p>
            <w:pPr>
              <w:spacing w:after="0"/>
              <w:rPr>
                <w:sz w:val="20"/>
                <w:szCs w:val="20"/>
                <w:color w:val="auto"/>
              </w:rPr>
            </w:pPr>
            <w:r>
              <w:rPr>
                <w:rFonts w:ascii="Arial" w:cs="Arial" w:eastAsia="Arial" w:hAnsi="Arial"/>
                <w:sz w:val="13"/>
                <w:szCs w:val="13"/>
                <w:b w:val="1"/>
                <w:bCs w:val="1"/>
                <w:color w:val="auto"/>
              </w:rPr>
              <w:t>Fiscal Year 2021</w:t>
            </w:r>
          </w:p>
        </w:tc>
        <w:tc>
          <w:tcPr>
            <w:tcW w:w="29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44"/>
        </w:trPr>
        <w:tc>
          <w:tcPr>
            <w:tcW w:w="26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15, 2020</w:t>
            </w:r>
          </w:p>
        </w:tc>
        <w:tc>
          <w:tcPr>
            <w:tcW w:w="2960" w:type="dxa"/>
            <w:vAlign w:val="bottom"/>
            <w:shd w:val="clear" w:color="auto" w:fill="E5E5E5"/>
          </w:tcPr>
          <w:p>
            <w:pPr>
              <w:ind w:left="940"/>
              <w:spacing w:after="0" w:line="189" w:lineRule="exact"/>
              <w:rPr>
                <w:sz w:val="20"/>
                <w:szCs w:val="20"/>
                <w:color w:val="auto"/>
              </w:rPr>
            </w:pPr>
            <w:r>
              <w:rPr>
                <w:rFonts w:ascii="Arial" w:cs="Arial" w:eastAsia="Arial" w:hAnsi="Arial"/>
                <w:sz w:val="18"/>
                <w:szCs w:val="18"/>
                <w:b w:val="1"/>
                <w:bCs w:val="1"/>
                <w:color w:val="auto"/>
              </w:rPr>
              <w:t>November 19, 2020</w:t>
            </w:r>
          </w:p>
        </w:tc>
        <w:tc>
          <w:tcPr>
            <w:tcW w:w="2960" w:type="dxa"/>
            <w:vAlign w:val="bottom"/>
            <w:shd w:val="clear" w:color="auto" w:fill="E5E5E5"/>
          </w:tcPr>
          <w:p>
            <w:pPr>
              <w:ind w:left="400"/>
              <w:spacing w:after="0" w:line="189" w:lineRule="exact"/>
              <w:rPr>
                <w:sz w:val="20"/>
                <w:szCs w:val="20"/>
                <w:color w:val="auto"/>
              </w:rPr>
            </w:pPr>
            <w:r>
              <w:rPr>
                <w:rFonts w:ascii="Arial" w:cs="Arial" w:eastAsia="Arial" w:hAnsi="Arial"/>
                <w:sz w:val="18"/>
                <w:szCs w:val="18"/>
                <w:b w:val="1"/>
                <w:bCs w:val="1"/>
                <w:color w:val="auto"/>
              </w:rPr>
              <w:t>December 10, 2020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0.56</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4,230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00" w:type="dxa"/>
            <w:vAlign w:val="bottom"/>
          </w:tcPr>
          <w:p>
            <w:pPr>
              <w:spacing w:after="0"/>
              <w:rPr>
                <w:sz w:val="20"/>
                <w:szCs w:val="20"/>
                <w:color w:val="auto"/>
              </w:rPr>
            </w:pPr>
            <w:r>
              <w:rPr>
                <w:rFonts w:ascii="Arial" w:cs="Arial" w:eastAsia="Arial" w:hAnsi="Arial"/>
                <w:sz w:val="18"/>
                <w:szCs w:val="18"/>
                <w:b w:val="1"/>
                <w:bCs w:val="1"/>
                <w:color w:val="auto"/>
              </w:rPr>
              <w:t>December 2, 2020</w:t>
            </w:r>
          </w:p>
        </w:tc>
        <w:tc>
          <w:tcPr>
            <w:tcW w:w="2960" w:type="dxa"/>
            <w:vAlign w:val="bottom"/>
          </w:tcPr>
          <w:p>
            <w:pPr>
              <w:ind w:left="940"/>
              <w:spacing w:after="0"/>
              <w:rPr>
                <w:sz w:val="20"/>
                <w:szCs w:val="20"/>
                <w:color w:val="auto"/>
              </w:rPr>
            </w:pPr>
            <w:r>
              <w:rPr>
                <w:rFonts w:ascii="Arial" w:cs="Arial" w:eastAsia="Arial" w:hAnsi="Arial"/>
                <w:sz w:val="18"/>
                <w:szCs w:val="18"/>
                <w:b w:val="1"/>
                <w:bCs w:val="1"/>
                <w:color w:val="auto"/>
              </w:rPr>
              <w:t>February 18, 2021</w:t>
            </w:r>
          </w:p>
        </w:tc>
        <w:tc>
          <w:tcPr>
            <w:tcW w:w="2960" w:type="dxa"/>
            <w:vAlign w:val="bottom"/>
          </w:tcPr>
          <w:p>
            <w:pPr>
              <w:ind w:left="400"/>
              <w:spacing w:after="0"/>
              <w:rPr>
                <w:sz w:val="20"/>
                <w:szCs w:val="20"/>
                <w:color w:val="auto"/>
              </w:rPr>
            </w:pPr>
            <w:r>
              <w:rPr>
                <w:rFonts w:ascii="Arial" w:cs="Arial" w:eastAsia="Arial" w:hAnsi="Arial"/>
                <w:sz w:val="18"/>
                <w:szCs w:val="18"/>
                <w:b w:val="1"/>
                <w:bCs w:val="1"/>
                <w:color w:val="auto"/>
              </w:rPr>
              <w:t>March 11, 2021</w:t>
            </w:r>
          </w:p>
        </w:tc>
        <w:tc>
          <w:tcPr>
            <w:tcW w:w="3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0.56</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4,226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600" w:type="dxa"/>
            <w:vAlign w:val="bottom"/>
            <w:tcBorders>
              <w:top w:val="single" w:sz="8" w:color="auto"/>
            </w:tcBorders>
          </w:tcPr>
          <w:p>
            <w:pPr>
              <w:spacing w:after="0"/>
              <w:rPr>
                <w:sz w:val="5"/>
                <w:szCs w:val="5"/>
                <w:color w:val="auto"/>
              </w:rPr>
            </w:pPr>
          </w:p>
        </w:tc>
        <w:tc>
          <w:tcPr>
            <w:tcW w:w="2960" w:type="dxa"/>
            <w:vAlign w:val="bottom"/>
            <w:tcBorders>
              <w:top w:val="single" w:sz="8" w:color="auto"/>
            </w:tcBorders>
          </w:tcPr>
          <w:p>
            <w:pPr>
              <w:spacing w:after="0"/>
              <w:rPr>
                <w:sz w:val="5"/>
                <w:szCs w:val="5"/>
                <w:color w:val="auto"/>
              </w:rPr>
            </w:pPr>
          </w:p>
        </w:tc>
        <w:tc>
          <w:tcPr>
            <w:tcW w:w="29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b w:val="1"/>
                <w:bCs w:val="1"/>
                <w:color w:val="auto"/>
              </w:rPr>
              <w:t>Total</w:t>
            </w:r>
          </w:p>
        </w:tc>
        <w:tc>
          <w:tcPr>
            <w:tcW w:w="2960" w:type="dxa"/>
            <w:vAlign w:val="bottom"/>
            <w:shd w:val="clear" w:color="auto" w:fill="E5E5E5"/>
          </w:tcPr>
          <w:p>
            <w:pPr>
              <w:spacing w:after="0"/>
              <w:rPr>
                <w:sz w:val="16"/>
                <w:szCs w:val="16"/>
                <w:color w:val="auto"/>
              </w:rPr>
            </w:pPr>
          </w:p>
        </w:tc>
        <w:tc>
          <w:tcPr>
            <w:tcW w:w="296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1.12</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8,456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600" w:type="dxa"/>
            <w:vAlign w:val="bottom"/>
            <w:vMerge w:val="restart"/>
          </w:tcPr>
          <w:p>
            <w:pPr>
              <w:spacing w:after="0"/>
              <w:rPr>
                <w:sz w:val="20"/>
                <w:szCs w:val="20"/>
                <w:color w:val="auto"/>
              </w:rPr>
            </w:pPr>
            <w:r>
              <w:rPr>
                <w:rFonts w:ascii="Arial" w:cs="Arial" w:eastAsia="Arial" w:hAnsi="Arial"/>
                <w:sz w:val="13"/>
                <w:szCs w:val="13"/>
                <w:b w:val="1"/>
                <w:bCs w:val="1"/>
                <w:color w:val="auto"/>
              </w:rPr>
              <w:t>Fiscal Year 2020</w:t>
            </w:r>
          </w:p>
        </w:tc>
        <w:tc>
          <w:tcPr>
            <w:tcW w:w="2960" w:type="dxa"/>
            <w:vAlign w:val="bottom"/>
          </w:tcPr>
          <w:p>
            <w:pPr>
              <w:spacing w:after="0"/>
              <w:rPr>
                <w:sz w:val="6"/>
                <w:szCs w:val="6"/>
                <w:color w:val="auto"/>
              </w:rPr>
            </w:pPr>
          </w:p>
        </w:tc>
        <w:tc>
          <w:tcPr>
            <w:tcW w:w="29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600" w:type="dxa"/>
            <w:vAlign w:val="bottom"/>
            <w:vMerge w:val="continue"/>
          </w:tcPr>
          <w:p>
            <w:pPr>
              <w:spacing w:after="0"/>
              <w:rPr>
                <w:sz w:val="20"/>
                <w:szCs w:val="20"/>
                <w:color w:val="auto"/>
              </w:rPr>
            </w:pPr>
          </w:p>
        </w:tc>
        <w:tc>
          <w:tcPr>
            <w:tcW w:w="29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6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18, 2019</w:t>
            </w:r>
          </w:p>
        </w:tc>
        <w:tc>
          <w:tcPr>
            <w:tcW w:w="2960" w:type="dxa"/>
            <w:vAlign w:val="bottom"/>
            <w:shd w:val="clear" w:color="auto" w:fill="E5E5E5"/>
          </w:tcPr>
          <w:p>
            <w:pPr>
              <w:ind w:left="940"/>
              <w:spacing w:after="0" w:line="189" w:lineRule="exact"/>
              <w:rPr>
                <w:sz w:val="20"/>
                <w:szCs w:val="20"/>
                <w:color w:val="auto"/>
              </w:rPr>
            </w:pPr>
            <w:r>
              <w:rPr>
                <w:rFonts w:ascii="Arial" w:cs="Arial" w:eastAsia="Arial" w:hAnsi="Arial"/>
                <w:sz w:val="18"/>
                <w:szCs w:val="18"/>
                <w:color w:val="auto"/>
              </w:rPr>
              <w:t>November 21, 2019</w:t>
            </w:r>
          </w:p>
        </w:tc>
        <w:tc>
          <w:tcPr>
            <w:tcW w:w="2960" w:type="dxa"/>
            <w:vAlign w:val="bottom"/>
            <w:shd w:val="clear" w:color="auto" w:fill="E5E5E5"/>
          </w:tcPr>
          <w:p>
            <w:pPr>
              <w:ind w:left="400"/>
              <w:spacing w:after="0" w:line="189" w:lineRule="exact"/>
              <w:rPr>
                <w:sz w:val="20"/>
                <w:szCs w:val="20"/>
                <w:color w:val="auto"/>
              </w:rPr>
            </w:pPr>
            <w:r>
              <w:rPr>
                <w:rFonts w:ascii="Arial" w:cs="Arial" w:eastAsia="Arial" w:hAnsi="Arial"/>
                <w:sz w:val="18"/>
                <w:szCs w:val="18"/>
                <w:color w:val="auto"/>
              </w:rPr>
              <w:t>December 12, 2019</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0.51</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3,886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00" w:type="dxa"/>
            <w:vAlign w:val="bottom"/>
          </w:tcPr>
          <w:p>
            <w:pPr>
              <w:spacing w:after="0"/>
              <w:rPr>
                <w:sz w:val="20"/>
                <w:szCs w:val="20"/>
                <w:color w:val="auto"/>
              </w:rPr>
            </w:pPr>
            <w:r>
              <w:rPr>
                <w:rFonts w:ascii="Arial" w:cs="Arial" w:eastAsia="Arial" w:hAnsi="Arial"/>
                <w:sz w:val="18"/>
                <w:szCs w:val="18"/>
                <w:color w:val="auto"/>
              </w:rPr>
              <w:t>December 4, 2019</w:t>
            </w:r>
          </w:p>
        </w:tc>
        <w:tc>
          <w:tcPr>
            <w:tcW w:w="2960" w:type="dxa"/>
            <w:vAlign w:val="bottom"/>
          </w:tcPr>
          <w:p>
            <w:pPr>
              <w:ind w:left="940"/>
              <w:spacing w:after="0"/>
              <w:rPr>
                <w:sz w:val="20"/>
                <w:szCs w:val="20"/>
                <w:color w:val="auto"/>
              </w:rPr>
            </w:pPr>
            <w:r>
              <w:rPr>
                <w:rFonts w:ascii="Arial" w:cs="Arial" w:eastAsia="Arial" w:hAnsi="Arial"/>
                <w:sz w:val="18"/>
                <w:szCs w:val="18"/>
                <w:color w:val="auto"/>
              </w:rPr>
              <w:t>February 20, 2020</w:t>
            </w:r>
          </w:p>
        </w:tc>
        <w:tc>
          <w:tcPr>
            <w:tcW w:w="2960" w:type="dxa"/>
            <w:vAlign w:val="bottom"/>
          </w:tcPr>
          <w:p>
            <w:pPr>
              <w:ind w:left="400"/>
              <w:spacing w:after="0"/>
              <w:rPr>
                <w:sz w:val="20"/>
                <w:szCs w:val="20"/>
                <w:color w:val="auto"/>
              </w:rPr>
            </w:pPr>
            <w:r>
              <w:rPr>
                <w:rFonts w:ascii="Arial" w:cs="Arial" w:eastAsia="Arial" w:hAnsi="Arial"/>
                <w:sz w:val="18"/>
                <w:szCs w:val="18"/>
                <w:color w:val="auto"/>
              </w:rPr>
              <w:t>March 12, 2020</w:t>
            </w:r>
          </w:p>
        </w:tc>
        <w:tc>
          <w:tcPr>
            <w:tcW w:w="3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0.51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600" w:type="dxa"/>
            <w:vAlign w:val="bottom"/>
            <w:tcBorders>
              <w:top w:val="single" w:sz="8" w:color="auto"/>
            </w:tcBorders>
          </w:tcPr>
          <w:p>
            <w:pPr>
              <w:spacing w:after="0"/>
              <w:rPr>
                <w:sz w:val="5"/>
                <w:szCs w:val="5"/>
                <w:color w:val="auto"/>
              </w:rPr>
            </w:pPr>
          </w:p>
        </w:tc>
        <w:tc>
          <w:tcPr>
            <w:tcW w:w="2960" w:type="dxa"/>
            <w:vAlign w:val="bottom"/>
            <w:tcBorders>
              <w:top w:val="single" w:sz="8" w:color="auto"/>
            </w:tcBorders>
          </w:tcPr>
          <w:p>
            <w:pPr>
              <w:spacing w:after="0"/>
              <w:rPr>
                <w:sz w:val="5"/>
                <w:szCs w:val="5"/>
                <w:color w:val="auto"/>
              </w:rPr>
            </w:pPr>
          </w:p>
        </w:tc>
        <w:tc>
          <w:tcPr>
            <w:tcW w:w="29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960" w:type="dxa"/>
            <w:vAlign w:val="bottom"/>
            <w:shd w:val="clear" w:color="auto" w:fill="E5E5E5"/>
          </w:tcPr>
          <w:p>
            <w:pPr>
              <w:spacing w:after="0"/>
              <w:rPr>
                <w:sz w:val="16"/>
                <w:szCs w:val="16"/>
                <w:color w:val="auto"/>
              </w:rPr>
            </w:pPr>
          </w:p>
        </w:tc>
        <w:tc>
          <w:tcPr>
            <w:tcW w:w="296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1.02</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7,762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6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29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December 2, 2020 was included in other current liabilities as of December 31, 2020.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3"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16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(34)</w:t>
            </w:r>
          </w:p>
        </w:tc>
        <w:tc>
          <w:tcPr>
            <w:tcW w:w="4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(2)</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(38)</w:t>
            </w:r>
          </w:p>
        </w:tc>
        <w:tc>
          <w:tcPr>
            <w:tcW w:w="380" w:type="dxa"/>
            <w:vAlign w:val="bottom"/>
            <w:gridSpan w:val="2"/>
            <w:shd w:val="clear" w:color="auto" w:fill="E5E5E5"/>
          </w:tcPr>
          <w:p>
            <w:pPr>
              <w:ind w:left="18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20" w:type="dxa"/>
            <w:vAlign w:val="bottom"/>
          </w:tcPr>
          <w:p>
            <w:pPr>
              <w:spacing w:after="0"/>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$7</w:t>
            </w:r>
            <w:r>
              <w:rPr>
                <w:rFonts w:ascii="Arial" w:cs="Arial" w:eastAsia="Arial" w:hAnsi="Arial"/>
                <w:sz w:val="18"/>
                <w:szCs w:val="18"/>
                <w:color w:val="auto"/>
              </w:rPr>
              <w:t xml:space="preserve">, $1, </w:t>
            </w:r>
            <w:r>
              <w:rPr>
                <w:rFonts w:ascii="Arial" w:cs="Arial" w:eastAsia="Arial" w:hAnsi="Arial"/>
                <w:sz w:val="18"/>
                <w:szCs w:val="18"/>
                <w:b w:val="1"/>
                <w:bCs w:val="1"/>
                <w:color w:val="auto"/>
              </w:rPr>
              <w:t>$12</w:t>
            </w:r>
            <w:r>
              <w:rPr>
                <w:rFonts w:ascii="Arial" w:cs="Arial" w:eastAsia="Arial" w:hAnsi="Arial"/>
                <w:sz w:val="18"/>
                <w:szCs w:val="18"/>
                <w:color w:val="auto"/>
              </w:rPr>
              <w:t>, and $(1)</w:t>
            </w:r>
          </w:p>
        </w:tc>
        <w:tc>
          <w:tcPr>
            <w:tcW w:w="3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1"/>
        </w:trPr>
        <w:tc>
          <w:tcPr>
            <w:tcW w:w="5020" w:type="dxa"/>
            <w:vAlign w:val="bottom"/>
            <w:shd w:val="clear" w:color="auto" w:fill="E5E5E5"/>
          </w:tcPr>
          <w:p>
            <w:pPr>
              <w:spacing w:after="0" w:line="191" w:lineRule="exact"/>
              <w:rPr>
                <w:sz w:val="20"/>
                <w:szCs w:val="20"/>
                <w:color w:val="auto"/>
              </w:rPr>
            </w:pPr>
            <w:r>
              <w:rPr>
                <w:rFonts w:ascii="Arial" w:cs="Arial" w:eastAsia="Arial" w:hAnsi="Arial"/>
                <w:sz w:val="18"/>
                <w:szCs w:val="18"/>
                <w:color w:val="auto"/>
              </w:rPr>
              <w:t>Reclassification adjustments for gains included in earnings</w:t>
            </w: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20"/>
              <w:spacing w:after="0" w:line="191" w:lineRule="exact"/>
              <w:rPr>
                <w:sz w:val="20"/>
                <w:szCs w:val="20"/>
                <w:color w:val="auto"/>
              </w:rPr>
            </w:pPr>
            <w:r>
              <w:rPr>
                <w:rFonts w:ascii="Arial" w:cs="Arial" w:eastAsia="Arial" w:hAnsi="Arial"/>
                <w:sz w:val="18"/>
                <w:szCs w:val="18"/>
                <w:b w:val="1"/>
                <w:bCs w:val="1"/>
                <w:color w:val="auto"/>
              </w:rPr>
              <w:t>(21)</w:t>
            </w:r>
          </w:p>
        </w:tc>
        <w:tc>
          <w:tcPr>
            <w:tcW w:w="2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360"/>
              <w:spacing w:after="0" w:line="191" w:lineRule="exact"/>
              <w:rPr>
                <w:sz w:val="20"/>
                <w:szCs w:val="20"/>
                <w:color w:val="auto"/>
              </w:rPr>
            </w:pPr>
            <w:r>
              <w:rPr>
                <w:rFonts w:ascii="Arial" w:cs="Arial" w:eastAsia="Arial" w:hAnsi="Arial"/>
                <w:sz w:val="18"/>
                <w:szCs w:val="18"/>
                <w:color w:val="auto"/>
              </w:rPr>
              <w:t>(8)</w:t>
            </w:r>
          </w:p>
        </w:tc>
        <w:tc>
          <w:tcPr>
            <w:tcW w:w="3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80"/>
              <w:spacing w:after="0" w:line="191" w:lineRule="exact"/>
              <w:rPr>
                <w:sz w:val="20"/>
                <w:szCs w:val="20"/>
                <w:color w:val="auto"/>
              </w:rPr>
            </w:pPr>
            <w:r>
              <w:rPr>
                <w:rFonts w:ascii="Arial" w:cs="Arial" w:eastAsia="Arial" w:hAnsi="Arial"/>
                <w:sz w:val="18"/>
                <w:szCs w:val="18"/>
                <w:b w:val="1"/>
                <w:bCs w:val="1"/>
                <w:color w:val="auto"/>
              </w:rPr>
              <w:t>(41)</w:t>
            </w:r>
          </w:p>
        </w:tc>
        <w:tc>
          <w:tcPr>
            <w:tcW w:w="1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60"/>
              <w:spacing w:after="0" w:line="19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5"/>
        </w:trPr>
        <w:tc>
          <w:tcPr>
            <w:tcW w:w="502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3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50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5020" w:type="dxa"/>
            <w:vAlign w:val="bottom"/>
            <w:shd w:val="clear" w:color="auto" w:fill="E5E5E5"/>
          </w:tcPr>
          <w:p>
            <w:pPr>
              <w:ind w:left="220"/>
              <w:spacing w:after="0" w:line="153" w:lineRule="exact"/>
              <w:rPr>
                <w:sz w:val="20"/>
                <w:szCs w:val="20"/>
                <w:color w:val="auto"/>
              </w:rPr>
            </w:pPr>
            <w:r>
              <w:rPr>
                <w:rFonts w:ascii="Arial" w:cs="Arial" w:eastAsia="Arial" w:hAnsi="Arial"/>
                <w:sz w:val="17"/>
                <w:szCs w:val="17"/>
                <w:color w:val="auto"/>
              </w:rPr>
              <w:t>Amounts reclassified from accumulated other</w:t>
            </w:r>
          </w:p>
        </w:tc>
        <w:tc>
          <w:tcPr>
            <w:tcW w:w="320" w:type="dxa"/>
            <w:vAlign w:val="bottom"/>
            <w:shd w:val="clear" w:color="auto" w:fill="E5E5E5"/>
          </w:tcPr>
          <w:p>
            <w:pPr>
              <w:spacing w:after="0"/>
              <w:rPr>
                <w:sz w:val="13"/>
                <w:szCs w:val="13"/>
                <w:color w:val="auto"/>
              </w:rPr>
            </w:pPr>
          </w:p>
        </w:tc>
        <w:tc>
          <w:tcPr>
            <w:tcW w:w="104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(17)</w:t>
            </w:r>
          </w:p>
        </w:tc>
        <w:tc>
          <w:tcPr>
            <w:tcW w:w="26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400" w:type="dxa"/>
            <w:vAlign w:val="bottom"/>
            <w:gridSpan w:val="2"/>
            <w:vMerge w:val="restart"/>
            <w:shd w:val="clear" w:color="auto" w:fill="E5E5E5"/>
          </w:tcPr>
          <w:p>
            <w:pPr>
              <w:jc w:val="right"/>
              <w:ind w:right="360"/>
              <w:spacing w:after="0"/>
              <w:rPr>
                <w:sz w:val="20"/>
                <w:szCs w:val="20"/>
                <w:color w:val="auto"/>
              </w:rPr>
            </w:pPr>
            <w:r>
              <w:rPr>
                <w:rFonts w:ascii="Arial" w:cs="Arial" w:eastAsia="Arial" w:hAnsi="Arial"/>
                <w:sz w:val="18"/>
                <w:szCs w:val="18"/>
                <w:color w:val="auto"/>
              </w:rPr>
              <w:t>(6)</w:t>
            </w:r>
          </w:p>
        </w:tc>
        <w:tc>
          <w:tcPr>
            <w:tcW w:w="380" w:type="dxa"/>
            <w:vAlign w:val="bottom"/>
            <w:shd w:val="clear" w:color="auto" w:fill="E5E5E5"/>
          </w:tcPr>
          <w:p>
            <w:pPr>
              <w:spacing w:after="0"/>
              <w:rPr>
                <w:sz w:val="13"/>
                <w:szCs w:val="13"/>
                <w:color w:val="auto"/>
              </w:rPr>
            </w:pPr>
          </w:p>
        </w:tc>
        <w:tc>
          <w:tcPr>
            <w:tcW w:w="104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(33)</w:t>
            </w:r>
          </w:p>
        </w:tc>
        <w:tc>
          <w:tcPr>
            <w:tcW w:w="18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20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50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comprehensive income (loss)</w:t>
            </w:r>
          </w:p>
        </w:tc>
        <w:tc>
          <w:tcPr>
            <w:tcW w:w="320" w:type="dxa"/>
            <w:vAlign w:val="bottom"/>
            <w:shd w:val="clear" w:color="auto" w:fill="E5E5E5"/>
          </w:tcPr>
          <w:p>
            <w:pPr>
              <w:spacing w:after="0"/>
              <w:rPr>
                <w:sz w:val="19"/>
                <w:szCs w:val="19"/>
                <w:color w:val="auto"/>
              </w:rPr>
            </w:pPr>
          </w:p>
        </w:tc>
        <w:tc>
          <w:tcPr>
            <w:tcW w:w="1040" w:type="dxa"/>
            <w:vAlign w:val="bottom"/>
            <w:gridSpan w:val="2"/>
            <w:vMerge w:val="continue"/>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400" w:type="dxa"/>
            <w:vAlign w:val="bottom"/>
            <w:gridSpan w:val="2"/>
            <w:vMerge w:val="continue"/>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040" w:type="dxa"/>
            <w:vAlign w:val="bottom"/>
            <w:gridSpan w:val="2"/>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20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$3</w:t>
            </w:r>
            <w:r>
              <w:rPr>
                <w:rFonts w:ascii="Arial" w:cs="Arial" w:eastAsia="Arial" w:hAnsi="Arial"/>
                <w:sz w:val="18"/>
                <w:szCs w:val="18"/>
                <w:color w:val="auto"/>
              </w:rPr>
              <w:t xml:space="preserve">, $(1), </w:t>
            </w:r>
            <w:r>
              <w:rPr>
                <w:rFonts w:ascii="Arial" w:cs="Arial" w:eastAsia="Arial" w:hAnsi="Arial"/>
                <w:sz w:val="18"/>
                <w:szCs w:val="18"/>
                <w:b w:val="1"/>
                <w:bCs w:val="1"/>
                <w:color w:val="auto"/>
              </w:rPr>
              <w:t>$4</w:t>
            </w: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1"/>
        </w:trPr>
        <w:tc>
          <w:tcPr>
            <w:tcW w:w="5020" w:type="dxa"/>
            <w:vAlign w:val="bottom"/>
          </w:tcPr>
          <w:p>
            <w:pPr>
              <w:ind w:left="220"/>
              <w:spacing w:after="0"/>
              <w:rPr>
                <w:sz w:val="20"/>
                <w:szCs w:val="20"/>
                <w:color w:val="auto"/>
              </w:rPr>
            </w:pPr>
            <w:r>
              <w:rPr>
                <w:rFonts w:ascii="Arial" w:cs="Arial" w:eastAsia="Arial" w:hAnsi="Arial"/>
                <w:sz w:val="18"/>
                <w:szCs w:val="18"/>
                <w:color w:val="auto"/>
              </w:rPr>
              <w:t>and $(2)</w:t>
            </w:r>
          </w:p>
        </w:tc>
        <w:tc>
          <w:tcPr>
            <w:tcW w:w="3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5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3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(26)</w:t>
            </w:r>
          </w:p>
        </w:tc>
        <w:tc>
          <w:tcPr>
            <w:tcW w:w="4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(6)</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(26)</w:t>
            </w:r>
          </w:p>
        </w:tc>
        <w:tc>
          <w:tcPr>
            <w:tcW w:w="380" w:type="dxa"/>
            <w:vAlign w:val="bottom"/>
            <w:gridSpan w:val="2"/>
            <w:shd w:val="clear" w:color="auto" w:fill="E5E5E5"/>
          </w:tcPr>
          <w:p>
            <w:pPr>
              <w:ind w:left="18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5,287</w:t>
            </w:r>
          </w:p>
        </w:tc>
        <w:tc>
          <w:tcPr>
            <w:tcW w:w="4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2,065</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5,478</w:t>
            </w:r>
          </w:p>
        </w:tc>
        <w:tc>
          <w:tcPr>
            <w:tcW w:w="380" w:type="dxa"/>
            <w:vAlign w:val="bottom"/>
            <w:gridSpan w:val="2"/>
            <w:shd w:val="clear" w:color="auto" w:fill="E5E5E5"/>
          </w:tcPr>
          <w:p>
            <w:pPr>
              <w:ind w:left="18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151"/>
        </w:trPr>
        <w:tc>
          <w:tcPr>
            <w:tcW w:w="5020" w:type="dxa"/>
            <w:vAlign w:val="bottom"/>
          </w:tcPr>
          <w:p>
            <w:pPr>
              <w:spacing w:after="0" w:line="150" w:lineRule="exact"/>
              <w:rPr>
                <w:sz w:val="20"/>
                <w:szCs w:val="20"/>
                <w:color w:val="auto"/>
              </w:rPr>
            </w:pPr>
            <w:r>
              <w:rPr>
                <w:rFonts w:ascii="Arial" w:cs="Arial" w:eastAsia="Arial" w:hAnsi="Arial"/>
                <w:sz w:val="17"/>
                <w:szCs w:val="17"/>
                <w:color w:val="auto"/>
              </w:rPr>
              <w:t xml:space="preserve">Unrealized gains (losses), net of tax of </w:t>
            </w:r>
            <w:r>
              <w:rPr>
                <w:rFonts w:ascii="Arial" w:cs="Arial" w:eastAsia="Arial" w:hAnsi="Arial"/>
                <w:sz w:val="17"/>
                <w:szCs w:val="17"/>
                <w:b w:val="1"/>
                <w:bCs w:val="1"/>
                <w:color w:val="auto"/>
              </w:rPr>
              <w:t>$(128)</w:t>
            </w:r>
            <w:r>
              <w:rPr>
                <w:rFonts w:ascii="Arial" w:cs="Arial" w:eastAsia="Arial" w:hAnsi="Arial"/>
                <w:sz w:val="17"/>
                <w:szCs w:val="17"/>
                <w:color w:val="auto"/>
              </w:rPr>
              <w:t>, $(111),</w:t>
            </w:r>
          </w:p>
        </w:tc>
        <w:tc>
          <w:tcPr>
            <w:tcW w:w="320" w:type="dxa"/>
            <w:vAlign w:val="bottom"/>
          </w:tcPr>
          <w:p>
            <w:pPr>
              <w:spacing w:after="0"/>
              <w:rPr>
                <w:sz w:val="13"/>
                <w:szCs w:val="13"/>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(477)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(414)</w:t>
            </w:r>
          </w:p>
        </w:tc>
        <w:tc>
          <w:tcPr>
            <w:tcW w:w="3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(665)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5020" w:type="dxa"/>
            <w:vAlign w:val="bottom"/>
          </w:tcPr>
          <w:p>
            <w:pPr>
              <w:ind w:left="220"/>
              <w:spacing w:after="0"/>
              <w:rPr>
                <w:sz w:val="20"/>
                <w:szCs w:val="20"/>
                <w:color w:val="auto"/>
              </w:rPr>
            </w:pPr>
            <w:r>
              <w:rPr>
                <w:rFonts w:ascii="Arial" w:cs="Arial" w:eastAsia="Arial" w:hAnsi="Arial"/>
                <w:sz w:val="18"/>
                <w:szCs w:val="18"/>
                <w:b w:val="1"/>
                <w:bCs w:val="1"/>
                <w:color w:val="auto"/>
              </w:rPr>
              <w:t>$(178)</w:t>
            </w:r>
            <w:r>
              <w:rPr>
                <w:rFonts w:ascii="Arial" w:cs="Arial" w:eastAsia="Arial" w:hAnsi="Arial"/>
                <w:sz w:val="18"/>
                <w:szCs w:val="18"/>
                <w:color w:val="auto"/>
              </w:rPr>
              <w:t>, and $45</w:t>
            </w:r>
          </w:p>
        </w:tc>
        <w:tc>
          <w:tcPr>
            <w:tcW w:w="3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5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5020" w:type="dxa"/>
            <w:vAlign w:val="bottom"/>
            <w:shd w:val="clear" w:color="auto" w:fill="E5E5E5"/>
          </w:tcPr>
          <w:p>
            <w:pPr>
              <w:spacing w:after="0" w:line="153" w:lineRule="exact"/>
              <w:rPr>
                <w:sz w:val="20"/>
                <w:szCs w:val="20"/>
                <w:color w:val="auto"/>
              </w:rPr>
            </w:pPr>
            <w:r>
              <w:rPr>
                <w:rFonts w:ascii="Arial" w:cs="Arial" w:eastAsia="Arial" w:hAnsi="Arial"/>
                <w:sz w:val="17"/>
                <w:szCs w:val="17"/>
                <w:color w:val="auto"/>
              </w:rPr>
              <w:t>Reclassification adjustments for gains included in other</w:t>
            </w:r>
          </w:p>
        </w:tc>
        <w:tc>
          <w:tcPr>
            <w:tcW w:w="320" w:type="dxa"/>
            <w:vAlign w:val="bottom"/>
            <w:shd w:val="clear" w:color="auto" w:fill="E5E5E5"/>
          </w:tcPr>
          <w:p>
            <w:pPr>
              <w:spacing w:after="0"/>
              <w:rPr>
                <w:sz w:val="13"/>
                <w:szCs w:val="13"/>
                <w:color w:val="auto"/>
              </w:rPr>
            </w:pPr>
          </w:p>
        </w:tc>
        <w:tc>
          <w:tcPr>
            <w:tcW w:w="104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(19)</w:t>
            </w:r>
          </w:p>
        </w:tc>
        <w:tc>
          <w:tcPr>
            <w:tcW w:w="26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400" w:type="dxa"/>
            <w:vAlign w:val="bottom"/>
            <w:gridSpan w:val="2"/>
            <w:vMerge w:val="restart"/>
            <w:shd w:val="clear" w:color="auto" w:fill="E5E5E5"/>
          </w:tcPr>
          <w:p>
            <w:pPr>
              <w:jc w:val="right"/>
              <w:ind w:right="360"/>
              <w:spacing w:after="0"/>
              <w:rPr>
                <w:sz w:val="20"/>
                <w:szCs w:val="20"/>
                <w:color w:val="auto"/>
              </w:rPr>
            </w:pPr>
            <w:r>
              <w:rPr>
                <w:rFonts w:ascii="Arial" w:cs="Arial" w:eastAsia="Arial" w:hAnsi="Arial"/>
                <w:sz w:val="18"/>
                <w:szCs w:val="18"/>
                <w:color w:val="auto"/>
              </w:rPr>
              <w:t>(7)</w:t>
            </w:r>
          </w:p>
        </w:tc>
        <w:tc>
          <w:tcPr>
            <w:tcW w:w="380" w:type="dxa"/>
            <w:vAlign w:val="bottom"/>
            <w:shd w:val="clear" w:color="auto" w:fill="E5E5E5"/>
          </w:tcPr>
          <w:p>
            <w:pPr>
              <w:spacing w:after="0"/>
              <w:rPr>
                <w:sz w:val="13"/>
                <w:szCs w:val="13"/>
                <w:color w:val="auto"/>
              </w:rPr>
            </w:pPr>
          </w:p>
        </w:tc>
        <w:tc>
          <w:tcPr>
            <w:tcW w:w="104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(36)</w:t>
            </w:r>
          </w:p>
        </w:tc>
        <w:tc>
          <w:tcPr>
            <w:tcW w:w="18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20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50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income (expense), net</w:t>
            </w:r>
          </w:p>
        </w:tc>
        <w:tc>
          <w:tcPr>
            <w:tcW w:w="320" w:type="dxa"/>
            <w:vAlign w:val="bottom"/>
            <w:shd w:val="clear" w:color="auto" w:fill="E5E5E5"/>
          </w:tcPr>
          <w:p>
            <w:pPr>
              <w:spacing w:after="0"/>
              <w:rPr>
                <w:sz w:val="19"/>
                <w:szCs w:val="19"/>
                <w:color w:val="auto"/>
              </w:rPr>
            </w:pPr>
          </w:p>
        </w:tc>
        <w:tc>
          <w:tcPr>
            <w:tcW w:w="1040" w:type="dxa"/>
            <w:vAlign w:val="bottom"/>
            <w:gridSpan w:val="2"/>
            <w:vMerge w:val="continue"/>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400" w:type="dxa"/>
            <w:vAlign w:val="bottom"/>
            <w:gridSpan w:val="2"/>
            <w:vMerge w:val="continue"/>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040" w:type="dxa"/>
            <w:vAlign w:val="bottom"/>
            <w:gridSpan w:val="2"/>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20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02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3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50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5020" w:type="dxa"/>
            <w:vAlign w:val="bottom"/>
            <w:shd w:val="clear" w:color="auto" w:fill="E5E5E5"/>
          </w:tcPr>
          <w:p>
            <w:pPr>
              <w:ind w:left="220"/>
              <w:spacing w:after="0" w:line="153" w:lineRule="exact"/>
              <w:rPr>
                <w:sz w:val="20"/>
                <w:szCs w:val="20"/>
                <w:color w:val="auto"/>
              </w:rPr>
            </w:pPr>
            <w:r>
              <w:rPr>
                <w:rFonts w:ascii="Arial" w:cs="Arial" w:eastAsia="Arial" w:hAnsi="Arial"/>
                <w:sz w:val="17"/>
                <w:szCs w:val="17"/>
                <w:color w:val="auto"/>
              </w:rPr>
              <w:t>Amounts reclassified from accumulated other</w:t>
            </w:r>
          </w:p>
        </w:tc>
        <w:tc>
          <w:tcPr>
            <w:tcW w:w="320" w:type="dxa"/>
            <w:vAlign w:val="bottom"/>
            <w:shd w:val="clear" w:color="auto" w:fill="E5E5E5"/>
          </w:tcPr>
          <w:p>
            <w:pPr>
              <w:spacing w:after="0"/>
              <w:rPr>
                <w:sz w:val="13"/>
                <w:szCs w:val="13"/>
                <w:color w:val="auto"/>
              </w:rPr>
            </w:pPr>
          </w:p>
        </w:tc>
        <w:tc>
          <w:tcPr>
            <w:tcW w:w="104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(15)</w:t>
            </w:r>
          </w:p>
        </w:tc>
        <w:tc>
          <w:tcPr>
            <w:tcW w:w="26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400" w:type="dxa"/>
            <w:vAlign w:val="bottom"/>
            <w:gridSpan w:val="2"/>
            <w:vMerge w:val="restart"/>
            <w:shd w:val="clear" w:color="auto" w:fill="E5E5E5"/>
          </w:tcPr>
          <w:p>
            <w:pPr>
              <w:jc w:val="right"/>
              <w:ind w:right="360"/>
              <w:spacing w:after="0"/>
              <w:rPr>
                <w:sz w:val="20"/>
                <w:szCs w:val="20"/>
                <w:color w:val="auto"/>
              </w:rPr>
            </w:pPr>
            <w:r>
              <w:rPr>
                <w:rFonts w:ascii="Arial" w:cs="Arial" w:eastAsia="Arial" w:hAnsi="Arial"/>
                <w:sz w:val="18"/>
                <w:szCs w:val="18"/>
                <w:color w:val="auto"/>
              </w:rPr>
              <w:t>(6)</w:t>
            </w:r>
          </w:p>
        </w:tc>
        <w:tc>
          <w:tcPr>
            <w:tcW w:w="380" w:type="dxa"/>
            <w:vAlign w:val="bottom"/>
            <w:shd w:val="clear" w:color="auto" w:fill="E5E5E5"/>
          </w:tcPr>
          <w:p>
            <w:pPr>
              <w:spacing w:after="0"/>
              <w:rPr>
                <w:sz w:val="13"/>
                <w:szCs w:val="13"/>
                <w:color w:val="auto"/>
              </w:rPr>
            </w:pPr>
          </w:p>
        </w:tc>
        <w:tc>
          <w:tcPr>
            <w:tcW w:w="104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20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50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comprehensive income (loss)</w:t>
            </w:r>
          </w:p>
        </w:tc>
        <w:tc>
          <w:tcPr>
            <w:tcW w:w="320" w:type="dxa"/>
            <w:vAlign w:val="bottom"/>
            <w:shd w:val="clear" w:color="auto" w:fill="E5E5E5"/>
          </w:tcPr>
          <w:p>
            <w:pPr>
              <w:spacing w:after="0"/>
              <w:rPr>
                <w:sz w:val="19"/>
                <w:szCs w:val="19"/>
                <w:color w:val="auto"/>
              </w:rPr>
            </w:pPr>
          </w:p>
        </w:tc>
        <w:tc>
          <w:tcPr>
            <w:tcW w:w="1040" w:type="dxa"/>
            <w:vAlign w:val="bottom"/>
            <w:gridSpan w:val="2"/>
            <w:vMerge w:val="continue"/>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400" w:type="dxa"/>
            <w:vAlign w:val="bottom"/>
            <w:gridSpan w:val="2"/>
            <w:vMerge w:val="continue"/>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040" w:type="dxa"/>
            <w:vAlign w:val="bottom"/>
            <w:gridSpan w:val="2"/>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20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020" w:type="dxa"/>
            <w:vAlign w:val="bottom"/>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$(132)</w:t>
            </w: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(492)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(420)</w:t>
            </w:r>
          </w:p>
        </w:tc>
        <w:tc>
          <w:tcPr>
            <w:tcW w:w="380" w:type="dxa"/>
            <w:vAlign w:val="bottom"/>
          </w:tcPr>
          <w:p>
            <w:pPr>
              <w:spacing w:after="0"/>
              <w:rPr>
                <w:sz w:val="18"/>
                <w:szCs w:val="18"/>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(693)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20" w:type="dxa"/>
            <w:vAlign w:val="bottom"/>
          </w:tcPr>
          <w:p>
            <w:pPr>
              <w:ind w:left="22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 (186)</w:t>
            </w:r>
            <w:r>
              <w:rPr>
                <w:rFonts w:ascii="Arial" w:cs="Arial" w:eastAsia="Arial" w:hAnsi="Arial"/>
                <w:sz w:val="18"/>
                <w:szCs w:val="18"/>
                <w:color w:val="auto"/>
              </w:rPr>
              <w:t>, and $44</w:t>
            </w:r>
          </w:p>
        </w:tc>
        <w:tc>
          <w:tcPr>
            <w:tcW w:w="3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0</w:t>
            </w:r>
          </w:p>
        </w:tc>
        <w:tc>
          <w:tcPr>
            <w:tcW w:w="2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020" w:type="dxa"/>
            <w:vAlign w:val="bottom"/>
          </w:tcPr>
          <w:p>
            <w:pPr>
              <w:spacing w:after="0"/>
              <w:rPr>
                <w:sz w:val="20"/>
                <w:szCs w:val="20"/>
                <w:color w:val="auto"/>
              </w:rPr>
            </w:pPr>
            <w:r>
              <w:rPr>
                <w:rFonts w:ascii="Arial" w:cs="Arial" w:eastAsia="Arial" w:hAnsi="Arial"/>
                <w:sz w:val="18"/>
                <w:szCs w:val="18"/>
                <w:color w:val="auto"/>
              </w:rPr>
              <w:t>Balance, end of period</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4,795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1,645</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4,795</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42"/>
        </w:trPr>
        <w:tc>
          <w:tcPr>
            <w:tcW w:w="5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(2,143)</w:t>
            </w:r>
          </w:p>
        </w:tc>
        <w:tc>
          <w:tcPr>
            <w:tcW w:w="4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(2,124)</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(2,254)</w:t>
            </w:r>
          </w:p>
        </w:tc>
        <w:tc>
          <w:tcPr>
            <w:tcW w:w="380" w:type="dxa"/>
            <w:vAlign w:val="bottom"/>
            <w:gridSpan w:val="2"/>
            <w:shd w:val="clear" w:color="auto" w:fill="E5E5E5"/>
          </w:tcPr>
          <w:p>
            <w:pPr>
              <w:ind w:left="18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153"/>
        </w:trPr>
        <w:tc>
          <w:tcPr>
            <w:tcW w:w="5020" w:type="dxa"/>
            <w:vAlign w:val="bottom"/>
          </w:tcPr>
          <w:p>
            <w:pPr>
              <w:spacing w:after="0" w:line="153" w:lineRule="exact"/>
              <w:rPr>
                <w:sz w:val="20"/>
                <w:szCs w:val="20"/>
                <w:color w:val="auto"/>
              </w:rPr>
            </w:pPr>
            <w:r>
              <w:rPr>
                <w:rFonts w:ascii="Arial" w:cs="Arial" w:eastAsia="Arial" w:hAnsi="Arial"/>
                <w:sz w:val="17"/>
                <w:szCs w:val="17"/>
                <w:color w:val="auto"/>
              </w:rPr>
              <w:t xml:space="preserve">Translation adjustments and other, net of tax of </w:t>
            </w:r>
            <w:r>
              <w:rPr>
                <w:rFonts w:ascii="Arial" w:cs="Arial" w:eastAsia="Arial" w:hAnsi="Arial"/>
                <w:sz w:val="17"/>
                <w:szCs w:val="17"/>
                <w:b w:val="1"/>
                <w:bCs w:val="1"/>
                <w:color w:val="auto"/>
              </w:rPr>
              <w:t>$0</w:t>
            </w:r>
            <w:r>
              <w:rPr>
                <w:rFonts w:ascii="Arial" w:cs="Arial" w:eastAsia="Arial" w:hAnsi="Arial"/>
                <w:sz w:val="17"/>
                <w:szCs w:val="17"/>
                <w:color w:val="auto"/>
              </w:rPr>
              <w:t xml:space="preserve">, $0, </w:t>
            </w:r>
            <w:r>
              <w:rPr>
                <w:rFonts w:ascii="Arial" w:cs="Arial" w:eastAsia="Arial" w:hAnsi="Arial"/>
                <w:sz w:val="17"/>
                <w:szCs w:val="17"/>
                <w:b w:val="1"/>
                <w:bCs w:val="1"/>
                <w:color w:val="auto"/>
              </w:rPr>
              <w:t>$(9)</w:t>
            </w:r>
            <w:r>
              <w:rPr>
                <w:rFonts w:ascii="Arial" w:cs="Arial" w:eastAsia="Arial" w:hAnsi="Arial"/>
                <w:sz w:val="17"/>
                <w:szCs w:val="17"/>
                <w:color w:val="auto"/>
              </w:rPr>
              <w:t>,</w:t>
            </w:r>
          </w:p>
        </w:tc>
        <w:tc>
          <w:tcPr>
            <w:tcW w:w="32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741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230</w:t>
            </w:r>
          </w:p>
        </w:tc>
        <w:tc>
          <w:tcPr>
            <w:tcW w:w="38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852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1"/>
        </w:trPr>
        <w:tc>
          <w:tcPr>
            <w:tcW w:w="5020" w:type="dxa"/>
            <w:vAlign w:val="bottom"/>
          </w:tcPr>
          <w:p>
            <w:pPr>
              <w:ind w:left="220"/>
              <w:spacing w:after="0"/>
              <w:rPr>
                <w:sz w:val="20"/>
                <w:szCs w:val="20"/>
                <w:color w:val="auto"/>
              </w:rPr>
            </w:pPr>
            <w:r>
              <w:rPr>
                <w:rFonts w:ascii="Arial" w:cs="Arial" w:eastAsia="Arial" w:hAnsi="Arial"/>
                <w:sz w:val="18"/>
                <w:szCs w:val="18"/>
                <w:color w:val="auto"/>
              </w:rPr>
              <w:t>and $(8)</w:t>
            </w:r>
          </w:p>
        </w:tc>
        <w:tc>
          <w:tcPr>
            <w:tcW w:w="3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5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3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(1,402)</w:t>
            </w:r>
          </w:p>
        </w:tc>
        <w:tc>
          <w:tcPr>
            <w:tcW w:w="4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(1,894)</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(1,402)</w:t>
            </w:r>
          </w:p>
        </w:tc>
        <w:tc>
          <w:tcPr>
            <w:tcW w:w="380" w:type="dxa"/>
            <w:vAlign w:val="bottom"/>
            <w:gridSpan w:val="2"/>
            <w:shd w:val="clear" w:color="auto" w:fill="E5E5E5"/>
          </w:tcPr>
          <w:p>
            <w:pPr>
              <w:ind w:left="18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8"/>
                <w:szCs w:val="18"/>
                <w:color w:val="auto"/>
              </w:rPr>
              <w:t>Accumulated other comprehensive income (loss), end of</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3,367</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(255)</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3,367</w:t>
            </w:r>
          </w:p>
        </w:tc>
        <w:tc>
          <w:tcPr>
            <w:tcW w:w="38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51"/>
        </w:trPr>
        <w:tc>
          <w:tcPr>
            <w:tcW w:w="5020" w:type="dxa"/>
            <w:vAlign w:val="bottom"/>
          </w:tcPr>
          <w:p>
            <w:pPr>
              <w:ind w:left="220"/>
              <w:spacing w:after="0"/>
              <w:rPr>
                <w:sz w:val="20"/>
                <w:szCs w:val="20"/>
                <w:color w:val="auto"/>
              </w:rPr>
            </w:pPr>
            <w:r>
              <w:rPr>
                <w:rFonts w:ascii="Arial" w:cs="Arial" w:eastAsia="Arial" w:hAnsi="Arial"/>
                <w:sz w:val="18"/>
                <w:szCs w:val="18"/>
                <w:color w:val="auto"/>
              </w:rPr>
              <w:t>period</w:t>
            </w:r>
          </w:p>
        </w:tc>
        <w:tc>
          <w:tcPr>
            <w:tcW w:w="320" w:type="dxa"/>
            <w:vAlign w:val="bottom"/>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50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0"/>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412"/>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SEGMENT INFORMATION AND GEOGRAPHIC DATA</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60"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2" w:lineRule="exact"/>
        <w:rPr>
          <w:sz w:val="20"/>
          <w:szCs w:val="20"/>
          <w:color w:val="auto"/>
        </w:rPr>
      </w:pPr>
    </w:p>
    <w:p>
      <w:pPr>
        <w:jc w:val="both"/>
        <w:ind w:left="1060" w:hanging="391"/>
        <w:spacing w:after="0" w:line="25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Office Commercial, including Office 365 subscriptions, the Office 365 portion of Microsoft 365 Commercial subscriptions, and Office licensed on-premises, comprising Office, Exchange, SharePoint, Microsoft Teams, Office 365 Security and Compliance, and Skype for Business, and related Client Access Licenses (“CALs”).</w:t>
      </w:r>
    </w:p>
    <w:p>
      <w:pPr>
        <w:spacing w:after="0" w:line="15" w:lineRule="exact"/>
        <w:rPr>
          <w:rFonts w:ascii="Arial" w:cs="Arial" w:eastAsia="Arial" w:hAnsi="Arial"/>
          <w:sz w:val="18"/>
          <w:szCs w:val="18"/>
          <w:color w:val="auto"/>
        </w:rPr>
      </w:pPr>
    </w:p>
    <w:p>
      <w:pPr>
        <w:ind w:left="1060" w:hanging="391"/>
        <w:spacing w:after="0" w:line="273"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Office Consumer, including Microsoft 365 Consumer subscriptions and Office licensed on-premises, and Office Consumer Services, including Skype, Outlook.com, and OneDrive.</w:t>
      </w:r>
    </w:p>
    <w:p>
      <w:pPr>
        <w:spacing w:after="0" w:line="1" w:lineRule="exact"/>
        <w:rPr>
          <w:rFonts w:ascii="Arial" w:cs="Arial" w:eastAsia="Arial" w:hAnsi="Arial"/>
          <w:sz w:val="18"/>
          <w:szCs w:val="18"/>
          <w:color w:val="auto"/>
        </w:rPr>
      </w:pPr>
    </w:p>
    <w:p>
      <w:pPr>
        <w:ind w:left="1060" w:hanging="39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LinkedIn, including Talent Solutions, Learning Solutions, Marketing Solutions, Sales Solutions, and Premium Subscriptions.</w:t>
      </w:r>
    </w:p>
    <w:p>
      <w:pPr>
        <w:spacing w:after="0" w:line="63" w:lineRule="exact"/>
        <w:rPr>
          <w:rFonts w:ascii="Arial" w:cs="Arial" w:eastAsia="Arial" w:hAnsi="Arial"/>
          <w:sz w:val="18"/>
          <w:szCs w:val="18"/>
          <w:color w:val="auto"/>
        </w:rPr>
      </w:pPr>
    </w:p>
    <w:p>
      <w:pPr>
        <w:jc w:val="both"/>
        <w:ind w:left="1060" w:hanging="391"/>
        <w:spacing w:after="0" w:line="25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and Customer Data Platform; low-code application platform and automation solutions; and on-premises ERP and CRM applications.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60"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2" w:lineRule="exact"/>
        <w:rPr>
          <w:sz w:val="20"/>
          <w:szCs w:val="20"/>
          <w:color w:val="auto"/>
        </w:rPr>
      </w:pPr>
    </w:p>
    <w:p>
      <w:pPr>
        <w:ind w:left="1060" w:hanging="391"/>
        <w:spacing w:after="0" w:line="273"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SQL Server, Windows Server, Visual Studio, System Center, and related CALs; and GitHub.</w:t>
      </w:r>
    </w:p>
    <w:p>
      <w:pPr>
        <w:spacing w:after="0" w:line="1" w:lineRule="exact"/>
        <w:rPr>
          <w:rFonts w:ascii="Arial" w:cs="Arial" w:eastAsia="Arial" w:hAnsi="Arial"/>
          <w:sz w:val="18"/>
          <w:szCs w:val="18"/>
          <w:color w:val="auto"/>
        </w:rPr>
      </w:pPr>
    </w:p>
    <w:p>
      <w:pPr>
        <w:ind w:left="1060" w:hanging="39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6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10" w:lineRule="exact"/>
        <w:rPr>
          <w:sz w:val="20"/>
          <w:szCs w:val="20"/>
          <w:color w:val="auto"/>
        </w:rPr>
      </w:pPr>
    </w:p>
    <w:p>
      <w:pPr>
        <w:jc w:val="both"/>
        <w:ind w:left="1060" w:hanging="391"/>
        <w:spacing w:after="0" w:line="25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Windows Internet of Things; and MSN advertising.</w:t>
      </w:r>
    </w:p>
    <w:p>
      <w:pPr>
        <w:spacing w:after="0" w:line="15"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Devices, including Surface and PC accessories.</w:t>
      </w:r>
    </w:p>
    <w:p>
      <w:pPr>
        <w:spacing w:after="0" w:line="63" w:lineRule="exact"/>
        <w:rPr>
          <w:rFonts w:ascii="Arial" w:cs="Arial" w:eastAsia="Arial" w:hAnsi="Arial"/>
          <w:sz w:val="18"/>
          <w:szCs w:val="18"/>
          <w:color w:val="auto"/>
        </w:rPr>
      </w:pPr>
    </w:p>
    <w:p>
      <w:pPr>
        <w:ind w:left="1060" w:right="20" w:hanging="391"/>
        <w:spacing w:after="0" w:line="273"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Xbox Live (transactions, Xbox Game Pass and other subscriptions, cloud services, and advertising), video games, and third-party video game royalties.</w:t>
      </w:r>
    </w:p>
    <w:p>
      <w:pPr>
        <w:spacing w:after="0" w:line="1"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Search.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costs of: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5"/>
        </w:trPr>
        <w:tc>
          <w:tcPr>
            <w:tcW w:w="5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46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13,353</w:t>
            </w:r>
          </w:p>
        </w:tc>
        <w:tc>
          <w:tcPr>
            <w:tcW w:w="38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11,826</w:t>
            </w:r>
          </w:p>
        </w:tc>
        <w:tc>
          <w:tcPr>
            <w:tcW w:w="5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25,672</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22,903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4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14,601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11,869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27,587</w:t>
            </w: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22,714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15,122</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13,211</w:t>
            </w: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26,971</w:t>
            </w:r>
          </w:p>
        </w:tc>
        <w:tc>
          <w:tcPr>
            <w:tcW w:w="14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24,344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020" w:type="dxa"/>
            <w:vAlign w:val="bottom"/>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43,076</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36,906</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80,230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69,961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502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50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46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6,181</w:t>
            </w:r>
          </w:p>
        </w:tc>
        <w:tc>
          <w:tcPr>
            <w:tcW w:w="38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5,182</w:t>
            </w:r>
          </w:p>
        </w:tc>
        <w:tc>
          <w:tcPr>
            <w:tcW w:w="5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11,887</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9,964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4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6,492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4,531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11,914</w:t>
            </w: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8,420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5,224</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4,178</w:t>
            </w: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9,972</w:t>
            </w:r>
          </w:p>
        </w:tc>
        <w:tc>
          <w:tcPr>
            <w:tcW w:w="14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8,193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020" w:type="dxa"/>
            <w:vAlign w:val="bottom"/>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17,897</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13,891</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33,773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26,577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50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or six months ended December 31, 2020 or 2019. Revenue, classified by the major geographic areas in which our customers were located,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5"/>
        </w:trPr>
        <w:tc>
          <w:tcPr>
            <w:tcW w:w="5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46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21,836</w:t>
            </w:r>
          </w:p>
        </w:tc>
        <w:tc>
          <w:tcPr>
            <w:tcW w:w="38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19,149</w:t>
            </w:r>
          </w:p>
        </w:tc>
        <w:tc>
          <w:tcPr>
            <w:tcW w:w="5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40,861</w:t>
            </w:r>
          </w:p>
        </w:tc>
        <w:tc>
          <w:tcPr>
            <w:tcW w:w="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36,419</w:t>
            </w:r>
          </w:p>
        </w:tc>
        <w:tc>
          <w:tcPr>
            <w:tcW w:w="0" w:type="dxa"/>
            <w:vAlign w:val="bottom"/>
          </w:tcPr>
          <w:p>
            <w:pPr>
              <w:spacing w:after="0"/>
              <w:rPr>
                <w:sz w:val="1"/>
                <w:szCs w:val="1"/>
                <w:color w:val="auto"/>
              </w:rPr>
            </w:pPr>
          </w:p>
        </w:tc>
      </w:tr>
      <w:tr>
        <w:trPr>
          <w:trHeight w:val="255"/>
        </w:trPr>
        <w:tc>
          <w:tcPr>
            <w:tcW w:w="5020" w:type="dxa"/>
            <w:vAlign w:val="bottom"/>
          </w:tcPr>
          <w:p>
            <w:pPr>
              <w:spacing w:after="0"/>
              <w:rPr>
                <w:sz w:val="20"/>
                <w:szCs w:val="20"/>
                <w:color w:val="auto"/>
              </w:rPr>
            </w:pPr>
            <w:r>
              <w:rPr>
                <w:rFonts w:ascii="Arial" w:cs="Arial" w:eastAsia="Arial" w:hAnsi="Arial"/>
                <w:sz w:val="18"/>
                <w:szCs w:val="18"/>
                <w:color w:val="auto"/>
              </w:rPr>
              <w:t>Other countries</w:t>
            </w:r>
          </w:p>
        </w:tc>
        <w:tc>
          <w:tcPr>
            <w:tcW w:w="4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21,240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17,757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39,369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33,542</w:t>
            </w:r>
          </w:p>
        </w:tc>
        <w:tc>
          <w:tcPr>
            <w:tcW w:w="0" w:type="dxa"/>
            <w:vAlign w:val="bottom"/>
          </w:tcPr>
          <w:p>
            <w:pPr>
              <w:spacing w:after="0"/>
              <w:rPr>
                <w:sz w:val="1"/>
                <w:szCs w:val="1"/>
                <w:color w:val="auto"/>
              </w:rPr>
            </w:pPr>
          </w:p>
        </w:tc>
      </w:tr>
      <w:tr>
        <w:trPr>
          <w:trHeight w:val="63"/>
        </w:trPr>
        <w:tc>
          <w:tcPr>
            <w:tcW w:w="50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43,076</w:t>
            </w:r>
          </w:p>
        </w:tc>
        <w:tc>
          <w:tcPr>
            <w:tcW w:w="38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36,906</w:t>
            </w:r>
          </w:p>
        </w:tc>
        <w:tc>
          <w:tcPr>
            <w:tcW w:w="58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80,230</w:t>
            </w:r>
          </w:p>
        </w:tc>
        <w:tc>
          <w:tcPr>
            <w:tcW w:w="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69,961</w:t>
            </w:r>
          </w:p>
        </w:tc>
        <w:tc>
          <w:tcPr>
            <w:tcW w:w="0" w:type="dxa"/>
            <w:vAlign w:val="bottom"/>
          </w:tcPr>
          <w:p>
            <w:pPr>
              <w:spacing w:after="0"/>
              <w:rPr>
                <w:sz w:val="1"/>
                <w:szCs w:val="1"/>
                <w:color w:val="auto"/>
              </w:rPr>
            </w:pPr>
          </w:p>
        </w:tc>
      </w:tr>
      <w:tr>
        <w:trPr>
          <w:trHeight w:val="75"/>
        </w:trPr>
        <w:tc>
          <w:tcPr>
            <w:tcW w:w="50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40" w:right="20" w:hanging="532"/>
        <w:spacing w:after="0" w:line="27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5"/>
        </w:trPr>
        <w:tc>
          <w:tcPr>
            <w:tcW w:w="5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46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12,729</w:t>
            </w:r>
          </w:p>
        </w:tc>
        <w:tc>
          <w:tcPr>
            <w:tcW w:w="280" w:type="dxa"/>
            <w:vAlign w:val="bottom"/>
            <w:shd w:val="clear" w:color="auto" w:fill="E5E5E5"/>
          </w:tcPr>
          <w:p>
            <w:pPr>
              <w:ind w:left="2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10,119</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23,924</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19,311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4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9,881</w:t>
            </w:r>
          </w:p>
        </w:tc>
        <w:tc>
          <w:tcPr>
            <w:tcW w:w="280" w:type="dxa"/>
            <w:vAlign w:val="bottom"/>
          </w:tcPr>
          <w:p>
            <w:pPr>
              <w:spacing w:after="0"/>
              <w:rPr>
                <w:sz w:val="16"/>
                <w:szCs w:val="16"/>
                <w:color w:val="auto"/>
              </w:rPr>
            </w:pPr>
          </w:p>
        </w:tc>
        <w:tc>
          <w:tcPr>
            <w:tcW w:w="12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8,983</w:t>
            </w:r>
          </w:p>
        </w:tc>
        <w:tc>
          <w:tcPr>
            <w:tcW w:w="460" w:type="dxa"/>
            <w:vAlign w:val="bottom"/>
          </w:tcPr>
          <w:p>
            <w:pPr>
              <w:spacing w:after="0"/>
              <w:rPr>
                <w:sz w:val="16"/>
                <w:szCs w:val="16"/>
                <w:color w:val="auto"/>
              </w:rPr>
            </w:pPr>
          </w:p>
        </w:tc>
        <w:tc>
          <w:tcPr>
            <w:tcW w:w="11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19,159</w:t>
            </w: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17,449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5,716</w:t>
            </w: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5,593</w:t>
            </w:r>
          </w:p>
        </w:tc>
        <w:tc>
          <w:tcPr>
            <w:tcW w:w="4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11,021</w:t>
            </w:r>
          </w:p>
        </w:tc>
        <w:tc>
          <w:tcPr>
            <w:tcW w:w="14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10,946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4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5,031</w:t>
            </w:r>
          </w:p>
        </w:tc>
        <w:tc>
          <w:tcPr>
            <w:tcW w:w="280" w:type="dxa"/>
            <w:vAlign w:val="bottom"/>
          </w:tcPr>
          <w:p>
            <w:pPr>
              <w:spacing w:after="0"/>
              <w:rPr>
                <w:sz w:val="16"/>
                <w:szCs w:val="16"/>
                <w:color w:val="auto"/>
              </w:rPr>
            </w:pPr>
          </w:p>
        </w:tc>
        <w:tc>
          <w:tcPr>
            <w:tcW w:w="12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3,327</w:t>
            </w:r>
          </w:p>
        </w:tc>
        <w:tc>
          <w:tcPr>
            <w:tcW w:w="460" w:type="dxa"/>
            <w:vAlign w:val="bottom"/>
          </w:tcPr>
          <w:p>
            <w:pPr>
              <w:spacing w:after="0"/>
              <w:rPr>
                <w:sz w:val="16"/>
                <w:szCs w:val="16"/>
                <w:color w:val="auto"/>
              </w:rPr>
            </w:pPr>
          </w:p>
        </w:tc>
        <w:tc>
          <w:tcPr>
            <w:tcW w:w="11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8,123</w:t>
            </w: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5,869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LinkedIn</w:t>
            </w: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2,577</w:t>
            </w: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2,102</w:t>
            </w:r>
          </w:p>
        </w:tc>
        <w:tc>
          <w:tcPr>
            <w:tcW w:w="4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4,783</w:t>
            </w:r>
          </w:p>
        </w:tc>
        <w:tc>
          <w:tcPr>
            <w:tcW w:w="14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4,011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Search advertising</w:t>
            </w:r>
          </w:p>
        </w:tc>
        <w:tc>
          <w:tcPr>
            <w:tcW w:w="4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2,184</w:t>
            </w:r>
          </w:p>
        </w:tc>
        <w:tc>
          <w:tcPr>
            <w:tcW w:w="280" w:type="dxa"/>
            <w:vAlign w:val="bottom"/>
          </w:tcPr>
          <w:p>
            <w:pPr>
              <w:spacing w:after="0"/>
              <w:rPr>
                <w:sz w:val="16"/>
                <w:szCs w:val="16"/>
                <w:color w:val="auto"/>
              </w:rPr>
            </w:pPr>
          </w:p>
        </w:tc>
        <w:tc>
          <w:tcPr>
            <w:tcW w:w="12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2,163</w:t>
            </w:r>
          </w:p>
        </w:tc>
        <w:tc>
          <w:tcPr>
            <w:tcW w:w="460" w:type="dxa"/>
            <w:vAlign w:val="bottom"/>
          </w:tcPr>
          <w:p>
            <w:pPr>
              <w:spacing w:after="0"/>
              <w:rPr>
                <w:sz w:val="16"/>
                <w:szCs w:val="16"/>
                <w:color w:val="auto"/>
              </w:rPr>
            </w:pPr>
          </w:p>
        </w:tc>
        <w:tc>
          <w:tcPr>
            <w:tcW w:w="11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3,973</w:t>
            </w: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4,154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Devices</w:t>
            </w: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2,120</w:t>
            </w: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2,048</w:t>
            </w:r>
          </w:p>
        </w:tc>
        <w:tc>
          <w:tcPr>
            <w:tcW w:w="4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3,740</w:t>
            </w:r>
          </w:p>
        </w:tc>
        <w:tc>
          <w:tcPr>
            <w:tcW w:w="14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3,250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Enterprise Services</w:t>
            </w:r>
          </w:p>
        </w:tc>
        <w:tc>
          <w:tcPr>
            <w:tcW w:w="4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1,695</w:t>
            </w:r>
          </w:p>
        </w:tc>
        <w:tc>
          <w:tcPr>
            <w:tcW w:w="280" w:type="dxa"/>
            <w:vAlign w:val="bottom"/>
          </w:tcPr>
          <w:p>
            <w:pPr>
              <w:spacing w:after="0"/>
              <w:rPr>
                <w:sz w:val="16"/>
                <w:szCs w:val="16"/>
                <w:color w:val="auto"/>
              </w:rPr>
            </w:pPr>
          </w:p>
        </w:tc>
        <w:tc>
          <w:tcPr>
            <w:tcW w:w="12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1,612</w:t>
            </w:r>
          </w:p>
        </w:tc>
        <w:tc>
          <w:tcPr>
            <w:tcW w:w="460" w:type="dxa"/>
            <w:vAlign w:val="bottom"/>
          </w:tcPr>
          <w:p>
            <w:pPr>
              <w:spacing w:after="0"/>
              <w:rPr>
                <w:sz w:val="16"/>
                <w:szCs w:val="16"/>
                <w:color w:val="auto"/>
              </w:rPr>
            </w:pPr>
          </w:p>
        </w:tc>
        <w:tc>
          <w:tcPr>
            <w:tcW w:w="11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3,332</w:t>
            </w: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3,157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4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1,143</w:t>
            </w: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959</w:t>
            </w:r>
          </w:p>
        </w:tc>
        <w:tc>
          <w:tcPr>
            <w:tcW w:w="4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2,175</w:t>
            </w:r>
          </w:p>
        </w:tc>
        <w:tc>
          <w:tcPr>
            <w:tcW w:w="14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1,814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020" w:type="dxa"/>
            <w:vAlign w:val="bottom"/>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43,076</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36,906</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80,230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69,961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50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commercial cloud revenue, which includes Office 365 Commercial, Azure, the commercial portion of LinkedIn, Dynamics 365, and other commercial cloud properties, was $16.7 billion and $31.9 billion for the three and six months ended December 31, 2020, respectively, and $12.5 billion and $24.1 billion for the three and six months ended December 31, 2019, respectively. These amounts are primarily included in Office products and cloud services, Server products and cloud services, and LinkedIn in the table above.</w:t>
      </w:r>
    </w:p>
    <w:p>
      <w:pPr>
        <w:spacing w:after="0" w:line="11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520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Item 1</w:t>
      </w:r>
    </w:p>
    <w:p>
      <w:pPr>
        <w:spacing w:after="0" w:line="177" w:lineRule="exact"/>
        <w:rPr>
          <w:sz w:val="20"/>
          <w:szCs w:val="20"/>
          <w:color w:val="auto"/>
        </w:rPr>
      </w:pPr>
    </w:p>
    <w:p>
      <w:pPr>
        <w:ind w:right="4600"/>
        <w:spacing w:after="0" w:line="42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Results of Review of Interim Financial Information</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December 31, 2020, the related consolidated statements of income, comprehensive income, cash flows, and stockholders’ equity for the three-month and six-month periods ended December 31, 2020 and 2019,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2020, and the related consolidated statements of income, comprehensive income, cash flows, and stockholders’ equity for the year then ended (not presented herein); and in our report dated July 30, 2020, we expressed an unqualified opinion on those consolidated financial statements. In our opinion, the information set forth in the accompanying consolidated balance sheet as of June 30, 2020, is fairly stated, in all material respects, in relation to the consolidated balance sheet from which it has been derived.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January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540" w:top="121" w:right="679" w:bottom="1440" w:gutter="0" w:footer="0" w:header="0"/>
        </w:sectPr>
      </w:pPr>
    </w:p>
    <w:bookmarkStart w:id="30" w:name="page31"/>
    <w:bookmarkEnd w:id="30"/>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82" w:lineRule="exact"/>
        <w:rPr>
          <w:sz w:val="20"/>
          <w:szCs w:val="20"/>
          <w:color w:val="auto"/>
        </w:rPr>
      </w:pPr>
    </w:p>
    <w:p>
      <w:pPr>
        <w:jc w:val="center"/>
        <w:ind w:left="340" w:right="380"/>
        <w:spacing w:after="0" w:line="280"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2020, and our financial statements and the accompanying Notes to Financial Statements (Part I, Item 1 of this Form 10-Q).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world continues to respond to the coronavirus (“COVID-19”), we are working to do our part by ensuring the safety of our employees, striving to protect the health and well-being of the communities in which we operate, and providing technology and resources to our customers to help them do their best work while remote.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second quarter of fiscal year 2021 compared with the second quarter of fiscal year 2020 included:</w:t>
      </w:r>
    </w:p>
    <w:p>
      <w:pPr>
        <w:spacing w:after="0" w:line="77" w:lineRule="exact"/>
        <w:rPr>
          <w:sz w:val="20"/>
          <w:szCs w:val="20"/>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 cloud revenue increased 34% to $16.7 billion.</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11%, driven by Office 365 Commercial growth of 21%.</w:t>
      </w:r>
    </w:p>
    <w:p>
      <w:pPr>
        <w:spacing w:after="0" w:line="63" w:lineRule="exact"/>
        <w:rPr>
          <w:rFonts w:ascii="Arial" w:cs="Arial" w:eastAsia="Arial" w:hAnsi="Arial"/>
          <w:sz w:val="18"/>
          <w:szCs w:val="18"/>
          <w:color w:val="auto"/>
        </w:rPr>
      </w:pPr>
    </w:p>
    <w:p>
      <w:pPr>
        <w:ind w:left="1060" w:hanging="391"/>
        <w:spacing w:after="0" w:line="273"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7%, and Microsoft 365 Consumer subscribers increased to 47.5 million.</w:t>
      </w:r>
    </w:p>
    <w:p>
      <w:pPr>
        <w:spacing w:after="0" w:line="1"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LinkedIn revenue increased 23%.</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21%, driven by Dynamics 365 growth of 39%.</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26%, driven by Azure growth of 50%.</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1%.</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Windows Commercial products and cloud services revenue increased 10%.</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Xbox content and services revenue increased 40%.</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Surface revenue increased 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63" w:lineRule="exact"/>
        <w:rPr>
          <w:sz w:val="20"/>
          <w:szCs w:val="20"/>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Search advertising revenue, excluding traffic acquisition costs, increased 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Weakening of the U.S. dollar relative to certain foreign currencies increased reported revenue but did not have a material impact on reported expenses from our international operations for the three months ended December 31, 2020, and did not have a material impact on reported revenue or expenses from our international operations for the six months ended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fiscal year 2021, the COVID-19 pandemic continued to impact our business operations and financial results. Cloud usage and demand benefited as customers accelerate their digital transformation priorities. Our consumer businesses also benefited from the remote environment, with continued demand for PCs and productivity tools, as well as strong engagement across our Gaming platform. We saw improvement in customer advertising spend, but continued to experience weakness in transactional licensing and savings in operating expenses related to COVID-19. The COVID-19 pandemic may continue to impact our business operations and financial operating results, and there is uncertainty in the nature and degree of its continued effects over time. Refer to Risk Factors (Part II, Item 1A of this Form 10-Q) for further discussion.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Estimate</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2020, we completed an assessment of the useful lives of our server and network equipment and determined we should increase the estimated useful life of server equipment from three years to four years and increase the estimated useful life of network equipment from two years to four years. This change in accounting estimate was effective beginning fiscal year 2021. Based on the carrying amount of server and network equipment included in property and equipment, net as of June 30, 2020, the effect of this change in estimate for the three months ended December 31, 2020, was an increase in operating income of $787 million and net income of $649 million, or $0.09 per both basic and diluted share. The effect of this change for the six months ended December 31, 2020, was an increase in operating income of $1.7 billion and net income of $1.4 billion, or $0.19 per both basic and diluted share. It is estimated this change will increase our fiscal year 2021 annual operating income by $2.7 billion.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of America (“GAAP”), along with certain corporate-level and other activity, are included in Corporate and Other.</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Additional information on our reportable segments is contained in Note 17 – Segment Information and Geographic Data of the Notes to Financial Statements (Part I, Item 1 of this Form 10-Q).</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Metrics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GAAP results and growth comparisons relate to the corresponding period of last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ind w:left="180"/>
              <w:spacing w:after="0"/>
              <w:rPr>
                <w:sz w:val="20"/>
                <w:szCs w:val="20"/>
                <w:color w:val="auto"/>
              </w:rPr>
            </w:pPr>
            <w:r>
              <w:rPr>
                <w:rFonts w:ascii="Arial" w:cs="Arial" w:eastAsia="Arial" w:hAnsi="Arial"/>
                <w:sz w:val="18"/>
                <w:szCs w:val="18"/>
                <w:color w:val="auto"/>
              </w:rPr>
              <w:t>Commercial remaining performance obligation</w:t>
            </w:r>
          </w:p>
        </w:tc>
        <w:tc>
          <w:tcPr>
            <w:tcW w:w="7060" w:type="dxa"/>
            <w:vAlign w:val="bottom"/>
          </w:tcPr>
          <w:p>
            <w:pPr>
              <w:ind w:left="320"/>
              <w:spacing w:after="0"/>
              <w:rPr>
                <w:sz w:val="20"/>
                <w:szCs w:val="20"/>
                <w:color w:val="auto"/>
              </w:rPr>
            </w:pPr>
            <w:r>
              <w:rPr>
                <w:rFonts w:ascii="Arial" w:cs="Arial" w:eastAsia="Arial" w:hAnsi="Arial"/>
                <w:sz w:val="18"/>
                <w:szCs w:val="18"/>
                <w:color w:val="auto"/>
              </w:rPr>
              <w:t>Commercial portion of revenue allocated to remaining performance obligations,</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which includes unearned revenue and amounts that will be invoiced and recognized</w:t>
            </w:r>
          </w:p>
        </w:tc>
      </w:tr>
      <w:tr>
        <w:trPr>
          <w:trHeight w:val="243"/>
        </w:trPr>
        <w:tc>
          <w:tcPr>
            <w:tcW w:w="4180" w:type="dxa"/>
            <w:vAlign w:val="bottom"/>
          </w:tcPr>
          <w:p>
            <w:pPr>
              <w:spacing w:after="0"/>
              <w:rPr>
                <w:sz w:val="21"/>
                <w:szCs w:val="21"/>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as revenue in future periods</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Commercial cloud revenue</w:t>
            </w:r>
          </w:p>
        </w:tc>
        <w:tc>
          <w:tcPr>
            <w:tcW w:w="7060" w:type="dxa"/>
            <w:vAlign w:val="bottom"/>
          </w:tcPr>
          <w:p>
            <w:pPr>
              <w:ind w:left="320"/>
              <w:spacing w:after="0"/>
              <w:rPr>
                <w:sz w:val="20"/>
                <w:szCs w:val="20"/>
                <w:color w:val="auto"/>
              </w:rPr>
            </w:pPr>
            <w:r>
              <w:rPr>
                <w:rFonts w:ascii="Arial" w:cs="Arial" w:eastAsia="Arial" w:hAnsi="Arial"/>
                <w:sz w:val="18"/>
                <w:szCs w:val="18"/>
                <w:color w:val="auto"/>
              </w:rPr>
              <w:t>Revenue  from  our  commercial  cloud  business,  which  includes  Office  365</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Commercial, Azure, the commercial portion of LinkedIn, Dynamics 365, and other</w:t>
            </w:r>
          </w:p>
        </w:tc>
      </w:tr>
      <w:tr>
        <w:trPr>
          <w:trHeight w:val="243"/>
        </w:trPr>
        <w:tc>
          <w:tcPr>
            <w:tcW w:w="4180" w:type="dxa"/>
            <w:vAlign w:val="bottom"/>
          </w:tcPr>
          <w:p>
            <w:pPr>
              <w:spacing w:after="0"/>
              <w:rPr>
                <w:sz w:val="21"/>
                <w:szCs w:val="21"/>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commercial cloud properties</w:t>
            </w:r>
          </w:p>
        </w:tc>
      </w:tr>
      <w:tr>
        <w:trPr>
          <w:trHeight w:val="283"/>
        </w:trPr>
        <w:tc>
          <w:tcPr>
            <w:tcW w:w="4180" w:type="dxa"/>
            <w:vAlign w:val="bottom"/>
          </w:tcPr>
          <w:p>
            <w:pPr>
              <w:ind w:left="180"/>
              <w:spacing w:after="0"/>
              <w:rPr>
                <w:sz w:val="20"/>
                <w:szCs w:val="20"/>
                <w:color w:val="auto"/>
              </w:rPr>
            </w:pPr>
            <w:r>
              <w:rPr>
                <w:rFonts w:ascii="Arial" w:cs="Arial" w:eastAsia="Arial" w:hAnsi="Arial"/>
                <w:sz w:val="18"/>
                <w:szCs w:val="18"/>
                <w:color w:val="auto"/>
              </w:rPr>
              <w:t>Commercial cloud gross margin percentage</w:t>
            </w:r>
          </w:p>
        </w:tc>
        <w:tc>
          <w:tcPr>
            <w:tcW w:w="7060" w:type="dxa"/>
            <w:vAlign w:val="bottom"/>
          </w:tcPr>
          <w:p>
            <w:pPr>
              <w:ind w:left="320"/>
              <w:spacing w:after="0"/>
              <w:rPr>
                <w:sz w:val="20"/>
                <w:szCs w:val="20"/>
                <w:color w:val="auto"/>
              </w:rPr>
            </w:pPr>
            <w:r>
              <w:rPr>
                <w:rFonts w:ascii="Arial" w:cs="Arial" w:eastAsia="Arial" w:hAnsi="Arial"/>
                <w:sz w:val="18"/>
                <w:szCs w:val="18"/>
                <w:color w:val="auto"/>
              </w:rPr>
              <w:t>Gross margin percentage for our commercial cloud business</w:t>
            </w:r>
          </w:p>
        </w:tc>
      </w:tr>
      <w:tr>
        <w:trPr>
          <w:trHeight w:val="595"/>
        </w:trPr>
        <w:tc>
          <w:tcPr>
            <w:tcW w:w="4180" w:type="dxa"/>
            <w:vAlign w:val="bottom"/>
          </w:tcPr>
          <w:p>
            <w:pPr>
              <w:spacing w:after="0"/>
              <w:rPr>
                <w:sz w:val="24"/>
                <w:szCs w:val="24"/>
                <w:color w:val="auto"/>
              </w:rPr>
            </w:pPr>
          </w:p>
        </w:tc>
        <w:tc>
          <w:tcPr>
            <w:tcW w:w="7060" w:type="dxa"/>
            <w:vAlign w:val="bottom"/>
          </w:tcPr>
          <w:p>
            <w:pPr>
              <w:ind w:left="1360"/>
              <w:spacing w:after="0"/>
              <w:rPr>
                <w:sz w:val="20"/>
                <w:szCs w:val="20"/>
                <w:color w:val="auto"/>
              </w:rPr>
            </w:pPr>
            <w:r>
              <w:rPr>
                <w:rFonts w:ascii="Arial" w:cs="Arial" w:eastAsia="Arial" w:hAnsi="Arial"/>
                <w:sz w:val="14"/>
                <w:szCs w:val="14"/>
                <w:color w:val="auto"/>
              </w:rPr>
              <w:t>33</w:t>
            </w:r>
          </w:p>
        </w:tc>
      </w:tr>
      <w:tr>
        <w:trPr>
          <w:trHeight w:val="96"/>
        </w:trPr>
        <w:tc>
          <w:tcPr>
            <w:tcW w:w="4180" w:type="dxa"/>
            <w:vAlign w:val="bottom"/>
            <w:tcBorders>
              <w:bottom w:val="single" w:sz="8" w:color="9A9A9A"/>
            </w:tcBorders>
          </w:tcPr>
          <w:p>
            <w:pPr>
              <w:spacing w:after="0"/>
              <w:rPr>
                <w:sz w:val="8"/>
                <w:szCs w:val="8"/>
                <w:color w:val="auto"/>
              </w:rPr>
            </w:pPr>
          </w:p>
        </w:tc>
        <w:tc>
          <w:tcPr>
            <w:tcW w:w="7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reflect our cloud and on-premises product strategies and trends.</w:t>
      </w:r>
    </w:p>
    <w:p>
      <w:pPr>
        <w:spacing w:after="0" w:line="131" w:lineRule="exact"/>
        <w:rPr>
          <w:sz w:val="20"/>
          <w:szCs w:val="20"/>
          <w:color w:val="auto"/>
        </w:rPr>
      </w:pPr>
    </w:p>
    <w:p>
      <w:pPr>
        <w:jc w:val="both"/>
        <w:ind w:left="5320" w:hanging="5142"/>
        <w:spacing w:after="0" w:line="243" w:lineRule="auto"/>
        <w:rPr>
          <w:sz w:val="20"/>
          <w:szCs w:val="20"/>
          <w:color w:val="auto"/>
        </w:rPr>
      </w:pPr>
      <w:r>
        <w:rPr>
          <w:rFonts w:ascii="Arial" w:cs="Arial" w:eastAsia="Arial" w:hAnsi="Arial"/>
          <w:sz w:val="18"/>
          <w:szCs w:val="18"/>
          <w:color w:val="auto"/>
        </w:rPr>
        <w:t>Office Commercial products and cloud services revenue growth Revenue from Office Commercial products and cloud services, including Office 365 subscriptions, the Office 365 portion of Microsoft 365 Commercial subscriptions, and Office licensed on-premises, comprising Office, Exchange, SharePoint, Microsoft Teams, Office 365 Security and Compliance, and Skype for Business, and related Client Access Licenses (“CALs”)</w:t>
      </w:r>
    </w:p>
    <w:p>
      <w:pPr>
        <w:sectPr>
          <w:pgSz w:w="11900" w:h="16838" w:orient="portrait"/>
          <w:cols w:equalWidth="0" w:num="1">
            <w:col w:w="11240"/>
          </w:cols>
          <w:pgMar w:left="320" w:top="121" w:right="339" w:bottom="1440" w:gutter="0" w:footer="0" w:header="0"/>
        </w:sectPr>
      </w:pPr>
    </w:p>
    <w:p>
      <w:pPr>
        <w:spacing w:after="0" w:line="3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Office Consumer products and cloud services revenue growth</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Revenue from Office Consumer products and cloud services, including Microsoft 365 Consumer subscriptions and Office licensed on-premises</w:t>
      </w:r>
    </w:p>
    <w:p>
      <w:pPr>
        <w:spacing w:after="0" w:line="10" w:lineRule="exact"/>
        <w:rPr>
          <w:sz w:val="20"/>
          <w:szCs w:val="20"/>
          <w:color w:val="auto"/>
        </w:rPr>
      </w:pPr>
    </w:p>
    <w:p>
      <w:pPr>
        <w:sectPr>
          <w:pgSz w:w="11900" w:h="16838" w:orient="portrait"/>
          <w:cols w:equalWidth="0" w:num="2">
            <w:col w:w="5080" w:space="240"/>
            <w:col w:w="5920"/>
          </w:cols>
          <w:pgMar w:left="320" w:top="121"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Office 365 Commercial seat growth</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8"/>
          <w:szCs w:val="18"/>
          <w:color w:val="auto"/>
        </w:rPr>
        <w:t>The number of Office 365 Commercial seats at end of period where seats are paid users covered by an Office 365 Commercial subscription</w:t>
      </w:r>
    </w:p>
    <w:p>
      <w:pPr>
        <w:spacing w:after="0" w:line="10" w:lineRule="exact"/>
        <w:rPr>
          <w:sz w:val="20"/>
          <w:szCs w:val="20"/>
          <w:color w:val="auto"/>
        </w:rPr>
      </w:pPr>
    </w:p>
    <w:p>
      <w:pPr>
        <w:sectPr>
          <w:pgSz w:w="11900" w:h="16838" w:orient="portrait"/>
          <w:cols w:equalWidth="0" w:num="2">
            <w:col w:w="4600" w:space="720"/>
            <w:col w:w="5920"/>
          </w:cols>
          <w:pgMar w:left="320" w:top="121"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Microsoft 365 Consumer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number of Microsoft 365 Consumer (formerly Office 365 Consumer)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subscribers at end of period</w:t>
      </w:r>
    </w:p>
    <w:p>
      <w:pPr>
        <w:spacing w:after="0" w:line="55" w:lineRule="exact"/>
        <w:rPr>
          <w:sz w:val="20"/>
          <w:szCs w:val="20"/>
          <w:color w:val="auto"/>
        </w:rPr>
      </w:pPr>
    </w:p>
    <w:p>
      <w:pPr>
        <w:sectPr>
          <w:pgSz w:w="11900" w:h="16838" w:orient="portrait"/>
          <w:cols w:equalWidth="0" w:num="2">
            <w:col w:w="4600" w:space="720"/>
            <w:col w:w="5920"/>
          </w:cols>
          <w:pgMar w:left="320" w:top="121"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Dynamics products and cloud services revenue growth</w:t>
      </w:r>
    </w:p>
    <w:p>
      <w:pPr>
        <w:spacing w:after="0" w:line="20" w:lineRule="exact"/>
        <w:rPr>
          <w:sz w:val="20"/>
          <w:szCs w:val="20"/>
          <w:color w:val="auto"/>
        </w:rPr>
      </w:pPr>
      <w:r>
        <w:rPr>
          <w:sz w:val="20"/>
          <w:szCs w:val="20"/>
          <w:color w:val="auto"/>
        </w:rPr>
        <w:br w:type="column"/>
      </w:r>
    </w:p>
    <w:p>
      <w:pPr>
        <w:jc w:val="both"/>
        <w:spacing w:after="0" w:line="248" w:lineRule="auto"/>
        <w:rPr>
          <w:sz w:val="20"/>
          <w:szCs w:val="20"/>
          <w:color w:val="auto"/>
        </w:rPr>
      </w:pPr>
      <w:r>
        <w:rPr>
          <w:rFonts w:ascii="Arial" w:cs="Arial" w:eastAsia="Arial" w:hAnsi="Arial"/>
          <w:sz w:val="18"/>
          <w:szCs w:val="18"/>
          <w:color w:val="auto"/>
        </w:rPr>
        <w:t>Revenue from Dynamics products and cloud services, including Dynamics 365, comprising a set of intelligent, cloud-based applications across ERP, CRM, and Customer Data Platform; low-code application platform and automation solutions; and on-premises ERP and CRM applications</w:t>
      </w:r>
    </w:p>
    <w:p>
      <w:pPr>
        <w:spacing w:after="0" w:line="35" w:lineRule="exact"/>
        <w:rPr>
          <w:sz w:val="20"/>
          <w:szCs w:val="20"/>
          <w:color w:val="auto"/>
        </w:rPr>
      </w:pPr>
    </w:p>
    <w:p>
      <w:pPr>
        <w:sectPr>
          <w:pgSz w:w="11900" w:h="16838" w:orient="portrait"/>
          <w:cols w:equalWidth="0" w:num="2">
            <w:col w:w="4600" w:space="720"/>
            <w:col w:w="5920"/>
          </w:cols>
          <w:pgMar w:left="320" w:top="121"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LinkedIn revenue growth</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8"/>
          <w:szCs w:val="18"/>
          <w:color w:val="auto"/>
        </w:rPr>
        <w:t>Revenue from LinkedIn, including Talent Solutions, Learning Solutions, Marketing Solutions, Sales Solutions, and Premium Subscriptions</w:t>
      </w:r>
    </w:p>
    <w:p>
      <w:pPr>
        <w:spacing w:after="0" w:line="10" w:lineRule="exact"/>
        <w:rPr>
          <w:sz w:val="20"/>
          <w:szCs w:val="20"/>
          <w:color w:val="auto"/>
        </w:rPr>
      </w:pPr>
    </w:p>
    <w:p>
      <w:pPr>
        <w:sectPr>
          <w:pgSz w:w="11900" w:h="16838" w:orient="portrait"/>
          <w:cols w:equalWidth="0" w:num="2">
            <w:col w:w="4600" w:space="720"/>
            <w:col w:w="5920"/>
          </w:cols>
          <w:pgMar w:left="320" w:top="121"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Server products and cloud services revenue growth</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Arial" w:cs="Arial" w:eastAsia="Arial" w:hAnsi="Arial"/>
          <w:sz w:val="18"/>
          <w:szCs w:val="18"/>
          <w:color w:val="auto"/>
        </w:rPr>
        <w:t>Revenue from Server products and cloud services, including Azure; SQL Server, Windows Server, Visual Studio, System Center, and related CALs; and GitHub</w:t>
      </w:r>
    </w:p>
    <w:p>
      <w:pPr>
        <w:spacing w:after="0" w:line="200" w:lineRule="exact"/>
        <w:rPr>
          <w:sz w:val="20"/>
          <w:szCs w:val="20"/>
          <w:color w:val="auto"/>
        </w:rPr>
      </w:pPr>
    </w:p>
    <w:p>
      <w:pPr>
        <w:sectPr>
          <w:pgSz w:w="11900" w:h="16838" w:orient="portrait"/>
          <w:cols w:equalWidth="0" w:num="2">
            <w:col w:w="4600" w:space="720"/>
            <w:col w:w="5920"/>
          </w:cols>
          <w:pgMar w:left="320" w:top="12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ectPr>
          <w:pgSz w:w="11900" w:h="16838" w:orient="portrait"/>
          <w:cols w:equalWidth="0" w:num="1">
            <w:col w:w="11240"/>
          </w:cols>
          <w:pgMar w:left="320" w:top="121" w:right="339" w:bottom="1440" w:gutter="0" w:footer="0" w:header="0"/>
          <w:type w:val="continuous"/>
        </w:sectPr>
      </w:pPr>
    </w:p>
    <w:p>
      <w:pPr>
        <w:spacing w:after="0" w:line="15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Windows OEM Pro revenue growth</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Revenue from sales of Windows Pro licenses sold through the OEM channel, which primarily addresses demand in the commercial market</w:t>
      </w:r>
    </w:p>
    <w:p>
      <w:pPr>
        <w:spacing w:after="0" w:line="10" w:lineRule="exact"/>
        <w:rPr>
          <w:sz w:val="20"/>
          <w:szCs w:val="20"/>
          <w:color w:val="auto"/>
        </w:rPr>
      </w:pPr>
    </w:p>
    <w:p>
      <w:pPr>
        <w:sectPr>
          <w:pgSz w:w="11900" w:h="16838" w:orient="portrait"/>
          <w:cols w:equalWidth="0" w:num="2">
            <w:col w:w="4860" w:space="720"/>
            <w:col w:w="5660"/>
          </w:cols>
          <w:pgMar w:left="320" w:top="121"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Windows OEM non-Pro revenue growth</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Revenue from sales of Windows non-Pro licenses sold through the OEM channel, which primarily addresses demand in the consumer market</w:t>
      </w:r>
    </w:p>
    <w:p>
      <w:pPr>
        <w:spacing w:after="0" w:line="29" w:lineRule="exact"/>
        <w:rPr>
          <w:sz w:val="20"/>
          <w:szCs w:val="20"/>
          <w:color w:val="auto"/>
        </w:rPr>
      </w:pPr>
    </w:p>
    <w:p>
      <w:pPr>
        <w:sectPr>
          <w:pgSz w:w="11900" w:h="16838" w:orient="portrait"/>
          <w:cols w:equalWidth="0" w:num="2">
            <w:col w:w="4860" w:space="720"/>
            <w:col w:w="5660"/>
          </w:cols>
          <w:pgMar w:left="320" w:top="121" w:right="339" w:bottom="1440" w:gutter="0" w:footer="0" w:header="0"/>
          <w:type w:val="continuous"/>
        </w:sectPr>
      </w:pPr>
    </w:p>
    <w:p>
      <w:pPr>
        <w:jc w:val="both"/>
        <w:ind w:left="5580" w:hanging="5412"/>
        <w:spacing w:after="0" w:line="255" w:lineRule="auto"/>
        <w:rPr>
          <w:sz w:val="20"/>
          <w:szCs w:val="20"/>
          <w:color w:val="auto"/>
        </w:rPr>
      </w:pPr>
      <w:r>
        <w:rPr>
          <w:rFonts w:ascii="Arial" w:cs="Arial" w:eastAsia="Arial" w:hAnsi="Arial"/>
          <w:sz w:val="18"/>
          <w:szCs w:val="18"/>
          <w:color w:val="auto"/>
        </w:rPr>
        <w:t>Windows Commercial products and cloud services revenue growth Revenue from Windows Commercial products and cloud services, comprising volume licensing of the Windows operating system, Windows cloud services, and other Windows commercial offerings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Surface revenue</w:t>
            </w:r>
          </w:p>
        </w:tc>
        <w:tc>
          <w:tcPr>
            <w:tcW w:w="6340" w:type="dxa"/>
            <w:vAlign w:val="bottom"/>
          </w:tcPr>
          <w:p>
            <w:pPr>
              <w:ind w:left="680"/>
              <w:spacing w:after="0"/>
              <w:rPr>
                <w:sz w:val="20"/>
                <w:szCs w:val="20"/>
                <w:color w:val="auto"/>
              </w:rPr>
            </w:pPr>
            <w:r>
              <w:rPr>
                <w:rFonts w:ascii="Arial" w:cs="Arial" w:eastAsia="Arial" w:hAnsi="Arial"/>
                <w:sz w:val="18"/>
                <w:szCs w:val="18"/>
                <w:color w:val="auto"/>
              </w:rPr>
              <w:t>Revenue from Surface devices and accessories</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Xbox content and services revenue growth</w:t>
            </w:r>
          </w:p>
        </w:tc>
        <w:tc>
          <w:tcPr>
            <w:tcW w:w="6340" w:type="dxa"/>
            <w:vAlign w:val="bottom"/>
          </w:tcPr>
          <w:p>
            <w:pPr>
              <w:ind w:left="680"/>
              <w:spacing w:after="0"/>
              <w:rPr>
                <w:sz w:val="20"/>
                <w:szCs w:val="20"/>
                <w:color w:val="auto"/>
              </w:rPr>
            </w:pPr>
            <w:r>
              <w:rPr>
                <w:rFonts w:ascii="Arial" w:cs="Arial" w:eastAsia="Arial" w:hAnsi="Arial"/>
                <w:sz w:val="18"/>
                <w:szCs w:val="18"/>
                <w:color w:val="auto"/>
              </w:rPr>
              <w:t>Revenue  from  Xbox  content  and  services,  comprising  Xbox  Live</w:t>
            </w:r>
          </w:p>
        </w:tc>
      </w:tr>
      <w:tr>
        <w:trPr>
          <w:trHeight w:val="203"/>
        </w:trPr>
        <w:tc>
          <w:tcPr>
            <w:tcW w:w="4900" w:type="dxa"/>
            <w:vAlign w:val="bottom"/>
          </w:tcPr>
          <w:p>
            <w:pPr>
              <w:spacing w:after="0"/>
              <w:rPr>
                <w:sz w:val="17"/>
                <w:szCs w:val="17"/>
                <w:color w:val="auto"/>
              </w:rPr>
            </w:pPr>
          </w:p>
        </w:tc>
        <w:tc>
          <w:tcPr>
            <w:tcW w:w="6340" w:type="dxa"/>
            <w:vAlign w:val="bottom"/>
          </w:tcPr>
          <w:p>
            <w:pPr>
              <w:ind w:left="680"/>
              <w:spacing w:after="0" w:line="202" w:lineRule="exact"/>
              <w:rPr>
                <w:sz w:val="20"/>
                <w:szCs w:val="20"/>
                <w:color w:val="auto"/>
              </w:rPr>
            </w:pPr>
            <w:r>
              <w:rPr>
                <w:rFonts w:ascii="Arial" w:cs="Arial" w:eastAsia="Arial" w:hAnsi="Arial"/>
                <w:sz w:val="18"/>
                <w:szCs w:val="18"/>
                <w:color w:val="auto"/>
              </w:rPr>
              <w:t>(transactions,  Xbox  Game  Pass  and  other  subscriptions,  cloud</w:t>
            </w:r>
          </w:p>
        </w:tc>
      </w:tr>
      <w:tr>
        <w:trPr>
          <w:trHeight w:val="203"/>
        </w:trPr>
        <w:tc>
          <w:tcPr>
            <w:tcW w:w="4900" w:type="dxa"/>
            <w:vAlign w:val="bottom"/>
          </w:tcPr>
          <w:p>
            <w:pPr>
              <w:spacing w:after="0"/>
              <w:rPr>
                <w:sz w:val="17"/>
                <w:szCs w:val="17"/>
                <w:color w:val="auto"/>
              </w:rPr>
            </w:pPr>
          </w:p>
        </w:tc>
        <w:tc>
          <w:tcPr>
            <w:tcW w:w="6340" w:type="dxa"/>
            <w:vAlign w:val="bottom"/>
          </w:tcPr>
          <w:p>
            <w:pPr>
              <w:ind w:left="680"/>
              <w:spacing w:after="0" w:line="202" w:lineRule="exact"/>
              <w:rPr>
                <w:sz w:val="20"/>
                <w:szCs w:val="20"/>
                <w:color w:val="auto"/>
              </w:rPr>
            </w:pPr>
            <w:r>
              <w:rPr>
                <w:rFonts w:ascii="Arial" w:cs="Arial" w:eastAsia="Arial" w:hAnsi="Arial"/>
                <w:sz w:val="18"/>
                <w:szCs w:val="18"/>
                <w:color w:val="auto"/>
              </w:rPr>
              <w:t>services, and advertising), video games, and third-party video game</w:t>
            </w:r>
          </w:p>
        </w:tc>
      </w:tr>
      <w:tr>
        <w:trPr>
          <w:trHeight w:val="243"/>
        </w:trPr>
        <w:tc>
          <w:tcPr>
            <w:tcW w:w="4900" w:type="dxa"/>
            <w:vAlign w:val="bottom"/>
          </w:tcPr>
          <w:p>
            <w:pPr>
              <w:spacing w:after="0"/>
              <w:rPr>
                <w:sz w:val="21"/>
                <w:szCs w:val="21"/>
                <w:color w:val="auto"/>
              </w:rPr>
            </w:pPr>
          </w:p>
        </w:tc>
        <w:tc>
          <w:tcPr>
            <w:tcW w:w="6340" w:type="dxa"/>
            <w:vAlign w:val="bottom"/>
          </w:tcPr>
          <w:p>
            <w:pPr>
              <w:ind w:left="680"/>
              <w:spacing w:after="0"/>
              <w:rPr>
                <w:sz w:val="20"/>
                <w:szCs w:val="20"/>
                <w:color w:val="auto"/>
              </w:rPr>
            </w:pPr>
            <w:r>
              <w:rPr>
                <w:rFonts w:ascii="Arial" w:cs="Arial" w:eastAsia="Arial" w:hAnsi="Arial"/>
                <w:sz w:val="18"/>
                <w:szCs w:val="18"/>
                <w:color w:val="auto"/>
              </w:rPr>
              <w:t>royalties</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Search advertising revenue, excluding TAC, growth</w:t>
            </w:r>
          </w:p>
        </w:tc>
        <w:tc>
          <w:tcPr>
            <w:tcW w:w="6340" w:type="dxa"/>
            <w:vAlign w:val="bottom"/>
          </w:tcPr>
          <w:p>
            <w:pPr>
              <w:ind w:left="680"/>
              <w:spacing w:after="0"/>
              <w:rPr>
                <w:sz w:val="20"/>
                <w:szCs w:val="20"/>
                <w:color w:val="auto"/>
              </w:rPr>
            </w:pPr>
            <w:r>
              <w:rPr>
                <w:rFonts w:ascii="Arial" w:cs="Arial" w:eastAsia="Arial" w:hAnsi="Arial"/>
                <w:sz w:val="18"/>
                <w:szCs w:val="18"/>
                <w:color w:val="auto"/>
              </w:rPr>
              <w:t>Revenue from search advertising excluding traffic acquisition costs</w:t>
            </w:r>
          </w:p>
        </w:tc>
      </w:tr>
      <w:tr>
        <w:trPr>
          <w:trHeight w:val="243"/>
        </w:trPr>
        <w:tc>
          <w:tcPr>
            <w:tcW w:w="4900" w:type="dxa"/>
            <w:vAlign w:val="bottom"/>
          </w:tcPr>
          <w:p>
            <w:pPr>
              <w:spacing w:after="0"/>
              <w:rPr>
                <w:sz w:val="21"/>
                <w:szCs w:val="21"/>
                <w:color w:val="auto"/>
              </w:rPr>
            </w:pPr>
          </w:p>
        </w:tc>
        <w:tc>
          <w:tcPr>
            <w:tcW w:w="6340" w:type="dxa"/>
            <w:vAlign w:val="bottom"/>
          </w:tcPr>
          <w:p>
            <w:pPr>
              <w:ind w:left="680"/>
              <w:spacing w:after="0"/>
              <w:rPr>
                <w:sz w:val="20"/>
                <w:szCs w:val="20"/>
                <w:color w:val="auto"/>
              </w:rPr>
            </w:pPr>
            <w:r>
              <w:rPr>
                <w:rFonts w:ascii="Arial" w:cs="Arial" w:eastAsia="Arial" w:hAnsi="Arial"/>
                <w:sz w:val="18"/>
                <w:szCs w:val="18"/>
                <w:color w:val="auto"/>
              </w:rPr>
              <w:t>(“TAC”) paid to Bing Ads network publishers</w:t>
            </w:r>
          </w:p>
        </w:tc>
      </w:tr>
      <w:tr>
        <w:trPr>
          <w:trHeight w:val="582"/>
        </w:trPr>
        <w:tc>
          <w:tcPr>
            <w:tcW w:w="4900" w:type="dxa"/>
            <w:vAlign w:val="bottom"/>
          </w:tcPr>
          <w:p>
            <w:pPr>
              <w:spacing w:after="0"/>
              <w:rPr>
                <w:sz w:val="24"/>
                <w:szCs w:val="24"/>
                <w:color w:val="auto"/>
              </w:rPr>
            </w:pPr>
          </w:p>
        </w:tc>
        <w:tc>
          <w:tcPr>
            <w:tcW w:w="6340" w:type="dxa"/>
            <w:vAlign w:val="bottom"/>
          </w:tcPr>
          <w:p>
            <w:pPr>
              <w:ind w:left="640"/>
              <w:spacing w:after="0"/>
              <w:rPr>
                <w:sz w:val="20"/>
                <w:szCs w:val="20"/>
                <w:color w:val="auto"/>
              </w:rPr>
            </w:pPr>
            <w:r>
              <w:rPr>
                <w:rFonts w:ascii="Arial" w:cs="Arial" w:eastAsia="Arial" w:hAnsi="Arial"/>
                <w:sz w:val="14"/>
                <w:szCs w:val="14"/>
                <w:color w:val="auto"/>
              </w:rPr>
              <w:t>34</w:t>
            </w:r>
          </w:p>
        </w:tc>
      </w:tr>
      <w:tr>
        <w:trPr>
          <w:trHeight w:val="96"/>
        </w:trPr>
        <w:tc>
          <w:tcPr>
            <w:tcW w:w="4900" w:type="dxa"/>
            <w:vAlign w:val="bottom"/>
            <w:tcBorders>
              <w:bottom w:val="single" w:sz="8" w:color="9A9A9A"/>
            </w:tcBorders>
          </w:tcPr>
          <w:p>
            <w:pPr>
              <w:spacing w:after="0"/>
              <w:rPr>
                <w:sz w:val="8"/>
                <w:szCs w:val="8"/>
                <w:color w:val="auto"/>
              </w:rPr>
            </w:pPr>
          </w:p>
        </w:tc>
        <w:tc>
          <w:tcPr>
            <w:tcW w:w="6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2680" w:type="dxa"/>
            <w:vAlign w:val="bottom"/>
            <w:gridSpan w:val="3"/>
          </w:tcPr>
          <w:p>
            <w:pPr>
              <w:jc w:val="right"/>
              <w:ind w:right="154"/>
              <w:spacing w:after="0"/>
              <w:rPr>
                <w:sz w:val="20"/>
                <w:szCs w:val="20"/>
                <w:color w:val="auto"/>
              </w:rPr>
            </w:pPr>
            <w:r>
              <w:rPr>
                <w:rFonts w:ascii="Arial" w:cs="Arial" w:eastAsia="Arial" w:hAnsi="Arial"/>
                <w:sz w:val="13"/>
                <w:szCs w:val="13"/>
                <w:b w:val="1"/>
                <w:bCs w:val="1"/>
                <w:color w:val="auto"/>
              </w:rPr>
              <w:t>Three Months Ended</w:t>
            </w: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rPr>
              <w:t>Percentage</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gridSpan w:val="2"/>
          </w:tcPr>
          <w:p>
            <w:pPr>
              <w:jc w:val="right"/>
              <w:ind w:right="134"/>
              <w:spacing w:after="0"/>
              <w:rPr>
                <w:sz w:val="20"/>
                <w:szCs w:val="20"/>
                <w:color w:val="auto"/>
              </w:rPr>
            </w:pPr>
            <w:r>
              <w:rPr>
                <w:rFonts w:ascii="Arial" w:cs="Arial" w:eastAsia="Arial" w:hAnsi="Arial"/>
                <w:sz w:val="13"/>
                <w:szCs w:val="13"/>
                <w:b w:val="1"/>
                <w:bCs w:val="1"/>
                <w:color w:val="auto"/>
              </w:rPr>
              <w:t>Six Months Ended</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0"/>
        </w:trPr>
        <w:tc>
          <w:tcPr>
            <w:tcW w:w="396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rPr>
              <w:t>Change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gridSpan w:val="2"/>
          </w:tcPr>
          <w:p>
            <w:pPr>
              <w:jc w:val="right"/>
              <w:ind w:right="134"/>
              <w:spacing w:after="0"/>
              <w:rPr>
                <w:sz w:val="20"/>
                <w:szCs w:val="20"/>
                <w:color w:val="auto"/>
              </w:rPr>
            </w:pPr>
            <w:r>
              <w:rPr>
                <w:rFonts w:ascii="Arial" w:cs="Arial" w:eastAsia="Arial" w:hAnsi="Arial"/>
                <w:sz w:val="13"/>
                <w:szCs w:val="13"/>
                <w:b w:val="1"/>
                <w:bCs w:val="1"/>
                <w:color w:val="auto"/>
              </w:rPr>
              <w:t>December 31,</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39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96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20"/>
                <w:szCs w:val="20"/>
                <w:color w:val="auto"/>
              </w:rPr>
            </w:pPr>
          </w:p>
        </w:tc>
        <w:tc>
          <w:tcPr>
            <w:tcW w:w="940" w:type="dxa"/>
            <w:vAlign w:val="bottom"/>
          </w:tcPr>
          <w:p>
            <w:pPr>
              <w:jc w:val="right"/>
              <w:ind w:right="154"/>
              <w:spacing w:after="0"/>
              <w:rPr>
                <w:sz w:val="20"/>
                <w:szCs w:val="20"/>
                <w:color w:val="auto"/>
              </w:rPr>
            </w:pPr>
            <w:r>
              <w:rPr>
                <w:rFonts w:ascii="Arial" w:cs="Arial" w:eastAsia="Arial" w:hAnsi="Arial"/>
                <w:sz w:val="13"/>
                <w:szCs w:val="13"/>
                <w:b w:val="1"/>
                <w:bCs w:val="1"/>
                <w:color w:val="auto"/>
              </w:rPr>
              <w:t>2019</w:t>
            </w: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Arial" w:cs="Arial" w:eastAsia="Arial" w:hAnsi="Arial"/>
                <w:sz w:val="13"/>
                <w:szCs w:val="13"/>
                <w:b w:val="1"/>
                <w:bCs w:val="1"/>
                <w:color w:val="auto"/>
              </w:rPr>
              <w:t>2019</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3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138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b w:val="1"/>
                <w:bCs w:val="1"/>
                <w:color w:val="auto"/>
              </w:rPr>
              <w:t>$   43,076</w:t>
            </w:r>
          </w:p>
        </w:tc>
        <w:tc>
          <w:tcPr>
            <w:tcW w:w="360" w:type="dxa"/>
            <w:vAlign w:val="bottom"/>
            <w:shd w:val="clear" w:color="auto" w:fill="E5E5E5"/>
          </w:tcPr>
          <w:p>
            <w:pPr>
              <w:jc w:val="right"/>
              <w:ind w:right="81"/>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36,906</w:t>
            </w:r>
          </w:p>
        </w:tc>
        <w:tc>
          <w:tcPr>
            <w:tcW w:w="106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17%</w:t>
            </w:r>
          </w:p>
        </w:tc>
        <w:tc>
          <w:tcPr>
            <w:tcW w:w="38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80,230</w:t>
            </w:r>
          </w:p>
        </w:tc>
        <w:tc>
          <w:tcPr>
            <w:tcW w:w="460" w:type="dxa"/>
            <w:vAlign w:val="bottom"/>
            <w:shd w:val="clear" w:color="auto" w:fill="E5E5E5"/>
          </w:tcPr>
          <w:p>
            <w:pPr>
              <w:jc w:val="right"/>
              <w:ind w:right="85"/>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color w:val="auto"/>
              </w:rPr>
              <w:t>69,961</w:t>
            </w:r>
          </w:p>
        </w:tc>
        <w:tc>
          <w:tcPr>
            <w:tcW w:w="1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1380" w:type="dxa"/>
            <w:vAlign w:val="bottom"/>
          </w:tcPr>
          <w:p>
            <w:pPr>
              <w:jc w:val="right"/>
              <w:ind w:right="16"/>
              <w:spacing w:after="0" w:line="189" w:lineRule="exact"/>
              <w:rPr>
                <w:sz w:val="20"/>
                <w:szCs w:val="20"/>
                <w:color w:val="auto"/>
              </w:rPr>
            </w:pPr>
            <w:r>
              <w:rPr>
                <w:rFonts w:ascii="Arial" w:cs="Arial" w:eastAsia="Arial" w:hAnsi="Arial"/>
                <w:sz w:val="18"/>
                <w:szCs w:val="18"/>
                <w:b w:val="1"/>
                <w:bCs w:val="1"/>
                <w:color w:val="auto"/>
              </w:rPr>
              <w:t>28,882</w:t>
            </w:r>
          </w:p>
        </w:tc>
        <w:tc>
          <w:tcPr>
            <w:tcW w:w="360" w:type="dxa"/>
            <w:vAlign w:val="bottom"/>
          </w:tcPr>
          <w:p>
            <w:pPr>
              <w:spacing w:after="0"/>
              <w:rPr>
                <w:sz w:val="16"/>
                <w:szCs w:val="16"/>
                <w:color w:val="auto"/>
              </w:rPr>
            </w:pPr>
          </w:p>
        </w:tc>
        <w:tc>
          <w:tcPr>
            <w:tcW w:w="940" w:type="dxa"/>
            <w:vAlign w:val="bottom"/>
          </w:tcPr>
          <w:p>
            <w:pPr>
              <w:jc w:val="right"/>
              <w:ind w:right="154"/>
              <w:spacing w:after="0" w:line="189" w:lineRule="exact"/>
              <w:rPr>
                <w:sz w:val="20"/>
                <w:szCs w:val="20"/>
                <w:color w:val="auto"/>
              </w:rPr>
            </w:pPr>
            <w:r>
              <w:rPr>
                <w:rFonts w:ascii="Arial" w:cs="Arial" w:eastAsia="Arial" w:hAnsi="Arial"/>
                <w:sz w:val="18"/>
                <w:szCs w:val="18"/>
                <w:color w:val="auto"/>
              </w:rPr>
              <w:t>24,548</w:t>
            </w:r>
          </w:p>
        </w:tc>
        <w:tc>
          <w:tcPr>
            <w:tcW w:w="1060" w:type="dxa"/>
            <w:vAlign w:val="bottom"/>
          </w:tcPr>
          <w:p>
            <w:pPr>
              <w:jc w:val="right"/>
              <w:ind w:right="16"/>
              <w:spacing w:after="0" w:line="189" w:lineRule="exact"/>
              <w:rPr>
                <w:sz w:val="20"/>
                <w:szCs w:val="20"/>
                <w:color w:val="auto"/>
              </w:rPr>
            </w:pPr>
            <w:r>
              <w:rPr>
                <w:rFonts w:ascii="Arial" w:cs="Arial" w:eastAsia="Arial" w:hAnsi="Arial"/>
                <w:sz w:val="18"/>
                <w:szCs w:val="18"/>
                <w:color w:val="auto"/>
              </w:rPr>
              <w:t>18%</w:t>
            </w:r>
          </w:p>
        </w:tc>
        <w:tc>
          <w:tcPr>
            <w:tcW w:w="3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55,034</w:t>
            </w:r>
          </w:p>
        </w:tc>
        <w:tc>
          <w:tcPr>
            <w:tcW w:w="460" w:type="dxa"/>
            <w:vAlign w:val="bottom"/>
          </w:tcPr>
          <w:p>
            <w:pPr>
              <w:spacing w:after="0"/>
              <w:rPr>
                <w:sz w:val="16"/>
                <w:szCs w:val="16"/>
                <w:color w:val="auto"/>
              </w:rPr>
            </w:pPr>
          </w:p>
        </w:tc>
        <w:tc>
          <w:tcPr>
            <w:tcW w:w="940" w:type="dxa"/>
            <w:vAlign w:val="bottom"/>
          </w:tcPr>
          <w:p>
            <w:pPr>
              <w:jc w:val="right"/>
              <w:ind w:right="134"/>
              <w:spacing w:after="0" w:line="189" w:lineRule="exact"/>
              <w:rPr>
                <w:sz w:val="20"/>
                <w:szCs w:val="20"/>
                <w:color w:val="auto"/>
              </w:rPr>
            </w:pPr>
            <w:r>
              <w:rPr>
                <w:rFonts w:ascii="Arial" w:cs="Arial" w:eastAsia="Arial" w:hAnsi="Arial"/>
                <w:sz w:val="18"/>
                <w:szCs w:val="18"/>
                <w:color w:val="auto"/>
              </w:rPr>
              <w:t>47,197</w:t>
            </w:r>
          </w:p>
        </w:tc>
        <w:tc>
          <w:tcPr>
            <w:tcW w:w="10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9"/>
        </w:trPr>
        <w:tc>
          <w:tcPr>
            <w:tcW w:w="3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138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b w:val="1"/>
                <w:bCs w:val="1"/>
                <w:color w:val="auto"/>
              </w:rPr>
              <w:t>17,897</w:t>
            </w:r>
          </w:p>
        </w:tc>
        <w:tc>
          <w:tcPr>
            <w:tcW w:w="3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13,891</w:t>
            </w:r>
          </w:p>
        </w:tc>
        <w:tc>
          <w:tcPr>
            <w:tcW w:w="106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29%</w:t>
            </w:r>
          </w:p>
        </w:tc>
        <w:tc>
          <w:tcPr>
            <w:tcW w:w="3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33,773</w:t>
            </w:r>
          </w:p>
        </w:tc>
        <w:tc>
          <w:tcPr>
            <w:tcW w:w="4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color w:val="auto"/>
              </w:rPr>
              <w:t>26,577</w:t>
            </w:r>
          </w:p>
        </w:tc>
        <w:tc>
          <w:tcPr>
            <w:tcW w:w="1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1380" w:type="dxa"/>
            <w:vAlign w:val="bottom"/>
          </w:tcPr>
          <w:p>
            <w:pPr>
              <w:jc w:val="right"/>
              <w:ind w:right="16"/>
              <w:spacing w:after="0" w:line="189" w:lineRule="exact"/>
              <w:rPr>
                <w:sz w:val="20"/>
                <w:szCs w:val="20"/>
                <w:color w:val="auto"/>
              </w:rPr>
            </w:pPr>
            <w:r>
              <w:rPr>
                <w:rFonts w:ascii="Arial" w:cs="Arial" w:eastAsia="Arial" w:hAnsi="Arial"/>
                <w:sz w:val="18"/>
                <w:szCs w:val="18"/>
                <w:b w:val="1"/>
                <w:bCs w:val="1"/>
                <w:color w:val="auto"/>
              </w:rPr>
              <w:t>15,463</w:t>
            </w:r>
          </w:p>
        </w:tc>
        <w:tc>
          <w:tcPr>
            <w:tcW w:w="360" w:type="dxa"/>
            <w:vAlign w:val="bottom"/>
          </w:tcPr>
          <w:p>
            <w:pPr>
              <w:spacing w:after="0"/>
              <w:rPr>
                <w:sz w:val="16"/>
                <w:szCs w:val="16"/>
                <w:color w:val="auto"/>
              </w:rPr>
            </w:pPr>
          </w:p>
        </w:tc>
        <w:tc>
          <w:tcPr>
            <w:tcW w:w="940" w:type="dxa"/>
            <w:vAlign w:val="bottom"/>
          </w:tcPr>
          <w:p>
            <w:pPr>
              <w:jc w:val="right"/>
              <w:ind w:right="154"/>
              <w:spacing w:after="0" w:line="189" w:lineRule="exact"/>
              <w:rPr>
                <w:sz w:val="20"/>
                <w:szCs w:val="20"/>
                <w:color w:val="auto"/>
              </w:rPr>
            </w:pPr>
            <w:r>
              <w:rPr>
                <w:rFonts w:ascii="Arial" w:cs="Arial" w:eastAsia="Arial" w:hAnsi="Arial"/>
                <w:sz w:val="18"/>
                <w:szCs w:val="18"/>
                <w:color w:val="auto"/>
              </w:rPr>
              <w:t>11,649</w:t>
            </w:r>
          </w:p>
        </w:tc>
        <w:tc>
          <w:tcPr>
            <w:tcW w:w="1060" w:type="dxa"/>
            <w:vAlign w:val="bottom"/>
          </w:tcPr>
          <w:p>
            <w:pPr>
              <w:jc w:val="right"/>
              <w:ind w:right="16"/>
              <w:spacing w:after="0" w:line="189" w:lineRule="exact"/>
              <w:rPr>
                <w:sz w:val="20"/>
                <w:szCs w:val="20"/>
                <w:color w:val="auto"/>
              </w:rPr>
            </w:pPr>
            <w:r>
              <w:rPr>
                <w:rFonts w:ascii="Arial" w:cs="Arial" w:eastAsia="Arial" w:hAnsi="Arial"/>
                <w:sz w:val="18"/>
                <w:szCs w:val="18"/>
                <w:color w:val="auto"/>
              </w:rPr>
              <w:t>33%</w:t>
            </w:r>
          </w:p>
        </w:tc>
        <w:tc>
          <w:tcPr>
            <w:tcW w:w="3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29,356</w:t>
            </w:r>
          </w:p>
        </w:tc>
        <w:tc>
          <w:tcPr>
            <w:tcW w:w="460" w:type="dxa"/>
            <w:vAlign w:val="bottom"/>
          </w:tcPr>
          <w:p>
            <w:pPr>
              <w:spacing w:after="0"/>
              <w:rPr>
                <w:sz w:val="16"/>
                <w:szCs w:val="16"/>
                <w:color w:val="auto"/>
              </w:rPr>
            </w:pPr>
          </w:p>
        </w:tc>
        <w:tc>
          <w:tcPr>
            <w:tcW w:w="940" w:type="dxa"/>
            <w:vAlign w:val="bottom"/>
          </w:tcPr>
          <w:p>
            <w:pPr>
              <w:jc w:val="right"/>
              <w:ind w:right="134"/>
              <w:spacing w:after="0" w:line="189" w:lineRule="exact"/>
              <w:rPr>
                <w:sz w:val="20"/>
                <w:szCs w:val="20"/>
                <w:color w:val="auto"/>
              </w:rPr>
            </w:pPr>
            <w:r>
              <w:rPr>
                <w:rFonts w:ascii="Arial" w:cs="Arial" w:eastAsia="Arial" w:hAnsi="Arial"/>
                <w:sz w:val="18"/>
                <w:szCs w:val="18"/>
                <w:color w:val="auto"/>
              </w:rPr>
              <w:t>22,327</w:t>
            </w:r>
          </w:p>
        </w:tc>
        <w:tc>
          <w:tcPr>
            <w:tcW w:w="10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9"/>
        </w:trPr>
        <w:tc>
          <w:tcPr>
            <w:tcW w:w="3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138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b w:val="1"/>
                <w:bCs w:val="1"/>
                <w:color w:val="auto"/>
              </w:rPr>
              <w:t>2.03</w:t>
            </w:r>
          </w:p>
        </w:tc>
        <w:tc>
          <w:tcPr>
            <w:tcW w:w="3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1.51</w:t>
            </w:r>
          </w:p>
        </w:tc>
        <w:tc>
          <w:tcPr>
            <w:tcW w:w="106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color w:val="auto"/>
              </w:rPr>
              <w:t>34%</w:t>
            </w:r>
          </w:p>
        </w:tc>
        <w:tc>
          <w:tcPr>
            <w:tcW w:w="3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3.85</w:t>
            </w:r>
          </w:p>
        </w:tc>
        <w:tc>
          <w:tcPr>
            <w:tcW w:w="4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34"/>
              <w:spacing w:after="0" w:line="189" w:lineRule="exact"/>
              <w:rPr>
                <w:sz w:val="20"/>
                <w:szCs w:val="20"/>
                <w:color w:val="auto"/>
              </w:rPr>
            </w:pPr>
            <w:r>
              <w:rPr>
                <w:rFonts w:ascii="Arial" w:cs="Arial" w:eastAsia="Arial" w:hAnsi="Arial"/>
                <w:sz w:val="18"/>
                <w:szCs w:val="18"/>
                <w:color w:val="auto"/>
              </w:rPr>
              <w:t>2.90</w:t>
            </w:r>
          </w:p>
        </w:tc>
        <w:tc>
          <w:tcPr>
            <w:tcW w:w="1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8"/>
        </w:trPr>
        <w:tc>
          <w:tcPr>
            <w:tcW w:w="39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2020 Compared with Three Months Ended December 31, 2019</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increased $6.2 billion or 17%, driven by growth across each of our segments. Intelligent Cloud revenue increased, driven by server products and cloud services. More Personal Computing revenue increased, driven by Gaming. Productivity and Business Processes revenue increased, driven by Office Commercial and LinkedIn.</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Cost of revenue increased $1.8 billion or 15%, driven by growth in Gaming and commercial cloud, offset in part by a reduction in depreciation expense due to the change in estimated useful lives of our server and network equipment.</w:t>
      </w:r>
    </w:p>
    <w:p>
      <w:pPr>
        <w:spacing w:after="0" w:line="9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Gross margin increased $4.3 billion or 18%, driven by growth across each of our segments and the change in estimated useful lives of our server and network equipment. Gross margin percentage increased slightly, driven by the change in estimated useful lives of our server and network equipment. Commercial cloud gross margin percentage increased 4 points to 71%, driven by the change in estimated useful lives of our server and network equipment. Excluding this impact, commercial cloud gross margin percentage was relatively unchanged, driven by gross margin percentage improvement in Azure, offset in part by sales mix shift to Azure.</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Operating expenses increased $328 million or 3%, driven by investments in cloud engineering and commercial sales, offset in part by savings related to COVID-19 across each of our segments.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63" w:lineRule="exact"/>
        <w:rPr>
          <w:sz w:val="20"/>
          <w:szCs w:val="20"/>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expenses increased $296 million or 6%, driven by investments in cloud engineering.</w:t>
      </w:r>
    </w:p>
    <w:p>
      <w:pPr>
        <w:spacing w:after="0" w:line="63" w:lineRule="exact"/>
        <w:rPr>
          <w:rFonts w:ascii="Arial" w:cs="Arial" w:eastAsia="Arial" w:hAnsi="Arial"/>
          <w:sz w:val="18"/>
          <w:szCs w:val="18"/>
          <w:color w:val="auto"/>
        </w:rPr>
      </w:pPr>
    </w:p>
    <w:p>
      <w:pPr>
        <w:ind w:left="1060" w:right="20" w:hanging="391"/>
        <w:spacing w:after="0" w:line="273"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and marketing expenses were relatively unchanged, driven by investments in commercial sales, offset in part by reductions in advertising.</w:t>
      </w:r>
    </w:p>
    <w:p>
      <w:pPr>
        <w:spacing w:after="0" w:line="1" w:lineRule="exact"/>
        <w:rPr>
          <w:rFonts w:ascii="Arial" w:cs="Arial" w:eastAsia="Arial" w:hAnsi="Arial"/>
          <w:sz w:val="18"/>
          <w:szCs w:val="18"/>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and administrative expenses increased $18 million or 2%.</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Operating income increased $4.0 billion or 29%, driven by growth across each of our segments and the change in estimated useful lives of our server and network equipment.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 favorable foreign currency impact of 2%, 2%, and 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2020 Compared with Six Months Ended December 31, 2019</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increased $10.3 billion or 15%, driven by growth across each of our segments. Intelligent Cloud revenue increased, driven by server products and cloud services. Productivity and Business Processes revenue increased, driven by Office Commercial and LinkedIn. More Personal Computing revenue increased, driven by Gaming.</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Cost of revenue increased $2.4 billion or 11%, driven by growth in commercial cloud and Gaming, offset in part by the change in estimated useful lives of our server and network equipment.</w:t>
      </w:r>
    </w:p>
    <w:p>
      <w:pPr>
        <w:spacing w:after="0" w:line="9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Gross margin increased $7.8 billion or 17%, driven by growth across each of our segments and the change in estimated useful lives of our server and network equipment. Gross margin percentage increased, driven by the change in estimated useful lives of our server and network equipment. Commercial cloud gross margin percentage increased 4 points to 71%, driven by the change in estimated useful lives of our server and network equipment. Excluding this impact, commercial cloud gross margin percentage increased slightly, driven by gross margin percentage improvement in Azure, offset in part by sales mix shift to Azure.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4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Operating expenses increased $641 million or 3%, driven by investments in cloud engineering and commercial sales, offset in part by savings related to COVID-19 across each of our segments.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63" w:lineRule="exact"/>
        <w:rPr>
          <w:sz w:val="20"/>
          <w:szCs w:val="20"/>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expenses increased $657 million or 7%, driven by investments in cloud engineering.</w:t>
      </w:r>
    </w:p>
    <w:p>
      <w:pPr>
        <w:spacing w:after="0" w:line="63" w:lineRule="exact"/>
        <w:rPr>
          <w:rFonts w:ascii="Arial" w:cs="Arial" w:eastAsia="Arial" w:hAnsi="Arial"/>
          <w:sz w:val="18"/>
          <w:szCs w:val="18"/>
          <w:color w:val="auto"/>
        </w:rPr>
      </w:pPr>
    </w:p>
    <w:p>
      <w:pPr>
        <w:ind w:left="1060" w:right="20" w:hanging="391"/>
        <w:spacing w:after="0" w:line="273"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expenses decreased $92 million or 1%, driven by reductions in advertising, offset in part by investments in commercial sales.</w:t>
      </w:r>
    </w:p>
    <w:p>
      <w:pPr>
        <w:spacing w:after="0" w:line="1"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and administrative expenses increased $76 million or 3%, driven by an increase in business taxes.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Operating income increased $7.2 billion or 27%, driven by growth across each of our segments and the change in estimated useful lives of our server and network equipment.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operating income both included a favorable foreign currency impact of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rPr>
              <w:t>Three Months Ended</w:t>
            </w:r>
          </w:p>
        </w:tc>
        <w:tc>
          <w:tcPr>
            <w:tcW w:w="1180" w:type="dxa"/>
            <w:vAlign w:val="bottom"/>
          </w:tcPr>
          <w:p>
            <w:pPr>
              <w:jc w:val="right"/>
              <w:ind w:right="135"/>
              <w:spacing w:after="0"/>
              <w:rPr>
                <w:sz w:val="20"/>
                <w:szCs w:val="20"/>
                <w:color w:val="auto"/>
              </w:rPr>
            </w:pPr>
            <w:r>
              <w:rPr>
                <w:rFonts w:ascii="Arial" w:cs="Arial" w:eastAsia="Arial" w:hAnsi="Arial"/>
                <w:sz w:val="13"/>
                <w:szCs w:val="13"/>
                <w:b w:val="1"/>
                <w:bCs w:val="1"/>
                <w:color w:val="auto"/>
              </w:rPr>
              <w:t>Percentage</w:t>
            </w:r>
          </w:p>
        </w:tc>
        <w:tc>
          <w:tcPr>
            <w:tcW w:w="260" w:type="dxa"/>
            <w:vAlign w:val="bottom"/>
          </w:tcPr>
          <w:p>
            <w:pPr>
              <w:spacing w:after="0"/>
              <w:rPr>
                <w:sz w:val="13"/>
                <w:szCs w:val="13"/>
                <w:color w:val="auto"/>
              </w:rPr>
            </w:pPr>
          </w:p>
        </w:tc>
        <w:tc>
          <w:tcPr>
            <w:tcW w:w="202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Six Months Ended</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December 31,</w:t>
            </w:r>
          </w:p>
        </w:tc>
        <w:tc>
          <w:tcPr>
            <w:tcW w:w="1180" w:type="dxa"/>
            <w:vAlign w:val="bottom"/>
          </w:tcPr>
          <w:p>
            <w:pPr>
              <w:jc w:val="right"/>
              <w:ind w:right="135"/>
              <w:spacing w:after="0"/>
              <w:rPr>
                <w:sz w:val="20"/>
                <w:szCs w:val="20"/>
                <w:color w:val="auto"/>
              </w:rPr>
            </w:pPr>
            <w:r>
              <w:rPr>
                <w:rFonts w:ascii="Arial" w:cs="Arial" w:eastAsia="Arial" w:hAnsi="Arial"/>
                <w:sz w:val="13"/>
                <w:szCs w:val="13"/>
                <w:b w:val="1"/>
                <w:bCs w:val="1"/>
                <w:color w:val="auto"/>
              </w:rPr>
              <w:t>Change</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December 31,</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5"/>
        </w:trPr>
        <w:tc>
          <w:tcPr>
            <w:tcW w:w="36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9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13,353</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11,826</w:t>
            </w:r>
          </w:p>
        </w:tc>
        <w:tc>
          <w:tcPr>
            <w:tcW w:w="118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13%</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25,672</w:t>
            </w:r>
          </w:p>
        </w:tc>
        <w:tc>
          <w:tcPr>
            <w:tcW w:w="260" w:type="dxa"/>
            <w:vAlign w:val="bottom"/>
            <w:shd w:val="clear" w:color="auto" w:fill="E5E5E5"/>
          </w:tcPr>
          <w:p>
            <w:pPr>
              <w:jc w:val="right"/>
              <w:ind w:right="75"/>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22,903</w:t>
            </w:r>
          </w:p>
        </w:tc>
        <w:tc>
          <w:tcPr>
            <w:tcW w:w="1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9"/>
        </w:trPr>
        <w:tc>
          <w:tcPr>
            <w:tcW w:w="36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14,601</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11,869</w:t>
            </w:r>
          </w:p>
        </w:tc>
        <w:tc>
          <w:tcPr>
            <w:tcW w:w="1180" w:type="dxa"/>
            <w:vAlign w:val="bottom"/>
          </w:tcPr>
          <w:p>
            <w:pPr>
              <w:jc w:val="right"/>
              <w:ind w:right="115"/>
              <w:spacing w:after="0" w:line="189" w:lineRule="exact"/>
              <w:rPr>
                <w:sz w:val="20"/>
                <w:szCs w:val="20"/>
                <w:color w:val="auto"/>
              </w:rPr>
            </w:pPr>
            <w:r>
              <w:rPr>
                <w:rFonts w:ascii="Arial" w:cs="Arial" w:eastAsia="Arial" w:hAnsi="Arial"/>
                <w:sz w:val="18"/>
                <w:szCs w:val="18"/>
                <w:color w:val="auto"/>
              </w:rPr>
              <w:t>23%</w:t>
            </w:r>
          </w:p>
        </w:tc>
        <w:tc>
          <w:tcPr>
            <w:tcW w:w="26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27,587</w:t>
            </w:r>
          </w:p>
        </w:tc>
        <w:tc>
          <w:tcPr>
            <w:tcW w:w="2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22,714</w:t>
            </w:r>
          </w:p>
        </w:tc>
        <w:tc>
          <w:tcPr>
            <w:tcW w:w="180" w:type="dxa"/>
            <w:vAlign w:val="bottom"/>
          </w:tcPr>
          <w:p>
            <w:pPr>
              <w:spacing w:after="0"/>
              <w:rPr>
                <w:sz w:val="16"/>
                <w:szCs w:val="16"/>
                <w:color w:val="auto"/>
              </w:rPr>
            </w:pP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3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6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15,122</w:t>
            </w:r>
          </w:p>
        </w:tc>
        <w:tc>
          <w:tcPr>
            <w:tcW w:w="12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13,211</w:t>
            </w:r>
          </w:p>
        </w:tc>
        <w:tc>
          <w:tcPr>
            <w:tcW w:w="118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14%</w:t>
            </w:r>
          </w:p>
        </w:tc>
        <w:tc>
          <w:tcPr>
            <w:tcW w:w="2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26,971</w:t>
            </w:r>
          </w:p>
        </w:tc>
        <w:tc>
          <w:tcPr>
            <w:tcW w:w="26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24,344</w:t>
            </w:r>
          </w:p>
        </w:tc>
        <w:tc>
          <w:tcPr>
            <w:tcW w:w="1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81"/>
        </w:trPr>
        <w:tc>
          <w:tcPr>
            <w:tcW w:w="36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gridSpan w:val="2"/>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3620" w:type="dxa"/>
            <w:vAlign w:val="bottom"/>
          </w:tcPr>
          <w:p>
            <w:pPr>
              <w:ind w:left="220"/>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43,076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36,906</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17%</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80,230</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69,961</w:t>
            </w:r>
          </w:p>
        </w:tc>
        <w:tc>
          <w:tcPr>
            <w:tcW w:w="18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9"/>
        </w:trPr>
        <w:tc>
          <w:tcPr>
            <w:tcW w:w="362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6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362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3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9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6,181</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5,182</w:t>
            </w:r>
          </w:p>
        </w:tc>
        <w:tc>
          <w:tcPr>
            <w:tcW w:w="118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19%</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11,887</w:t>
            </w:r>
          </w:p>
        </w:tc>
        <w:tc>
          <w:tcPr>
            <w:tcW w:w="260" w:type="dxa"/>
            <w:vAlign w:val="bottom"/>
            <w:shd w:val="clear" w:color="auto" w:fill="E5E5E5"/>
          </w:tcPr>
          <w:p>
            <w:pPr>
              <w:jc w:val="right"/>
              <w:ind w:right="75"/>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9,964</w:t>
            </w:r>
          </w:p>
        </w:tc>
        <w:tc>
          <w:tcPr>
            <w:tcW w:w="1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9"/>
        </w:trPr>
        <w:tc>
          <w:tcPr>
            <w:tcW w:w="36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6,492</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4,531</w:t>
            </w:r>
          </w:p>
        </w:tc>
        <w:tc>
          <w:tcPr>
            <w:tcW w:w="1180" w:type="dxa"/>
            <w:vAlign w:val="bottom"/>
          </w:tcPr>
          <w:p>
            <w:pPr>
              <w:jc w:val="right"/>
              <w:ind w:right="115"/>
              <w:spacing w:after="0" w:line="189" w:lineRule="exact"/>
              <w:rPr>
                <w:sz w:val="20"/>
                <w:szCs w:val="20"/>
                <w:color w:val="auto"/>
              </w:rPr>
            </w:pPr>
            <w:r>
              <w:rPr>
                <w:rFonts w:ascii="Arial" w:cs="Arial" w:eastAsia="Arial" w:hAnsi="Arial"/>
                <w:sz w:val="18"/>
                <w:szCs w:val="18"/>
                <w:color w:val="auto"/>
              </w:rPr>
              <w:t>43%</w:t>
            </w:r>
          </w:p>
        </w:tc>
        <w:tc>
          <w:tcPr>
            <w:tcW w:w="26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11,914</w:t>
            </w:r>
          </w:p>
        </w:tc>
        <w:tc>
          <w:tcPr>
            <w:tcW w:w="2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8,420</w:t>
            </w:r>
          </w:p>
        </w:tc>
        <w:tc>
          <w:tcPr>
            <w:tcW w:w="180" w:type="dxa"/>
            <w:vAlign w:val="bottom"/>
          </w:tcPr>
          <w:p>
            <w:pPr>
              <w:spacing w:after="0"/>
              <w:rPr>
                <w:sz w:val="16"/>
                <w:szCs w:val="16"/>
                <w:color w:val="auto"/>
              </w:rPr>
            </w:pP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9"/>
        </w:trPr>
        <w:tc>
          <w:tcPr>
            <w:tcW w:w="3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6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5,224</w:t>
            </w:r>
          </w:p>
        </w:tc>
        <w:tc>
          <w:tcPr>
            <w:tcW w:w="12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4,178</w:t>
            </w:r>
          </w:p>
        </w:tc>
        <w:tc>
          <w:tcPr>
            <w:tcW w:w="1180" w:type="dxa"/>
            <w:vAlign w:val="bottom"/>
            <w:shd w:val="clear" w:color="auto" w:fill="E5E5E5"/>
          </w:tcPr>
          <w:p>
            <w:pPr>
              <w:jc w:val="right"/>
              <w:ind w:right="115"/>
              <w:spacing w:after="0" w:line="189" w:lineRule="exact"/>
              <w:rPr>
                <w:sz w:val="20"/>
                <w:szCs w:val="20"/>
                <w:color w:val="auto"/>
              </w:rPr>
            </w:pPr>
            <w:r>
              <w:rPr>
                <w:rFonts w:ascii="Arial" w:cs="Arial" w:eastAsia="Arial" w:hAnsi="Arial"/>
                <w:sz w:val="18"/>
                <w:szCs w:val="18"/>
                <w:color w:val="auto"/>
              </w:rPr>
              <w:t>25%</w:t>
            </w:r>
          </w:p>
        </w:tc>
        <w:tc>
          <w:tcPr>
            <w:tcW w:w="2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9,972</w:t>
            </w:r>
          </w:p>
        </w:tc>
        <w:tc>
          <w:tcPr>
            <w:tcW w:w="26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8,193</w:t>
            </w:r>
          </w:p>
        </w:tc>
        <w:tc>
          <w:tcPr>
            <w:tcW w:w="1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8"/>
        </w:trPr>
        <w:tc>
          <w:tcPr>
            <w:tcW w:w="3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3620" w:type="dxa"/>
            <w:vAlign w:val="bottom"/>
          </w:tcPr>
          <w:p>
            <w:pPr>
              <w:ind w:left="220"/>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17,897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13,891</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29%</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33,773</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26,577</w:t>
            </w:r>
          </w:p>
        </w:tc>
        <w:tc>
          <w:tcPr>
            <w:tcW w:w="18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63"/>
        </w:trPr>
        <w:tc>
          <w:tcPr>
            <w:tcW w:w="3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2020 Compared with Three Months Ended December 31,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$1.5 billion or 13%.</w:t>
      </w:r>
    </w:p>
    <w:p>
      <w:pPr>
        <w:spacing w:after="0" w:line="77" w:lineRule="exact"/>
        <w:rPr>
          <w:sz w:val="20"/>
          <w:szCs w:val="20"/>
          <w:color w:val="auto"/>
        </w:rPr>
      </w:pPr>
    </w:p>
    <w:p>
      <w:pPr>
        <w:jc w:val="both"/>
        <w:ind w:left="1060" w:hanging="391"/>
        <w:spacing w:after="0" w:line="245"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$807 million or 11%, on a strong prior year comparable. Office 365 Commercial revenue grew 21%, due to seat growth of 15% and higher revenue per user. Office Commercial products revenue declined 26%, driven by continued customer shift to cloud offerings from multi-year on-premises agreements and continued transactional weakness, on a strong prior year comparable that benefited from transactional strength, primarily in Japan.</w:t>
      </w:r>
    </w:p>
    <w:p>
      <w:pPr>
        <w:spacing w:after="0" w:line="23" w:lineRule="exact"/>
        <w:rPr>
          <w:rFonts w:ascii="Arial" w:cs="Arial" w:eastAsia="Arial" w:hAnsi="Arial"/>
          <w:sz w:val="18"/>
          <w:szCs w:val="18"/>
          <w:color w:val="auto"/>
        </w:rPr>
      </w:pPr>
    </w:p>
    <w:p>
      <w:pPr>
        <w:jc w:val="both"/>
        <w:ind w:left="1060" w:hanging="391"/>
        <w:spacing w:after="0" w:line="255"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$79 million or 7%, driven by Microsoft 365 Consumer subscription revenue, on a strong prior year comparable that benefited from transactional strength in Japan. Microsoft 365 Consumer subscribers increased 28% to 47.5 million.</w:t>
      </w:r>
    </w:p>
    <w:p>
      <w:pPr>
        <w:spacing w:after="0" w:line="15" w:lineRule="exact"/>
        <w:rPr>
          <w:rFonts w:ascii="Arial" w:cs="Arial" w:eastAsia="Arial" w:hAnsi="Arial"/>
          <w:sz w:val="18"/>
          <w:szCs w:val="18"/>
          <w:color w:val="auto"/>
        </w:rPr>
      </w:pPr>
    </w:p>
    <w:p>
      <w:pPr>
        <w:ind w:left="1060" w:hanging="39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LinkedIn revenue increased $475 million or 23%, driven by advertising demand in our Marketing Solutions business.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21%, driven by Dynamics 365 growth of 39%.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$999 million or 19%.</w:t>
      </w:r>
    </w:p>
    <w:p>
      <w:pPr>
        <w:spacing w:after="0" w:line="63" w:lineRule="exact"/>
        <w:rPr>
          <w:sz w:val="20"/>
          <w:szCs w:val="20"/>
          <w:color w:val="auto"/>
        </w:rPr>
      </w:pPr>
    </w:p>
    <w:p>
      <w:pPr>
        <w:jc w:val="both"/>
        <w:ind w:left="1060" w:hanging="391"/>
        <w:spacing w:after="0" w:line="248"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increased $1.2 billion or 13%, driven by growth in LinkedIn and Office Commercial, and the change in estimated useful lives of our server and network equipment. Gross margin percentage was relatively unchanged with the change in estimated useful lives of our server and network equipment. Excluding this impact, gross margin percentage decreased, driven by increased usage of Office 365 Commercial and a sales mix shift to cloud offerings.</w:t>
      </w:r>
    </w:p>
    <w:p>
      <w:pPr>
        <w:spacing w:after="0" w:line="21" w:lineRule="exact"/>
        <w:rPr>
          <w:rFonts w:ascii="Arial" w:cs="Arial" w:eastAsia="Arial" w:hAnsi="Arial"/>
          <w:sz w:val="18"/>
          <w:szCs w:val="18"/>
          <w:color w:val="auto"/>
        </w:rPr>
      </w:pPr>
    </w:p>
    <w:p>
      <w:pPr>
        <w:ind w:left="1060" w:right="20" w:hanging="391"/>
        <w:spacing w:after="0" w:line="276"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increased $167 million or 4%, driven by investments in commercial sales, Teams marketing, and cloud engineering.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each included a favorable foreign currency impact of 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$2.7 billion or 23%.</w:t>
      </w:r>
    </w:p>
    <w:p>
      <w:pPr>
        <w:spacing w:after="0" w:line="77" w:lineRule="exact"/>
        <w:rPr>
          <w:sz w:val="20"/>
          <w:szCs w:val="20"/>
          <w:color w:val="auto"/>
        </w:rPr>
      </w:pPr>
    </w:p>
    <w:p>
      <w:pPr>
        <w:jc w:val="both"/>
        <w:ind w:left="1060" w:hanging="391"/>
        <w:spacing w:after="0" w:line="24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$2.6 billion or 26%, driven by Azure. Azure revenue grew 50%, due to growth in our consumption-based services. Server products revenue increased 4%, driven by hybrid and premium solutions, offset in part by continued transactional weakness, on a strong prior year comparable that benefited from demand related to Windows Server 2008 end of support.</w:t>
      </w:r>
    </w:p>
    <w:p>
      <w:pPr>
        <w:spacing w:after="0" w:line="21" w:lineRule="exact"/>
        <w:rPr>
          <w:rFonts w:ascii="Arial" w:cs="Arial" w:eastAsia="Arial" w:hAnsi="Arial"/>
          <w:sz w:val="18"/>
          <w:szCs w:val="18"/>
          <w:color w:val="auto"/>
        </w:rPr>
      </w:pPr>
    </w:p>
    <w:p>
      <w:pPr>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Enterprise Services revenue increased $83 million or 5%, driven by growth in Premier Support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$2.0 billion or 43%.</w:t>
      </w:r>
    </w:p>
    <w:p>
      <w:pPr>
        <w:spacing w:after="0" w:line="77" w:lineRule="exact"/>
        <w:rPr>
          <w:sz w:val="20"/>
          <w:szCs w:val="20"/>
          <w:color w:val="auto"/>
        </w:rPr>
      </w:pPr>
    </w:p>
    <w:p>
      <w:pPr>
        <w:jc w:val="both"/>
        <w:ind w:left="1060" w:hanging="391"/>
        <w:spacing w:after="0" w:line="248"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margin increased $2.4 billion or 29%, driven by growth in server products and cloud services and the change in estimated useful lives of our server and network equipment. Gross margin percentage increased with the change in estimated useful lives of our server and network equipment. Excluding this impact, gross margin percentage increased slightly, driven by gross margin percentage improvement in Azure, offset in part by sales mix shift to Azure.</w:t>
      </w:r>
    </w:p>
    <w:p>
      <w:pPr>
        <w:spacing w:after="0" w:line="21" w:lineRule="exact"/>
        <w:rPr>
          <w:rFonts w:ascii="Arial" w:cs="Arial" w:eastAsia="Arial" w:hAnsi="Arial"/>
          <w:sz w:val="18"/>
          <w:szCs w:val="18"/>
          <w:color w:val="auto"/>
        </w:rPr>
      </w:pPr>
    </w:p>
    <w:p>
      <w:pPr>
        <w:ind w:left="1060" w:hanging="39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increased $436 million or 12%, driven by investments in Azure.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operating income both included a favorable foreign currency impact of 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$1.9 billion or 14%.</w:t>
      </w:r>
    </w:p>
    <w:p>
      <w:pPr>
        <w:spacing w:after="0" w:line="63" w:lineRule="exact"/>
        <w:rPr>
          <w:sz w:val="20"/>
          <w:szCs w:val="20"/>
          <w:color w:val="auto"/>
        </w:rPr>
      </w:pPr>
    </w:p>
    <w:p>
      <w:pPr>
        <w:jc w:val="both"/>
        <w:ind w:left="1060" w:hanging="391"/>
        <w:spacing w:after="0" w:line="24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Windows revenue increased $123 million or 2%, driven by growth in Windows Commercial. Windows Commercial products and cloud services revenue increased 10%, primarily driven by demand for Microsoft 365. Windows OEM revenue increased 1%, driven by consumer PC demand, on a strong prior year OEM Pro comparable that benefited from Windows 7 end of support. Windows OEM Pro revenue decreased 9% and Windows OEM non-Pro revenue grew 24%.</w:t>
      </w:r>
    </w:p>
    <w:p>
      <w:pPr>
        <w:spacing w:after="0" w:line="21" w:lineRule="exact"/>
        <w:rPr>
          <w:rFonts w:ascii="Arial" w:cs="Arial" w:eastAsia="Arial" w:hAnsi="Arial"/>
          <w:sz w:val="18"/>
          <w:szCs w:val="18"/>
          <w:color w:val="auto"/>
        </w:rPr>
      </w:pPr>
    </w:p>
    <w:p>
      <w:pPr>
        <w:jc w:val="both"/>
        <w:ind w:left="1060" w:hanging="391"/>
        <w:spacing w:after="0" w:line="24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Gaming revenue increased $1.7 billion or 51%, driven by growth in Xbox content and services and Xbox hardware. Xbox content and services revenue increased $998 million or 40%, driven by growth in third-party titles, Xbox Game Pass subscriptions, and first-party titles. Xbox hardware revenue increased 86%, driven by higher price of consoles sold due to the Xbox Series X|S launches.</w:t>
      </w:r>
    </w:p>
    <w:p>
      <w:pPr>
        <w:spacing w:after="0" w:line="21" w:lineRule="exact"/>
        <w:rPr>
          <w:rFonts w:ascii="Arial" w:cs="Arial" w:eastAsia="Arial" w:hAnsi="Arial"/>
          <w:sz w:val="18"/>
          <w:szCs w:val="18"/>
          <w:color w:val="auto"/>
        </w:rPr>
      </w:pPr>
    </w:p>
    <w:p>
      <w:pPr>
        <w:ind w:left="1060" w:hanging="391"/>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Surface revenue increased $69 million or 3%.</w:t>
      </w:r>
    </w:p>
    <w:p>
      <w:pPr>
        <w:spacing w:after="0" w:line="63" w:lineRule="exact"/>
        <w:rPr>
          <w:rFonts w:ascii="Arial" w:cs="Arial" w:eastAsia="Arial" w:hAnsi="Arial"/>
          <w:sz w:val="18"/>
          <w:szCs w:val="18"/>
          <w:color w:val="auto"/>
        </w:rPr>
      </w:pPr>
    </w:p>
    <w:p>
      <w:pPr>
        <w:ind w:left="1060" w:hanging="391"/>
        <w:spacing w:after="0" w:line="276"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Search advertising revenue increased slightly. Search advertising revenue, excluding traffic acquisition costs, increased 2%, primarily driven by higher search volume, offset in part by lower revenue per search.</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$1.0 billion or 25%.</w:t>
      </w:r>
    </w:p>
    <w:p>
      <w:pPr>
        <w:spacing w:after="0" w:line="63" w:lineRule="exact"/>
        <w:rPr>
          <w:sz w:val="20"/>
          <w:szCs w:val="20"/>
          <w:color w:val="auto"/>
        </w:rPr>
      </w:pPr>
    </w:p>
    <w:p>
      <w:pPr>
        <w:ind w:left="1060" w:right="20" w:hanging="391"/>
        <w:spacing w:after="0" w:line="273"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margin increased $771 million or 11%, driven by growth in Gaming and Windows. Gross margin percentage decreased, driven by sales mix shift to Gaming.</w:t>
      </w:r>
    </w:p>
    <w:p>
      <w:pPr>
        <w:spacing w:after="0" w:line="1" w:lineRule="exact"/>
        <w:rPr>
          <w:rFonts w:ascii="Arial" w:cs="Arial" w:eastAsia="Arial" w:hAnsi="Arial"/>
          <w:sz w:val="18"/>
          <w:szCs w:val="18"/>
          <w:color w:val="auto"/>
        </w:rPr>
      </w:pPr>
    </w:p>
    <w:p>
      <w:pPr>
        <w:ind w:left="1060" w:hanging="391"/>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expenses decreased $275 million or 10%, driven by reductions in marketing and retail store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operating income included a favorable foreign currency impact of 2% and 3%,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2020 Compared with Six Months Ended December 31,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$2.8 billion or 12%.</w:t>
      </w:r>
    </w:p>
    <w:p>
      <w:pPr>
        <w:spacing w:after="0" w:line="77" w:lineRule="exact"/>
        <w:rPr>
          <w:sz w:val="20"/>
          <w:szCs w:val="20"/>
          <w:color w:val="auto"/>
        </w:rPr>
      </w:pPr>
    </w:p>
    <w:p>
      <w:pPr>
        <w:jc w:val="both"/>
        <w:ind w:left="1060" w:right="20" w:hanging="391"/>
        <w:spacing w:after="0" w:line="24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$1.5 billion or 10%, on a strong prior year comparable. Office 365 Commercial revenue grew 21%, due to seat growth and higher revenue per user. Office Commercial products revenue declined 28%, driven by continued customer shift to cloud offerings from multi-year on-premises agreements and continued transactional weakness, on a strong prior year comparable that benefited from transactional strength in Japan.</w:t>
      </w:r>
    </w:p>
    <w:p>
      <w:pPr>
        <w:spacing w:after="0" w:line="21" w:lineRule="exact"/>
        <w:rPr>
          <w:rFonts w:ascii="Arial" w:cs="Arial" w:eastAsia="Arial" w:hAnsi="Arial"/>
          <w:sz w:val="18"/>
          <w:szCs w:val="18"/>
          <w:color w:val="auto"/>
        </w:rPr>
      </w:pPr>
    </w:p>
    <w:p>
      <w:pPr>
        <w:ind w:left="1060" w:right="20" w:hanging="391"/>
        <w:spacing w:after="0" w:line="273"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$219 million or 10%, driven by Microsoft 365 Consumer subscription revenue, on a strong prior year comparable that benefited from transactional strength in Japan.</w:t>
      </w:r>
    </w:p>
    <w:p>
      <w:pPr>
        <w:spacing w:after="0" w:line="1" w:lineRule="exact"/>
        <w:rPr>
          <w:rFonts w:ascii="Arial" w:cs="Arial" w:eastAsia="Arial" w:hAnsi="Arial"/>
          <w:sz w:val="18"/>
          <w:szCs w:val="18"/>
          <w:color w:val="auto"/>
        </w:rPr>
      </w:pPr>
    </w:p>
    <w:p>
      <w:pPr>
        <w:ind w:left="1060" w:hanging="391"/>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LinkedIn revenue increased $772 million or 19%, driven by advertising demand in our Marketing Solutions business.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20%, driven by Dynamics 365 growth of 38%.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$1.9 billion or 19%.</w:t>
      </w:r>
    </w:p>
    <w:p>
      <w:pPr>
        <w:spacing w:after="0" w:line="77" w:lineRule="exact"/>
        <w:rPr>
          <w:sz w:val="20"/>
          <w:szCs w:val="20"/>
          <w:color w:val="auto"/>
        </w:rPr>
      </w:pPr>
    </w:p>
    <w:p>
      <w:pPr>
        <w:jc w:val="both"/>
        <w:ind w:left="1060" w:hanging="391"/>
        <w:spacing w:after="0" w:line="245"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increased $2.2 billion or 13%, including a favorable foreign currency impact of 2%, driven by growth in LinkedIn and Office Commercial, and the change in estimated useful lives of our server and network equipment. Gross margin percentage increased slightly with the change in estimated useful lives of our server and network equipment. Excluding this impact, gross margin percentage decreased, driven by increased usage of Office 365 Commercial and a sales mix shift to cloud offerings.</w:t>
      </w:r>
    </w:p>
    <w:p>
      <w:pPr>
        <w:spacing w:after="0" w:line="23" w:lineRule="exact"/>
        <w:rPr>
          <w:rFonts w:ascii="Arial" w:cs="Arial" w:eastAsia="Arial" w:hAnsi="Arial"/>
          <w:sz w:val="18"/>
          <w:szCs w:val="18"/>
          <w:color w:val="auto"/>
        </w:rPr>
      </w:pPr>
    </w:p>
    <w:p>
      <w:pPr>
        <w:ind w:left="1060" w:right="20" w:hanging="391"/>
        <w:spacing w:after="0" w:line="27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increased $322 million or 4%, driven by investments in commercial sales, Teams marketing, and cloud engineering.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$4.9 billion or 21%.</w:t>
      </w:r>
    </w:p>
    <w:p>
      <w:pPr>
        <w:spacing w:after="0" w:line="63" w:lineRule="exact"/>
        <w:rPr>
          <w:sz w:val="20"/>
          <w:szCs w:val="20"/>
          <w:color w:val="auto"/>
        </w:rPr>
      </w:pPr>
    </w:p>
    <w:p>
      <w:pPr>
        <w:jc w:val="both"/>
        <w:ind w:left="1060" w:hanging="391"/>
        <w:spacing w:after="0" w:line="248"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$4.6 billion or 24%, driven by Azure. Azure revenue grew 49%, due to growth in our consumption-based services. Server products revenue increased 1%, driven by hybrid and premium solutions, offset in part by continued transactional weakness, on a strong prior year comparable that benefited from demand related to SQL Server 2008 and Windows Server 2008 end of support.</w:t>
      </w:r>
    </w:p>
    <w:p>
      <w:pPr>
        <w:spacing w:after="0" w:line="21" w:lineRule="exact"/>
        <w:rPr>
          <w:rFonts w:ascii="Arial" w:cs="Arial" w:eastAsia="Arial" w:hAnsi="Arial"/>
          <w:sz w:val="18"/>
          <w:szCs w:val="18"/>
          <w:color w:val="auto"/>
        </w:rPr>
      </w:pPr>
    </w:p>
    <w:p>
      <w:pPr>
        <w:ind w:left="1060" w:hanging="39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Enterprise Services revenue increased $175 million or 6%, driven by growth in Premier Support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$3.5 billion or 41%, including a favorable foreign currency impact of 2%.</w:t>
      </w:r>
    </w:p>
    <w:p>
      <w:pPr>
        <w:spacing w:after="0" w:line="63" w:lineRule="exact"/>
        <w:rPr>
          <w:sz w:val="20"/>
          <w:szCs w:val="20"/>
          <w:color w:val="auto"/>
        </w:rPr>
      </w:pPr>
    </w:p>
    <w:p>
      <w:pPr>
        <w:jc w:val="both"/>
        <w:ind w:left="1060" w:hanging="391"/>
        <w:spacing w:after="0" w:line="24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increased $4.3 billion or 27%, driven by growth in server products and cloud services and the change in estimated useful lives of our server and network equipment. Gross margin percentage increased with the change in estimated useful lives of our server and network equipment. Excluding this impact, gross margin percentage was relatively unchanged, driven by gross margin percentage improvement in Azure, offset in part by sales mix shift to Azure.</w:t>
      </w:r>
    </w:p>
    <w:p>
      <w:pPr>
        <w:spacing w:after="0" w:line="21"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increased $805 million or 11%, driven by investments in Azure.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$2.6 billion or 11%.</w:t>
      </w:r>
    </w:p>
    <w:p>
      <w:pPr>
        <w:spacing w:after="0" w:line="63" w:lineRule="exact"/>
        <w:rPr>
          <w:sz w:val="20"/>
          <w:szCs w:val="20"/>
          <w:color w:val="auto"/>
        </w:rPr>
      </w:pPr>
    </w:p>
    <w:p>
      <w:pPr>
        <w:jc w:val="both"/>
        <w:ind w:left="1060" w:hanging="391"/>
        <w:spacing w:after="0" w:line="245"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Windows revenue increased $75 million or 1%, primarily driven by growth in Windows Commercial, offset in part by a decrease in Windows OEM. Windows Commercial products and cloud services revenue increased 11%, driven by demand for Microsoft 365. Windows OEM revenue decreased 2% on a strong prior year OEM Pro comparable that benefited from Windows 7 end of support, offset in part by consumer PC demand. Windows OEM Pro revenue decreased 15% and Windows OEM non-Pro revenue grew 27%.</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47" w:lineRule="exact"/>
        <w:rPr>
          <w:sz w:val="20"/>
          <w:szCs w:val="20"/>
          <w:color w:val="auto"/>
        </w:rPr>
      </w:pPr>
    </w:p>
    <w:p>
      <w:pPr>
        <w:jc w:val="both"/>
        <w:ind w:left="1060" w:hanging="391"/>
        <w:spacing w:after="0" w:line="248"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Gaming revenue increased $2.3 billion or 38%, driven by growth in Xbox content and services and Xbox hardware. Xbox content and services revenue increased $1.6 billion or 35%, driven by growth in third-party titles, Xbox Game Pass subscriptions, and first-party titles. Xbox hardware revenue increased 51%, driven by higher price of consoles sold due to the Xbox Series X|S launches.</w:t>
      </w:r>
    </w:p>
    <w:p>
      <w:pPr>
        <w:spacing w:after="0" w:line="21" w:lineRule="exact"/>
        <w:rPr>
          <w:rFonts w:ascii="Arial" w:cs="Arial" w:eastAsia="Arial" w:hAnsi="Arial"/>
          <w:sz w:val="18"/>
          <w:szCs w:val="18"/>
          <w:color w:val="auto"/>
        </w:rPr>
      </w:pPr>
    </w:p>
    <w:p>
      <w:pPr>
        <w:ind w:left="1060" w:hanging="391"/>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Surface revenue increased $486 million or 16%, driven by PC market demand.</w:t>
      </w:r>
    </w:p>
    <w:p>
      <w:pPr>
        <w:spacing w:after="0" w:line="63" w:lineRule="exact"/>
        <w:rPr>
          <w:rFonts w:ascii="Arial" w:cs="Arial" w:eastAsia="Arial" w:hAnsi="Arial"/>
          <w:sz w:val="18"/>
          <w:szCs w:val="18"/>
          <w:color w:val="auto"/>
        </w:rPr>
      </w:pPr>
    </w:p>
    <w:p>
      <w:pPr>
        <w:ind w:left="1060" w:right="20" w:hanging="391"/>
        <w:spacing w:after="0" w:line="276"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Search advertising revenue decreased $181 million or 4%. Search advertising revenue, excluding traffic acquisition costs, decreased 4%, driven by lower revenue per search, offset in part by higher search volume.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$1.8 billion or 22%.</w:t>
      </w:r>
    </w:p>
    <w:p>
      <w:pPr>
        <w:spacing w:after="0" w:line="63" w:lineRule="exact"/>
        <w:rPr>
          <w:sz w:val="20"/>
          <w:szCs w:val="20"/>
          <w:color w:val="auto"/>
        </w:rPr>
      </w:pPr>
    </w:p>
    <w:p>
      <w:pPr>
        <w:ind w:left="1060" w:hanging="391"/>
        <w:spacing w:after="0" w:line="273"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margin increased $1.3 billion or 9%, driven by growth in Gaming, Surface, and Windows. Gross margin percentage decreased slightly, driven by sales mix shift to lower margin businesses.</w:t>
      </w:r>
    </w:p>
    <w:p>
      <w:pPr>
        <w:spacing w:after="0" w:line="1" w:lineRule="exact"/>
        <w:rPr>
          <w:rFonts w:ascii="Arial" w:cs="Arial" w:eastAsia="Arial" w:hAnsi="Arial"/>
          <w:sz w:val="18"/>
          <w:szCs w:val="18"/>
          <w:color w:val="auto"/>
        </w:rPr>
      </w:pPr>
    </w:p>
    <w:p>
      <w:pPr>
        <w:ind w:left="1060" w:hanging="39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expenses decreased $486 million or 9%, driven by reductions in marketing and retail store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360" w:type="dxa"/>
            <w:vAlign w:val="bottom"/>
          </w:tcPr>
          <w:p>
            <w:pPr>
              <w:spacing w:after="0"/>
              <w:rPr>
                <w:sz w:val="13"/>
                <w:szCs w:val="13"/>
                <w:color w:val="auto"/>
              </w:rPr>
            </w:pPr>
          </w:p>
        </w:tc>
        <w:tc>
          <w:tcPr>
            <w:tcW w:w="214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420" w:type="dxa"/>
            <w:vAlign w:val="bottom"/>
          </w:tcPr>
          <w:p>
            <w:pPr>
              <w:spacing w:after="0"/>
              <w:rPr>
                <w:sz w:val="13"/>
                <w:szCs w:val="13"/>
                <w:color w:val="auto"/>
              </w:rPr>
            </w:pPr>
          </w:p>
        </w:tc>
        <w:tc>
          <w:tcPr>
            <w:tcW w:w="2000" w:type="dxa"/>
            <w:vAlign w:val="bottom"/>
            <w:gridSpan w:val="3"/>
          </w:tcPr>
          <w:p>
            <w:pPr>
              <w:jc w:val="right"/>
              <w:ind w:right="118"/>
              <w:spacing w:after="0"/>
              <w:rPr>
                <w:sz w:val="20"/>
                <w:szCs w:val="20"/>
                <w:color w:val="auto"/>
              </w:rPr>
            </w:pPr>
            <w:r>
              <w:rPr>
                <w:rFonts w:ascii="Arial" w:cs="Arial" w:eastAsia="Arial" w:hAnsi="Arial"/>
                <w:sz w:val="13"/>
                <w:szCs w:val="13"/>
                <w:b w:val="1"/>
                <w:bCs w:val="1"/>
                <w:color w:val="auto"/>
              </w:rPr>
              <w:t>Six Months Ended</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0"/>
        </w:trPr>
        <w:tc>
          <w:tcPr>
            <w:tcW w:w="32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81"/>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2"/>
          </w:tcPr>
          <w:p>
            <w:pPr>
              <w:jc w:val="right"/>
              <w:ind w:right="118"/>
              <w:spacing w:after="0"/>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5"/>
        </w:trPr>
        <w:tc>
          <w:tcPr>
            <w:tcW w:w="3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20"/>
                <w:szCs w:val="20"/>
                <w:color w:val="auto"/>
              </w:rPr>
            </w:pPr>
          </w:p>
        </w:tc>
        <w:tc>
          <w:tcPr>
            <w:tcW w:w="1140" w:type="dxa"/>
            <w:vAlign w:val="bottom"/>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20"/>
                <w:szCs w:val="20"/>
                <w:color w:val="auto"/>
              </w:rPr>
            </w:pPr>
          </w:p>
        </w:tc>
        <w:tc>
          <w:tcPr>
            <w:tcW w:w="860" w:type="dxa"/>
            <w:vAlign w:val="bottom"/>
          </w:tcPr>
          <w:p>
            <w:pPr>
              <w:jc w:val="right"/>
              <w:ind w:right="118"/>
              <w:spacing w:after="0"/>
              <w:rPr>
                <w:sz w:val="20"/>
                <w:szCs w:val="20"/>
                <w:color w:val="auto"/>
              </w:rPr>
            </w:pPr>
            <w:r>
              <w:rPr>
                <w:rFonts w:ascii="Arial" w:cs="Arial" w:eastAsia="Arial" w:hAnsi="Arial"/>
                <w:sz w:val="13"/>
                <w:szCs w:val="13"/>
                <w:b w:val="1"/>
                <w:bCs w:val="1"/>
                <w:color w:val="auto"/>
              </w:rPr>
              <w:t>2019</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4,899</w:t>
            </w:r>
          </w:p>
        </w:tc>
        <w:tc>
          <w:tcPr>
            <w:tcW w:w="2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81"/>
              <w:spacing w:after="0" w:line="189" w:lineRule="exact"/>
              <w:rPr>
                <w:sz w:val="20"/>
                <w:szCs w:val="20"/>
                <w:color w:val="auto"/>
              </w:rPr>
            </w:pPr>
            <w:r>
              <w:rPr>
                <w:rFonts w:ascii="Arial" w:cs="Arial" w:eastAsia="Arial" w:hAnsi="Arial"/>
                <w:sz w:val="18"/>
                <w:szCs w:val="18"/>
                <w:color w:val="auto"/>
              </w:rPr>
              <w:t>4,603</w:t>
            </w:r>
          </w:p>
        </w:tc>
        <w:tc>
          <w:tcPr>
            <w:tcW w:w="10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6%</w:t>
            </w:r>
          </w:p>
        </w:tc>
        <w:tc>
          <w:tcPr>
            <w:tcW w:w="4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ind w:right="1"/>
              <w:spacing w:after="0" w:line="189" w:lineRule="exact"/>
              <w:rPr>
                <w:sz w:val="20"/>
                <w:szCs w:val="20"/>
                <w:color w:val="auto"/>
              </w:rPr>
            </w:pPr>
            <w:r>
              <w:rPr>
                <w:rFonts w:ascii="Arial" w:cs="Arial" w:eastAsia="Arial" w:hAnsi="Arial"/>
                <w:sz w:val="18"/>
                <w:szCs w:val="18"/>
                <w:b w:val="1"/>
                <w:bCs w:val="1"/>
                <w:color w:val="auto"/>
              </w:rPr>
              <w:t>9,825</w:t>
            </w:r>
          </w:p>
        </w:tc>
        <w:tc>
          <w:tcPr>
            <w:tcW w:w="380" w:type="dxa"/>
            <w:vAlign w:val="bottom"/>
            <w:shd w:val="clear" w:color="auto" w:fill="E5E5E5"/>
          </w:tcPr>
          <w:p>
            <w:pPr>
              <w:jc w:val="right"/>
              <w:ind w:right="141"/>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8"/>
              <w:spacing w:after="0" w:line="189" w:lineRule="exact"/>
              <w:rPr>
                <w:sz w:val="20"/>
                <w:szCs w:val="20"/>
                <w:color w:val="auto"/>
              </w:rPr>
            </w:pPr>
            <w:r>
              <w:rPr>
                <w:rFonts w:ascii="Arial" w:cs="Arial" w:eastAsia="Arial" w:hAnsi="Arial"/>
                <w:sz w:val="18"/>
                <w:szCs w:val="18"/>
                <w:color w:val="auto"/>
              </w:rPr>
              <w:t>9,168</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(1)ppt</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12%</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197" w:lineRule="exact"/>
        <w:rPr>
          <w:sz w:val="20"/>
          <w:szCs w:val="20"/>
          <w:color w:val="auto"/>
        </w:rPr>
      </w:pPr>
    </w:p>
    <w:p>
      <w:pPr>
        <w:ind w:right="2300"/>
        <w:spacing w:after="0" w:line="461" w:lineRule="auto"/>
        <w:rPr>
          <w:sz w:val="20"/>
          <w:szCs w:val="20"/>
          <w:color w:val="auto"/>
        </w:rPr>
      </w:pPr>
      <w:r>
        <w:rPr>
          <w:rFonts w:ascii="Arial" w:cs="Arial" w:eastAsia="Arial" w:hAnsi="Arial"/>
          <w:sz w:val="18"/>
          <w:szCs w:val="18"/>
          <w:b w:val="1"/>
          <w:bCs w:val="1"/>
          <w:i w:val="1"/>
          <w:iCs w:val="1"/>
          <w:color w:val="auto"/>
        </w:rPr>
        <w:t xml:space="preserve">Three Months Ended December 31, 2020 Compared with Three Months Ended December 31, 2019 </w:t>
      </w:r>
      <w:r>
        <w:rPr>
          <w:rFonts w:ascii="Arial" w:cs="Arial" w:eastAsia="Arial" w:hAnsi="Arial"/>
          <w:sz w:val="18"/>
          <w:szCs w:val="18"/>
          <w:color w:val="auto"/>
        </w:rPr>
        <w:t>Research and development expenses increased $296 million or 6%, driven by investments in cloud engineering.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2020 Compared with Six Months Ended December 31,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$657 million or 7%, driven by investments in cloud engineering.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400" w:type="dxa"/>
            <w:vAlign w:val="bottom"/>
          </w:tcPr>
          <w:p>
            <w:pPr>
              <w:spacing w:after="0"/>
              <w:rPr>
                <w:sz w:val="12"/>
                <w:szCs w:val="12"/>
                <w:color w:val="auto"/>
              </w:rPr>
            </w:pPr>
          </w:p>
        </w:tc>
        <w:tc>
          <w:tcPr>
            <w:tcW w:w="214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420" w:type="dxa"/>
            <w:vAlign w:val="bottom"/>
          </w:tcPr>
          <w:p>
            <w:pPr>
              <w:spacing w:after="0"/>
              <w:rPr>
                <w:sz w:val="12"/>
                <w:szCs w:val="12"/>
                <w:color w:val="auto"/>
              </w:rPr>
            </w:pPr>
          </w:p>
        </w:tc>
        <w:tc>
          <w:tcPr>
            <w:tcW w:w="2000" w:type="dxa"/>
            <w:vAlign w:val="bottom"/>
            <w:gridSpan w:val="3"/>
          </w:tcPr>
          <w:p>
            <w:pPr>
              <w:jc w:val="right"/>
              <w:ind w:right="118"/>
              <w:spacing w:after="0"/>
              <w:rPr>
                <w:sz w:val="20"/>
                <w:szCs w:val="20"/>
                <w:color w:val="auto"/>
              </w:rPr>
            </w:pPr>
            <w:r>
              <w:rPr>
                <w:rFonts w:ascii="Arial" w:cs="Arial" w:eastAsia="Arial" w:hAnsi="Arial"/>
                <w:sz w:val="13"/>
                <w:szCs w:val="13"/>
                <w:b w:val="1"/>
                <w:bCs w:val="1"/>
                <w:color w:val="auto"/>
              </w:rPr>
              <w:t>Six Months Ended</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81"/>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2"/>
          </w:tcPr>
          <w:p>
            <w:pPr>
              <w:jc w:val="right"/>
              <w:ind w:right="118"/>
              <w:spacing w:after="0"/>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5"/>
        </w:trPr>
        <w:tc>
          <w:tcPr>
            <w:tcW w:w="3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80" w:type="dxa"/>
            <w:vAlign w:val="bottom"/>
            <w:vMerge w:val="restart"/>
          </w:tcPr>
          <w:p>
            <w:pPr>
              <w:jc w:val="right"/>
              <w:ind w:right="41"/>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20"/>
                <w:szCs w:val="20"/>
                <w:color w:val="auto"/>
              </w:rPr>
            </w:pPr>
          </w:p>
        </w:tc>
        <w:tc>
          <w:tcPr>
            <w:tcW w:w="1140" w:type="dxa"/>
            <w:vAlign w:val="bottom"/>
            <w:vMerge w:val="restart"/>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20"/>
                <w:szCs w:val="20"/>
                <w:color w:val="auto"/>
              </w:rPr>
            </w:pPr>
          </w:p>
        </w:tc>
        <w:tc>
          <w:tcPr>
            <w:tcW w:w="860" w:type="dxa"/>
            <w:vAlign w:val="bottom"/>
          </w:tcPr>
          <w:p>
            <w:pPr>
              <w:jc w:val="right"/>
              <w:ind w:right="118"/>
              <w:spacing w:after="0"/>
              <w:rPr>
                <w:sz w:val="20"/>
                <w:szCs w:val="20"/>
                <w:color w:val="auto"/>
              </w:rPr>
            </w:pPr>
            <w:r>
              <w:rPr>
                <w:rFonts w:ascii="Arial" w:cs="Arial" w:eastAsia="Arial" w:hAnsi="Arial"/>
                <w:sz w:val="13"/>
                <w:szCs w:val="13"/>
                <w:b w:val="1"/>
                <w:bCs w:val="1"/>
                <w:color w:val="auto"/>
              </w:rPr>
              <w:t>2019</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3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140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4,947</w:t>
            </w:r>
          </w:p>
        </w:tc>
        <w:tc>
          <w:tcPr>
            <w:tcW w:w="2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81"/>
              <w:spacing w:after="0" w:line="189" w:lineRule="exact"/>
              <w:rPr>
                <w:sz w:val="20"/>
                <w:szCs w:val="20"/>
                <w:color w:val="auto"/>
              </w:rPr>
            </w:pPr>
            <w:r>
              <w:rPr>
                <w:rFonts w:ascii="Arial" w:cs="Arial" w:eastAsia="Arial" w:hAnsi="Arial"/>
                <w:sz w:val="18"/>
                <w:szCs w:val="18"/>
                <w:color w:val="auto"/>
              </w:rPr>
              <w:t>4,933</w:t>
            </w:r>
          </w:p>
        </w:tc>
        <w:tc>
          <w:tcPr>
            <w:tcW w:w="10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0%</w:t>
            </w:r>
          </w:p>
        </w:tc>
        <w:tc>
          <w:tcPr>
            <w:tcW w:w="4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ind w:right="1"/>
              <w:spacing w:after="0" w:line="189" w:lineRule="exact"/>
              <w:rPr>
                <w:sz w:val="20"/>
                <w:szCs w:val="20"/>
                <w:color w:val="auto"/>
              </w:rPr>
            </w:pPr>
            <w:r>
              <w:rPr>
                <w:rFonts w:ascii="Arial" w:cs="Arial" w:eastAsia="Arial" w:hAnsi="Arial"/>
                <w:sz w:val="18"/>
                <w:szCs w:val="18"/>
                <w:b w:val="1"/>
                <w:bCs w:val="1"/>
                <w:color w:val="auto"/>
              </w:rPr>
              <w:t>9,178</w:t>
            </w:r>
          </w:p>
        </w:tc>
        <w:tc>
          <w:tcPr>
            <w:tcW w:w="380" w:type="dxa"/>
            <w:vAlign w:val="bottom"/>
            <w:shd w:val="clear" w:color="auto" w:fill="E5E5E5"/>
          </w:tcPr>
          <w:p>
            <w:pPr>
              <w:jc w:val="right"/>
              <w:ind w:right="141"/>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8"/>
              <w:spacing w:after="0" w:line="189" w:lineRule="exact"/>
              <w:rPr>
                <w:sz w:val="20"/>
                <w:szCs w:val="20"/>
                <w:color w:val="auto"/>
              </w:rPr>
            </w:pPr>
            <w:r>
              <w:rPr>
                <w:rFonts w:ascii="Arial" w:cs="Arial" w:eastAsia="Arial" w:hAnsi="Arial"/>
                <w:sz w:val="18"/>
                <w:szCs w:val="18"/>
                <w:color w:val="auto"/>
              </w:rPr>
              <w:t>9,270</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(2)ppt</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11%</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(2)ppt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2020 Compared with Three Months Ended December 31, 2019</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Sales and marketing expenses were relatively unchanged, driven by investments in commercial sales, offset in part by reductions in advertising.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2020 Compared with Six Months Ended December 31, 2019</w:t>
      </w:r>
    </w:p>
    <w:p>
      <w:pPr>
        <w:spacing w:after="0" w:line="15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Sales and marketing expenses decreased $92 million or 1%, driven by reductions in advertising, offset in part by investments in commercial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380" w:type="dxa"/>
            <w:vAlign w:val="bottom"/>
          </w:tcPr>
          <w:p>
            <w:pPr>
              <w:spacing w:after="0"/>
              <w:rPr>
                <w:sz w:val="13"/>
                <w:szCs w:val="13"/>
                <w:color w:val="auto"/>
              </w:rPr>
            </w:pPr>
          </w:p>
        </w:tc>
        <w:tc>
          <w:tcPr>
            <w:tcW w:w="214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420" w:type="dxa"/>
            <w:vAlign w:val="bottom"/>
          </w:tcPr>
          <w:p>
            <w:pPr>
              <w:spacing w:after="0"/>
              <w:rPr>
                <w:sz w:val="13"/>
                <w:szCs w:val="13"/>
                <w:color w:val="auto"/>
              </w:rPr>
            </w:pPr>
          </w:p>
        </w:tc>
        <w:tc>
          <w:tcPr>
            <w:tcW w:w="2000" w:type="dxa"/>
            <w:vAlign w:val="bottom"/>
            <w:gridSpan w:val="3"/>
          </w:tcPr>
          <w:p>
            <w:pPr>
              <w:jc w:val="right"/>
              <w:ind w:right="118"/>
              <w:spacing w:after="0"/>
              <w:rPr>
                <w:sz w:val="20"/>
                <w:szCs w:val="20"/>
                <w:color w:val="auto"/>
              </w:rPr>
            </w:pPr>
            <w:r>
              <w:rPr>
                <w:rFonts w:ascii="Arial" w:cs="Arial" w:eastAsia="Arial" w:hAnsi="Arial"/>
                <w:sz w:val="13"/>
                <w:szCs w:val="13"/>
                <w:b w:val="1"/>
                <w:bCs w:val="1"/>
                <w:color w:val="auto"/>
              </w:rPr>
              <w:t>Six Months Ended</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0"/>
        </w:trPr>
        <w:tc>
          <w:tcPr>
            <w:tcW w:w="322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81"/>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2"/>
          </w:tcPr>
          <w:p>
            <w:pPr>
              <w:jc w:val="right"/>
              <w:ind w:right="118"/>
              <w:spacing w:after="0"/>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3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vMerge w:val="restart"/>
          </w:tcPr>
          <w:p>
            <w:pPr>
              <w:jc w:val="right"/>
              <w:ind w:right="41"/>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20"/>
                <w:szCs w:val="20"/>
                <w:color w:val="auto"/>
              </w:rPr>
            </w:pPr>
          </w:p>
        </w:tc>
        <w:tc>
          <w:tcPr>
            <w:tcW w:w="1140" w:type="dxa"/>
            <w:vAlign w:val="bottom"/>
            <w:vMerge w:val="restart"/>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20"/>
                <w:szCs w:val="20"/>
                <w:color w:val="auto"/>
              </w:rPr>
            </w:pPr>
          </w:p>
        </w:tc>
        <w:tc>
          <w:tcPr>
            <w:tcW w:w="860" w:type="dxa"/>
            <w:vAlign w:val="bottom"/>
          </w:tcPr>
          <w:p>
            <w:pPr>
              <w:jc w:val="right"/>
              <w:ind w:right="118"/>
              <w:spacing w:after="0"/>
              <w:rPr>
                <w:sz w:val="20"/>
                <w:szCs w:val="20"/>
                <w:color w:val="auto"/>
              </w:rPr>
            </w:pPr>
            <w:r>
              <w:rPr>
                <w:rFonts w:ascii="Arial" w:cs="Arial" w:eastAsia="Arial" w:hAnsi="Arial"/>
                <w:sz w:val="13"/>
                <w:szCs w:val="13"/>
                <w:b w:val="1"/>
                <w:bCs w:val="1"/>
                <w:color w:val="auto"/>
              </w:rPr>
              <w:t>2019</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138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1,139</w:t>
            </w:r>
          </w:p>
        </w:tc>
        <w:tc>
          <w:tcPr>
            <w:tcW w:w="2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81"/>
              <w:spacing w:after="0" w:line="189" w:lineRule="exact"/>
              <w:rPr>
                <w:sz w:val="20"/>
                <w:szCs w:val="20"/>
                <w:color w:val="auto"/>
              </w:rPr>
            </w:pPr>
            <w:r>
              <w:rPr>
                <w:rFonts w:ascii="Arial" w:cs="Arial" w:eastAsia="Arial" w:hAnsi="Arial"/>
                <w:sz w:val="18"/>
                <w:szCs w:val="18"/>
                <w:color w:val="auto"/>
              </w:rPr>
              <w:t>1,121</w:t>
            </w:r>
          </w:p>
        </w:tc>
        <w:tc>
          <w:tcPr>
            <w:tcW w:w="10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2%</w:t>
            </w:r>
          </w:p>
        </w:tc>
        <w:tc>
          <w:tcPr>
            <w:tcW w:w="4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ind w:right="1"/>
              <w:spacing w:after="0" w:line="189" w:lineRule="exact"/>
              <w:rPr>
                <w:sz w:val="20"/>
                <w:szCs w:val="20"/>
                <w:color w:val="auto"/>
              </w:rPr>
            </w:pPr>
            <w:r>
              <w:rPr>
                <w:rFonts w:ascii="Arial" w:cs="Arial" w:eastAsia="Arial" w:hAnsi="Arial"/>
                <w:sz w:val="18"/>
                <w:szCs w:val="18"/>
                <w:b w:val="1"/>
                <w:bCs w:val="1"/>
                <w:color w:val="auto"/>
              </w:rPr>
              <w:t>2,258</w:t>
            </w:r>
          </w:p>
        </w:tc>
        <w:tc>
          <w:tcPr>
            <w:tcW w:w="380" w:type="dxa"/>
            <w:vAlign w:val="bottom"/>
            <w:shd w:val="clear" w:color="auto" w:fill="E5E5E5"/>
          </w:tcPr>
          <w:p>
            <w:pPr>
              <w:jc w:val="right"/>
              <w:ind w:right="141"/>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8"/>
              <w:spacing w:after="0" w:line="189" w:lineRule="exact"/>
              <w:rPr>
                <w:sz w:val="20"/>
                <w:szCs w:val="20"/>
                <w:color w:val="auto"/>
              </w:rPr>
            </w:pPr>
            <w:r>
              <w:rPr>
                <w:rFonts w:ascii="Arial" w:cs="Arial" w:eastAsia="Arial" w:hAnsi="Arial"/>
                <w:sz w:val="18"/>
                <w:szCs w:val="18"/>
                <w:color w:val="auto"/>
              </w:rPr>
              <w:t>2,182</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3%</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3%</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0ppt</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3%</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177" w:lineRule="exact"/>
        <w:rPr>
          <w:sz w:val="20"/>
          <w:szCs w:val="20"/>
          <w:color w:val="auto"/>
        </w:rPr>
      </w:pPr>
    </w:p>
    <w:p>
      <w:pPr>
        <w:ind w:right="2940"/>
        <w:spacing w:after="0" w:line="461" w:lineRule="auto"/>
        <w:rPr>
          <w:sz w:val="20"/>
          <w:szCs w:val="20"/>
          <w:color w:val="auto"/>
        </w:rPr>
      </w:pPr>
      <w:r>
        <w:rPr>
          <w:rFonts w:ascii="Arial" w:cs="Arial" w:eastAsia="Arial" w:hAnsi="Arial"/>
          <w:sz w:val="18"/>
          <w:szCs w:val="18"/>
          <w:b w:val="1"/>
          <w:bCs w:val="1"/>
          <w:i w:val="1"/>
          <w:iCs w:val="1"/>
          <w:color w:val="auto"/>
        </w:rPr>
        <w:t xml:space="preserve">Three Months Ended December 31, 2020 Compared with Three Months Ended December 31, 2019 </w:t>
      </w:r>
      <w:r>
        <w:rPr>
          <w:rFonts w:ascii="Arial" w:cs="Arial" w:eastAsia="Arial" w:hAnsi="Arial"/>
          <w:sz w:val="18"/>
          <w:szCs w:val="18"/>
          <w:color w:val="auto"/>
        </w:rPr>
        <w:t>General and administrative expenses increased $18 million or 2%.</w:t>
      </w:r>
    </w:p>
    <w:p>
      <w:pPr>
        <w:spacing w:after="0" w:line="1" w:lineRule="exact"/>
        <w:rPr>
          <w:sz w:val="20"/>
          <w:szCs w:val="20"/>
          <w:color w:val="auto"/>
        </w:rPr>
      </w:pPr>
    </w:p>
    <w:p>
      <w:pPr>
        <w:ind w:right="2720"/>
        <w:spacing w:after="0" w:line="497" w:lineRule="auto"/>
        <w:rPr>
          <w:sz w:val="20"/>
          <w:szCs w:val="20"/>
          <w:color w:val="auto"/>
        </w:rPr>
      </w:pPr>
      <w:r>
        <w:rPr>
          <w:rFonts w:ascii="Arial" w:cs="Arial" w:eastAsia="Arial" w:hAnsi="Arial"/>
          <w:sz w:val="17"/>
          <w:szCs w:val="17"/>
          <w:b w:val="1"/>
          <w:bCs w:val="1"/>
          <w:i w:val="1"/>
          <w:iCs w:val="1"/>
          <w:color w:val="auto"/>
        </w:rPr>
        <w:t xml:space="preserve">Six Months Ended December 31, 2020 Compared with Six Months Ended December 31, 2019 </w:t>
      </w:r>
      <w:r>
        <w:rPr>
          <w:rFonts w:ascii="Arial" w:cs="Arial" w:eastAsia="Arial" w:hAnsi="Arial"/>
          <w:sz w:val="17"/>
          <w:szCs w:val="17"/>
          <w:color w:val="auto"/>
        </w:rPr>
        <w:t>General and administrative expenses increased $76 million or 3%, driven by an increase in business taxes.</w:t>
      </w: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5"/>
        </w:trPr>
        <w:tc>
          <w:tcPr>
            <w:tcW w:w="5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44"/>
        </w:trPr>
        <w:tc>
          <w:tcPr>
            <w:tcW w:w="5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120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545</w:t>
            </w:r>
          </w:p>
        </w:tc>
        <w:tc>
          <w:tcPr>
            <w:tcW w:w="2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688</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1,115</w:t>
            </w:r>
          </w:p>
        </w:tc>
        <w:tc>
          <w:tcPr>
            <w:tcW w:w="2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189"/>
        </w:trPr>
        <w:tc>
          <w:tcPr>
            <w:tcW w:w="52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(654)</w:t>
            </w:r>
          </w:p>
        </w:tc>
        <w:tc>
          <w:tcPr>
            <w:tcW w:w="36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(1,160)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189"/>
        </w:trPr>
        <w:tc>
          <w:tcPr>
            <w:tcW w:w="5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7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359</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162</w:t>
            </w: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484</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9"/>
        </w:trPr>
        <w:tc>
          <w:tcPr>
            <w:tcW w:w="522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9"/>
        </w:trPr>
        <w:tc>
          <w:tcPr>
            <w:tcW w:w="5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7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42</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(24)</w:t>
            </w:r>
          </w:p>
        </w:tc>
        <w:tc>
          <w:tcPr>
            <w:tcW w:w="3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181</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5"/>
        </w:trPr>
        <w:tc>
          <w:tcPr>
            <w:tcW w:w="5220" w:type="dxa"/>
            <w:vAlign w:val="bottom"/>
          </w:tcPr>
          <w:p>
            <w:pPr>
              <w:spacing w:after="0"/>
              <w:rPr>
                <w:sz w:val="20"/>
                <w:szCs w:val="20"/>
                <w:color w:val="auto"/>
              </w:rPr>
            </w:pPr>
            <w:r>
              <w:rPr>
                <w:rFonts w:ascii="Arial" w:cs="Arial" w:eastAsia="Arial" w:hAnsi="Arial"/>
                <w:sz w:val="18"/>
                <w:szCs w:val="18"/>
                <w:color w:val="auto"/>
              </w:rPr>
              <w:t>Other, net</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3"/>
        </w:trPr>
        <w:tc>
          <w:tcPr>
            <w:tcW w:w="52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440</w:t>
            </w:r>
          </w:p>
        </w:tc>
        <w:tc>
          <w:tcPr>
            <w:tcW w:w="2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194</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688</w:t>
            </w:r>
          </w:p>
        </w:tc>
        <w:tc>
          <w:tcPr>
            <w:tcW w:w="2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75"/>
        </w:trPr>
        <w:tc>
          <w:tcPr>
            <w:tcW w:w="5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2020 Compared with Three Months Ended December 31, 2019</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and dividends income decreased due to lower yields on fixed-income securities. Interest expense decreased due to a decrease in outstanding long-term debt due to debt maturities and higher capitalization of interest expense, offset in part by higher finance lease expense. Net recognized gains on investments increased due to higher gains on equity securities. Net losses on derivatives increased due to losses on foreign exchange derivatives compared to gains in the prior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2020 Compared with Six Months Ended December 31, 2019</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and dividends income decreased due to lower yields on fixed-income securities. Interest expense decreased due to a decrease in outstanding long-term debt due to debt maturities and higher capitalization of interest expense, offset in part by higher finance lease expense. Net recognized gains on investments increased due to higher gains on equity securities. Net losses on derivatives increased due to losses on foreign exchange derivatives compared to gains in the prior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effective tax rate was 16% and 17% for the three months ended December 31, 2020 and 2019, respectively, and 15% and 17% for the six months ended December 31, 2020 and 2019, respectively. The decrease in our effective tax rate for the three and six months ended December 31, 2020 compared to the prior year was primarily due to tax benefits from final Tax Cuts and Jobs Act (“TCJA”) regulations and an increase in tax benefits relating to stock-based compensation.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was lower than the U.S. federal statutory rate for the three months and six months ended December 31, 2020, primarily due to earnings taxed at lower rates in foreign jurisdictions resulting from producing and distributing our products and services through our foreign regional operations centers in Ireland and Puerto Rico, and tax benefits relating to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December 31, 2020,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2020, some of which are currently under audit by local tax authorities. The resolution of each of these audits is not expected to be material to our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cash equivalents, and short-term investments totaled $132.0 billion and $136.5 billion as of December 31, 2020 and June 30, 2020. Equity investments were $3.8 billion and $3.0 billion as of December 31, 2020 and June 30, 2020,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Cash from operations increased $ 7.4 billion to $31.9 billion for the six months ended December 31, 2020, mainly due to an increase in cash received from customers, offset in part by an increase in cash paid to suppliers and employees. Cash used in financing increased $4.8 billion to $23.9 billion for the six months ended December 31, 2020, mainly due to a $3.2 billion increase in common stock repurchases, a $732 million increase in repayments of debt, and a $690 million increase in dividends paid. Cash used in investing decreased $772 million to $7.0 billion for the six months ended December 31, 2020, mainly due to a $5.0 billion increase in cash from net investment purchases, sales, and maturities, offset in part by a $2.2 billion increase in additions to property and equipment and $1.8 billion in other investing to facilitate the purchase of components.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In June 2020, we exchanged a portion of our existing debt at premium for cash and new debt with longer maturities to take advantage of favorable financing rates in the debt markets, reflecting our credit rating and the low interest rate environment. Refer to Note 10 – Debt of the Notes to Financial Statements (Part I, Item 1 of this Form 10-Q) for further discussion.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53"/>
        </w:trPr>
        <w:tc>
          <w:tcPr>
            <w:tcW w:w="10080" w:type="dxa"/>
            <w:vAlign w:val="bottom"/>
            <w:gridSpan w:val="3"/>
          </w:tcPr>
          <w:p>
            <w:pPr>
              <w:ind w:left="5420"/>
              <w:spacing w:after="0"/>
              <w:rPr>
                <w:sz w:val="20"/>
                <w:szCs w:val="20"/>
                <w:color w:val="auto"/>
              </w:rPr>
            </w:pPr>
            <w:r>
              <w:rPr>
                <w:rFonts w:ascii="Arial" w:cs="Arial" w:eastAsia="Arial" w:hAnsi="Arial"/>
                <w:sz w:val="13"/>
                <w:szCs w:val="13"/>
                <w:color w:val="auto"/>
              </w:rPr>
              <w:t>PART I</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4"/>
        </w:trPr>
        <w:tc>
          <w:tcPr>
            <w:tcW w:w="5420" w:type="dxa"/>
            <w:vAlign w:val="bottom"/>
          </w:tcPr>
          <w:p>
            <w:pPr>
              <w:spacing w:after="0"/>
              <w:rPr>
                <w:sz w:val="15"/>
                <w:szCs w:val="15"/>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Item 2</w:t>
            </w:r>
          </w:p>
        </w:tc>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53"/>
        </w:trPr>
        <w:tc>
          <w:tcPr>
            <w:tcW w:w="10080" w:type="dxa"/>
            <w:vAlign w:val="bottom"/>
            <w:gridSpan w:val="3"/>
          </w:tcPr>
          <w:p>
            <w:pPr>
              <w:spacing w:after="0"/>
              <w:rPr>
                <w:sz w:val="20"/>
                <w:szCs w:val="20"/>
                <w:color w:val="auto"/>
              </w:rPr>
            </w:pPr>
            <w:r>
              <w:rPr>
                <w:rFonts w:ascii="Arial" w:cs="Arial" w:eastAsia="Arial" w:hAnsi="Arial"/>
                <w:sz w:val="18"/>
                <w:szCs w:val="18"/>
                <w:color w:val="auto"/>
              </w:rPr>
              <w:t>The following table outlines the expected future recognition of unearned revenue as of December 31, 2020:</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6"/>
        </w:trPr>
        <w:tc>
          <w:tcPr>
            <w:tcW w:w="1008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33"/>
        </w:trPr>
        <w:tc>
          <w:tcPr>
            <w:tcW w:w="10080" w:type="dxa"/>
            <w:vAlign w:val="bottom"/>
            <w:gridSpan w:val="3"/>
          </w:tcPr>
          <w:p>
            <w:pPr>
              <w:spacing w:after="0"/>
              <w:rPr>
                <w:sz w:val="20"/>
                <w:szCs w:val="20"/>
                <w:color w:val="auto"/>
              </w:rPr>
            </w:pPr>
            <w:r>
              <w:rPr>
                <w:rFonts w:ascii="Arial" w:cs="Arial" w:eastAsia="Arial" w:hAnsi="Arial"/>
                <w:sz w:val="13"/>
                <w:szCs w:val="13"/>
                <w:b w:val="1"/>
                <w:bCs w:val="1"/>
                <w:color w:val="auto"/>
              </w:rPr>
              <w:t>Three Months Ending</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89"/>
        </w:trPr>
        <w:tc>
          <w:tcPr>
            <w:tcW w:w="1008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March 31, 2021</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14,418</w:t>
            </w:r>
          </w:p>
        </w:tc>
        <w:tc>
          <w:tcPr>
            <w:tcW w:w="120" w:type="dxa"/>
            <w:vAlign w:val="bottom"/>
            <w:shd w:val="clear" w:color="auto" w:fill="E5E5E5"/>
          </w:tcPr>
          <w:p>
            <w:pPr>
              <w:spacing w:after="0"/>
              <w:rPr>
                <w:sz w:val="16"/>
                <w:szCs w:val="16"/>
                <w:color w:val="auto"/>
              </w:rPr>
            </w:pPr>
          </w:p>
        </w:tc>
      </w:tr>
      <w:tr>
        <w:trPr>
          <w:trHeight w:val="189"/>
        </w:trPr>
        <w:tc>
          <w:tcPr>
            <w:tcW w:w="10080" w:type="dxa"/>
            <w:vAlign w:val="bottom"/>
            <w:gridSpan w:val="3"/>
          </w:tcPr>
          <w:p>
            <w:pPr>
              <w:spacing w:after="0" w:line="189" w:lineRule="exact"/>
              <w:rPr>
                <w:sz w:val="20"/>
                <w:szCs w:val="20"/>
                <w:color w:val="auto"/>
              </w:rPr>
            </w:pPr>
            <w:r>
              <w:rPr>
                <w:rFonts w:ascii="Arial" w:cs="Arial" w:eastAsia="Arial" w:hAnsi="Arial"/>
                <w:sz w:val="18"/>
                <w:szCs w:val="18"/>
                <w:color w:val="auto"/>
              </w:rPr>
              <w:t>June 30, 2021</w:t>
            </w:r>
          </w:p>
        </w:tc>
        <w:tc>
          <w:tcPr>
            <w:tcW w:w="3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9,342</w:t>
            </w:r>
          </w:p>
        </w:tc>
        <w:tc>
          <w:tcPr>
            <w:tcW w:w="120" w:type="dxa"/>
            <w:vAlign w:val="bottom"/>
          </w:tcPr>
          <w:p>
            <w:pPr>
              <w:spacing w:after="0"/>
              <w:rPr>
                <w:sz w:val="16"/>
                <w:szCs w:val="16"/>
                <w:color w:val="auto"/>
              </w:rPr>
            </w:pPr>
          </w:p>
        </w:tc>
      </w:tr>
      <w:tr>
        <w:trPr>
          <w:trHeight w:val="189"/>
        </w:trPr>
        <w:tc>
          <w:tcPr>
            <w:tcW w:w="1008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September 30, 2021</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4,260</w:t>
            </w:r>
          </w:p>
        </w:tc>
        <w:tc>
          <w:tcPr>
            <w:tcW w:w="120" w:type="dxa"/>
            <w:vAlign w:val="bottom"/>
            <w:shd w:val="clear" w:color="auto" w:fill="E5E5E5"/>
          </w:tcPr>
          <w:p>
            <w:pPr>
              <w:spacing w:after="0"/>
              <w:rPr>
                <w:sz w:val="16"/>
                <w:szCs w:val="16"/>
                <w:color w:val="auto"/>
              </w:rPr>
            </w:pPr>
          </w:p>
        </w:tc>
      </w:tr>
      <w:tr>
        <w:trPr>
          <w:trHeight w:val="189"/>
        </w:trPr>
        <w:tc>
          <w:tcPr>
            <w:tcW w:w="10080" w:type="dxa"/>
            <w:vAlign w:val="bottom"/>
            <w:gridSpan w:val="3"/>
          </w:tcPr>
          <w:p>
            <w:pPr>
              <w:spacing w:after="0" w:line="189" w:lineRule="exact"/>
              <w:rPr>
                <w:sz w:val="20"/>
                <w:szCs w:val="20"/>
                <w:color w:val="auto"/>
              </w:rPr>
            </w:pPr>
            <w:r>
              <w:rPr>
                <w:rFonts w:ascii="Arial" w:cs="Arial" w:eastAsia="Arial" w:hAnsi="Arial"/>
                <w:sz w:val="18"/>
                <w:szCs w:val="18"/>
                <w:color w:val="auto"/>
              </w:rPr>
              <w:t>December 31, 2021</w:t>
            </w:r>
          </w:p>
        </w:tc>
        <w:tc>
          <w:tcPr>
            <w:tcW w:w="3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2,382</w:t>
            </w:r>
          </w:p>
        </w:tc>
        <w:tc>
          <w:tcPr>
            <w:tcW w:w="120" w:type="dxa"/>
            <w:vAlign w:val="bottom"/>
          </w:tcPr>
          <w:p>
            <w:pPr>
              <w:spacing w:after="0"/>
              <w:rPr>
                <w:sz w:val="16"/>
                <w:szCs w:val="16"/>
                <w:color w:val="auto"/>
              </w:rPr>
            </w:pPr>
          </w:p>
        </w:tc>
      </w:tr>
      <w:tr>
        <w:trPr>
          <w:trHeight w:val="189"/>
        </w:trPr>
        <w:tc>
          <w:tcPr>
            <w:tcW w:w="1008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2,985</w:t>
            </w:r>
          </w:p>
        </w:tc>
        <w:tc>
          <w:tcPr>
            <w:tcW w:w="120" w:type="dxa"/>
            <w:vAlign w:val="bottom"/>
            <w:shd w:val="clear" w:color="auto" w:fill="E5E5E5"/>
          </w:tcPr>
          <w:p>
            <w:pPr>
              <w:spacing w:after="0"/>
              <w:rPr>
                <w:sz w:val="16"/>
                <w:szCs w:val="16"/>
                <w:color w:val="auto"/>
              </w:rPr>
            </w:pPr>
          </w:p>
        </w:tc>
      </w:tr>
      <w:tr>
        <w:trPr>
          <w:trHeight w:val="68"/>
        </w:trPr>
        <w:tc>
          <w:tcPr>
            <w:tcW w:w="54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5"/>
        </w:trPr>
        <w:tc>
          <w:tcPr>
            <w:tcW w:w="1008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33,387</w:t>
            </w:r>
          </w:p>
        </w:tc>
        <w:tc>
          <w:tcPr>
            <w:tcW w:w="120" w:type="dxa"/>
            <w:vAlign w:val="bottom"/>
          </w:tcPr>
          <w:p>
            <w:pPr>
              <w:spacing w:after="0"/>
              <w:rPr>
                <w:sz w:val="23"/>
                <w:szCs w:val="23"/>
                <w:color w:val="auto"/>
              </w:rPr>
            </w:pPr>
          </w:p>
        </w:tc>
      </w:tr>
      <w:tr>
        <w:trPr>
          <w:trHeight w:val="49"/>
        </w:trPr>
        <w:tc>
          <w:tcPr>
            <w:tcW w:w="5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December 31, 2020 and 2019, we repurchased 52 million shares and 61 million shares of our common stock for $11.0 billion and $8.6 billion, respectively, through our share repurchase programs. All repurchases were made using cash resources. Refer to Note 15 – Stockholders’ Equity of the Notes to Financial Statements (Part I, Item 1 of this Form 10-Q)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 Stockholders’ Equity of the Notes to Financial Statements (Part I, Item 1 of this Form 10-Q) for further discussion.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in our consolidated financial statements during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6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September 19, 2020, we entered into a definitive agreement to acquire ZeniMax Media Inc., the parent company of Bethesda Softworks LLC, for $7.5 billion in cash. We expect this acquisition to close in the second half of fiscal year 2021, subject to customary closing conditions and completion of regulatory review.</w:t>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We have paid transition tax of $4.7 billion, which included $1.5 billion during the six months ended December 31, 2020. The remaining transition tax of $13.5 billion is payable over the next five years with a final payment in fiscal year 2026.</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197"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as well as uncertainty in the current economic environment due to COVID-19. Critical accounting policies for us include revenue recognition, impairment of investment securities, goodwill, research and development costs, contingencies, income taxes, and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ind w:left="5420"/>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3"/>
          <w:szCs w:val="13"/>
          <w:u w:val="single" w:color="auto"/>
          <w:color w:val="auto"/>
        </w:rPr>
        <w:t>PART 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3, 4</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and to facilitate portfolio diversification.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0637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vMerge w:val="restart"/>
          </w:tcPr>
          <w:p>
            <w:pPr>
              <w:spacing w:after="0"/>
              <w:rPr>
                <w:sz w:val="20"/>
                <w:szCs w:val="20"/>
                <w:color w:val="auto"/>
              </w:rPr>
            </w:pPr>
            <w:r>
              <w:rPr>
                <w:rFonts w:ascii="Arial" w:cs="Arial" w:eastAsia="Arial" w:hAnsi="Arial"/>
                <w:sz w:val="13"/>
                <w:szCs w:val="13"/>
                <w:b w:val="1"/>
                <w:bCs w:val="1"/>
                <w:color w:val="auto"/>
              </w:rPr>
              <w:t>Risk Categories</w:t>
            </w:r>
          </w:p>
        </w:tc>
        <w:tc>
          <w:tcPr>
            <w:tcW w:w="520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Hypothetical Change</w:t>
            </w:r>
          </w:p>
        </w:tc>
        <w:tc>
          <w:tcPr>
            <w:tcW w:w="720" w:type="dxa"/>
            <w:vAlign w:val="bottom"/>
          </w:tcPr>
          <w:p>
            <w:pPr>
              <w:spacing w:after="0"/>
              <w:rPr>
                <w:sz w:val="12"/>
                <w:szCs w:val="12"/>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b w:val="1"/>
                <w:bCs w:val="1"/>
                <w:color w:val="auto"/>
              </w:rPr>
              <w:t>December 31,</w:t>
            </w:r>
          </w:p>
        </w:tc>
        <w:tc>
          <w:tcPr>
            <w:tcW w:w="12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Impact</w:t>
            </w:r>
          </w:p>
        </w:tc>
        <w:tc>
          <w:tcPr>
            <w:tcW w:w="0" w:type="dxa"/>
            <w:vAlign w:val="bottom"/>
          </w:tcPr>
          <w:p>
            <w:pPr>
              <w:spacing w:after="0"/>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52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b w:val="1"/>
                <w:bCs w:val="1"/>
                <w:color w:val="auto"/>
              </w:rPr>
              <w:t>2020</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920" w:type="dxa"/>
            <w:vAlign w:val="bottom"/>
          </w:tcPr>
          <w:p>
            <w:pPr>
              <w:spacing w:after="0"/>
              <w:rPr>
                <w:sz w:val="3"/>
                <w:szCs w:val="3"/>
                <w:color w:val="auto"/>
              </w:rPr>
            </w:pPr>
          </w:p>
        </w:tc>
        <w:tc>
          <w:tcPr>
            <w:tcW w:w="5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E5E5E5"/>
          </w:tcPr>
          <w:p>
            <w:pPr>
              <w:spacing w:after="0" w:line="203" w:lineRule="exact"/>
              <w:rPr>
                <w:sz w:val="20"/>
                <w:szCs w:val="20"/>
                <w:color w:val="auto"/>
              </w:rPr>
            </w:pPr>
            <w:r>
              <w:rPr>
                <w:rFonts w:ascii="Arial" w:cs="Arial" w:eastAsia="Arial" w:hAnsi="Arial"/>
                <w:sz w:val="18"/>
                <w:szCs w:val="18"/>
                <w:color w:val="auto"/>
              </w:rPr>
              <w:t>Foreign currency</w:t>
            </w:r>
            <w:r>
              <w:rPr>
                <w:rFonts w:ascii="Arial" w:cs="Arial" w:eastAsia="Arial" w:hAnsi="Arial"/>
                <w:sz w:val="21"/>
                <w:szCs w:val="21"/>
                <w:color w:val="auto"/>
              </w:rPr>
              <w:t>–</w:t>
            </w:r>
            <w:r>
              <w:rPr>
                <w:rFonts w:ascii="Arial" w:cs="Arial" w:eastAsia="Arial" w:hAnsi="Arial"/>
                <w:sz w:val="18"/>
                <w:szCs w:val="18"/>
                <w:color w:val="auto"/>
              </w:rPr>
              <w:t>Revenue</w:t>
            </w:r>
          </w:p>
        </w:tc>
        <w:tc>
          <w:tcPr>
            <w:tcW w:w="5200" w:type="dxa"/>
            <w:vAlign w:val="bottom"/>
            <w:shd w:val="clear" w:color="auto" w:fill="E5E5E5"/>
          </w:tcPr>
          <w:p>
            <w:pPr>
              <w:ind w:left="460"/>
              <w:spacing w:after="0" w:line="202" w:lineRule="exact"/>
              <w:rPr>
                <w:sz w:val="20"/>
                <w:szCs w:val="20"/>
                <w:color w:val="auto"/>
              </w:rPr>
            </w:pPr>
            <w:r>
              <w:rPr>
                <w:rFonts w:ascii="Arial" w:cs="Arial" w:eastAsia="Arial" w:hAnsi="Arial"/>
                <w:sz w:val="18"/>
                <w:szCs w:val="18"/>
                <w:color w:val="auto"/>
              </w:rPr>
              <w:t>10% decrease in foreign exchange rates</w:t>
            </w:r>
          </w:p>
        </w:tc>
        <w:tc>
          <w:tcPr>
            <w:tcW w:w="72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(4,940)</w:t>
            </w:r>
          </w:p>
        </w:tc>
        <w:tc>
          <w:tcPr>
            <w:tcW w:w="1200" w:type="dxa"/>
            <w:vAlign w:val="bottom"/>
            <w:gridSpan w:val="2"/>
            <w:shd w:val="clear" w:color="auto" w:fill="E5E5E5"/>
          </w:tcPr>
          <w:p>
            <w:pPr>
              <w:ind w:left="8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03"/>
        </w:trPr>
        <w:tc>
          <w:tcPr>
            <w:tcW w:w="2920" w:type="dxa"/>
            <w:vAlign w:val="bottom"/>
          </w:tcPr>
          <w:p>
            <w:pPr>
              <w:spacing w:after="0" w:line="203" w:lineRule="exact"/>
              <w:rPr>
                <w:sz w:val="20"/>
                <w:szCs w:val="20"/>
                <w:color w:val="auto"/>
              </w:rPr>
            </w:pPr>
            <w:r>
              <w:rPr>
                <w:rFonts w:ascii="Arial" w:cs="Arial" w:eastAsia="Arial" w:hAnsi="Arial"/>
                <w:sz w:val="18"/>
                <w:szCs w:val="18"/>
                <w:color w:val="auto"/>
              </w:rPr>
              <w:t>Foreign currency</w:t>
            </w:r>
            <w:r>
              <w:rPr>
                <w:rFonts w:ascii="Arial" w:cs="Arial" w:eastAsia="Arial" w:hAnsi="Arial"/>
                <w:sz w:val="21"/>
                <w:szCs w:val="21"/>
                <w:color w:val="auto"/>
              </w:rPr>
              <w:t>–</w:t>
            </w:r>
            <w:r>
              <w:rPr>
                <w:rFonts w:ascii="Arial" w:cs="Arial" w:eastAsia="Arial" w:hAnsi="Arial"/>
                <w:sz w:val="18"/>
                <w:szCs w:val="18"/>
                <w:color w:val="auto"/>
              </w:rPr>
              <w:t>Investments</w:t>
            </w:r>
          </w:p>
        </w:tc>
        <w:tc>
          <w:tcPr>
            <w:tcW w:w="5200" w:type="dxa"/>
            <w:vAlign w:val="bottom"/>
          </w:tcPr>
          <w:p>
            <w:pPr>
              <w:ind w:left="460"/>
              <w:spacing w:after="0" w:line="202" w:lineRule="exact"/>
              <w:rPr>
                <w:sz w:val="20"/>
                <w:szCs w:val="20"/>
                <w:color w:val="auto"/>
              </w:rPr>
            </w:pPr>
            <w:r>
              <w:rPr>
                <w:rFonts w:ascii="Arial" w:cs="Arial" w:eastAsia="Arial" w:hAnsi="Arial"/>
                <w:sz w:val="18"/>
                <w:szCs w:val="18"/>
                <w:color w:val="auto"/>
              </w:rPr>
              <w:t>10% decrease in foreign exchange rates</w:t>
            </w:r>
          </w:p>
        </w:tc>
        <w:tc>
          <w:tcPr>
            <w:tcW w:w="7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w:t>
            </w:r>
          </w:p>
        </w:tc>
        <w:tc>
          <w:tcPr>
            <w:tcW w:w="12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2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w:t>
            </w:r>
          </w:p>
        </w:tc>
        <w:tc>
          <w:tcPr>
            <w:tcW w:w="520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100 basis point increase in U.S. treasury interest rates</w:t>
            </w:r>
          </w:p>
        </w:tc>
        <w:tc>
          <w:tcPr>
            <w:tcW w:w="720" w:type="dxa"/>
            <w:vAlign w:val="bottom"/>
            <w:shd w:val="clear" w:color="auto" w:fill="E5E5E5"/>
          </w:tcPr>
          <w:p>
            <w:pPr>
              <w:spacing w:after="0"/>
              <w:rPr>
                <w:sz w:val="16"/>
                <w:szCs w:val="16"/>
                <w:color w:val="auto"/>
              </w:rPr>
            </w:pPr>
          </w:p>
        </w:tc>
        <w:tc>
          <w:tcPr>
            <w:tcW w:w="12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(3,676)</w:t>
            </w:r>
          </w:p>
        </w:tc>
        <w:tc>
          <w:tcPr>
            <w:tcW w:w="120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2920" w:type="dxa"/>
            <w:vAlign w:val="bottom"/>
          </w:tcPr>
          <w:p>
            <w:pPr>
              <w:spacing w:after="0" w:line="189" w:lineRule="exact"/>
              <w:rPr>
                <w:sz w:val="20"/>
                <w:szCs w:val="20"/>
                <w:color w:val="auto"/>
              </w:rPr>
            </w:pPr>
            <w:r>
              <w:rPr>
                <w:rFonts w:ascii="Arial" w:cs="Arial" w:eastAsia="Arial" w:hAnsi="Arial"/>
                <w:sz w:val="18"/>
                <w:szCs w:val="18"/>
                <w:color w:val="auto"/>
              </w:rPr>
              <w:t>Credit</w:t>
            </w:r>
          </w:p>
        </w:tc>
        <w:tc>
          <w:tcPr>
            <w:tcW w:w="5200" w:type="dxa"/>
            <w:vAlign w:val="bottom"/>
          </w:tcPr>
          <w:p>
            <w:pPr>
              <w:ind w:left="460"/>
              <w:spacing w:after="0" w:line="189" w:lineRule="exact"/>
              <w:rPr>
                <w:sz w:val="20"/>
                <w:szCs w:val="20"/>
                <w:color w:val="auto"/>
              </w:rPr>
            </w:pPr>
            <w:r>
              <w:rPr>
                <w:rFonts w:ascii="Arial" w:cs="Arial" w:eastAsia="Arial" w:hAnsi="Arial"/>
                <w:sz w:val="18"/>
                <w:szCs w:val="18"/>
                <w:color w:val="auto"/>
              </w:rPr>
              <w:t>100 basis point increase in credit spreads</w:t>
            </w:r>
          </w:p>
        </w:tc>
        <w:tc>
          <w:tcPr>
            <w:tcW w:w="7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(281)</w:t>
            </w:r>
          </w:p>
        </w:tc>
        <w:tc>
          <w:tcPr>
            <w:tcW w:w="120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2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520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 decrease in equity market prices</w:t>
            </w:r>
          </w:p>
        </w:tc>
        <w:tc>
          <w:tcPr>
            <w:tcW w:w="720" w:type="dxa"/>
            <w:vAlign w:val="bottom"/>
            <w:shd w:val="clear" w:color="auto" w:fill="E5E5E5"/>
          </w:tcPr>
          <w:p>
            <w:pPr>
              <w:spacing w:after="0"/>
              <w:rPr>
                <w:sz w:val="16"/>
                <w:szCs w:val="16"/>
                <w:color w:val="auto"/>
              </w:rPr>
            </w:pPr>
          </w:p>
        </w:tc>
        <w:tc>
          <w:tcPr>
            <w:tcW w:w="12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(304)</w:t>
            </w:r>
          </w:p>
        </w:tc>
        <w:tc>
          <w:tcPr>
            <w:tcW w:w="120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68"/>
        </w:trPr>
        <w:tc>
          <w:tcPr>
            <w:tcW w:w="292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1, 1A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Refer to Note 14 – Contingencies of the Notes to Financial Statements (Part I, Item 1 of this Form 10-Q) for information regarding legal proceedings in which we are involved.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22" w:lineRule="exact"/>
        <w:rPr>
          <w:sz w:val="20"/>
          <w:szCs w:val="20"/>
          <w:color w:val="auto"/>
        </w:rPr>
      </w:pPr>
    </w:p>
    <w:p>
      <w:pPr>
        <w:jc w:val="both"/>
        <w:ind w:left="1060" w:hanging="391"/>
        <w:spacing w:after="0" w:line="241"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30" w:lineRule="exact"/>
        <w:rPr>
          <w:rFonts w:ascii="Arial" w:cs="Arial" w:eastAsia="Arial" w:hAnsi="Arial"/>
          <w:sz w:val="18"/>
          <w:szCs w:val="18"/>
          <w:color w:val="auto"/>
        </w:rPr>
      </w:pPr>
    </w:p>
    <w:p>
      <w:pPr>
        <w:jc w:val="both"/>
        <w:ind w:left="1060" w:hanging="391"/>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47" w:lineRule="exact"/>
        <w:rPr>
          <w:sz w:val="20"/>
          <w:szCs w:val="20"/>
          <w:color w:val="auto"/>
        </w:rPr>
      </w:pPr>
    </w:p>
    <w:p>
      <w:pPr>
        <w:jc w:val="both"/>
        <w:ind w:left="1060" w:hanging="391"/>
        <w:spacing w:after="0" w:line="241"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1"/>
        <w:spacing w:after="0" w:line="245"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23" w:lineRule="exact"/>
        <w:rPr>
          <w:rFonts w:ascii="Arial" w:cs="Arial" w:eastAsia="Arial" w:hAnsi="Arial"/>
          <w:sz w:val="18"/>
          <w:szCs w:val="18"/>
          <w:color w:val="auto"/>
        </w:rPr>
      </w:pPr>
    </w:p>
    <w:p>
      <w:pPr>
        <w:jc w:val="both"/>
        <w:ind w:left="1060" w:hanging="391"/>
        <w:spacing w:after="0" w:line="255"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15" w:lineRule="exact"/>
        <w:rPr>
          <w:rFonts w:ascii="Arial" w:cs="Arial" w:eastAsia="Arial" w:hAnsi="Arial"/>
          <w:sz w:val="18"/>
          <w:szCs w:val="18"/>
          <w:color w:val="auto"/>
        </w:rPr>
      </w:pPr>
    </w:p>
    <w:p>
      <w:pPr>
        <w:jc w:val="both"/>
        <w:ind w:left="1060" w:hanging="391"/>
        <w:spacing w:after="0" w:line="255"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and earning revenue on advertising or integrated products and services. These firms do not bear the full costs of research and development for the open source software. Some open source software mimics the features and functionality of our products.</w:t>
      </w:r>
    </w:p>
    <w:p>
      <w:pPr>
        <w:spacing w:after="0" w:line="9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w:t>
      </w:r>
      <w:r>
        <w:rPr>
          <w:rFonts w:ascii="Arial" w:cs="Arial" w:eastAsia="Arial" w:hAnsi="Arial"/>
          <w:sz w:val="18"/>
          <w:szCs w:val="18"/>
          <w:b w:val="1"/>
          <w:bCs w:val="1"/>
          <w:color w:val="auto"/>
        </w:rPr>
        <w:t xml:space="preserve"> </w:t>
      </w:r>
      <w:r>
        <w:rPr>
          <w:rFonts w:ascii="Arial" w:cs="Arial" w:eastAsia="Arial" w:hAnsi="Arial"/>
          <w:sz w:val="18"/>
          <w:szCs w:val="18"/>
          <w:color w:val="auto"/>
        </w:rPr>
        <w:t>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worldview is connected with the growth of the Internet of Things (“IoT”). Our success in the IoT will depend on the level of adoption of our offerings such as Azure, Azure Stack, Azure IoT Edge, and Azure Sphere. We may not establish market share sufficient to achieve scale necessary to achieve our business objectives.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29" w:lineRule="exact"/>
        <w:rPr>
          <w:sz w:val="20"/>
          <w:szCs w:val="20"/>
          <w:color w:val="auto"/>
        </w:rPr>
      </w:pPr>
    </w:p>
    <w:p>
      <w:pPr>
        <w:ind w:left="1060" w:hanging="391"/>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103" w:lineRule="exact"/>
        <w:rPr>
          <w:rFonts w:ascii="Arial" w:cs="Arial" w:eastAsia="Arial" w:hAnsi="Arial"/>
          <w:sz w:val="18"/>
          <w:szCs w:val="18"/>
          <w:color w:val="auto"/>
        </w:rPr>
      </w:pPr>
    </w:p>
    <w:p>
      <w:pPr>
        <w:ind w:left="1060" w:hanging="391"/>
        <w:spacing w:after="0" w:line="273"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IoT endpoints.</w:t>
      </w:r>
    </w:p>
    <w:p>
      <w:pPr>
        <w:spacing w:after="0" w:line="1" w:lineRule="exact"/>
        <w:rPr>
          <w:rFonts w:ascii="Arial" w:cs="Arial" w:eastAsia="Arial" w:hAnsi="Arial"/>
          <w:sz w:val="18"/>
          <w:szCs w:val="18"/>
          <w:color w:val="auto"/>
        </w:rPr>
      </w:pPr>
    </w:p>
    <w:p>
      <w:pPr>
        <w:ind w:left="1060" w:hanging="391"/>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357" w:lineRule="exact"/>
        <w:rPr>
          <w:sz w:val="20"/>
          <w:szCs w:val="20"/>
          <w:color w:val="auto"/>
        </w:rPr>
      </w:pPr>
    </w:p>
    <w:p>
      <w:pPr>
        <w:ind w:left="1060" w:hanging="391"/>
        <w:spacing w:after="0" w:line="273"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 as well as help them meet their own compliance needs.</w:t>
      </w:r>
    </w:p>
    <w:p>
      <w:pPr>
        <w:spacing w:after="0" w:line="1" w:lineRule="exact"/>
        <w:rPr>
          <w:rFonts w:ascii="Arial" w:cs="Arial" w:eastAsia="Arial" w:hAnsi="Arial"/>
          <w:sz w:val="18"/>
          <w:szCs w:val="18"/>
          <w:color w:val="auto"/>
        </w:rPr>
      </w:pPr>
    </w:p>
    <w:p>
      <w:pPr>
        <w:ind w:left="1060" w:hanging="391"/>
        <w:spacing w:after="0" w:line="276"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365, Office, Bing, SQL Server, Windows Server, Azure, Office 365, Xbox Live,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Edge and Bing, that drive post-sale monetization opportunities. Our data handling practices across our products and services will continue to be under scrutiny and perceptions of mismanagement, driven by regulatory activity or negative public reaction to our practices or product experiences, which could negatively impact product and feature adoption, product design, and product quality.</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For example, in October 2018, we completed our acquisition of GitHub, Inc. (“GitHub”) for $7.5 billion. These acquisitions and other transactions and arrangements involve significant challenges and risks, including that they do not advance our business strategy, that we get an unsatisfactory return on our investment, that we have difficulty integrating and retaining new employees, business systems, and technology, or that they distract management from our other businesses.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Inadequate account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Cyberthreats are constantly evolving,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 technologies, or otherwise adversely affect our business.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cyberattacks uncovered in late 2020 known as “Solorigate” are an example of a supply chain attack where malware was introduced to a software provider’s customers, including us, through software updates. The attackers were later able to create false credentials that</w:t>
      </w:r>
    </w:p>
    <w:p>
      <w:pPr>
        <w:jc w:val="both"/>
        <w:spacing w:after="0" w:line="276" w:lineRule="auto"/>
        <w:rPr>
          <w:sz w:val="20"/>
          <w:szCs w:val="20"/>
          <w:color w:val="auto"/>
        </w:rPr>
      </w:pPr>
      <w:r>
        <w:rPr>
          <w:rFonts w:ascii="Arial" w:cs="Arial" w:eastAsia="Arial" w:hAnsi="Arial"/>
          <w:sz w:val="18"/>
          <w:szCs w:val="18"/>
          <w:color w:val="auto"/>
        </w:rPr>
        <w:t>appeared legitimate to certain customers’ systems. We may be targets of further attacks similar to Solorigate as both a supplier and consumer of IT.</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Adversaries that are attacking our customers’ on-premises environments will continue to attack those customers using our cloud services as customers embrace digital transformation. Adversaries that acquire user account information can use that information to compromise our users’ accounts, including where accounts share the same attributes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and anti-virus software and information about the need to deploy security measures and the impact of doing so. Customers in certain industries such as financial services, health care, and government may have enhanced or specialized requirements to which we must engineer our product and services.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Solorigate or similar cyberattacks may adversely impact our customers even if our production services are not directly compromised. We are notifying our customers whose systems have been impacted as we become aware of them and provide guidance on detection, tracking, and remediation. We may not be able to detect the existence or extent of these attacks for all of our customers.</w:t>
      </w: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cloud-based offerings, we store and process increasingly large amounts of personally identifiable information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w:t>
      </w:r>
    </w:p>
    <w:p>
      <w:pPr>
        <w:spacing w:after="0" w:line="1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and social platform abuses</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including GitHub, LinkedIn, Microsoft Advertising, MSN, and Xbox Live, our reputation or user engagement may be negatively affected by activity that is hostile or inappropriate. This activity may come from users impersonating other people or organizations, use of our products or services to spread terrorist or violent extremist content or to disseminate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safety and service misuse</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hosted consumer services as well as our enterprise services may be used by third parties to disseminate harmful or illegal content in violation of our terms or applicable law. We may not proactively discover such content due to scale and the limitations of existing technologies, and when discovered by users, such content may negatively affect our reputation, our brands, and user engagement. Regulations and other initiatives to make platforms responsible for preventing or eliminating harmful content online are gaining momentum and we expect this to continue. We may be subject to enhanced regulatory oversight, civil or criminal liability, or reputational damage if we fail to comply with content moderation regulations, adversely affecting our business and consolidated financial statements.</w:t>
      </w:r>
    </w:p>
    <w:p>
      <w:pPr>
        <w:spacing w:after="0" w:line="1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a network of distributed and interconnected devices employing sensors, data, and computing capabilities including AI.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Issues in the use of AI in our offerings may result in reputational harm or liability</w:t>
      </w:r>
      <w:r>
        <w:rPr>
          <w:rFonts w:ascii="Arial" w:cs="Arial" w:eastAsia="Arial" w:hAnsi="Arial"/>
          <w:sz w:val="18"/>
          <w:szCs w:val="18"/>
          <w:color w:val="auto"/>
        </w:rPr>
        <w:t>. We are building AI into many of our offerings and we</w:t>
      </w:r>
      <w:r>
        <w:rPr>
          <w:rFonts w:ascii="Arial" w:cs="Arial" w:eastAsia="Arial" w:hAnsi="Arial"/>
          <w:sz w:val="18"/>
          <w:szCs w:val="18"/>
          <w:b w:val="1"/>
          <w:bCs w:val="1"/>
          <w:color w:val="auto"/>
        </w:rPr>
        <w:t xml:space="preserve"> </w:t>
      </w:r>
      <w:r>
        <w:rPr>
          <w:rFonts w:ascii="Arial" w:cs="Arial" w:eastAsia="Arial" w:hAnsi="Arial"/>
          <w:sz w:val="18"/>
          <w:szCs w:val="18"/>
          <w:color w:val="auto"/>
        </w:rPr>
        <w:t>expect this element of our business to grow. We envision a future in which AI operating in our devices, applications, and the cloud helps our customers be more productive in their work and personal lives. As with many disruptive innovations, AI presents risks and challenges that could affect its adoption, and therefore our business. AI algorithms may be flawed. Datasets may be insufficient or contain biased information. Inappropriate or controversial data practices by Microsoft or others could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issues, we may experience brand or reputational harm.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Azure, Microsoft Account services, Microsoft 365, Microsoft Teams, Dynamics 365, OneDrive, SharePoint Online, Skype, Xbox Live, and Outlook.com.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1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potentially magnifying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industry shortages, legal or regulatory changes,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hardware and software products we may offer.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Governments are actively enforcing competition laws and regulations, and this includes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10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 from them. New competition law actions could be initiated, potentially using previous actions as precedent. The outcome of such actions, or steps taken to avoid them, could adversely affect us in a variety of ways, including:</w:t>
      </w:r>
    </w:p>
    <w:p>
      <w:pPr>
        <w:spacing w:after="0" w:line="22" w:lineRule="exact"/>
        <w:rPr>
          <w:sz w:val="20"/>
          <w:szCs w:val="20"/>
          <w:color w:val="auto"/>
        </w:rPr>
      </w:pPr>
    </w:p>
    <w:p>
      <w:pPr>
        <w:jc w:val="both"/>
        <w:ind w:left="1060" w:hanging="391"/>
        <w:spacing w:after="0" w:line="255"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15" w:lineRule="exact"/>
        <w:rPr>
          <w:rFonts w:ascii="Arial" w:cs="Arial" w:eastAsia="Arial" w:hAnsi="Arial"/>
          <w:sz w:val="18"/>
          <w:szCs w:val="18"/>
          <w:color w:val="auto"/>
        </w:rPr>
      </w:pPr>
    </w:p>
    <w:p>
      <w:pPr>
        <w:ind w:left="1060" w:hanging="391"/>
        <w:spacing w:after="0" w:line="273"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1" w:lineRule="exact"/>
        <w:rPr>
          <w:rFonts w:ascii="Arial" w:cs="Arial" w:eastAsia="Arial" w:hAnsi="Arial"/>
          <w:sz w:val="18"/>
          <w:szCs w:val="18"/>
          <w:color w:val="auto"/>
        </w:rPr>
      </w:pPr>
    </w:p>
    <w:p>
      <w:pPr>
        <w:jc w:val="both"/>
        <w:ind w:left="1060" w:hanging="391"/>
        <w:spacing w:after="0" w:line="255"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15" w:lineRule="exact"/>
        <w:rPr>
          <w:rFonts w:ascii="Arial" w:cs="Arial" w:eastAsia="Arial" w:hAnsi="Arial"/>
          <w:sz w:val="18"/>
          <w:szCs w:val="18"/>
          <w:color w:val="auto"/>
        </w:rPr>
      </w:pPr>
    </w:p>
    <w:p>
      <w:pPr>
        <w:ind w:left="1060" w:hanging="391"/>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realize anticipated Windows 10 post-sale monetization opportunities may be limited.</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global operations subject us to potential liability under anti-corruption, trade protection,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On July 22, 2019, our Hungarian subsidiary entered into a non-prosecution agreement (“NPA”) with the U.S. Department of Justice (“DOJ”) and we agreed to the terms of a cease and desist order with the Securities and Exchange Commission. These agreements required us to pay $25.3 million in monetary penalties, disgorgement, and interest pertaining to activities at Microsoft’s subsidiary in Hungary. The NPA, which has a three-year term, also contains certain ongoing compliance requirements, including the obligations to disclose to the DOJ issues that may implicate the FCPA and to cooperate in any inquiries.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 Operations outside the U.S. may be affected by changes in trade protection laws, policies, sanctions, and other regulatory requirements affecting trade and investment. We may be subject to legal liability and reputational damage if we sell goods or services in violation of U.S. trade sanctions on restricted entities or countries such as Crimea, Cuba, Iran, North Korea, Sudan, and Syria.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regulatory areas that may apply to our products and online services offerings include requirements related to user privacy, telecommunications, data storage and protection, advertising, and online content. For example, some regulators are taking the position that our offerings such as Microsoft Teams and Skype are covered by existing laws regulating telecommunications services, and some new laws, including EU Member State laws under the European Electronic Communications Code, are defining more of our services as regulated telecommunications services. This trend may continue and will result in these offerings being subjected to additional data protection, security, and law enforcement surveillance obligations. Regulators may assert that our collection, use, and management of customer and other data is inconsistent with their laws and regulations. Legislative or regulatory action relating to cybersecurity requirements may increase the costs to develop, implement, or secure our products and services. Legislative or regulatory action could also emerge in the area of AI and content moderation, increasing costs or restricting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customers, and other stakeholders to make technology more accessible. If our products do not meet customer expectations or global accessibility requirements, we could lose sales opportunities or face regulatory actions.</w:t>
      </w:r>
    </w:p>
    <w:p>
      <w:pPr>
        <w:spacing w:after="0" w:line="1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in July 2020 the Court of Justice of the EU invalidated a framework called Privacy Shield for companies to transfer data from EU member states to the United States. This ruling has led to uncertainty about the legal requirements for data transfers from the EU under other legal mechanisms. Potential new rules and restrictions on the flow of data across borders could increase the cost and complexity of delivering our products and services in some markets. In May 2018, the EU General Data Protection Regulation (“GDPR”), became effective. The law, which applies to all of our activities conducted from an establishment in the EU or related to products and services offered in the EU, imposes a range of compliance obligations regarding the handling of personal data. Engineering efforts to build and maintain capabilities to facilitate compliance with the law have entailed substantial expense and the diversion of engineering resources from other projects and may continue to do so. We might experience reduced demand for our offerings if we are unable to engineer products that meet our legal duties or help our customers meet their obligations under the GDPR or other data regulations, or if our implementation to comply with the GDPR makes our offerings less attractive. The GDPR imposes significant new obligations and compliance with these obligations depends in part on how particular regulators interpret and apply them. If we fail to comply with the GDPR, or if regulators assert we have failed to comply with the GDPR, it may lead to regulatory enforcement actions, which can result in monetary penalties of up to 4% of worldwide revenue, private lawsuits, reputational damage, and loss of customers. Countries around the world, and states in the U.S. such as California, have adopted, or are considering adopting or expanding, laws and regulations imposing obligations regarding the handling of personal data.</w:t>
      </w:r>
    </w:p>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10,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or delays which could adversely impact public-sector demand for our products and services. These events could negatively impact our results of operations, financial condition, and reputation.</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regularly are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elsewhere in these risk factors.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or cross-licensing our patents to others in return for a royalty and/or increased freedom to operate.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price changes in products using licensed patents, greater value from cross-licensing, or the difficulty of discovering infringements. Finally, our increasing engagement with open source software will also cause us to license our intellectual property rights broadly in certain situations and may negatively impact revenue.</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or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41" w:lineRule="exact"/>
        <w:rPr>
          <w:sz w:val="20"/>
          <w:szCs w:val="20"/>
          <w:color w:val="auto"/>
        </w:rPr>
      </w:pPr>
    </w:p>
    <w:p>
      <w:pPr>
        <w:ind w:left="1060" w:hanging="39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8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8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spacing w:after="0" w:line="11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Abrupt political change, terrorist activity, and armed conflict pose a risk of general economic disruption in affected countries, which may increase our operating costs.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occurrence of regional epidemics or a global pandemic may adversely affect our operations, financial condition, and results of operations. The COVID-19 pandemic is having widespread, rapidly evolving, and unpredictable impacts on global society, economies, financial markets, and business practices. Federal and state governments have implemented measures in an effort to contain the virus, including social distancing, travel restrictions, border closures, limitations on public gatherings, work from home, supply chain logistical changes, and closure of non-essential businesses. To protect the health and well-being of our employees, suppliers, and customers, we have made substantial modifications to employee travel policies, implemented office closures as employees are advised to work from home, and cancelled or shifted our conferences and other marketing events to virtual-only through fiscal year 2021. The COVID-19 pandemic has impacted and may continue to impact our business operations, including our employees, customers, partners, and communities, and there is substantial uncertainty in the nature and degree of its continued effects over time.</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Since the COVID-19 pandemic began, we have experienced a range of impacts on our business, including adverse impacts to our supply chain and a slowdown in transactional licensing. The extent to which the COVID-19 pandemic impacts our business going forward will depend on numerous evolving factors we cannot reliably predict,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investments, receivables, and forward-looking guidance.</w:t>
      </w:r>
    </w:p>
    <w:p>
      <w:pPr>
        <w:spacing w:after="0" w:line="126"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Measures to contain the virus that impact us, our partners, distributors, and suppliers may further intensify these impacts and other risks described in these Risk Factors. Any of these may adversely impact our ability to:</w:t>
      </w:r>
    </w:p>
    <w:p>
      <w:pPr>
        <w:spacing w:after="0" w:line="2" w:lineRule="exact"/>
        <w:rPr>
          <w:sz w:val="20"/>
          <w:szCs w:val="20"/>
          <w:color w:val="auto"/>
        </w:rPr>
      </w:pPr>
    </w:p>
    <w:p>
      <w:pPr>
        <w:ind w:left="1060" w:hanging="39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 our operations infrastructure, including the reliability and adequate capacity of cloud services.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330" w:lineRule="exact"/>
        <w:rPr>
          <w:sz w:val="20"/>
          <w:szCs w:val="20"/>
          <w:color w:val="auto"/>
        </w:rPr>
      </w:pPr>
    </w:p>
    <w:p>
      <w:pPr>
        <w:ind w:left="1060" w:hanging="391"/>
        <w:spacing w:after="0" w:line="273"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Satisfy our contractual and regulatory compliance obligations as we adapt to changing usage patterns, such as through datacenter load balancing.</w:t>
      </w:r>
    </w:p>
    <w:p>
      <w:pPr>
        <w:spacing w:after="0" w:line="1" w:lineRule="exact"/>
        <w:rPr>
          <w:rFonts w:ascii="Arial" w:cs="Arial" w:eastAsia="Arial" w:hAnsi="Arial"/>
          <w:sz w:val="18"/>
          <w:szCs w:val="18"/>
          <w:color w:val="auto"/>
        </w:rPr>
      </w:pPr>
    </w:p>
    <w:p>
      <w:pPr>
        <w:ind w:left="1060" w:hanging="391"/>
        <w:spacing w:after="0" w:line="273"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Ensure a high-quality and consistent supply chain and manufacturing operations for our hardware devices and datacenter operations.</w:t>
      </w:r>
    </w:p>
    <w:p>
      <w:pPr>
        <w:spacing w:after="0" w:line="1" w:lineRule="exact"/>
        <w:rPr>
          <w:rFonts w:ascii="Arial" w:cs="Arial" w:eastAsia="Arial" w:hAnsi="Arial"/>
          <w:sz w:val="18"/>
          <w:szCs w:val="18"/>
          <w:color w:val="auto"/>
        </w:rPr>
      </w:pPr>
    </w:p>
    <w:p>
      <w:pPr>
        <w:ind w:left="1060" w:hanging="39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Effectively manage our international operations through changes in trade practices and policies.</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Hire and deploy people where we most need them.</w:t>
      </w:r>
    </w:p>
    <w:p>
      <w:pPr>
        <w:spacing w:after="0" w:line="103" w:lineRule="exact"/>
        <w:rPr>
          <w:rFonts w:ascii="Arial" w:cs="Arial" w:eastAsia="Arial" w:hAnsi="Arial"/>
          <w:sz w:val="18"/>
          <w:szCs w:val="18"/>
          <w:color w:val="auto"/>
        </w:rPr>
      </w:pPr>
    </w:p>
    <w:p>
      <w:pPr>
        <w:ind w:left="1060" w:hanging="391"/>
        <w:spacing w:after="0" w:line="276"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Sustain the effectiveness and productivity of our operations including our sales, marketing, engineering, and distribution functions.</w:t>
      </w:r>
    </w:p>
    <w:p>
      <w:pPr>
        <w:spacing w:after="0" w:line="9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We may incur increased costs to effectively manage these aspects of our business. If we are unsuccessful it may adversely impact our revenues, cash flows, market share growth, and reputation.</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in specific countries may significantly alter the trade and commercial environments. Changes to trade policy or agreements as a result of populism, protectionism, or economic nationalism may result in higher tariffs, local sourcing initiatives, or other developments that make it more difficult to sell our products in foreign countries. Disruptions of these kinds in developed or emerging markets could negatively impact demand for our products and services or increase operating costs. Although we hedge a portion of our international currency exposure, significant fluctuations in foreign exchange rates between the U.S. dollar and foreign currencies may adversely affect our results of operations.</w:t>
      </w:r>
    </w:p>
    <w:p>
      <w:pPr>
        <w:spacing w:after="0" w:line="1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6"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second quarter of fiscal year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 Number</w:t>
            </w:r>
          </w:p>
        </w:tc>
        <w:tc>
          <w:tcPr>
            <w:tcW w:w="3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Approximate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36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Dollar Value of</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5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 Number</w:t>
            </w:r>
          </w:p>
        </w:tc>
        <w:tc>
          <w:tcPr>
            <w:tcW w:w="580" w:type="dxa"/>
            <w:vAlign w:val="bottom"/>
          </w:tcPr>
          <w:p>
            <w:pPr>
              <w:spacing w:after="0"/>
              <w:rPr>
                <w:sz w:val="12"/>
                <w:szCs w:val="12"/>
                <w:color w:val="auto"/>
              </w:rPr>
            </w:pPr>
          </w:p>
        </w:tc>
        <w:tc>
          <w:tcPr>
            <w:tcW w:w="1340" w:type="dxa"/>
            <w:vAlign w:val="bottom"/>
            <w:vMerge w:val="restart"/>
          </w:tcPr>
          <w:p>
            <w:pPr>
              <w:jc w:val="right"/>
              <w:ind w:right="241"/>
              <w:spacing w:after="0"/>
              <w:rPr>
                <w:sz w:val="20"/>
                <w:szCs w:val="20"/>
                <w:color w:val="auto"/>
              </w:rPr>
            </w:pPr>
            <w:r>
              <w:rPr>
                <w:rFonts w:ascii="Arial" w:cs="Arial" w:eastAsia="Arial" w:hAnsi="Arial"/>
                <w:sz w:val="13"/>
                <w:szCs w:val="13"/>
                <w:b w:val="1"/>
                <w:bCs w:val="1"/>
                <w:color w:val="auto"/>
              </w:rPr>
              <w:t>Average</w:t>
            </w: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Purchased as</w:t>
            </w:r>
          </w:p>
        </w:tc>
        <w:tc>
          <w:tcPr>
            <w:tcW w:w="36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 that May</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Part of Publicly</w:t>
            </w:r>
          </w:p>
        </w:tc>
        <w:tc>
          <w:tcPr>
            <w:tcW w:w="36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48"/>
        </w:trPr>
        <w:tc>
          <w:tcPr>
            <w:tcW w:w="454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580" w:type="dxa"/>
            <w:vAlign w:val="bottom"/>
          </w:tcPr>
          <w:p>
            <w:pPr>
              <w:spacing w:after="0"/>
              <w:rPr>
                <w:sz w:val="12"/>
                <w:szCs w:val="12"/>
                <w:color w:val="auto"/>
              </w:rPr>
            </w:pPr>
          </w:p>
        </w:tc>
        <w:tc>
          <w:tcPr>
            <w:tcW w:w="1340" w:type="dxa"/>
            <w:vAlign w:val="bottom"/>
          </w:tcPr>
          <w:p>
            <w:pPr>
              <w:jc w:val="right"/>
              <w:ind w:right="241"/>
              <w:spacing w:after="0"/>
              <w:rPr>
                <w:sz w:val="20"/>
                <w:szCs w:val="20"/>
                <w:color w:val="auto"/>
              </w:rPr>
            </w:pPr>
            <w:r>
              <w:rPr>
                <w:rFonts w:ascii="Arial" w:cs="Arial" w:eastAsia="Arial" w:hAnsi="Arial"/>
                <w:sz w:val="13"/>
                <w:szCs w:val="13"/>
                <w:b w:val="1"/>
                <w:bCs w:val="1"/>
                <w:color w:val="auto"/>
              </w:rPr>
              <w:t>Price Paid</w:t>
            </w: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Announced Plans</w:t>
            </w:r>
          </w:p>
        </w:tc>
        <w:tc>
          <w:tcPr>
            <w:tcW w:w="36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90"/>
        </w:trPr>
        <w:tc>
          <w:tcPr>
            <w:tcW w:w="4540" w:type="dxa"/>
            <w:vAlign w:val="bottom"/>
            <w:vMerge w:val="continue"/>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Purchased</w:t>
            </w:r>
          </w:p>
        </w:tc>
        <w:tc>
          <w:tcPr>
            <w:tcW w:w="580" w:type="dxa"/>
            <w:vAlign w:val="bottom"/>
          </w:tcPr>
          <w:p>
            <w:pPr>
              <w:spacing w:after="0"/>
              <w:rPr>
                <w:sz w:val="16"/>
                <w:szCs w:val="16"/>
                <w:color w:val="auto"/>
              </w:rPr>
            </w:pPr>
          </w:p>
        </w:tc>
        <w:tc>
          <w:tcPr>
            <w:tcW w:w="1340" w:type="dxa"/>
            <w:vAlign w:val="bottom"/>
          </w:tcPr>
          <w:p>
            <w:pPr>
              <w:jc w:val="right"/>
              <w:ind w:right="241"/>
              <w:spacing w:after="0"/>
              <w:rPr>
                <w:sz w:val="20"/>
                <w:szCs w:val="20"/>
                <w:color w:val="auto"/>
              </w:rPr>
            </w:pPr>
            <w:r>
              <w:rPr>
                <w:rFonts w:ascii="Arial" w:cs="Arial" w:eastAsia="Arial" w:hAnsi="Arial"/>
                <w:sz w:val="13"/>
                <w:szCs w:val="13"/>
                <w:b w:val="1"/>
                <w:bCs w:val="1"/>
                <w:color w:val="auto"/>
              </w:rPr>
              <w:t>per Share</w:t>
            </w: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or Programs</w:t>
            </w:r>
          </w:p>
        </w:tc>
        <w:tc>
          <w:tcPr>
            <w:tcW w:w="36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45"/>
        </w:trPr>
        <w:tc>
          <w:tcPr>
            <w:tcW w:w="45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44"/>
        </w:trPr>
        <w:tc>
          <w:tcPr>
            <w:tcW w:w="45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October 1, 2020 – October 31, 2020</w:t>
            </w:r>
          </w:p>
        </w:tc>
        <w:tc>
          <w:tcPr>
            <w:tcW w:w="15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8,380,000</w:t>
            </w:r>
          </w:p>
        </w:tc>
        <w:tc>
          <w:tcPr>
            <w:tcW w:w="5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E5E5E5"/>
          </w:tcPr>
          <w:p>
            <w:pPr>
              <w:jc w:val="right"/>
              <w:ind w:right="241"/>
              <w:spacing w:after="0" w:line="189" w:lineRule="exact"/>
              <w:rPr>
                <w:sz w:val="20"/>
                <w:szCs w:val="20"/>
                <w:color w:val="auto"/>
              </w:rPr>
            </w:pPr>
            <w:r>
              <w:rPr>
                <w:rFonts w:ascii="Arial" w:cs="Arial" w:eastAsia="Arial" w:hAnsi="Arial"/>
                <w:sz w:val="18"/>
                <w:szCs w:val="18"/>
                <w:b w:val="1"/>
                <w:bCs w:val="1"/>
                <w:color w:val="auto"/>
              </w:rPr>
              <w:t>212.62</w:t>
            </w:r>
          </w:p>
        </w:tc>
        <w:tc>
          <w:tcPr>
            <w:tcW w:w="14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8,380,000</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24,660</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November 1, 2020 – November 30, 2020</w:t>
            </w:r>
          </w:p>
        </w:tc>
        <w:tc>
          <w:tcPr>
            <w:tcW w:w="15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9,441,104</w:t>
            </w:r>
          </w:p>
        </w:tc>
        <w:tc>
          <w:tcPr>
            <w:tcW w:w="580" w:type="dxa"/>
            <w:vAlign w:val="bottom"/>
          </w:tcPr>
          <w:p>
            <w:pPr>
              <w:spacing w:after="0"/>
              <w:rPr>
                <w:sz w:val="16"/>
                <w:szCs w:val="16"/>
                <w:color w:val="auto"/>
              </w:rPr>
            </w:pPr>
          </w:p>
        </w:tc>
        <w:tc>
          <w:tcPr>
            <w:tcW w:w="1340" w:type="dxa"/>
            <w:vAlign w:val="bottom"/>
          </w:tcPr>
          <w:p>
            <w:pPr>
              <w:jc w:val="right"/>
              <w:ind w:right="241"/>
              <w:spacing w:after="0" w:line="189" w:lineRule="exact"/>
              <w:rPr>
                <w:sz w:val="20"/>
                <w:szCs w:val="20"/>
                <w:color w:val="auto"/>
              </w:rPr>
            </w:pPr>
            <w:r>
              <w:rPr>
                <w:rFonts w:ascii="Arial" w:cs="Arial" w:eastAsia="Arial" w:hAnsi="Arial"/>
                <w:sz w:val="18"/>
                <w:szCs w:val="18"/>
                <w:b w:val="1"/>
                <w:bCs w:val="1"/>
                <w:color w:val="auto"/>
              </w:rPr>
              <w:t>213.77</w:t>
            </w:r>
          </w:p>
        </w:tc>
        <w:tc>
          <w:tcPr>
            <w:tcW w:w="14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9,441,104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22,642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December 1, 2020 – December 31, 2020</w:t>
            </w:r>
          </w:p>
        </w:tc>
        <w:tc>
          <w:tcPr>
            <w:tcW w:w="15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8,964,410</w:t>
            </w:r>
          </w:p>
        </w:tc>
        <w:tc>
          <w:tcPr>
            <w:tcW w:w="580" w:type="dxa"/>
            <w:vAlign w:val="bottom"/>
            <w:shd w:val="clear" w:color="auto" w:fill="E5E5E5"/>
          </w:tcPr>
          <w:p>
            <w:pPr>
              <w:spacing w:after="0"/>
              <w:rPr>
                <w:sz w:val="16"/>
                <w:szCs w:val="16"/>
                <w:color w:val="auto"/>
              </w:rPr>
            </w:pPr>
          </w:p>
        </w:tc>
        <w:tc>
          <w:tcPr>
            <w:tcW w:w="1340" w:type="dxa"/>
            <w:vAlign w:val="bottom"/>
            <w:shd w:val="clear" w:color="auto" w:fill="E5E5E5"/>
          </w:tcPr>
          <w:p>
            <w:pPr>
              <w:jc w:val="right"/>
              <w:ind w:right="241"/>
              <w:spacing w:after="0" w:line="189" w:lineRule="exact"/>
              <w:rPr>
                <w:sz w:val="20"/>
                <w:szCs w:val="20"/>
                <w:color w:val="auto"/>
              </w:rPr>
            </w:pPr>
            <w:r>
              <w:rPr>
                <w:rFonts w:ascii="Arial" w:cs="Arial" w:eastAsia="Arial" w:hAnsi="Arial"/>
                <w:sz w:val="18"/>
                <w:szCs w:val="18"/>
                <w:b w:val="1"/>
                <w:bCs w:val="1"/>
                <w:color w:val="auto"/>
              </w:rPr>
              <w:t>217.53</w:t>
            </w:r>
          </w:p>
        </w:tc>
        <w:tc>
          <w:tcPr>
            <w:tcW w:w="14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8,964,410</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20,692</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5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4540" w:type="dxa"/>
            <w:vAlign w:val="bottom"/>
          </w:tcPr>
          <w:p>
            <w:pPr>
              <w:spacing w:after="0"/>
              <w:rPr>
                <w:sz w:val="23"/>
                <w:szCs w:val="2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26,785,514</w:t>
            </w:r>
          </w:p>
        </w:tc>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26,785,514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454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second quarter of fiscal year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3000" w:type="dxa"/>
            <w:vAlign w:val="bottom"/>
            <w:vMerge w:val="restart"/>
          </w:tcPr>
          <w:p>
            <w:pPr>
              <w:ind w:left="1140"/>
              <w:spacing w:after="0"/>
              <w:rPr>
                <w:sz w:val="20"/>
                <w:szCs w:val="20"/>
                <w:color w:val="auto"/>
              </w:rPr>
            </w:pPr>
            <w:r>
              <w:rPr>
                <w:rFonts w:ascii="Arial" w:cs="Arial" w:eastAsia="Arial" w:hAnsi="Arial"/>
                <w:sz w:val="13"/>
                <w:szCs w:val="13"/>
                <w:b w:val="1"/>
                <w:bCs w:val="1"/>
                <w:color w:val="auto"/>
              </w:rPr>
              <w:t>Record Date</w:t>
            </w:r>
          </w:p>
        </w:tc>
        <w:tc>
          <w:tcPr>
            <w:tcW w:w="206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Payment Date</w:t>
            </w:r>
          </w:p>
        </w:tc>
        <w:tc>
          <w:tcPr>
            <w:tcW w:w="860" w:type="dxa"/>
            <w:vAlign w:val="bottom"/>
          </w:tcPr>
          <w:p>
            <w:pPr>
              <w:spacing w:after="0"/>
              <w:rPr>
                <w:sz w:val="13"/>
                <w:szCs w:val="13"/>
                <w:color w:val="auto"/>
              </w:rPr>
            </w:pPr>
          </w:p>
        </w:tc>
        <w:tc>
          <w:tcPr>
            <w:tcW w:w="1040" w:type="dxa"/>
            <w:vAlign w:val="bottom"/>
          </w:tcPr>
          <w:p>
            <w:pPr>
              <w:jc w:val="right"/>
              <w:ind w:right="25"/>
              <w:spacing w:after="0"/>
              <w:rPr>
                <w:sz w:val="20"/>
                <w:szCs w:val="20"/>
                <w:color w:val="auto"/>
              </w:rPr>
            </w:pPr>
            <w:r>
              <w:rPr>
                <w:rFonts w:ascii="Arial" w:cs="Arial" w:eastAsia="Arial" w:hAnsi="Arial"/>
                <w:sz w:val="13"/>
                <w:szCs w:val="13"/>
                <w:b w:val="1"/>
                <w:bCs w:val="1"/>
                <w:color w:val="auto"/>
              </w:rPr>
              <w:t>Dividend</w:t>
            </w:r>
          </w:p>
        </w:tc>
        <w:tc>
          <w:tcPr>
            <w:tcW w:w="480" w:type="dxa"/>
            <w:vAlign w:val="bottom"/>
          </w:tcPr>
          <w:p>
            <w:pPr>
              <w:spacing w:after="0"/>
              <w:rPr>
                <w:sz w:val="13"/>
                <w:szCs w:val="13"/>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90"/>
        </w:trPr>
        <w:tc>
          <w:tcPr>
            <w:tcW w:w="2680" w:type="dxa"/>
            <w:vAlign w:val="bottom"/>
            <w:vMerge w:val="continue"/>
          </w:tcPr>
          <w:p>
            <w:pPr>
              <w:spacing w:after="0"/>
              <w:rPr>
                <w:sz w:val="16"/>
                <w:szCs w:val="16"/>
                <w:color w:val="auto"/>
              </w:rPr>
            </w:pPr>
          </w:p>
        </w:tc>
        <w:tc>
          <w:tcPr>
            <w:tcW w:w="3000" w:type="dxa"/>
            <w:vAlign w:val="bottom"/>
            <w:vMerge w:val="continue"/>
          </w:tcPr>
          <w:p>
            <w:pPr>
              <w:spacing w:after="0"/>
              <w:rPr>
                <w:sz w:val="16"/>
                <w:szCs w:val="16"/>
                <w:color w:val="auto"/>
              </w:rPr>
            </w:pPr>
          </w:p>
        </w:tc>
        <w:tc>
          <w:tcPr>
            <w:tcW w:w="20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jc w:val="right"/>
              <w:ind w:right="25"/>
              <w:spacing w:after="0"/>
              <w:rPr>
                <w:sz w:val="20"/>
                <w:szCs w:val="20"/>
                <w:color w:val="auto"/>
              </w:rPr>
            </w:pPr>
            <w:r>
              <w:rPr>
                <w:rFonts w:ascii="Arial" w:cs="Arial" w:eastAsia="Arial" w:hAnsi="Arial"/>
                <w:sz w:val="13"/>
                <w:szCs w:val="13"/>
                <w:b w:val="1"/>
                <w:bCs w:val="1"/>
                <w:color w:val="auto"/>
              </w:rPr>
              <w:t>Per Share</w:t>
            </w:r>
          </w:p>
        </w:tc>
        <w:tc>
          <w:tcPr>
            <w:tcW w:w="4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68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45"/>
        </w:trPr>
        <w:tc>
          <w:tcPr>
            <w:tcW w:w="26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December 2, 2020</w:t>
            </w:r>
          </w:p>
        </w:tc>
        <w:tc>
          <w:tcPr>
            <w:tcW w:w="3000" w:type="dxa"/>
            <w:vAlign w:val="bottom"/>
            <w:shd w:val="clear" w:color="auto" w:fill="E5E5E5"/>
          </w:tcPr>
          <w:p>
            <w:pPr>
              <w:ind w:left="1140"/>
              <w:spacing w:after="0" w:line="189" w:lineRule="exact"/>
              <w:rPr>
                <w:sz w:val="20"/>
                <w:szCs w:val="20"/>
                <w:color w:val="auto"/>
              </w:rPr>
            </w:pPr>
            <w:r>
              <w:rPr>
                <w:rFonts w:ascii="Arial" w:cs="Arial" w:eastAsia="Arial" w:hAnsi="Arial"/>
                <w:sz w:val="18"/>
                <w:szCs w:val="18"/>
                <w:b w:val="1"/>
                <w:bCs w:val="1"/>
                <w:color w:val="auto"/>
              </w:rPr>
              <w:t>February 18, 2021</w:t>
            </w:r>
          </w:p>
        </w:tc>
        <w:tc>
          <w:tcPr>
            <w:tcW w:w="2060" w:type="dxa"/>
            <w:vAlign w:val="bottom"/>
            <w:shd w:val="clear" w:color="auto" w:fill="E5E5E5"/>
          </w:tcPr>
          <w:p>
            <w:pPr>
              <w:ind w:left="360"/>
              <w:spacing w:after="0" w:line="189" w:lineRule="exact"/>
              <w:rPr>
                <w:sz w:val="20"/>
                <w:szCs w:val="20"/>
                <w:color w:val="auto"/>
              </w:rPr>
            </w:pPr>
            <w:r>
              <w:rPr>
                <w:rFonts w:ascii="Arial" w:cs="Arial" w:eastAsia="Arial" w:hAnsi="Arial"/>
                <w:sz w:val="18"/>
                <w:szCs w:val="18"/>
                <w:b w:val="1"/>
                <w:bCs w:val="1"/>
                <w:color w:val="auto"/>
              </w:rPr>
              <w:t>March 11, 2021</w:t>
            </w:r>
          </w:p>
        </w:tc>
        <w:tc>
          <w:tcPr>
            <w:tcW w:w="86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E5E5"/>
          </w:tcPr>
          <w:p>
            <w:pPr>
              <w:jc w:val="right"/>
              <w:ind w:right="25"/>
              <w:spacing w:after="0" w:line="189" w:lineRule="exact"/>
              <w:rPr>
                <w:sz w:val="20"/>
                <w:szCs w:val="20"/>
                <w:color w:val="auto"/>
              </w:rPr>
            </w:pPr>
            <w:r>
              <w:rPr>
                <w:rFonts w:ascii="Arial" w:cs="Arial" w:eastAsia="Arial" w:hAnsi="Arial"/>
                <w:sz w:val="18"/>
                <w:szCs w:val="18"/>
                <w:b w:val="1"/>
                <w:bCs w:val="1"/>
                <w:color w:val="auto"/>
              </w:rPr>
              <w:t>0.56</w:t>
            </w:r>
          </w:p>
        </w:tc>
        <w:tc>
          <w:tcPr>
            <w:tcW w:w="48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4,226</w:t>
            </w:r>
          </w:p>
        </w:tc>
        <w:tc>
          <w:tcPr>
            <w:tcW w:w="0" w:type="dxa"/>
            <w:vAlign w:val="bottom"/>
          </w:tcPr>
          <w:p>
            <w:pPr>
              <w:spacing w:after="0"/>
              <w:rPr>
                <w:sz w:val="1"/>
                <w:szCs w:val="1"/>
                <w:color w:val="auto"/>
              </w:rPr>
            </w:pPr>
          </w:p>
        </w:tc>
      </w:tr>
      <w:tr>
        <w:trPr>
          <w:trHeight w:val="68"/>
        </w:trPr>
        <w:tc>
          <w:tcPr>
            <w:tcW w:w="268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returned $10.0 billion to shareholders in the form of share repurchases and dividends in the second quarter of fiscal year 2021. Refer to Note 15 – Stockholders’ Equity of the Notes to Financial Statements (Part I, Item 1 of this Form 10-Q) for further discussion regarding share repurchases and dividends.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53"/>
        </w:trPr>
        <w:tc>
          <w:tcPr>
            <w:tcW w:w="980" w:type="dxa"/>
            <w:vAlign w:val="bottom"/>
          </w:tcPr>
          <w:p>
            <w:pPr>
              <w:spacing w:after="0"/>
              <w:rPr>
                <w:sz w:val="13"/>
                <w:szCs w:val="13"/>
                <w:color w:val="auto"/>
              </w:rPr>
            </w:pPr>
          </w:p>
        </w:tc>
        <w:tc>
          <w:tcPr>
            <w:tcW w:w="10240" w:type="dxa"/>
            <w:vAlign w:val="bottom"/>
            <w:gridSpan w:val="3"/>
          </w:tcPr>
          <w:p>
            <w:pPr>
              <w:jc w:val="center"/>
              <w:ind w:right="940"/>
              <w:spacing w:after="0"/>
              <w:rPr>
                <w:sz w:val="20"/>
                <w:szCs w:val="20"/>
                <w:color w:val="auto"/>
              </w:rPr>
            </w:pPr>
            <w:r>
              <w:rPr>
                <w:rFonts w:ascii="Arial" w:cs="Arial" w:eastAsia="Arial" w:hAnsi="Arial"/>
                <w:sz w:val="13"/>
                <w:szCs w:val="13"/>
                <w:color w:val="auto"/>
              </w:rPr>
              <w:t>PART II</w:t>
            </w:r>
          </w:p>
        </w:tc>
      </w:tr>
      <w:tr>
        <w:trPr>
          <w:trHeight w:val="174"/>
        </w:trPr>
        <w:tc>
          <w:tcPr>
            <w:tcW w:w="9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Item 6</w:t>
            </w:r>
          </w:p>
        </w:tc>
        <w:tc>
          <w:tcPr>
            <w:tcW w:w="5360" w:type="dxa"/>
            <w:vAlign w:val="bottom"/>
          </w:tcPr>
          <w:p>
            <w:pPr>
              <w:spacing w:after="0"/>
              <w:rPr>
                <w:sz w:val="15"/>
                <w:szCs w:val="15"/>
                <w:color w:val="auto"/>
              </w:rPr>
            </w:pPr>
          </w:p>
        </w:tc>
      </w:tr>
      <w:tr>
        <w:trPr>
          <w:trHeight w:val="656"/>
        </w:trPr>
        <w:tc>
          <w:tcPr>
            <w:tcW w:w="980" w:type="dxa"/>
            <w:vAlign w:val="bottom"/>
          </w:tcPr>
          <w:p>
            <w:pPr>
              <w:spacing w:after="0"/>
              <w:rPr>
                <w:sz w:val="24"/>
                <w:szCs w:val="24"/>
                <w:color w:val="auto"/>
              </w:rPr>
            </w:pPr>
          </w:p>
        </w:tc>
        <w:tc>
          <w:tcPr>
            <w:tcW w:w="10240" w:type="dxa"/>
            <w:vAlign w:val="bottom"/>
            <w:gridSpan w:val="3"/>
          </w:tcPr>
          <w:p>
            <w:pPr>
              <w:jc w:val="center"/>
              <w:ind w:right="940"/>
              <w:spacing w:after="0"/>
              <w:rPr>
                <w:sz w:val="20"/>
                <w:szCs w:val="20"/>
                <w:color w:val="auto"/>
              </w:rPr>
            </w:pPr>
            <w:r>
              <w:rPr>
                <w:rFonts w:ascii="Arial" w:cs="Arial" w:eastAsia="Arial" w:hAnsi="Arial"/>
                <w:sz w:val="22"/>
                <w:szCs w:val="22"/>
                <w:b w:val="1"/>
                <w:bCs w:val="1"/>
                <w:color w:val="auto"/>
                <w:w w:val="98"/>
              </w:rPr>
              <w:t>ITEM 6. EXHIBITS</w:t>
            </w:r>
          </w:p>
        </w:tc>
      </w:tr>
      <w:tr>
        <w:trPr>
          <w:trHeight w:val="383"/>
        </w:trPr>
        <w:tc>
          <w:tcPr>
            <w:tcW w:w="980" w:type="dxa"/>
            <w:vAlign w:val="bottom"/>
          </w:tcPr>
          <w:p>
            <w:pPr>
              <w:spacing w:after="0"/>
              <w:rPr>
                <w:sz w:val="20"/>
                <w:szCs w:val="20"/>
                <w:color w:val="auto"/>
              </w:rPr>
            </w:pPr>
            <w:r>
              <w:rPr>
                <w:rFonts w:ascii="Arial" w:cs="Arial" w:eastAsia="Arial" w:hAnsi="Arial"/>
                <w:sz w:val="18"/>
                <w:szCs w:val="18"/>
                <w:color w:val="auto"/>
              </w:rPr>
              <w:t>15.1</w:t>
            </w:r>
          </w:p>
        </w:tc>
        <w:tc>
          <w:tcPr>
            <w:tcW w:w="10240" w:type="dxa"/>
            <w:vAlign w:val="bottom"/>
            <w:gridSpan w:val="3"/>
          </w:tcPr>
          <w:p>
            <w:pPr>
              <w:ind w:left="2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Letter regarding unaudited interim financial information</w:t>
              </w:r>
            </w:hyperlink>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gridSpan w:val="3"/>
          </w:tcPr>
          <w:p>
            <w:pPr>
              <w:ind w:left="2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Certifications of Chief Executive Officer Pursuant to Section 302 of the Sarbanes-Oxley Act of 2002</w:t>
              </w:r>
            </w:hyperlink>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gridSpan w:val="3"/>
          </w:tcPr>
          <w:p>
            <w:pPr>
              <w:ind w:left="2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Certifications of Chief Financial Officer Pursuant to Section 302 of the Sarbanes-Oxley Act of 2002</w:t>
              </w:r>
            </w:hyperlink>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240" w:type="dxa"/>
            <w:vAlign w:val="bottom"/>
            <w:gridSpan w:val="3"/>
          </w:tcPr>
          <w:p>
            <w:pPr>
              <w:ind w:left="2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Certification of Chief Executive Officer Pursuant to Section 906 of the Sarbanes-Oxley Act of 2002</w:t>
              </w:r>
            </w:hyperlink>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gridSpan w:val="3"/>
          </w:tcPr>
          <w:p>
            <w:pPr>
              <w:ind w:left="2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Certification of Chief Financial Officer Pursuant to Section 906 of the Sarbanes-Oxley Act of 2002</w:t>
              </w:r>
            </w:hyperlink>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Inline XBRL Instance Document–the instance document does not appear in the Interactive Data File as its XBRL tags are</w:t>
            </w:r>
          </w:p>
        </w:tc>
      </w:tr>
      <w:tr>
        <w:trPr>
          <w:trHeight w:val="243"/>
        </w:trPr>
        <w:tc>
          <w:tcPr>
            <w:tcW w:w="980" w:type="dxa"/>
            <w:vAlign w:val="bottom"/>
          </w:tcPr>
          <w:p>
            <w:pPr>
              <w:spacing w:after="0"/>
              <w:rPr>
                <w:sz w:val="21"/>
                <w:szCs w:val="21"/>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embedded within the Inline XBRL document</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Inline XBRL Taxonomy Extension Schema</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Inline XBRL Taxonomy Extension Calculation Linkbase</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Inline XBRL Taxonomy Extension Definition Linkbase</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Inline XBRL Taxonomy Extension Label Linkbase</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68" w:lineRule="exact"/>
        <w:rPr>
          <w:sz w:val="20"/>
          <w:szCs w:val="20"/>
          <w:color w:val="auto"/>
        </w:rPr>
      </w:pPr>
    </w:p>
    <w:p>
      <w:pPr>
        <w:ind w:left="1240" w:hanging="1232"/>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i w:val="1"/>
          <w:iCs w:val="1"/>
          <w:color w:val="auto"/>
        </w:rPr>
        <w:t>Furnished, not filed.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Alice L. Jolla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3775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Alice L. Jolla</w:t>
      </w:r>
    </w:p>
    <w:p>
      <w:pPr>
        <w:spacing w:after="0" w:line="234" w:lineRule="auto"/>
        <w:rPr>
          <w:sz w:val="20"/>
          <w:szCs w:val="20"/>
          <w:color w:val="auto"/>
        </w:rPr>
      </w:pPr>
      <w:r>
        <w:rPr>
          <w:rFonts w:ascii="Arial" w:cs="Arial" w:eastAsia="Arial" w:hAnsi="Arial"/>
          <w:sz w:val="18"/>
          <w:szCs w:val="18"/>
          <w:color w:val="auto"/>
        </w:rPr>
        <w:t>Corporate Vice President and Chief Accounting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(Duly Authorized Officer)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January 26, 2021</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20"/>
          </w:cols>
          <w:pgMar w:left="320" w:top="574"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January 26,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Microsoft Corporation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w:t>
      </w:r>
    </w:p>
    <w:p>
      <w:pPr>
        <w:spacing w:after="0"/>
        <w:rPr>
          <w:sz w:val="20"/>
          <w:szCs w:val="20"/>
          <w:color w:val="auto"/>
        </w:rPr>
      </w:pPr>
      <w:r>
        <w:rPr>
          <w:rFonts w:ascii="Arial" w:cs="Arial" w:eastAsia="Arial" w:hAnsi="Arial"/>
          <w:sz w:val="18"/>
          <w:szCs w:val="18"/>
          <w:color w:val="auto"/>
        </w:rPr>
        <w:t>Redmond, WA 98052-6399</w:t>
      </w:r>
    </w:p>
    <w:p>
      <w:pPr>
        <w:spacing w:after="0" w:line="136" w:lineRule="exact"/>
        <w:rPr>
          <w:sz w:val="20"/>
          <w:szCs w:val="20"/>
          <w:color w:val="auto"/>
        </w:rPr>
      </w:pPr>
    </w:p>
    <w:p>
      <w:pPr>
        <w:jc w:val="both"/>
        <w:ind w:right="340"/>
        <w:spacing w:after="0" w:line="245" w:lineRule="auto"/>
        <w:rPr>
          <w:sz w:val="20"/>
          <w:szCs w:val="20"/>
          <w:color w:val="auto"/>
        </w:rPr>
      </w:pPr>
      <w:r>
        <w:rPr>
          <w:rFonts w:ascii="Arial" w:cs="Arial" w:eastAsia="Arial" w:hAnsi="Arial"/>
          <w:sz w:val="18"/>
          <w:szCs w:val="18"/>
          <w:color w:val="auto"/>
        </w:rPr>
        <w:t>We are aware that our report dated January 26, 2021, on our review of the interim financial information of Microsoft Corporation and subsidiaries (“Microsoft”) appearing in Microsoft’s Quarterly Report on Form 10-Q for the quarter ended December 31, 2020, is incorporated by reference in Registration Statement Nos. 333-109185, 333-118764, 333-52852, 333-132100, 333-161516, 333-75243, 333-185757, and 333-221833 on Form S-8 and Registration Statement Nos. 333-228062, 333-228244, and 333-240227 on Form S-3.</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ectPr>
          <w:pgSz w:w="11900" w:h="16838" w:orient="portrait"/>
          <w:cols w:equalWidth="0" w:num="1">
            <w:col w:w="11020"/>
          </w:cols>
          <w:pgMar w:left="540" w:top="34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5" w:lineRule="auto"/>
        <w:tabs>
          <w:tab w:leader="none" w:pos="2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firstLine="8"/>
        <w:spacing w:after="0" w:line="276" w:lineRule="auto"/>
        <w:tabs>
          <w:tab w:leader="none" w:pos="2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jc w:val="both"/>
        <w:ind w:firstLine="8"/>
        <w:spacing w:after="0" w:line="255" w:lineRule="auto"/>
        <w:tabs>
          <w:tab w:leader="none" w:pos="2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right="20" w:firstLine="8"/>
        <w:spacing w:after="0" w:line="255" w:lineRule="auto"/>
        <w:tabs>
          <w:tab w:leader="none" w:pos="2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jc w:val="both"/>
        <w:ind w:firstLine="8"/>
        <w:spacing w:after="0" w:line="255" w:lineRule="auto"/>
        <w:tabs>
          <w:tab w:leader="none" w:pos="2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20" w:firstLine="8"/>
        <w:spacing w:after="0" w:line="276" w:lineRule="auto"/>
        <w:tabs>
          <w:tab w:leader="none" w:pos="2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Arial" w:cs="Arial" w:eastAsia="Arial" w:hAnsi="Arial"/>
          <w:sz w:val="18"/>
          <w:szCs w:val="18"/>
          <w:color w:val="auto"/>
        </w:rPr>
      </w:pPr>
    </w:p>
    <w:p>
      <w:pPr>
        <w:jc w:val="both"/>
        <w:ind w:firstLine="8"/>
        <w:spacing w:after="0" w:line="255" w:lineRule="auto"/>
        <w:tabs>
          <w:tab w:leader="none" w:pos="229"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jc w:val="both"/>
        <w:ind w:firstLine="8"/>
        <w:spacing w:after="0" w:line="255" w:lineRule="auto"/>
        <w:tabs>
          <w:tab w:leader="none" w:pos="2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sz w:val="20"/>
          <w:szCs w:val="20"/>
          <w:color w:val="auto"/>
        </w:rPr>
      </w:pPr>
    </w:p>
    <w:p>
      <w:pPr>
        <w:ind w:right="20" w:firstLine="8"/>
        <w:spacing w:after="0" w:line="276" w:lineRule="auto"/>
        <w:tabs>
          <w:tab w:leader="none" w:pos="2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8"/>
          <w:szCs w:val="18"/>
          <w:color w:val="auto"/>
        </w:rPr>
      </w:pPr>
    </w:p>
    <w:p>
      <w:pPr>
        <w:ind w:right="20" w:firstLine="8"/>
        <w:spacing w:after="0" w:line="276" w:lineRule="auto"/>
        <w:tabs>
          <w:tab w:leader="none" w:pos="2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566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January 26, 2021</w:t>
      </w:r>
    </w:p>
    <w:p>
      <w:pPr>
        <w:sectPr>
          <w:pgSz w:w="11900" w:h="16838" w:orient="portrait"/>
          <w:cols w:equalWidth="0" w:num="1">
            <w:col w:w="11240"/>
          </w:cols>
          <w:pgMar w:left="320" w:top="34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5" w:lineRule="auto"/>
        <w:tabs>
          <w:tab w:leader="none" w:pos="2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firstLine="8"/>
        <w:spacing w:after="0" w:line="276" w:lineRule="auto"/>
        <w:tabs>
          <w:tab w:leader="none" w:pos="2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jc w:val="both"/>
        <w:ind w:firstLine="8"/>
        <w:spacing w:after="0" w:line="255" w:lineRule="auto"/>
        <w:tabs>
          <w:tab w:leader="none" w:pos="2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right="20" w:firstLine="8"/>
        <w:spacing w:after="0" w:line="255" w:lineRule="auto"/>
        <w:tabs>
          <w:tab w:leader="none" w:pos="2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jc w:val="both"/>
        <w:ind w:firstLine="8"/>
        <w:spacing w:after="0" w:line="255" w:lineRule="auto"/>
        <w:tabs>
          <w:tab w:leader="none" w:pos="2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20" w:firstLine="8"/>
        <w:spacing w:after="0" w:line="276" w:lineRule="auto"/>
        <w:tabs>
          <w:tab w:leader="none" w:pos="2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Arial" w:cs="Arial" w:eastAsia="Arial" w:hAnsi="Arial"/>
          <w:sz w:val="18"/>
          <w:szCs w:val="18"/>
          <w:color w:val="auto"/>
        </w:rPr>
      </w:pPr>
    </w:p>
    <w:p>
      <w:pPr>
        <w:jc w:val="both"/>
        <w:ind w:firstLine="8"/>
        <w:spacing w:after="0" w:line="255" w:lineRule="auto"/>
        <w:tabs>
          <w:tab w:leader="none" w:pos="229"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jc w:val="both"/>
        <w:ind w:firstLine="8"/>
        <w:spacing w:after="0" w:line="255" w:lineRule="auto"/>
        <w:tabs>
          <w:tab w:leader="none" w:pos="2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sz w:val="20"/>
          <w:szCs w:val="20"/>
          <w:color w:val="auto"/>
        </w:rPr>
      </w:pPr>
    </w:p>
    <w:p>
      <w:pPr>
        <w:ind w:right="20" w:firstLine="8"/>
        <w:spacing w:after="0" w:line="276" w:lineRule="auto"/>
        <w:tabs>
          <w:tab w:leader="none" w:pos="2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8"/>
          <w:szCs w:val="18"/>
          <w:color w:val="auto"/>
        </w:rPr>
      </w:pPr>
    </w:p>
    <w:p>
      <w:pPr>
        <w:ind w:right="20" w:firstLine="8"/>
        <w:spacing w:after="0" w:line="276" w:lineRule="auto"/>
        <w:tabs>
          <w:tab w:leader="none" w:pos="2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566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January 26, 2021</w:t>
      </w:r>
    </w:p>
    <w:p>
      <w:pPr>
        <w:sectPr>
          <w:pgSz w:w="11900" w:h="16838" w:orient="portrait"/>
          <w:cols w:equalWidth="0" w:num="1">
            <w:col w:w="11240"/>
          </w:cols>
          <w:pgMar w:left="320" w:top="34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December 31, 2020, as filed with the Securities and Exchange Commission (the “Report”), Satya Nadella, Chief Executive Officer of the Company, does hereby certify, pursuant to § 906 of the Sarbanes-Oxley Act of 2002 (18 U.S.C. § 1350), that to his knowledge:</w:t>
      </w:r>
    </w:p>
    <w:p>
      <w:pPr>
        <w:spacing w:after="0" w:line="110"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6" w:lineRule="auto"/>
        <w:tabs>
          <w:tab w:leader="none" w:pos="2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460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January 26, 2021</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240"/>
          </w:cols>
          <w:pgMar w:left="320" w:top="34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32.2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December 31, 2020, as filed with the Securities and Exchange Commission (the “Report”), Amy E. Hood, Chief Financial Officer of the Company, does hereby certify, pursuant to § 906 of the Sarbanes-Oxley Act of 2002 (18 U.S.C. § 1350), that to her knowledge:</w:t>
      </w:r>
    </w:p>
    <w:p>
      <w:pPr>
        <w:spacing w:after="0" w:line="110"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6" w:lineRule="auto"/>
        <w:tabs>
          <w:tab w:leader="none" w:pos="2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460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January 26, 2021</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425"/>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lowerLetter"/>
      <w:start w:val="1"/>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04"/>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2021-01-26T15:13:22Z</dcterms:created>
  <dcterms:modified xsi:type="dcterms:W3CDTF">2021-01-26T15:13:22Z</dcterms:modified>
</cp:coreProperties>
</file>