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6992620" cy="5244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4446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20" w:type="dxa"/>
            <w:vAlign w:val="bottom"/>
            <w:gridSpan w:val="3"/>
            <w:vMerge w:val="restart"/>
          </w:tcPr>
          <w:p>
            <w:pPr>
              <w:spacing w:after="0"/>
              <w:rPr>
                <w:rFonts w:ascii="Arial" w:cs="Arial" w:eastAsia="Arial" w:hAnsi="Arial"/>
                <w:sz w:val="21"/>
                <w:szCs w:val="21"/>
                <w:color w:val="0000EE"/>
                <w:w w:val="93"/>
              </w:rPr>
            </w:pPr>
            <w:hyperlink r:id="rId12">
              <w:r>
                <w:rPr>
                  <w:rFonts w:ascii="Arial" w:cs="Arial" w:eastAsia="Arial" w:hAnsi="Arial"/>
                  <w:sz w:val="21"/>
                  <w:szCs w:val="21"/>
                  <w:color w:val="0000EE"/>
                  <w:w w:val="93"/>
                </w:rPr>
                <w:t>Hoffman Reid</w:t>
              </w:r>
            </w:hyperlink>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40" w:type="dxa"/>
            <w:vAlign w:val="bottom"/>
            <w:gridSpan w:val="7"/>
          </w:tcPr>
          <w:p>
            <w:pPr>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MICROSOFT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MSFT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2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90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7"/>
            <w:vMerge w:val="continue"/>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ind w:left="140"/>
              <w:spacing w:after="0" w:line="122"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ind w:left="260"/>
              <w:spacing w:after="0" w:line="122"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620" w:type="dxa"/>
            <w:vAlign w:val="bottom"/>
            <w:gridSpan w:val="5"/>
            <w:vMerge w:val="restart"/>
          </w:tcPr>
          <w:p>
            <w:pPr>
              <w:ind w:left="240"/>
              <w:spacing w:after="0"/>
              <w:rPr>
                <w:sz w:val="20"/>
                <w:szCs w:val="20"/>
                <w:color w:val="auto"/>
              </w:rPr>
            </w:pPr>
            <w:r>
              <w:rPr>
                <w:rFonts w:ascii="Arial" w:cs="Arial" w:eastAsia="Arial" w:hAnsi="Arial"/>
                <w:sz w:val="17"/>
                <w:szCs w:val="17"/>
                <w:color w:val="0000FF"/>
              </w:rPr>
              <w:t>12/09/2021</w:t>
            </w: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60" w:type="dxa"/>
            <w:vAlign w:val="bottom"/>
            <w:gridSpan w:val="6"/>
            <w:vMerge w:val="restart"/>
          </w:tcPr>
          <w:p>
            <w:pPr>
              <w:spacing w:after="0"/>
              <w:rPr>
                <w:sz w:val="20"/>
                <w:szCs w:val="20"/>
                <w:color w:val="auto"/>
              </w:rPr>
            </w:pPr>
            <w:r>
              <w:rPr>
                <w:rFonts w:ascii="Arial" w:cs="Arial" w:eastAsia="Arial" w:hAnsi="Arial"/>
                <w:sz w:val="17"/>
                <w:szCs w:val="17"/>
                <w:color w:val="0000FF"/>
              </w:rPr>
              <w:t>C/O MICROSOFT CORPORATION</w:t>
            </w:r>
          </w:p>
        </w:tc>
        <w:tc>
          <w:tcPr>
            <w:tcW w:w="162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560" w:type="dxa"/>
            <w:vAlign w:val="bottom"/>
            <w:gridSpan w:val="6"/>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20" w:type="dxa"/>
            <w:vAlign w:val="bottom"/>
            <w:gridSpan w:val="5"/>
            <w:vMerge w:val="restart"/>
          </w:tcPr>
          <w:p>
            <w:pPr>
              <w:spacing w:after="0"/>
              <w:rPr>
                <w:sz w:val="20"/>
                <w:szCs w:val="20"/>
                <w:color w:val="auto"/>
              </w:rPr>
            </w:pPr>
            <w:r>
              <w:rPr>
                <w:rFonts w:ascii="Arial" w:cs="Arial" w:eastAsia="Arial" w:hAnsi="Arial"/>
                <w:sz w:val="17"/>
                <w:szCs w:val="17"/>
                <w:color w:val="0000FF"/>
              </w:rPr>
              <w:t>ONE MICROSOFT WAY</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5"/>
            <w:vMerge w:val="continue"/>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8"/>
                <w:szCs w:val="8"/>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8"/>
            <w:vMerge w:val="continue"/>
          </w:tcPr>
          <w:p>
            <w:pPr>
              <w:spacing w:after="0"/>
              <w:rPr>
                <w:sz w:val="8"/>
                <w:szCs w:val="8"/>
                <w:color w:val="auto"/>
              </w:rPr>
            </w:pPr>
          </w:p>
        </w:tc>
        <w:tc>
          <w:tcPr>
            <w:tcW w:w="260" w:type="dxa"/>
            <w:vAlign w:val="bottom"/>
          </w:tcPr>
          <w:p>
            <w:pPr>
              <w:spacing w:after="0"/>
              <w:rPr>
                <w:sz w:val="8"/>
                <w:szCs w:val="8"/>
                <w:color w:val="auto"/>
              </w:rPr>
            </w:pPr>
          </w:p>
        </w:tc>
        <w:tc>
          <w:tcPr>
            <w:tcW w:w="340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4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0" w:type="dxa"/>
            <w:vAlign w:val="bottom"/>
            <w:gridSpan w:val="9"/>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3"/>
          </w:tcPr>
          <w:p>
            <w:pPr>
              <w:spacing w:after="0"/>
              <w:rPr>
                <w:sz w:val="20"/>
                <w:szCs w:val="20"/>
                <w:color w:val="auto"/>
              </w:rPr>
            </w:pPr>
            <w:r>
              <w:rPr>
                <w:rFonts w:ascii="Arial" w:cs="Arial" w:eastAsia="Arial" w:hAnsi="Arial"/>
                <w:sz w:val="17"/>
                <w:szCs w:val="17"/>
                <w:color w:val="0000FF"/>
              </w:rPr>
              <w:t>REDMOND</w:t>
            </w:r>
          </w:p>
        </w:tc>
        <w:tc>
          <w:tcPr>
            <w:tcW w:w="1200" w:type="dxa"/>
            <w:vAlign w:val="bottom"/>
            <w:gridSpan w:val="2"/>
          </w:tcPr>
          <w:p>
            <w:pPr>
              <w:spacing w:after="0"/>
              <w:rPr>
                <w:sz w:val="20"/>
                <w:szCs w:val="20"/>
                <w:color w:val="auto"/>
              </w:rPr>
            </w:pPr>
            <w:r>
              <w:rPr>
                <w:rFonts w:ascii="Arial" w:cs="Arial" w:eastAsia="Arial" w:hAnsi="Arial"/>
                <w:sz w:val="17"/>
                <w:szCs w:val="17"/>
                <w:color w:val="0000FF"/>
              </w:rPr>
              <w:t>WA</w:t>
            </w:r>
          </w:p>
        </w:tc>
        <w:tc>
          <w:tcPr>
            <w:tcW w:w="1140" w:type="dxa"/>
            <w:vAlign w:val="bottom"/>
          </w:tcPr>
          <w:p>
            <w:pPr>
              <w:ind w:left="20"/>
              <w:spacing w:after="0"/>
              <w:rPr>
                <w:sz w:val="20"/>
                <w:szCs w:val="20"/>
                <w:color w:val="auto"/>
              </w:rPr>
            </w:pPr>
            <w:r>
              <w:rPr>
                <w:rFonts w:ascii="Arial" w:cs="Arial" w:eastAsia="Arial" w:hAnsi="Arial"/>
                <w:sz w:val="17"/>
                <w:szCs w:val="17"/>
                <w:color w:val="0000FF"/>
              </w:rPr>
              <w:t>98052-6399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ind w:left="160"/>
              <w:spacing w:after="0" w:line="131"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3"/>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198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7"/>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4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spacing w:after="0" w:line="127"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2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5"/>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20" w:type="dxa"/>
            <w:vAlign w:val="bottom"/>
            <w:gridSpan w:val="5"/>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ind w:left="340"/>
              <w:spacing w:after="0"/>
              <w:rPr>
                <w:sz w:val="20"/>
                <w:szCs w:val="20"/>
                <w:color w:val="auto"/>
              </w:rPr>
            </w:pPr>
            <w:r>
              <w:rPr>
                <w:rFonts w:ascii="Arial" w:cs="Arial" w:eastAsia="Arial" w:hAnsi="Arial"/>
                <w:sz w:val="17"/>
                <w:szCs w:val="17"/>
                <w:color w:val="0000FF"/>
              </w:rPr>
              <w:t>15,905</w:t>
            </w:r>
          </w:p>
        </w:tc>
        <w:tc>
          <w:tcPr>
            <w:tcW w:w="280" w:type="dxa"/>
            <w:vAlign w:val="bottom"/>
          </w:tcPr>
          <w:p>
            <w:pPr>
              <w:spacing w:after="0"/>
              <w:rPr>
                <w:sz w:val="18"/>
                <w:szCs w:val="18"/>
                <w:color w:val="auto"/>
              </w:rPr>
            </w:pPr>
          </w:p>
        </w:tc>
        <w:tc>
          <w:tcPr>
            <w:tcW w:w="680" w:type="dxa"/>
            <w:vAlign w:val="bottom"/>
          </w:tcPr>
          <w:p>
            <w:pPr>
              <w:ind w:left="12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Living</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420" w:type="dxa"/>
            <w:vAlign w:val="bottom"/>
            <w:tcBorders>
              <w:bottom w:val="single" w:sz="8" w:color="2C2C2C"/>
            </w:tcBorders>
            <w:gridSpan w:val="5"/>
          </w:tcPr>
          <w:p>
            <w:pPr>
              <w:spacing w:after="0"/>
              <w:rPr>
                <w:sz w:val="8"/>
                <w:szCs w:val="8"/>
                <w:color w:val="auto"/>
              </w:rPr>
            </w:pPr>
          </w:p>
        </w:tc>
        <w:tc>
          <w:tcPr>
            <w:tcW w:w="1520" w:type="dxa"/>
            <w:vAlign w:val="bottom"/>
            <w:tcBorders>
              <w:bottom w:val="single" w:sz="8" w:color="2C2C2C"/>
            </w:tcBorders>
            <w:gridSpan w:val="3"/>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260" w:type="dxa"/>
            <w:vAlign w:val="bottom"/>
            <w:tcBorders>
              <w:bottom w:val="single" w:sz="8" w:color="2C2C2C"/>
            </w:tcBorders>
            <w:gridSpan w:val="6"/>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7"/>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80" w:type="dxa"/>
            <w:vAlign w:val="bottom"/>
            <w:gridSpan w:val="15"/>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Restricted</w:t>
            </w:r>
          </w:p>
        </w:tc>
        <w:tc>
          <w:tcPr>
            <w:tcW w:w="60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vMerge w:val="restart"/>
          </w:tcPr>
          <w:p>
            <w:pPr>
              <w:ind w:left="160"/>
              <w:spacing w:after="0"/>
              <w:rPr>
                <w:sz w:val="20"/>
                <w:szCs w:val="20"/>
                <w:color w:val="auto"/>
              </w:rPr>
            </w:pPr>
            <w:r>
              <w:rPr>
                <w:rFonts w:ascii="Arial" w:cs="Arial" w:eastAsia="Arial" w:hAnsi="Arial"/>
                <w:sz w:val="25"/>
                <w:szCs w:val="25"/>
                <w:color w:val="0000FF"/>
                <w:vertAlign w:val="subscript"/>
              </w:rPr>
              <w:t>21</w:t>
            </w:r>
            <w:r>
              <w:rPr>
                <w:rFonts w:ascii="Arial" w:cs="Arial" w:eastAsia="Arial" w:hAnsi="Arial"/>
                <w:sz w:val="11"/>
                <w:szCs w:val="11"/>
                <w:color w:val="008000"/>
              </w:rPr>
              <w:t>(2)</w:t>
            </w:r>
          </w:p>
        </w:tc>
        <w:tc>
          <w:tcPr>
            <w:tcW w:w="400" w:type="dxa"/>
            <w:vAlign w:val="bottom"/>
            <w:gridSpan w:val="2"/>
            <w:vMerge w:val="restart"/>
          </w:tcPr>
          <w:p>
            <w:pPr>
              <w:ind w:left="260"/>
              <w:spacing w:after="0"/>
              <w:rPr>
                <w:sz w:val="20"/>
                <w:szCs w:val="20"/>
                <w:color w:val="auto"/>
              </w:rPr>
            </w:pPr>
            <w:r>
              <w:rPr>
                <w:rFonts w:ascii="Arial" w:cs="Arial" w:eastAsia="Arial" w:hAnsi="Arial"/>
                <w:sz w:val="11"/>
                <w:szCs w:val="11"/>
                <w:color w:val="008000"/>
                <w:w w:val="88"/>
              </w:rPr>
              <w:t>(3)</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vMerge w:val="restart"/>
          </w:tcPr>
          <w:p>
            <w:pPr>
              <w:ind w:left="160"/>
              <w:spacing w:after="0"/>
              <w:rPr>
                <w:sz w:val="20"/>
                <w:szCs w:val="20"/>
                <w:color w:val="auto"/>
              </w:rPr>
            </w:pPr>
            <w:r>
              <w:rPr>
                <w:rFonts w:ascii="Arial" w:cs="Arial" w:eastAsia="Arial" w:hAnsi="Arial"/>
                <w:sz w:val="17"/>
                <w:szCs w:val="17"/>
                <w:color w:val="0000FF"/>
              </w:rPr>
              <w:t>21</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3"/>
                <w:szCs w:val="13"/>
                <w:color w:val="0000FF"/>
              </w:rPr>
              <w:t>11,837</w:t>
            </w:r>
            <w:r>
              <w:rPr>
                <w:rFonts w:ascii="Arial" w:cs="Arial" w:eastAsia="Arial" w:hAnsi="Arial"/>
                <w:sz w:val="21"/>
                <w:szCs w:val="21"/>
                <w:color w:val="008000"/>
                <w:vertAlign w:val="superscript"/>
              </w:rPr>
              <w:t>(4)</w:t>
            </w: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6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restart"/>
          </w:tcPr>
          <w:p>
            <w:pPr>
              <w:ind w:left="240"/>
              <w:spacing w:after="0" w:line="143" w:lineRule="exact"/>
              <w:rPr>
                <w:sz w:val="20"/>
                <w:szCs w:val="20"/>
                <w:color w:val="auto"/>
              </w:rPr>
            </w:pPr>
            <w:r>
              <w:rPr>
                <w:rFonts w:ascii="Arial" w:cs="Arial" w:eastAsia="Arial" w:hAnsi="Arial"/>
                <w:sz w:val="13"/>
                <w:szCs w:val="13"/>
                <w:color w:val="0000FF"/>
              </w:rPr>
              <w:t>12/09/2021</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3" w:lineRule="exact"/>
              <w:rPr>
                <w:sz w:val="20"/>
                <w:szCs w:val="20"/>
                <w:color w:val="auto"/>
              </w:rPr>
            </w:pPr>
            <w:r>
              <w:rPr>
                <w:rFonts w:ascii="Arial" w:cs="Arial" w:eastAsia="Arial" w:hAnsi="Arial"/>
                <w:sz w:val="13"/>
                <w:szCs w:val="13"/>
                <w:color w:val="0000FF"/>
              </w:rPr>
              <w:t>A</w:t>
            </w:r>
          </w:p>
        </w:tc>
        <w:tc>
          <w:tcPr>
            <w:tcW w:w="900" w:type="dxa"/>
            <w:vAlign w:val="bottom"/>
            <w:vMerge w:val="continue"/>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vMerge w:val="continue"/>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gridSpan w:val="3"/>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Units</w:t>
            </w: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-2106295</wp:posOffset>
            </wp:positionV>
            <wp:extent cx="29210" cy="2111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137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Microsoft common stock.</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Dividend equivalent rights accrue when and as dividends are paid on the Company's common stock and become exercisable proportionately with the restricted stock units to which they relate.</w:t>
      </w:r>
    </w:p>
    <w:p>
      <w:pPr>
        <w:spacing w:after="0" w:line="56" w:lineRule="exact"/>
        <w:rPr>
          <w:rFonts w:ascii="Arial" w:cs="Arial" w:eastAsia="Arial" w:hAnsi="Arial"/>
          <w:sz w:val="12"/>
          <w:szCs w:val="12"/>
          <w:color w:val="008000"/>
        </w:rPr>
      </w:pPr>
    </w:p>
    <w:p>
      <w:pPr>
        <w:ind w:left="40" w:right="34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are fully vested. Delivery of the shares to the reporting person will be made on the first anniversary after the date of the reporting person's separation from service to the Board of Directors.</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one share as a result of accumulated fractional shares.</w:t>
      </w:r>
    </w:p>
    <w:p>
      <w:pPr>
        <w:spacing w:after="0" w:line="53"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Ann Habernigg, Attorney-in-</w:t>
            </w:r>
          </w:p>
        </w:tc>
        <w:tc>
          <w:tcPr>
            <w:tcW w:w="100" w:type="dxa"/>
            <w:vAlign w:val="bottom"/>
          </w:tcPr>
          <w:p>
            <w:pPr>
              <w:spacing w:after="0"/>
              <w:rPr>
                <w:sz w:val="16"/>
                <w:szCs w:val="16"/>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6"/>
              </w:rPr>
              <w:t>12/10/2021</w:t>
            </w:r>
          </w:p>
        </w:tc>
        <w:tc>
          <w:tcPr>
            <w:tcW w:w="0" w:type="dxa"/>
            <w:vAlign w:val="bottom"/>
          </w:tcPr>
          <w:p>
            <w:pPr>
              <w:spacing w:after="0"/>
              <w:rPr>
                <w:sz w:val="1"/>
                <w:szCs w:val="1"/>
                <w:color w:val="auto"/>
              </w:rPr>
            </w:pPr>
          </w:p>
        </w:tc>
      </w:tr>
      <w:tr>
        <w:trPr>
          <w:trHeight w:val="84"/>
        </w:trPr>
        <w:tc>
          <w:tcPr>
            <w:tcW w:w="2080" w:type="dxa"/>
            <w:vAlign w:val="bottom"/>
            <w:gridSpan w:val="3"/>
            <w:vMerge w:val="restart"/>
          </w:tcPr>
          <w:p>
            <w:pPr>
              <w:spacing w:after="0" w:line="188" w:lineRule="exact"/>
              <w:rPr>
                <w:sz w:val="20"/>
                <w:szCs w:val="20"/>
                <w:color w:val="auto"/>
              </w:rPr>
            </w:pPr>
            <w:r>
              <w:rPr>
                <w:rFonts w:ascii="Arial" w:cs="Arial" w:eastAsia="Arial" w:hAnsi="Arial"/>
                <w:sz w:val="17"/>
                <w:szCs w:val="17"/>
                <w:color w:val="0000FF"/>
              </w:rPr>
              <w:t>fact for Reid G. Hoffman</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0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19339" TargetMode="External"/><Relationship Id="rId13" Type="http://schemas.openxmlformats.org/officeDocument/2006/relationships/hyperlink" Target="http://www.sec.gov/cgi-bin/browse-edgar?action=getcompany&amp;CIK=0000789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2021-12-10T17:10:12Z</dcterms:created>
  <dcterms:modified xsi:type="dcterms:W3CDTF">2021-12-10T17:10:12Z</dcterms:modified>
</cp:coreProperties>
</file>