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234950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131445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6" w:lineRule="exact"/>
        <w:rPr>
          <w:sz w:val="24"/>
          <w:szCs w:val="24"/>
          <w:color w:val="auto"/>
        </w:rPr>
      </w:pPr>
    </w:p>
    <w:tbl>
      <w:tblPr>
        <w:tblLayout w:type="fixed"/>
        <w:tblInd w:w="944" w:type="dxa"/>
        <w:tblCellMar>
          <w:top w:w="0" w:type="dxa"/>
          <w:left w:w="0" w:type="dxa"/>
          <w:bottom w:w="0" w:type="dxa"/>
          <w:right w:w="0" w:type="dxa"/>
        </w:tblCellMar>
      </w:tblPr>
      <w:tr>
        <w:trPr>
          <w:trHeight w:val="226"/>
        </w:trPr>
        <w:tc>
          <w:tcPr>
            <w:tcW w:w="3920" w:type="dxa"/>
            <w:vAlign w:val="bottom"/>
          </w:tcPr>
          <w:p>
            <w:pPr>
              <w:jc w:val="center"/>
              <w:ind w:right="2016"/>
              <w:spacing w:after="0"/>
              <w:rPr>
                <w:sz w:val="20"/>
                <w:szCs w:val="20"/>
                <w:color w:val="auto"/>
              </w:rPr>
            </w:pPr>
            <w:r>
              <w:rPr>
                <w:rFonts w:ascii="Arial" w:cs="Arial" w:eastAsia="Arial" w:hAnsi="Arial"/>
                <w:sz w:val="18"/>
                <w:szCs w:val="18"/>
                <w:b w:val="1"/>
                <w:bCs w:val="1"/>
                <w:color w:val="auto"/>
                <w:w w:val="98"/>
              </w:rPr>
              <w:t>Washington</w:t>
            </w:r>
          </w:p>
        </w:tc>
        <w:tc>
          <w:tcPr>
            <w:tcW w:w="2080" w:type="dxa"/>
            <w:vAlign w:val="bottom"/>
          </w:tcPr>
          <w:p>
            <w:pPr>
              <w:ind w:left="280"/>
              <w:spacing w:after="0"/>
              <w:rPr>
                <w:sz w:val="20"/>
                <w:szCs w:val="20"/>
                <w:color w:val="auto"/>
              </w:rPr>
            </w:pPr>
            <w:r>
              <w:rPr>
                <w:rFonts w:ascii="Arial" w:cs="Arial" w:eastAsia="Arial" w:hAnsi="Arial"/>
                <w:sz w:val="18"/>
                <w:szCs w:val="18"/>
                <w:b w:val="1"/>
                <w:bCs w:val="1"/>
                <w:color w:val="auto"/>
              </w:rPr>
              <w:t>001-37845</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91-1144442</w:t>
            </w:r>
          </w:p>
        </w:tc>
      </w:tr>
      <w:tr>
        <w:trPr>
          <w:trHeight w:val="162"/>
        </w:trPr>
        <w:tc>
          <w:tcPr>
            <w:tcW w:w="3920" w:type="dxa"/>
            <w:vAlign w:val="bottom"/>
          </w:tcPr>
          <w:p>
            <w:pPr>
              <w:jc w:val="center"/>
              <w:ind w:right="2016"/>
              <w:spacing w:after="0"/>
              <w:rPr>
                <w:sz w:val="20"/>
                <w:szCs w:val="20"/>
                <w:color w:val="auto"/>
              </w:rPr>
            </w:pPr>
            <w:r>
              <w:rPr>
                <w:rFonts w:ascii="Arial" w:cs="Arial" w:eastAsia="Arial" w:hAnsi="Arial"/>
                <w:sz w:val="14"/>
                <w:szCs w:val="14"/>
                <w:b w:val="1"/>
                <w:bCs w:val="1"/>
                <w:color w:val="auto"/>
              </w:rPr>
              <w:t>(State of Incorporation)</w:t>
            </w:r>
          </w:p>
        </w:tc>
        <w:tc>
          <w:tcPr>
            <w:tcW w:w="2080" w:type="dxa"/>
            <w:vAlign w:val="bottom"/>
          </w:tcPr>
          <w:p>
            <w:pPr>
              <w:ind w:left="260"/>
              <w:spacing w:after="0"/>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736"/>
              <w:spacing w:after="0"/>
              <w:rPr>
                <w:sz w:val="20"/>
                <w:szCs w:val="20"/>
                <w:color w:val="auto"/>
              </w:rPr>
            </w:pPr>
            <w:r>
              <w:rPr>
                <w:rFonts w:ascii="Arial" w:cs="Arial" w:eastAsia="Arial" w:hAnsi="Arial"/>
                <w:sz w:val="14"/>
                <w:szCs w:val="14"/>
                <w:b w:val="1"/>
                <w:bCs w:val="1"/>
                <w:color w:val="auto"/>
                <w:w w:val="99"/>
              </w:rPr>
              <w:t>(I.R.S. ID)</w:t>
            </w:r>
          </w:p>
        </w:tc>
      </w:tr>
      <w:tr>
        <w:trPr>
          <w:trHeight w:val="190"/>
        </w:trPr>
        <w:tc>
          <w:tcPr>
            <w:tcW w:w="3920" w:type="dxa"/>
            <w:vAlign w:val="bottom"/>
          </w:tcPr>
          <w:p>
            <w:pPr>
              <w:spacing w:after="0"/>
              <w:rPr>
                <w:sz w:val="16"/>
                <w:szCs w:val="16"/>
                <w:color w:val="auto"/>
              </w:rPr>
            </w:pPr>
          </w:p>
        </w:tc>
        <w:tc>
          <w:tcPr>
            <w:tcW w:w="2080" w:type="dxa"/>
            <w:vAlign w:val="bottom"/>
          </w:tcPr>
          <w:p>
            <w:pPr>
              <w:ind w:left="28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spacing w:after="0"/>
              <w:rPr>
                <w:sz w:val="16"/>
                <w:szCs w:val="16"/>
                <w:color w:val="auto"/>
              </w:rPr>
            </w:pPr>
          </w:p>
        </w:tc>
      </w:tr>
      <w:tr>
        <w:trPr>
          <w:trHeight w:val="417"/>
        </w:trPr>
        <w:tc>
          <w:tcPr>
            <w:tcW w:w="392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80" w:type="dxa"/>
            <w:vAlign w:val="bottom"/>
          </w:tcPr>
          <w:p>
            <w:pPr>
              <w:spacing w:after="0"/>
              <w:rPr>
                <w:sz w:val="24"/>
                <w:szCs w:val="24"/>
                <w:color w:val="auto"/>
              </w:rPr>
            </w:pPr>
          </w:p>
        </w:tc>
        <w:tc>
          <w:tcPr>
            <w:tcW w:w="2800" w:type="dxa"/>
            <w:vAlign w:val="bottom"/>
          </w:tcPr>
          <w:p>
            <w:pPr>
              <w:jc w:val="right"/>
              <w:ind w:right="836"/>
              <w:spacing w:after="0"/>
              <w:rPr>
                <w:sz w:val="20"/>
                <w:szCs w:val="20"/>
                <w:color w:val="auto"/>
              </w:rPr>
            </w:pPr>
            <w:r>
              <w:rPr>
                <w:rFonts w:ascii="Arial" w:cs="Arial" w:eastAsia="Arial" w:hAnsi="Arial"/>
                <w:sz w:val="18"/>
                <w:szCs w:val="18"/>
                <w:b w:val="1"/>
                <w:bCs w:val="1"/>
                <w:color w:val="auto"/>
              </w:rPr>
              <w:t>98052-6399</w:t>
            </w:r>
          </w:p>
        </w:tc>
      </w:tr>
    </w:tbl>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23"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www.microsoft.com/investor</w:t>
      </w:r>
    </w:p>
    <w:p>
      <w:pPr>
        <w:spacing w:after="0" w:line="211" w:lineRule="exact"/>
        <w:rPr>
          <w:sz w:val="24"/>
          <w:szCs w:val="24"/>
          <w:color w:val="auto"/>
        </w:rPr>
      </w:pPr>
    </w:p>
    <w:p>
      <w:pPr>
        <w:ind w:left="4" w:right="1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5360" w:type="dxa"/>
            <w:vAlign w:val="bottom"/>
            <w:tcBorders>
              <w:bottom w:val="single" w:sz="8" w:color="auto"/>
            </w:tcBorders>
          </w:tcPr>
          <w:p>
            <w:pPr>
              <w:ind w:left="2100"/>
              <w:spacing w:after="0"/>
              <w:rPr>
                <w:sz w:val="20"/>
                <w:szCs w:val="20"/>
                <w:color w:val="auto"/>
              </w:rPr>
            </w:pPr>
            <w:r>
              <w:rPr>
                <w:rFonts w:ascii="Arial" w:cs="Arial" w:eastAsia="Arial" w:hAnsi="Arial"/>
                <w:sz w:val="14"/>
                <w:szCs w:val="14"/>
                <w:color w:val="auto"/>
              </w:rPr>
              <w:t>Title of each class</w:t>
            </w:r>
          </w:p>
        </w:tc>
        <w:tc>
          <w:tcPr>
            <w:tcW w:w="1000" w:type="dxa"/>
            <w:vAlign w:val="bottom"/>
          </w:tcPr>
          <w:p>
            <w:pPr>
              <w:spacing w:after="0"/>
              <w:rPr>
                <w:sz w:val="14"/>
                <w:szCs w:val="1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Trading Symbol</w:t>
            </w:r>
          </w:p>
        </w:tc>
        <w:tc>
          <w:tcPr>
            <w:tcW w:w="1080" w:type="dxa"/>
            <w:vAlign w:val="bottom"/>
          </w:tcPr>
          <w:p>
            <w:pPr>
              <w:spacing w:after="0"/>
              <w:rPr>
                <w:sz w:val="14"/>
                <w:szCs w:val="14"/>
                <w:color w:val="auto"/>
              </w:rPr>
            </w:pPr>
          </w:p>
        </w:tc>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exchange on which registered</w:t>
            </w:r>
          </w:p>
        </w:tc>
      </w:tr>
      <w:tr>
        <w:trPr>
          <w:trHeight w:val="187"/>
        </w:trPr>
        <w:tc>
          <w:tcPr>
            <w:tcW w:w="5360" w:type="dxa"/>
            <w:vAlign w:val="bottom"/>
          </w:tcPr>
          <w:p>
            <w:pPr>
              <w:spacing w:after="0" w:line="187" w:lineRule="exact"/>
              <w:rPr>
                <w:sz w:val="20"/>
                <w:szCs w:val="20"/>
                <w:color w:val="auto"/>
              </w:rPr>
            </w:pPr>
            <w:r>
              <w:rPr>
                <w:rFonts w:ascii="Arial" w:cs="Arial" w:eastAsia="Arial" w:hAnsi="Arial"/>
                <w:sz w:val="18"/>
                <w:szCs w:val="18"/>
                <w:b w:val="1"/>
                <w:bCs w:val="1"/>
                <w:color w:val="auto"/>
              </w:rPr>
              <w:t>Common stock, $0.00000625 par value per share</w:t>
            </w:r>
          </w:p>
        </w:tc>
        <w:tc>
          <w:tcPr>
            <w:tcW w:w="1000" w:type="dxa"/>
            <w:vAlign w:val="bottom"/>
          </w:tcPr>
          <w:p>
            <w:pPr>
              <w:spacing w:after="0"/>
              <w:rPr>
                <w:sz w:val="16"/>
                <w:szCs w:val="16"/>
                <w:color w:val="auto"/>
              </w:rPr>
            </w:pPr>
          </w:p>
        </w:tc>
        <w:tc>
          <w:tcPr>
            <w:tcW w:w="1000" w:type="dxa"/>
            <w:vAlign w:val="bottom"/>
          </w:tcPr>
          <w:p>
            <w:pPr>
              <w:ind w:left="300"/>
              <w:spacing w:after="0" w:line="187" w:lineRule="exact"/>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6"/>
                <w:szCs w:val="16"/>
                <w:color w:val="auto"/>
              </w:rPr>
            </w:pPr>
          </w:p>
        </w:tc>
        <w:tc>
          <w:tcPr>
            <w:tcW w:w="2500" w:type="dxa"/>
            <w:vAlign w:val="bottom"/>
          </w:tcPr>
          <w:p>
            <w:pPr>
              <w:ind w:left="920"/>
              <w:spacing w:after="0" w:line="187" w:lineRule="exact"/>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2.125% Notes due 2021</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3.125% Notes due 2028</w:t>
            </w:r>
          </w:p>
        </w:tc>
        <w:tc>
          <w:tcPr>
            <w:tcW w:w="1000" w:type="dxa"/>
            <w:vAlign w:val="bottom"/>
          </w:tcPr>
          <w:p>
            <w:pPr>
              <w:spacing w:after="0"/>
              <w:rPr>
                <w:sz w:val="18"/>
                <w:szCs w:val="18"/>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18"/>
                <w:szCs w:val="18"/>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r>
        <w:trPr>
          <w:trHeight w:val="239"/>
        </w:trPr>
        <w:tc>
          <w:tcPr>
            <w:tcW w:w="5360" w:type="dxa"/>
            <w:vAlign w:val="bottom"/>
          </w:tcPr>
          <w:p>
            <w:pPr>
              <w:spacing w:after="0"/>
              <w:rPr>
                <w:sz w:val="20"/>
                <w:szCs w:val="20"/>
                <w:color w:val="auto"/>
              </w:rPr>
            </w:pPr>
            <w:r>
              <w:rPr>
                <w:rFonts w:ascii="Arial" w:cs="Arial" w:eastAsia="Arial" w:hAnsi="Arial"/>
                <w:sz w:val="18"/>
                <w:szCs w:val="18"/>
                <w:b w:val="1"/>
                <w:bCs w:val="1"/>
                <w:color w:val="auto"/>
              </w:rPr>
              <w:t>2.625% Notes due 2033</w:t>
            </w:r>
          </w:p>
        </w:tc>
        <w:tc>
          <w:tcPr>
            <w:tcW w:w="1000" w:type="dxa"/>
            <w:vAlign w:val="bottom"/>
          </w:tcPr>
          <w:p>
            <w:pPr>
              <w:spacing w:after="0"/>
              <w:rPr>
                <w:sz w:val="20"/>
                <w:szCs w:val="20"/>
                <w:color w:val="auto"/>
              </w:rPr>
            </w:pPr>
          </w:p>
        </w:tc>
        <w:tc>
          <w:tcPr>
            <w:tcW w:w="1000" w:type="dxa"/>
            <w:vAlign w:val="bottom"/>
          </w:tcPr>
          <w:p>
            <w:pPr>
              <w:ind w:left="300"/>
              <w:spacing w:after="0"/>
              <w:rPr>
                <w:sz w:val="20"/>
                <w:szCs w:val="20"/>
                <w:color w:val="auto"/>
              </w:rPr>
            </w:pPr>
            <w:r>
              <w:rPr>
                <w:rFonts w:ascii="Arial" w:cs="Arial" w:eastAsia="Arial" w:hAnsi="Arial"/>
                <w:sz w:val="18"/>
                <w:szCs w:val="18"/>
                <w:b w:val="1"/>
                <w:bCs w:val="1"/>
                <w:color w:val="auto"/>
              </w:rPr>
              <w:t>MSFT</w:t>
            </w:r>
          </w:p>
        </w:tc>
        <w:tc>
          <w:tcPr>
            <w:tcW w:w="1080" w:type="dxa"/>
            <w:vAlign w:val="bottom"/>
          </w:tcPr>
          <w:p>
            <w:pPr>
              <w:spacing w:after="0"/>
              <w:rPr>
                <w:sz w:val="20"/>
                <w:szCs w:val="20"/>
                <w:color w:val="auto"/>
              </w:rPr>
            </w:pPr>
          </w:p>
        </w:tc>
        <w:tc>
          <w:tcPr>
            <w:tcW w:w="2500" w:type="dxa"/>
            <w:vAlign w:val="bottom"/>
          </w:tcPr>
          <w:p>
            <w:pPr>
              <w:ind w:left="920"/>
              <w:spacing w:after="0"/>
              <w:rPr>
                <w:sz w:val="20"/>
                <w:szCs w:val="20"/>
                <w:color w:val="auto"/>
              </w:rPr>
            </w:pPr>
            <w:r>
              <w:rPr>
                <w:rFonts w:ascii="Arial" w:cs="Arial" w:eastAsia="Arial" w:hAnsi="Arial"/>
                <w:sz w:val="18"/>
                <w:szCs w:val="18"/>
                <w:b w:val="1"/>
                <w:bCs w:val="1"/>
                <w:color w:val="auto"/>
              </w:rPr>
              <w:t>NASDAQ</w:t>
            </w:r>
          </w:p>
        </w:tc>
      </w:tr>
    </w:tbl>
    <w:p>
      <w:pPr>
        <w:spacing w:after="0" w:line="215" w:lineRule="exact"/>
        <w:rPr>
          <w:sz w:val="24"/>
          <w:szCs w:val="24"/>
          <w:color w:val="auto"/>
        </w:rPr>
      </w:pPr>
    </w:p>
    <w:p>
      <w:pPr>
        <w:ind w:left="4"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8664"/>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3" w:lineRule="exact"/>
        <w:rPr>
          <w:sz w:val="24"/>
          <w:szCs w:val="24"/>
          <w:color w:val="auto"/>
        </w:rPr>
      </w:pPr>
    </w:p>
    <w:p>
      <w:pPr>
        <w:ind w:left="4" w:right="86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292" w:right="439" w:bottom="1440" w:gutter="0" w:footer="0" w:header="0"/>
        </w:sectPr>
      </w:pPr>
    </w:p>
    <w:bookmarkStart w:id="1" w:name="page2"/>
    <w:bookmarkEnd w:id="1"/>
    <w:p>
      <w:pPr>
        <w:ind w:right="260"/>
        <w:spacing w:after="0" w:line="27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6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July 1, 2020 Margaret L. Johnson, Executive Vice President, Business Development, informed the Company that she was resigning from her position at the Company, effective July 1, 2020. Her last day with the Company will be July 7, 2020.</w:t>
      </w:r>
    </w:p>
    <w:p>
      <w:pPr>
        <w:sectPr>
          <w:pgSz w:w="11900" w:h="16838" w:orient="portrait"/>
          <w:cols w:equalWidth="0" w:num="1">
            <w:col w:w="10740"/>
          </w:cols>
          <w:pgMar w:left="440" w:top="292" w:right="7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MICROSOFT CORPORATION</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740" w:val="left"/>
        </w:tabs>
        <w:rPr>
          <w:sz w:val="20"/>
          <w:szCs w:val="20"/>
          <w:color w:val="auto"/>
        </w:rPr>
      </w:pPr>
      <w:r>
        <w:rPr>
          <w:rFonts w:ascii="Arial" w:cs="Arial" w:eastAsia="Arial" w:hAnsi="Arial"/>
          <w:sz w:val="18"/>
          <w:szCs w:val="18"/>
          <w:color w:val="auto"/>
        </w:rPr>
        <w:t>Date: July 7, 2020</w:t>
      </w:r>
      <w:r>
        <w:rPr>
          <w:sz w:val="20"/>
          <w:szCs w:val="20"/>
          <w:color w:val="auto"/>
        </w:rPr>
        <w:tab/>
      </w:r>
      <w:r>
        <w:rPr>
          <w:rFonts w:ascii="Arial" w:cs="Arial" w:eastAsia="Arial" w:hAnsi="Arial"/>
          <w:sz w:val="18"/>
          <w:szCs w:val="18"/>
          <w:color w:val="auto"/>
        </w:rPr>
        <w:t>/s/ K</w:t>
      </w:r>
      <w:r>
        <w:rPr>
          <w:rFonts w:ascii="Arial" w:cs="Arial" w:eastAsia="Arial" w:hAnsi="Arial"/>
          <w:sz w:val="12"/>
          <w:szCs w:val="12"/>
          <w:color w:val="auto"/>
        </w:rPr>
        <w:t>EITH</w:t>
      </w:r>
      <w:r>
        <w:rPr>
          <w:rFonts w:ascii="Arial" w:cs="Arial" w:eastAsia="Arial" w:hAnsi="Arial"/>
          <w:sz w:val="18"/>
          <w:szCs w:val="18"/>
          <w:color w:val="auto"/>
        </w:rPr>
        <w:t xml:space="preserve"> D</w:t>
      </w:r>
      <w:r>
        <w:rPr>
          <w:rFonts w:ascii="Arial" w:cs="Arial" w:eastAsia="Arial" w:hAnsi="Arial"/>
          <w:sz w:val="12"/>
          <w:szCs w:val="12"/>
          <w:color w:val="auto"/>
        </w:rPr>
        <w:t>OLLIVER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-1905</wp:posOffset>
            </wp:positionV>
            <wp:extent cx="3282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Keith R. Dolliver</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VP and Deputy General Counsel</w:t>
      </w:r>
    </w:p>
    <w:sectPr>
      <w:pgSz w:w="11900" w:h="16838" w:orient="portrait"/>
      <w:cols w:equalWidth="0" w:num="1">
        <w:col w:w="10860"/>
      </w:cols>
      <w:pgMar w:left="440" w:top="29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2020-07-07T08:34:09Z</dcterms:created>
  <dcterms:modified xsi:type="dcterms:W3CDTF">2020-07-07T08:34:09Z</dcterms:modified>
</cp:coreProperties>
</file>