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UNITED STATES</w:t>
      </w:r>
    </w:p>
    <w:p>
      <w:pPr>
        <w:ind w:left="24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spacing w:after="0" w:line="203"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10-Q</w:t>
      </w:r>
    </w:p>
    <w:p>
      <w:pPr>
        <w:spacing w:after="0" w:line="207" w:lineRule="exact"/>
        <w:rPr>
          <w:sz w:val="24"/>
          <w:szCs w:val="24"/>
          <w:color w:val="auto"/>
        </w:rPr>
      </w:pPr>
    </w:p>
    <w:p>
      <w:pPr>
        <w:ind w:left="1900" w:hanging="523"/>
        <w:spacing w:after="0"/>
        <w:tabs>
          <w:tab w:leader="none" w:pos="19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PURSUANT TO SECTION 13 OR 15(d)</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THE SECURITIES EXCHANGE ACT OF 1934</w:t>
      </w:r>
    </w:p>
    <w:p>
      <w:pPr>
        <w:spacing w:after="0" w:line="202"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For the Quarterly Period Ended March 31, 1994</w:t>
      </w:r>
    </w:p>
    <w:p>
      <w:pPr>
        <w:spacing w:after="0" w:line="200" w:lineRule="exact"/>
        <w:rPr>
          <w:sz w:val="24"/>
          <w:szCs w:val="24"/>
          <w:color w:val="auto"/>
        </w:rPr>
      </w:pPr>
    </w:p>
    <w:p>
      <w:pPr>
        <w:spacing w:after="0" w:line="209" w:lineRule="exact"/>
        <w:rPr>
          <w:sz w:val="24"/>
          <w:szCs w:val="24"/>
          <w:color w:val="auto"/>
        </w:rPr>
      </w:pPr>
    </w:p>
    <w:p>
      <w:pPr>
        <w:ind w:left="1580" w:hanging="203"/>
        <w:spacing w:after="0"/>
        <w:tabs>
          <w:tab w:leader="none" w:pos="15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TRANSITION REPORT PURSUANT TO SECTION 13 OR 15(d)</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THE SECURITIES EXCHANGE ACT OF 1934</w:t>
      </w:r>
    </w:p>
    <w:p>
      <w:pPr>
        <w:spacing w:after="0" w:line="200" w:lineRule="exact"/>
        <w:rPr>
          <w:sz w:val="24"/>
          <w:szCs w:val="24"/>
          <w:color w:val="auto"/>
        </w:rPr>
      </w:pPr>
    </w:p>
    <w:p>
      <w:pPr>
        <w:spacing w:after="0" w:line="204"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For the Transition Period From _____ to ____</w:t>
      </w:r>
    </w:p>
    <w:p>
      <w:pPr>
        <w:spacing w:after="0" w:line="200" w:lineRule="exact"/>
        <w:rPr>
          <w:sz w:val="24"/>
          <w:szCs w:val="24"/>
          <w:color w:val="auto"/>
        </w:rPr>
      </w:pPr>
    </w:p>
    <w:p>
      <w:pPr>
        <w:spacing w:after="0" w:line="204"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Commission File Number 0-14278</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MICROSOFT CORPORATION</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Washington</w:t>
      </w:r>
    </w:p>
    <w:p>
      <w:pPr>
        <w:spacing w:after="0" w:line="4"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91-1144442</w:t>
      </w:r>
    </w:p>
    <w:p>
      <w:pPr>
        <w:ind w:left="1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2">
            <w:col w:w="5080" w:space="720"/>
            <w:col w:w="4419"/>
          </w:cols>
          <w:pgMar w:left="240" w:top="244"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jc w:val="both"/>
        <w:ind w:left="1280" w:right="3679" w:firstLine="105"/>
        <w:spacing w:after="0" w:line="290" w:lineRule="auto"/>
        <w:rPr>
          <w:sz w:val="20"/>
          <w:szCs w:val="20"/>
          <w:color w:val="auto"/>
        </w:rPr>
      </w:pPr>
      <w:r>
        <w:rPr>
          <w:rFonts w:ascii="Courier New" w:cs="Courier New" w:eastAsia="Courier New" w:hAnsi="Courier New"/>
          <w:sz w:val="16"/>
          <w:szCs w:val="16"/>
          <w:color w:val="auto"/>
        </w:rPr>
        <w:t>One Microsoft Way, Redmond, Washington 98052-6399 (Address of principal executive office) (Zip Code)</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900" w:type="dxa"/>
            <w:vAlign w:val="bottom"/>
            <w:gridSpan w:val="3"/>
          </w:tcPr>
          <w:p>
            <w:pPr>
              <w:ind w:left="640"/>
              <w:spacing w:after="0"/>
              <w:rPr>
                <w:sz w:val="20"/>
                <w:szCs w:val="20"/>
                <w:color w:val="auto"/>
              </w:rPr>
            </w:pPr>
            <w:r>
              <w:rPr>
                <w:rFonts w:ascii="Courier New" w:cs="Courier New" w:eastAsia="Courier New" w:hAnsi="Courier New"/>
                <w:sz w:val="18"/>
                <w:szCs w:val="18"/>
                <w:color w:val="auto"/>
                <w:w w:val="98"/>
              </w:rPr>
              <w:t>Registrant's telephone number, including</w:t>
            </w:r>
          </w:p>
        </w:tc>
        <w:tc>
          <w:tcPr>
            <w:tcW w:w="12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area code:</w:t>
            </w:r>
          </w:p>
        </w:tc>
        <w:tc>
          <w:tcPr>
            <w:tcW w:w="2160" w:type="dxa"/>
            <w:vAlign w:val="bottom"/>
          </w:tcPr>
          <w:p>
            <w:pPr>
              <w:jc w:val="right"/>
              <w:ind w:right="552"/>
              <w:spacing w:after="0"/>
              <w:rPr>
                <w:sz w:val="20"/>
                <w:szCs w:val="20"/>
                <w:color w:val="auto"/>
              </w:rPr>
            </w:pPr>
            <w:r>
              <w:rPr>
                <w:rFonts w:ascii="Courier New" w:cs="Courier New" w:eastAsia="Courier New" w:hAnsi="Courier New"/>
                <w:sz w:val="18"/>
                <w:szCs w:val="18"/>
                <w:color w:val="auto"/>
                <w:w w:val="99"/>
              </w:rPr>
              <w:t>(206) 882-8080</w:t>
            </w:r>
          </w:p>
        </w:tc>
      </w:tr>
      <w:tr>
        <w:trPr>
          <w:trHeight w:val="810"/>
        </w:trPr>
        <w:tc>
          <w:tcPr>
            <w:tcW w:w="1220" w:type="dxa"/>
            <w:vAlign w:val="bottom"/>
          </w:tcPr>
          <w:p>
            <w:pPr>
              <w:spacing w:after="0"/>
              <w:rPr>
                <w:sz w:val="20"/>
                <w:szCs w:val="20"/>
                <w:color w:val="auto"/>
              </w:rPr>
            </w:pPr>
            <w:r>
              <w:rPr>
                <w:rFonts w:ascii="Courier New" w:cs="Courier New" w:eastAsia="Courier New" w:hAnsi="Courier New"/>
                <w:sz w:val="18"/>
                <w:szCs w:val="18"/>
                <w:color w:val="auto"/>
              </w:rPr>
              <w:t>Indicate by</w:t>
            </w:r>
          </w:p>
        </w:tc>
        <w:tc>
          <w:tcPr>
            <w:tcW w:w="7120" w:type="dxa"/>
            <w:vAlign w:val="bottom"/>
            <w:gridSpan w:val="5"/>
          </w:tcPr>
          <w:p>
            <w:pPr>
              <w:ind w:left="60"/>
              <w:spacing w:after="0"/>
              <w:rPr>
                <w:sz w:val="20"/>
                <w:szCs w:val="20"/>
                <w:color w:val="auto"/>
              </w:rPr>
            </w:pPr>
            <w:r>
              <w:rPr>
                <w:rFonts w:ascii="Courier New" w:cs="Courier New" w:eastAsia="Courier New" w:hAnsi="Courier New"/>
                <w:sz w:val="18"/>
                <w:szCs w:val="18"/>
                <w:color w:val="auto"/>
              </w:rPr>
              <w:t>check mark whether the registrant (1) has filed all reports</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required to</w:t>
            </w:r>
          </w:p>
        </w:tc>
        <w:tc>
          <w:tcPr>
            <w:tcW w:w="1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be filed by</w:t>
            </w:r>
          </w:p>
        </w:tc>
        <w:tc>
          <w:tcPr>
            <w:tcW w:w="586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Section 13 or 15(d) of the Securities Exchange Act of</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1934 during</w:t>
            </w:r>
          </w:p>
        </w:tc>
        <w:tc>
          <w:tcPr>
            <w:tcW w:w="712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rPr>
              <w:t>the preceding 12 months (or for such shorter period that the</w:t>
            </w:r>
          </w:p>
        </w:tc>
      </w:tr>
      <w:tr>
        <w:trPr>
          <w:trHeight w:val="203"/>
        </w:trPr>
        <w:tc>
          <w:tcPr>
            <w:tcW w:w="2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registrant was required</w:t>
            </w:r>
          </w:p>
        </w:tc>
        <w:tc>
          <w:tcPr>
            <w:tcW w:w="586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w w:val="97"/>
              </w:rPr>
              <w:t>to file such reports), and (2) has been subject to such</w:t>
            </w:r>
          </w:p>
        </w:tc>
      </w:tr>
      <w:tr>
        <w:trPr>
          <w:trHeight w:val="203"/>
        </w:trPr>
        <w:tc>
          <w:tcPr>
            <w:tcW w:w="2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filing requirements for</w:t>
            </w:r>
          </w:p>
        </w:tc>
        <w:tc>
          <w:tcPr>
            <w:tcW w:w="2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the past 90 days.  Yes</w:t>
            </w:r>
          </w:p>
        </w:tc>
        <w:tc>
          <w:tcPr>
            <w:tcW w:w="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[x]</w:t>
            </w:r>
          </w:p>
        </w:tc>
        <w:tc>
          <w:tcPr>
            <w:tcW w:w="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No</w:t>
            </w:r>
          </w:p>
        </w:tc>
        <w:tc>
          <w:tcPr>
            <w:tcW w:w="216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 ]</w:t>
            </w:r>
          </w:p>
        </w:tc>
      </w:tr>
    </w:tbl>
    <w:p>
      <w:pPr>
        <w:spacing w:after="0" w:line="207" w:lineRule="exact"/>
        <w:rPr>
          <w:sz w:val="24"/>
          <w:szCs w:val="24"/>
          <w:color w:val="auto"/>
        </w:rPr>
      </w:pPr>
    </w:p>
    <w:p>
      <w:pPr>
        <w:jc w:val="both"/>
        <w:ind w:right="1879" w:firstLine="843"/>
        <w:spacing w:after="0" w:line="235" w:lineRule="auto"/>
        <w:rPr>
          <w:sz w:val="20"/>
          <w:szCs w:val="20"/>
          <w:color w:val="auto"/>
        </w:rPr>
      </w:pPr>
      <w:r>
        <w:rPr>
          <w:rFonts w:ascii="Courier New" w:cs="Courier New" w:eastAsia="Courier New" w:hAnsi="Courier New"/>
          <w:sz w:val="18"/>
          <w:szCs w:val="18"/>
          <w:color w:val="auto"/>
        </w:rPr>
        <w:t>The number of shares outstanding of the registrant's common stock as of May 1, 1994 was 287,948,000.</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jc w:val="center"/>
        <w:ind w:right="1879"/>
        <w:spacing w:after="0" w:line="238" w:lineRule="auto"/>
        <w:rPr>
          <w:sz w:val="20"/>
          <w:szCs w:val="20"/>
          <w:color w:val="auto"/>
        </w:rPr>
      </w:pPr>
      <w:r>
        <w:rPr>
          <w:rFonts w:ascii="Courier New" w:cs="Courier New" w:eastAsia="Courier New" w:hAnsi="Courier New"/>
          <w:sz w:val="18"/>
          <w:szCs w:val="18"/>
          <w:color w:val="auto"/>
        </w:rPr>
        <w:t>MICROSOFT CORPORATION</w:t>
      </w:r>
    </w:p>
    <w:p>
      <w:pPr>
        <w:jc w:val="center"/>
        <w:ind w:right="1879"/>
        <w:spacing w:after="0"/>
        <w:rPr>
          <w:sz w:val="20"/>
          <w:szCs w:val="20"/>
          <w:color w:val="auto"/>
        </w:rPr>
      </w:pPr>
      <w:r>
        <w:rPr>
          <w:rFonts w:ascii="Courier New" w:cs="Courier New" w:eastAsia="Courier New" w:hAnsi="Courier New"/>
          <w:sz w:val="18"/>
          <w:szCs w:val="18"/>
          <w:color w:val="auto"/>
        </w:rPr>
        <w:t>FORM 10-Q</w:t>
      </w:r>
    </w:p>
    <w:p>
      <w:pPr>
        <w:jc w:val="center"/>
        <w:ind w:right="1779"/>
        <w:spacing w:after="0" w:line="237" w:lineRule="auto"/>
        <w:rPr>
          <w:sz w:val="20"/>
          <w:szCs w:val="20"/>
          <w:color w:val="auto"/>
        </w:rPr>
      </w:pPr>
      <w:r>
        <w:rPr>
          <w:rFonts w:ascii="Courier New" w:cs="Courier New" w:eastAsia="Courier New" w:hAnsi="Courier New"/>
          <w:sz w:val="18"/>
          <w:szCs w:val="18"/>
          <w:color w:val="auto"/>
        </w:rPr>
        <w:t>For the Quarter Ended March 31, 1994</w:t>
      </w:r>
    </w:p>
    <w:p>
      <w:pPr>
        <w:jc w:val="center"/>
        <w:ind w:right="1879"/>
        <w:spacing w:after="0" w:line="238" w:lineRule="auto"/>
        <w:rPr>
          <w:sz w:val="20"/>
          <w:szCs w:val="20"/>
          <w:color w:val="auto"/>
        </w:rPr>
      </w:pPr>
      <w:r>
        <w:rPr>
          <w:rFonts w:ascii="Courier New" w:cs="Courier New" w:eastAsia="Courier New" w:hAnsi="Courier New"/>
          <w:sz w:val="18"/>
          <w:szCs w:val="18"/>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619"/>
        <w:spacing w:after="0"/>
        <w:rPr>
          <w:sz w:val="20"/>
          <w:szCs w:val="20"/>
          <w:color w:val="auto"/>
        </w:rPr>
      </w:pPr>
      <w:r>
        <w:rPr>
          <w:rFonts w:ascii="Courier New" w:cs="Courier New" w:eastAsia="Courier New" w:hAnsi="Courier New"/>
          <w:sz w:val="18"/>
          <w:szCs w:val="18"/>
          <w:color w:val="auto"/>
        </w:rPr>
        <w:t>Page</w:t>
      </w:r>
    </w:p>
    <w:p>
      <w:pPr>
        <w:spacing w:after="0" w:line="4" w:lineRule="exact"/>
        <w:rPr>
          <w:sz w:val="20"/>
          <w:szCs w:val="20"/>
          <w:color w:val="auto"/>
        </w:rPr>
      </w:pPr>
    </w:p>
    <w:p>
      <w:pPr>
        <w:ind w:left="91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I. Financial Information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Item 1. Financial Statements</w:t>
      </w:r>
    </w:p>
    <w:p>
      <w:pPr>
        <w:spacing w:after="0" w:line="201" w:lineRule="exact"/>
        <w:rPr>
          <w:sz w:val="20"/>
          <w:szCs w:val="20"/>
          <w:color w:val="auto"/>
        </w:rPr>
      </w:pPr>
    </w:p>
    <w:p>
      <w:pPr>
        <w:ind w:left="1900" w:hanging="523"/>
        <w:spacing w:after="0"/>
        <w:tabs>
          <w:tab w:leader="none" w:pos="19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Income Statements</w:t>
      </w:r>
    </w:p>
    <w:p>
      <w:pPr>
        <w:ind w:left="1900"/>
        <w:spacing w:after="0"/>
        <w:tabs>
          <w:tab w:leader="none" w:pos="8420" w:val="left"/>
          <w:tab w:leader="none" w:pos="9360" w:val="left"/>
        </w:tabs>
        <w:rPr>
          <w:sz w:val="20"/>
          <w:szCs w:val="20"/>
          <w:color w:val="auto"/>
        </w:rPr>
      </w:pPr>
      <w:r>
        <w:rPr>
          <w:rFonts w:ascii="Courier New" w:cs="Courier New" w:eastAsia="Courier New" w:hAnsi="Courier New"/>
          <w:sz w:val="18"/>
          <w:szCs w:val="18"/>
          <w:color w:val="auto"/>
        </w:rPr>
        <w:t>for the Three and Nine Months Ended March 31, 1994 and 1993</w:t>
      </w:r>
      <w:r>
        <w:rPr>
          <w:sz w:val="20"/>
          <w:szCs w:val="20"/>
          <w:color w:val="auto"/>
        </w:rPr>
        <w:tab/>
      </w:r>
      <w:r>
        <w:rPr>
          <w:rFonts w:ascii="Courier New" w:cs="Courier New" w:eastAsia="Courier New" w:hAnsi="Courier New"/>
          <w:sz w:val="18"/>
          <w:szCs w:val="18"/>
          <w:color w:val="auto"/>
        </w:rPr>
        <w:t>. . .</w:t>
      </w:r>
      <w:r>
        <w:rPr>
          <w:sz w:val="20"/>
          <w:szCs w:val="20"/>
          <w:color w:val="auto"/>
        </w:rPr>
        <w:tab/>
      </w:r>
      <w:r>
        <w:rPr>
          <w:rFonts w:ascii="Courier New" w:cs="Courier New" w:eastAsia="Courier New" w:hAnsi="Courier New"/>
          <w:sz w:val="16"/>
          <w:szCs w:val="16"/>
          <w:color w:val="auto"/>
        </w:rPr>
        <w:t>1</w:t>
      </w:r>
    </w:p>
    <w:p>
      <w:pPr>
        <w:ind w:left="1900" w:hanging="523"/>
        <w:spacing w:after="0"/>
        <w:tabs>
          <w:tab w:leader="none" w:pos="19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Balance Sheets</w:t>
      </w: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as of March 31, 1994 and June 30, 1993  . . . . . . . . . . . . . .</w:t>
      </w:r>
      <w:r>
        <w:rPr>
          <w:rFonts w:ascii="Courier New" w:cs="Courier New" w:eastAsia="Courier New" w:hAnsi="Courier New"/>
          <w:sz w:val="16"/>
          <w:szCs w:val="16"/>
          <w:color w:val="auto"/>
        </w:rPr>
        <w:t>2</w:t>
      </w:r>
    </w:p>
    <w:p>
      <w:pPr>
        <w:ind w:left="1900" w:hanging="523"/>
        <w:spacing w:after="0" w:line="238" w:lineRule="auto"/>
        <w:tabs>
          <w:tab w:leader="none" w:pos="19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 Flows Statements</w:t>
      </w:r>
    </w:p>
    <w:tbl>
      <w:tblPr>
        <w:tblLayout w:type="fixed"/>
        <w:tblInd w:w="0" w:type="dxa"/>
        <w:tblCellMar>
          <w:top w:w="0" w:type="dxa"/>
          <w:left w:w="0" w:type="dxa"/>
          <w:bottom w:w="0" w:type="dxa"/>
          <w:right w:w="0" w:type="dxa"/>
        </w:tblCellMar>
      </w:tblPr>
      <w:tr>
        <w:trPr>
          <w:trHeight w:val="203"/>
        </w:trPr>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for the</w:t>
            </w:r>
          </w:p>
        </w:tc>
        <w:tc>
          <w:tcPr>
            <w:tcW w:w="648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7"/>
              </w:rPr>
              <w:t>Nine Months Ended March 31, 1994 and 1993   . . . . . . . .</w:t>
            </w:r>
          </w:p>
        </w:tc>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3</w:t>
            </w:r>
          </w:p>
        </w:tc>
      </w:tr>
      <w:tr>
        <w:trPr>
          <w:trHeight w:val="203"/>
        </w:trPr>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d)   Notes to Financial Statements   . . . . . . . . . . . . . . . . . .</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405"/>
        </w:trPr>
        <w:tc>
          <w:tcPr>
            <w:tcW w:w="1000" w:type="dxa"/>
            <w:vAlign w:val="bottom"/>
          </w:tcPr>
          <w:p>
            <w:pPr>
              <w:ind w:left="540"/>
              <w:spacing w:after="0"/>
              <w:rPr>
                <w:sz w:val="20"/>
                <w:szCs w:val="20"/>
                <w:color w:val="auto"/>
              </w:rPr>
            </w:pPr>
            <w:r>
              <w:rPr>
                <w:rFonts w:ascii="Courier New" w:cs="Courier New" w:eastAsia="Courier New" w:hAnsi="Courier New"/>
                <w:sz w:val="18"/>
                <w:szCs w:val="18"/>
                <w:color w:val="auto"/>
              </w:rPr>
              <w:t>Item</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2.</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Management's</w:t>
            </w:r>
          </w:p>
        </w:tc>
        <w:tc>
          <w:tcPr>
            <w:tcW w:w="6480" w:type="dxa"/>
            <w:vAlign w:val="bottom"/>
          </w:tcPr>
          <w:p>
            <w:pPr>
              <w:jc w:val="right"/>
              <w:ind w:right="2552"/>
              <w:spacing w:after="0"/>
              <w:rPr>
                <w:sz w:val="20"/>
                <w:szCs w:val="20"/>
                <w:color w:val="auto"/>
              </w:rPr>
            </w:pPr>
            <w:r>
              <w:rPr>
                <w:rFonts w:ascii="Courier New" w:cs="Courier New" w:eastAsia="Courier New" w:hAnsi="Courier New"/>
                <w:sz w:val="18"/>
                <w:szCs w:val="18"/>
                <w:color w:val="auto"/>
                <w:w w:val="98"/>
              </w:rPr>
              <w:t>Discussion and Analysis of Financial</w:t>
            </w:r>
          </w:p>
        </w:tc>
        <w:tc>
          <w:tcPr>
            <w:tcW w:w="300" w:type="dxa"/>
            <w:vAlign w:val="bottom"/>
          </w:tcPr>
          <w:p>
            <w:pPr>
              <w:spacing w:after="0"/>
              <w:rPr>
                <w:sz w:val="24"/>
                <w:szCs w:val="24"/>
                <w:color w:val="auto"/>
              </w:rPr>
            </w:pPr>
          </w:p>
        </w:tc>
      </w:tr>
      <w:tr>
        <w:trPr>
          <w:trHeight w:val="203"/>
        </w:trPr>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Condition and Results of Operations  . . . . . . . . . . . . . . . . . .</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Part II.</w:t>
            </w:r>
          </w:p>
        </w:tc>
        <w:tc>
          <w:tcPr>
            <w:tcW w:w="818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Other Information</w:t>
            </w:r>
          </w:p>
        </w:tc>
        <w:tc>
          <w:tcPr>
            <w:tcW w:w="300" w:type="dxa"/>
            <w:vAlign w:val="bottom"/>
          </w:tcPr>
          <w:p>
            <w:pPr>
              <w:spacing w:after="0"/>
              <w:rPr>
                <w:sz w:val="24"/>
                <w:szCs w:val="24"/>
                <w:color w:val="auto"/>
              </w:rPr>
            </w:pPr>
          </w:p>
        </w:tc>
      </w:tr>
      <w:tr>
        <w:trPr>
          <w:trHeight w:val="405"/>
        </w:trPr>
        <w:tc>
          <w:tcPr>
            <w:tcW w:w="1000" w:type="dxa"/>
            <w:vAlign w:val="bottom"/>
          </w:tcPr>
          <w:p>
            <w:pPr>
              <w:ind w:left="540"/>
              <w:spacing w:after="0"/>
              <w:rPr>
                <w:sz w:val="20"/>
                <w:szCs w:val="20"/>
                <w:color w:val="auto"/>
              </w:rPr>
            </w:pPr>
            <w:r>
              <w:rPr>
                <w:rFonts w:ascii="Courier New" w:cs="Courier New" w:eastAsia="Courier New" w:hAnsi="Courier New"/>
                <w:sz w:val="18"/>
                <w:szCs w:val="18"/>
                <w:color w:val="auto"/>
              </w:rPr>
              <w:t>Item</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1.</w:t>
            </w:r>
          </w:p>
        </w:tc>
        <w:tc>
          <w:tcPr>
            <w:tcW w:w="786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w w:val="97"/>
              </w:rPr>
              <w:t>Legal Proceedings  . . .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8</w:t>
            </w:r>
          </w:p>
        </w:tc>
      </w:tr>
      <w:tr>
        <w:trPr>
          <w:trHeight w:val="203"/>
        </w:trPr>
        <w:tc>
          <w:tcPr>
            <w:tcW w:w="10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Item</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Exhibits and</w:t>
            </w:r>
          </w:p>
        </w:tc>
        <w:tc>
          <w:tcPr>
            <w:tcW w:w="6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Reports on Form 8-K . . . . . . . . . . . . . . . . . . . .</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r>
      <w:tr>
        <w:trPr>
          <w:trHeight w:val="405"/>
        </w:trPr>
        <w:tc>
          <w:tcPr>
            <w:tcW w:w="9180" w:type="dxa"/>
            <w:vAlign w:val="bottom"/>
            <w:gridSpan w:val="4"/>
          </w:tcPr>
          <w:p>
            <w:pPr>
              <w:jc w:val="right"/>
              <w:ind w:right="132"/>
              <w:spacing w:after="0"/>
              <w:rPr>
                <w:sz w:val="20"/>
                <w:szCs w:val="20"/>
                <w:color w:val="auto"/>
              </w:rPr>
            </w:pPr>
            <w:r>
              <w:rPr>
                <w:rFonts w:ascii="Courier New" w:cs="Courier New" w:eastAsia="Courier New" w:hAnsi="Courier New"/>
                <w:sz w:val="18"/>
                <w:szCs w:val="18"/>
                <w:color w:val="auto"/>
                <w:w w:val="97"/>
              </w:rPr>
              <w:t>Signature . . . . . . . . . . . . . .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r>
    </w:tbl>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ind w:left="2540"/>
        <w:spacing w:after="0" w:line="238" w:lineRule="auto"/>
        <w:rPr>
          <w:sz w:val="20"/>
          <w:szCs w:val="20"/>
          <w:color w:val="auto"/>
        </w:rPr>
      </w:pPr>
      <w:r>
        <w:rPr>
          <w:rFonts w:ascii="Courier New" w:cs="Courier New" w:eastAsia="Courier New" w:hAnsi="Courier New"/>
          <w:sz w:val="18"/>
          <w:szCs w:val="18"/>
          <w:color w:val="auto"/>
        </w:rPr>
        <w:t>Part I. Financial Information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Financial Statements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MICROSOFT CORPORATION</w:t>
      </w:r>
    </w:p>
    <w:p>
      <w:pPr>
        <w:spacing w:after="0" w:line="238" w:lineRule="auto"/>
        <w:rPr>
          <w:sz w:val="20"/>
          <w:szCs w:val="20"/>
          <w:color w:val="auto"/>
        </w:rPr>
      </w:pPr>
      <w:r>
        <w:rPr>
          <w:rFonts w:ascii="Courier New" w:cs="Courier New" w:eastAsia="Courier New" w:hAnsi="Courier New"/>
          <w:sz w:val="18"/>
          <w:szCs w:val="18"/>
          <w:color w:val="auto"/>
        </w:rPr>
        <w:t>Income Statements</w:t>
      </w:r>
    </w:p>
    <w:p>
      <w:pPr>
        <w:spacing w:after="0"/>
        <w:rPr>
          <w:sz w:val="20"/>
          <w:szCs w:val="20"/>
          <w:color w:val="auto"/>
        </w:rPr>
      </w:pPr>
      <w:r>
        <w:rPr>
          <w:rFonts w:ascii="Courier New" w:cs="Courier New" w:eastAsia="Courier New" w:hAnsi="Courier New"/>
          <w:sz w:val="18"/>
          <w:szCs w:val="18"/>
          <w:color w:val="auto"/>
        </w:rPr>
        <w:t>(In millions, except earnings per share) (Unaudited)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60" w:type="dxa"/>
            <w:vAlign w:val="bottom"/>
          </w:tcPr>
          <w:p>
            <w:pPr>
              <w:spacing w:after="0"/>
              <w:rPr>
                <w:sz w:val="17"/>
                <w:szCs w:val="17"/>
                <w:color w:val="auto"/>
              </w:rPr>
            </w:pPr>
          </w:p>
        </w:tc>
        <w:tc>
          <w:tcPr>
            <w:tcW w:w="2640" w:type="dxa"/>
            <w:vAlign w:val="bottom"/>
            <w:gridSpan w:val="2"/>
          </w:tcPr>
          <w:p>
            <w:pPr>
              <w:jc w:val="right"/>
              <w:ind w:right="292"/>
              <w:spacing w:after="0"/>
              <w:rPr>
                <w:sz w:val="20"/>
                <w:szCs w:val="20"/>
                <w:color w:val="auto"/>
              </w:rPr>
            </w:pPr>
            <w:r>
              <w:rPr>
                <w:rFonts w:ascii="Courier New" w:cs="Courier New" w:eastAsia="Courier New" w:hAnsi="Courier New"/>
                <w:sz w:val="18"/>
                <w:szCs w:val="18"/>
                <w:color w:val="auto"/>
              </w:rPr>
              <w:t>Three Months Ended</w:t>
            </w:r>
          </w:p>
        </w:tc>
        <w:tc>
          <w:tcPr>
            <w:tcW w:w="22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4060" w:type="dxa"/>
            <w:vAlign w:val="bottom"/>
          </w:tcPr>
          <w:p>
            <w:pPr>
              <w:spacing w:after="0"/>
              <w:rPr>
                <w:sz w:val="17"/>
                <w:szCs w:val="17"/>
                <w:color w:val="auto"/>
              </w:rPr>
            </w:pPr>
          </w:p>
        </w:tc>
        <w:tc>
          <w:tcPr>
            <w:tcW w:w="2640" w:type="dxa"/>
            <w:vAlign w:val="bottom"/>
            <w:gridSpan w:val="2"/>
          </w:tcPr>
          <w:p>
            <w:pPr>
              <w:jc w:val="right"/>
              <w:ind w:right="712"/>
              <w:spacing w:after="0" w:line="203" w:lineRule="exact"/>
              <w:rPr>
                <w:sz w:val="20"/>
                <w:szCs w:val="20"/>
                <w:color w:val="auto"/>
              </w:rPr>
            </w:pPr>
            <w:r>
              <w:rPr>
                <w:rFonts w:ascii="Courier New" w:cs="Courier New" w:eastAsia="Courier New" w:hAnsi="Courier New"/>
                <w:sz w:val="18"/>
                <w:szCs w:val="18"/>
                <w:color w:val="auto"/>
              </w:rPr>
              <w:t>March 31</w:t>
            </w:r>
          </w:p>
        </w:tc>
        <w:tc>
          <w:tcPr>
            <w:tcW w:w="226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March 31</w:t>
            </w:r>
          </w:p>
        </w:tc>
      </w:tr>
      <w:tr>
        <w:trPr>
          <w:trHeight w:val="203"/>
        </w:trPr>
        <w:tc>
          <w:tcPr>
            <w:tcW w:w="4060" w:type="dxa"/>
            <w:vAlign w:val="bottom"/>
          </w:tcPr>
          <w:p>
            <w:pPr>
              <w:spacing w:after="0"/>
              <w:rPr>
                <w:sz w:val="17"/>
                <w:szCs w:val="17"/>
                <w:color w:val="auto"/>
              </w:rPr>
            </w:pP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1994</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1993</w:t>
            </w: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1994</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1993</w:t>
            </w:r>
          </w:p>
        </w:tc>
      </w:tr>
      <w:tr>
        <w:trPr>
          <w:trHeight w:val="203"/>
        </w:trPr>
        <w:tc>
          <w:tcPr>
            <w:tcW w:w="4060" w:type="dxa"/>
            <w:vAlign w:val="bottom"/>
          </w:tcPr>
          <w:p>
            <w:pPr>
              <w:spacing w:after="0"/>
              <w:rPr>
                <w:sz w:val="17"/>
                <w:szCs w:val="17"/>
                <w:color w:val="auto"/>
              </w:rPr>
            </w:pP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060" w:type="dxa"/>
            <w:vAlign w:val="bottom"/>
          </w:tcPr>
          <w:p>
            <w:pPr>
              <w:spacing w:after="0"/>
              <w:rPr>
                <w:sz w:val="20"/>
                <w:szCs w:val="20"/>
                <w:color w:val="auto"/>
              </w:rPr>
            </w:pPr>
            <w:r>
              <w:rPr>
                <w:rFonts w:ascii="Courier New" w:cs="Courier New" w:eastAsia="Courier New" w:hAnsi="Courier New"/>
                <w:sz w:val="18"/>
                <w:szCs w:val="18"/>
                <w:color w:val="auto"/>
              </w:rPr>
              <w:t>Net revenues</w:t>
            </w:r>
          </w:p>
        </w:tc>
        <w:tc>
          <w:tcPr>
            <w:tcW w:w="14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$1,244</w:t>
            </w:r>
          </w:p>
        </w:tc>
        <w:tc>
          <w:tcPr>
            <w:tcW w:w="11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$ 958</w:t>
            </w:r>
          </w:p>
        </w:tc>
        <w:tc>
          <w:tcPr>
            <w:tcW w:w="12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$3,356</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$2,714</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revenues</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208</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161</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552</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453</w:t>
            </w:r>
          </w:p>
        </w:tc>
      </w:tr>
      <w:tr>
        <w:trPr>
          <w:trHeight w:val="203"/>
        </w:trPr>
        <w:tc>
          <w:tcPr>
            <w:tcW w:w="4060" w:type="dxa"/>
            <w:vAlign w:val="bottom"/>
          </w:tcPr>
          <w:p>
            <w:pPr>
              <w:spacing w:after="0"/>
              <w:rPr>
                <w:sz w:val="17"/>
                <w:szCs w:val="17"/>
                <w:color w:val="auto"/>
              </w:rPr>
            </w:pP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profit</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1,036</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797</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2,804</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2,261</w:t>
            </w:r>
          </w:p>
        </w:tc>
      </w:tr>
      <w:tr>
        <w:trPr>
          <w:trHeight w:val="203"/>
        </w:trPr>
        <w:tc>
          <w:tcPr>
            <w:tcW w:w="4060" w:type="dxa"/>
            <w:vAlign w:val="bottom"/>
          </w:tcPr>
          <w:p>
            <w:pPr>
              <w:spacing w:after="0"/>
              <w:rPr>
                <w:sz w:val="17"/>
                <w:szCs w:val="17"/>
                <w:color w:val="auto"/>
              </w:rPr>
            </w:pP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expenses:</w:t>
            </w:r>
          </w:p>
        </w:tc>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156</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116</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440</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332</w:t>
            </w:r>
          </w:p>
        </w:tc>
      </w:tr>
      <w:tr>
        <w:trPr>
          <w:trHeight w:val="203"/>
        </w:trPr>
        <w:tc>
          <w:tcPr>
            <w:tcW w:w="4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Sales and marketing</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359</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313</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1,008</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892</w:t>
            </w:r>
          </w:p>
        </w:tc>
      </w:tr>
      <w:tr>
        <w:trPr>
          <w:trHeight w:val="203"/>
        </w:trPr>
        <w:tc>
          <w:tcPr>
            <w:tcW w:w="4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41</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30</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118</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84</w:t>
            </w:r>
          </w:p>
        </w:tc>
      </w:tr>
      <w:tr>
        <w:trPr>
          <w:trHeight w:val="203"/>
        </w:trPr>
        <w:tc>
          <w:tcPr>
            <w:tcW w:w="4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Litigation charge</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120</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120</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spacing w:after="0"/>
              <w:rPr>
                <w:sz w:val="17"/>
                <w:szCs w:val="17"/>
                <w:color w:val="auto"/>
              </w:rPr>
            </w:pP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operating expenses</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676</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459</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1,686</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1,308</w:t>
            </w:r>
          </w:p>
        </w:tc>
      </w:tr>
      <w:tr>
        <w:trPr>
          <w:trHeight w:val="203"/>
        </w:trPr>
        <w:tc>
          <w:tcPr>
            <w:tcW w:w="4060" w:type="dxa"/>
            <w:vAlign w:val="bottom"/>
          </w:tcPr>
          <w:p>
            <w:pPr>
              <w:spacing w:after="0"/>
              <w:rPr>
                <w:sz w:val="17"/>
                <w:szCs w:val="17"/>
                <w:color w:val="auto"/>
              </w:rPr>
            </w:pP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360</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338</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1,118</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953</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income - net</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26</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21</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74</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4060" w:type="dxa"/>
            <w:vAlign w:val="bottom"/>
          </w:tcPr>
          <w:p>
            <w:pPr>
              <w:spacing w:after="0"/>
              <w:rPr>
                <w:sz w:val="17"/>
                <w:szCs w:val="17"/>
                <w:color w:val="auto"/>
              </w:rPr>
            </w:pP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 taxes</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382</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357</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1,182</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1,011</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 taxes</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126</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114</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398</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323</w:t>
            </w:r>
          </w:p>
        </w:tc>
      </w:tr>
      <w:tr>
        <w:trPr>
          <w:trHeight w:val="203"/>
        </w:trPr>
        <w:tc>
          <w:tcPr>
            <w:tcW w:w="4060" w:type="dxa"/>
            <w:vAlign w:val="bottom"/>
          </w:tcPr>
          <w:p>
            <w:pPr>
              <w:spacing w:after="0"/>
              <w:rPr>
                <w:sz w:val="17"/>
                <w:szCs w:val="17"/>
                <w:color w:val="auto"/>
              </w:rPr>
            </w:pP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  256</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$ 243</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  784</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688</w:t>
            </w:r>
          </w:p>
        </w:tc>
      </w:tr>
      <w:tr>
        <w:trPr>
          <w:trHeight w:val="203"/>
        </w:trPr>
        <w:tc>
          <w:tcPr>
            <w:tcW w:w="4060" w:type="dxa"/>
            <w:vAlign w:val="bottom"/>
          </w:tcPr>
          <w:p>
            <w:pPr>
              <w:spacing w:after="0"/>
              <w:rPr>
                <w:sz w:val="17"/>
                <w:szCs w:val="17"/>
                <w:color w:val="auto"/>
              </w:rPr>
            </w:pP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share</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$ 0.84</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$0.80</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$ 2.58</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$ 2.28</w:t>
            </w:r>
          </w:p>
        </w:tc>
      </w:tr>
      <w:tr>
        <w:trPr>
          <w:trHeight w:val="203"/>
        </w:trPr>
        <w:tc>
          <w:tcPr>
            <w:tcW w:w="4060" w:type="dxa"/>
            <w:vAlign w:val="bottom"/>
          </w:tcPr>
          <w:p>
            <w:pPr>
              <w:spacing w:after="0"/>
              <w:rPr>
                <w:sz w:val="17"/>
                <w:szCs w:val="17"/>
                <w:color w:val="auto"/>
              </w:rPr>
            </w:pP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shares outstanding</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304</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304</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304</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302</w:t>
            </w:r>
          </w:p>
        </w:tc>
      </w:tr>
      <w:tr>
        <w:trPr>
          <w:trHeight w:val="203"/>
        </w:trPr>
        <w:tc>
          <w:tcPr>
            <w:tcW w:w="4060" w:type="dxa"/>
            <w:vAlign w:val="bottom"/>
          </w:tcPr>
          <w:p>
            <w:pPr>
              <w:spacing w:after="0"/>
              <w:rPr>
                <w:sz w:val="17"/>
                <w:szCs w:val="17"/>
                <w:color w:val="auto"/>
              </w:rPr>
            </w:pP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MICROSOFT CORPORATION</w:t>
      </w:r>
    </w:p>
    <w:p>
      <w:pPr>
        <w:spacing w:after="0"/>
        <w:rPr>
          <w:sz w:val="20"/>
          <w:szCs w:val="20"/>
          <w:color w:val="auto"/>
        </w:rPr>
      </w:pPr>
      <w:r>
        <w:rPr>
          <w:rFonts w:ascii="Courier New" w:cs="Courier New" w:eastAsia="Courier New" w:hAnsi="Courier New"/>
          <w:sz w:val="18"/>
          <w:szCs w:val="18"/>
          <w:color w:val="auto"/>
        </w:rPr>
        <w:t>BALANCE SHEETS</w:t>
      </w:r>
    </w:p>
    <w:p>
      <w:pPr>
        <w:spacing w:after="0" w:line="237" w:lineRule="auto"/>
        <w:rPr>
          <w:sz w:val="20"/>
          <w:szCs w:val="20"/>
          <w:color w:val="auto"/>
        </w:rPr>
      </w:pPr>
      <w:r>
        <w:rPr>
          <w:rFonts w:ascii="Courier New" w:cs="Courier New" w:eastAsia="Courier New" w:hAnsi="Courier New"/>
          <w:sz w:val="18"/>
          <w:szCs w:val="18"/>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740" w:type="dxa"/>
            <w:vAlign w:val="bottom"/>
          </w:tcPr>
          <w:p>
            <w:pPr>
              <w:spacing w:after="0"/>
              <w:rPr>
                <w:sz w:val="17"/>
                <w:szCs w:val="17"/>
                <w:color w:val="auto"/>
              </w:rPr>
            </w:pPr>
          </w:p>
        </w:tc>
        <w:tc>
          <w:tcPr>
            <w:tcW w:w="12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March 31</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June 30</w:t>
            </w:r>
          </w:p>
        </w:tc>
      </w:tr>
      <w:tr>
        <w:trPr>
          <w:trHeight w:val="203"/>
        </w:trPr>
        <w:tc>
          <w:tcPr>
            <w:tcW w:w="5740" w:type="dxa"/>
            <w:vAlign w:val="bottom"/>
          </w:tcPr>
          <w:p>
            <w:pPr>
              <w:spacing w:after="0"/>
              <w:rPr>
                <w:sz w:val="17"/>
                <w:szCs w:val="17"/>
                <w:color w:val="auto"/>
              </w:rPr>
            </w:pP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1994(1)</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1993</w:t>
            </w:r>
          </w:p>
        </w:tc>
      </w:tr>
      <w:tr>
        <w:trPr>
          <w:trHeight w:val="203"/>
        </w:trPr>
        <w:tc>
          <w:tcPr>
            <w:tcW w:w="5740" w:type="dxa"/>
            <w:vAlign w:val="bottom"/>
          </w:tcPr>
          <w:p>
            <w:pPr>
              <w:spacing w:after="0"/>
              <w:rPr>
                <w:sz w:val="17"/>
                <w:szCs w:val="17"/>
                <w:color w:val="auto"/>
              </w:rPr>
            </w:pP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1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Cash and short-term investments</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$3,143</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$2,290</w:t>
            </w:r>
          </w:p>
        </w:tc>
      </w:tr>
      <w:tr>
        <w:trPr>
          <w:trHeight w:val="203"/>
        </w:trPr>
        <w:tc>
          <w:tcPr>
            <w:tcW w:w="5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Accounts receivable - net</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522</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338</w:t>
            </w:r>
          </w:p>
        </w:tc>
      </w:tr>
      <w:tr>
        <w:trPr>
          <w:trHeight w:val="203"/>
        </w:trPr>
        <w:tc>
          <w:tcPr>
            <w:tcW w:w="5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Inventories</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131</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127</w:t>
            </w:r>
          </w:p>
        </w:tc>
      </w:tr>
      <w:tr>
        <w:trPr>
          <w:trHeight w:val="203"/>
        </w:trPr>
        <w:tc>
          <w:tcPr>
            <w:tcW w:w="5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116</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95</w:t>
            </w:r>
          </w:p>
        </w:tc>
      </w:tr>
      <w:tr>
        <w:trPr>
          <w:trHeight w:val="203"/>
        </w:trPr>
        <w:tc>
          <w:tcPr>
            <w:tcW w:w="5740" w:type="dxa"/>
            <w:vAlign w:val="bottom"/>
          </w:tcPr>
          <w:p>
            <w:pPr>
              <w:spacing w:after="0"/>
              <w:rPr>
                <w:sz w:val="17"/>
                <w:szCs w:val="17"/>
                <w:color w:val="auto"/>
              </w:rPr>
            </w:pP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3,912</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2,850</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plant, and equipment - net</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918</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867</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96</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88</w:t>
            </w:r>
          </w:p>
        </w:tc>
      </w:tr>
      <w:tr>
        <w:trPr>
          <w:trHeight w:val="203"/>
        </w:trPr>
        <w:tc>
          <w:tcPr>
            <w:tcW w:w="5740" w:type="dxa"/>
            <w:vAlign w:val="bottom"/>
          </w:tcPr>
          <w:p>
            <w:pPr>
              <w:spacing w:after="0"/>
              <w:rPr>
                <w:sz w:val="17"/>
                <w:szCs w:val="17"/>
                <w:color w:val="auto"/>
              </w:rPr>
            </w:pP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Total assets</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$4,926</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$3,805</w:t>
            </w:r>
          </w:p>
        </w:tc>
      </w:tr>
      <w:tr>
        <w:trPr>
          <w:trHeight w:val="203"/>
        </w:trPr>
        <w:tc>
          <w:tcPr>
            <w:tcW w:w="5740" w:type="dxa"/>
            <w:vAlign w:val="bottom"/>
          </w:tcPr>
          <w:p>
            <w:pPr>
              <w:spacing w:after="0"/>
              <w:rPr>
                <w:sz w:val="17"/>
                <w:szCs w:val="17"/>
                <w:color w:val="auto"/>
              </w:rPr>
            </w:pP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1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296</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239</w:t>
            </w:r>
          </w:p>
        </w:tc>
      </w:tr>
      <w:tr>
        <w:trPr>
          <w:trHeight w:val="203"/>
        </w:trPr>
        <w:tc>
          <w:tcPr>
            <w:tcW w:w="5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Accrued compensation</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71</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86</w:t>
            </w:r>
          </w:p>
        </w:tc>
      </w:tr>
      <w:tr>
        <w:trPr>
          <w:trHeight w:val="203"/>
        </w:trPr>
        <w:tc>
          <w:tcPr>
            <w:tcW w:w="5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219</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127</w:t>
            </w:r>
          </w:p>
        </w:tc>
      </w:tr>
      <w:tr>
        <w:trPr>
          <w:trHeight w:val="203"/>
        </w:trPr>
        <w:tc>
          <w:tcPr>
            <w:tcW w:w="5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Litigation accrual</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120</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208</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111</w:t>
            </w:r>
          </w:p>
        </w:tc>
      </w:tr>
      <w:tr>
        <w:trPr>
          <w:trHeight w:val="203"/>
        </w:trPr>
        <w:tc>
          <w:tcPr>
            <w:tcW w:w="5740" w:type="dxa"/>
            <w:vAlign w:val="bottom"/>
          </w:tcPr>
          <w:p>
            <w:pPr>
              <w:spacing w:after="0"/>
              <w:rPr>
                <w:sz w:val="17"/>
                <w:szCs w:val="17"/>
                <w:color w:val="auto"/>
              </w:rPr>
            </w:pP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914</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563</w:t>
            </w:r>
          </w:p>
        </w:tc>
      </w:tr>
      <w:tr>
        <w:trPr>
          <w:trHeight w:val="203"/>
        </w:trPr>
        <w:tc>
          <w:tcPr>
            <w:tcW w:w="5740" w:type="dxa"/>
            <w:vAlign w:val="bottom"/>
          </w:tcPr>
          <w:p>
            <w:pPr>
              <w:spacing w:after="0"/>
              <w:rPr>
                <w:sz w:val="17"/>
                <w:szCs w:val="17"/>
                <w:color w:val="auto"/>
              </w:rPr>
            </w:pP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Common stock and paid-in capital --</w:t>
            </w: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shares authorized 1,000;</w:t>
            </w: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shares outstanding 286 and 282</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1,373</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1,086</w:t>
            </w:r>
          </w:p>
        </w:tc>
      </w:tr>
      <w:tr>
        <w:trPr>
          <w:trHeight w:val="203"/>
        </w:trPr>
        <w:tc>
          <w:tcPr>
            <w:tcW w:w="5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2,639</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2,156</w:t>
            </w:r>
          </w:p>
        </w:tc>
      </w:tr>
      <w:tr>
        <w:trPr>
          <w:trHeight w:val="203"/>
        </w:trPr>
        <w:tc>
          <w:tcPr>
            <w:tcW w:w="5740" w:type="dxa"/>
            <w:vAlign w:val="bottom"/>
          </w:tcPr>
          <w:p>
            <w:pPr>
              <w:spacing w:after="0"/>
              <w:rPr>
                <w:sz w:val="17"/>
                <w:szCs w:val="17"/>
                <w:color w:val="auto"/>
              </w:rPr>
            </w:pP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4,012</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3,242</w:t>
            </w:r>
          </w:p>
        </w:tc>
      </w:tr>
      <w:tr>
        <w:trPr>
          <w:trHeight w:val="203"/>
        </w:trPr>
        <w:tc>
          <w:tcPr>
            <w:tcW w:w="5740" w:type="dxa"/>
            <w:vAlign w:val="bottom"/>
          </w:tcPr>
          <w:p>
            <w:pPr>
              <w:spacing w:after="0"/>
              <w:rPr>
                <w:sz w:val="17"/>
                <w:szCs w:val="17"/>
                <w:color w:val="auto"/>
              </w:rPr>
            </w:pP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Total liabilities and stockholders' equity</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$4,926</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$3,805</w:t>
            </w:r>
          </w:p>
        </w:tc>
      </w:tr>
      <w:tr>
        <w:trPr>
          <w:trHeight w:val="203"/>
        </w:trPr>
        <w:tc>
          <w:tcPr>
            <w:tcW w:w="5740" w:type="dxa"/>
            <w:vAlign w:val="bottom"/>
          </w:tcPr>
          <w:p>
            <w:pPr>
              <w:spacing w:after="0"/>
              <w:rPr>
                <w:sz w:val="17"/>
                <w:szCs w:val="17"/>
                <w:color w:val="auto"/>
              </w:rPr>
            </w:pP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Unaudited</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38" w:lineRule="auto"/>
        <w:rPr>
          <w:sz w:val="20"/>
          <w:szCs w:val="20"/>
          <w:color w:val="auto"/>
        </w:rPr>
      </w:pPr>
      <w:r>
        <w:rPr>
          <w:rFonts w:ascii="Courier New" w:cs="Courier New" w:eastAsia="Courier New" w:hAnsi="Courier New"/>
          <w:sz w:val="18"/>
          <w:szCs w:val="18"/>
          <w:color w:val="auto"/>
        </w:rPr>
        <w:t>MICROSOFT CORPORATION</w:t>
      </w:r>
    </w:p>
    <w:p>
      <w:pPr>
        <w:spacing w:after="0"/>
        <w:rPr>
          <w:sz w:val="20"/>
          <w:szCs w:val="20"/>
          <w:color w:val="auto"/>
        </w:rPr>
      </w:pPr>
      <w:r>
        <w:rPr>
          <w:rFonts w:ascii="Courier New" w:cs="Courier New" w:eastAsia="Courier New" w:hAnsi="Courier New"/>
          <w:sz w:val="18"/>
          <w:szCs w:val="18"/>
          <w:color w:val="auto"/>
        </w:rPr>
        <w:t>CASH FLOWS STATEMENTS</w:t>
      </w:r>
    </w:p>
    <w:p>
      <w:pPr>
        <w:spacing w:after="0" w:line="237" w:lineRule="auto"/>
        <w:rPr>
          <w:sz w:val="20"/>
          <w:szCs w:val="20"/>
          <w:color w:val="auto"/>
        </w:rPr>
      </w:pPr>
      <w:r>
        <w:rPr>
          <w:rFonts w:ascii="Courier New" w:cs="Courier New" w:eastAsia="Courier New" w:hAnsi="Courier New"/>
          <w:sz w:val="18"/>
          <w:szCs w:val="18"/>
          <w:color w:val="auto"/>
        </w:rPr>
        <w:t>(In millions)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20" w:type="dxa"/>
            <w:vAlign w:val="bottom"/>
          </w:tcPr>
          <w:p>
            <w:pPr>
              <w:spacing w:after="0"/>
              <w:rPr>
                <w:sz w:val="17"/>
                <w:szCs w:val="17"/>
                <w:color w:val="auto"/>
              </w:rPr>
            </w:pPr>
          </w:p>
        </w:tc>
        <w:tc>
          <w:tcPr>
            <w:tcW w:w="258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5220" w:type="dxa"/>
            <w:vAlign w:val="bottom"/>
          </w:tcPr>
          <w:p>
            <w:pPr>
              <w:spacing w:after="0"/>
              <w:rPr>
                <w:sz w:val="17"/>
                <w:szCs w:val="17"/>
                <w:color w:val="auto"/>
              </w:rPr>
            </w:pP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March 31</w:t>
            </w:r>
          </w:p>
        </w:tc>
        <w:tc>
          <w:tcPr>
            <w:tcW w:w="740" w:type="dxa"/>
            <w:vAlign w:val="bottom"/>
          </w:tcPr>
          <w:p>
            <w:pPr>
              <w:spacing w:after="0"/>
              <w:rPr>
                <w:sz w:val="17"/>
                <w:szCs w:val="17"/>
                <w:color w:val="auto"/>
              </w:rPr>
            </w:pPr>
          </w:p>
        </w:tc>
      </w:tr>
      <w:tr>
        <w:trPr>
          <w:trHeight w:val="203"/>
        </w:trPr>
        <w:tc>
          <w:tcPr>
            <w:tcW w:w="5220" w:type="dxa"/>
            <w:vAlign w:val="bottom"/>
          </w:tcPr>
          <w:p>
            <w:pPr>
              <w:spacing w:after="0"/>
              <w:rPr>
                <w:sz w:val="17"/>
                <w:szCs w:val="17"/>
                <w:color w:val="auto"/>
              </w:rPr>
            </w:pPr>
          </w:p>
        </w:tc>
        <w:tc>
          <w:tcPr>
            <w:tcW w:w="18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1994</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1993</w:t>
            </w:r>
          </w:p>
        </w:tc>
      </w:tr>
      <w:tr>
        <w:trPr>
          <w:trHeight w:val="203"/>
        </w:trPr>
        <w:tc>
          <w:tcPr>
            <w:tcW w:w="5220" w:type="dxa"/>
            <w:vAlign w:val="bottom"/>
          </w:tcPr>
          <w:p>
            <w:pPr>
              <w:spacing w:after="0"/>
              <w:rPr>
                <w:sz w:val="17"/>
                <w:szCs w:val="17"/>
                <w:color w:val="auto"/>
              </w:rPr>
            </w:pPr>
          </w:p>
        </w:tc>
        <w:tc>
          <w:tcPr>
            <w:tcW w:w="18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Cash flows from operations</w:t>
            </w:r>
          </w:p>
        </w:tc>
        <w:tc>
          <w:tcPr>
            <w:tcW w:w="18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18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  784</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  688</w:t>
            </w: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8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161</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112</w:t>
            </w: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18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356</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151</w:t>
            </w: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18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(187)</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(212)</w:t>
            </w: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18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w:t>
            </w: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18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(21)</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w:t>
            </w:r>
          </w:p>
        </w:tc>
      </w:tr>
      <w:tr>
        <w:trPr>
          <w:trHeight w:val="203"/>
        </w:trPr>
        <w:tc>
          <w:tcPr>
            <w:tcW w:w="5220" w:type="dxa"/>
            <w:vAlign w:val="bottom"/>
          </w:tcPr>
          <w:p>
            <w:pPr>
              <w:spacing w:after="0"/>
              <w:rPr>
                <w:sz w:val="17"/>
                <w:szCs w:val="17"/>
                <w:color w:val="auto"/>
              </w:rPr>
            </w:pPr>
          </w:p>
        </w:tc>
        <w:tc>
          <w:tcPr>
            <w:tcW w:w="18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cash from operations</w:t>
            </w:r>
          </w:p>
        </w:tc>
        <w:tc>
          <w:tcPr>
            <w:tcW w:w="18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1,088</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673</w:t>
            </w:r>
          </w:p>
        </w:tc>
      </w:tr>
      <w:tr>
        <w:trPr>
          <w:trHeight w:val="203"/>
        </w:trPr>
        <w:tc>
          <w:tcPr>
            <w:tcW w:w="5220" w:type="dxa"/>
            <w:vAlign w:val="bottom"/>
          </w:tcPr>
          <w:p>
            <w:pPr>
              <w:spacing w:after="0"/>
              <w:rPr>
                <w:sz w:val="17"/>
                <w:szCs w:val="17"/>
                <w:color w:val="auto"/>
              </w:rPr>
            </w:pPr>
          </w:p>
        </w:tc>
        <w:tc>
          <w:tcPr>
            <w:tcW w:w="18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financing</w:t>
            </w:r>
          </w:p>
        </w:tc>
        <w:tc>
          <w:tcPr>
            <w:tcW w:w="18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issued</w:t>
            </w:r>
          </w:p>
        </w:tc>
        <w:tc>
          <w:tcPr>
            <w:tcW w:w="18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193</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185</w:t>
            </w: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repurchased</w:t>
            </w:r>
          </w:p>
        </w:tc>
        <w:tc>
          <w:tcPr>
            <w:tcW w:w="18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(311)</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(145)</w:t>
            </w: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Stock option income tax benefits</w:t>
            </w:r>
          </w:p>
        </w:tc>
        <w:tc>
          <w:tcPr>
            <w:tcW w:w="18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109</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166</w:t>
            </w:r>
          </w:p>
        </w:tc>
      </w:tr>
      <w:tr>
        <w:trPr>
          <w:trHeight w:val="203"/>
        </w:trPr>
        <w:tc>
          <w:tcPr>
            <w:tcW w:w="5220" w:type="dxa"/>
            <w:vAlign w:val="bottom"/>
          </w:tcPr>
          <w:p>
            <w:pPr>
              <w:spacing w:after="0"/>
              <w:rPr>
                <w:sz w:val="17"/>
                <w:szCs w:val="17"/>
                <w:color w:val="auto"/>
              </w:rPr>
            </w:pPr>
          </w:p>
        </w:tc>
        <w:tc>
          <w:tcPr>
            <w:tcW w:w="18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cash from financing</w:t>
            </w:r>
          </w:p>
        </w:tc>
        <w:tc>
          <w:tcPr>
            <w:tcW w:w="18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(9)</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206</w:t>
            </w:r>
          </w:p>
        </w:tc>
      </w:tr>
      <w:tr>
        <w:trPr>
          <w:trHeight w:val="203"/>
        </w:trPr>
        <w:tc>
          <w:tcPr>
            <w:tcW w:w="5220" w:type="dxa"/>
            <w:vAlign w:val="bottom"/>
          </w:tcPr>
          <w:p>
            <w:pPr>
              <w:spacing w:after="0"/>
              <w:rPr>
                <w:sz w:val="17"/>
                <w:szCs w:val="17"/>
                <w:color w:val="auto"/>
              </w:rPr>
            </w:pPr>
          </w:p>
        </w:tc>
        <w:tc>
          <w:tcPr>
            <w:tcW w:w="18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used for investments</w:t>
            </w:r>
          </w:p>
        </w:tc>
        <w:tc>
          <w:tcPr>
            <w:tcW w:w="18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Additions to property, plant, and equipment</w:t>
            </w:r>
          </w:p>
        </w:tc>
        <w:tc>
          <w:tcPr>
            <w:tcW w:w="18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(191)</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(161)</w:t>
            </w: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assets</w:t>
            </w:r>
          </w:p>
        </w:tc>
        <w:tc>
          <w:tcPr>
            <w:tcW w:w="18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(32)</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Short-term investments</w:t>
            </w:r>
          </w:p>
        </w:tc>
        <w:tc>
          <w:tcPr>
            <w:tcW w:w="18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(714)</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(621)</w:t>
            </w:r>
          </w:p>
        </w:tc>
      </w:tr>
      <w:tr>
        <w:trPr>
          <w:trHeight w:val="203"/>
        </w:trPr>
        <w:tc>
          <w:tcPr>
            <w:tcW w:w="5220" w:type="dxa"/>
            <w:vAlign w:val="bottom"/>
          </w:tcPr>
          <w:p>
            <w:pPr>
              <w:spacing w:after="0"/>
              <w:rPr>
                <w:sz w:val="17"/>
                <w:szCs w:val="17"/>
                <w:color w:val="auto"/>
              </w:rPr>
            </w:pPr>
          </w:p>
        </w:tc>
        <w:tc>
          <w:tcPr>
            <w:tcW w:w="18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cash used for investments</w:t>
            </w:r>
          </w:p>
        </w:tc>
        <w:tc>
          <w:tcPr>
            <w:tcW w:w="18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(937)</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(794)</w:t>
            </w:r>
          </w:p>
        </w:tc>
      </w:tr>
      <w:tr>
        <w:trPr>
          <w:trHeight w:val="203"/>
        </w:trPr>
        <w:tc>
          <w:tcPr>
            <w:tcW w:w="5220" w:type="dxa"/>
            <w:vAlign w:val="bottom"/>
          </w:tcPr>
          <w:p>
            <w:pPr>
              <w:spacing w:after="0"/>
              <w:rPr>
                <w:sz w:val="17"/>
                <w:szCs w:val="17"/>
                <w:color w:val="auto"/>
              </w:rPr>
            </w:pPr>
          </w:p>
        </w:tc>
        <w:tc>
          <w:tcPr>
            <w:tcW w:w="18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change in cash and equivalents</w:t>
            </w:r>
          </w:p>
        </w:tc>
        <w:tc>
          <w:tcPr>
            <w:tcW w:w="18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142</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85</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Effect of exchange rates</w:t>
            </w:r>
          </w:p>
        </w:tc>
        <w:tc>
          <w:tcPr>
            <w:tcW w:w="18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(3)</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equivalents, beginning of period</w:t>
            </w:r>
          </w:p>
        </w:tc>
        <w:tc>
          <w:tcPr>
            <w:tcW w:w="18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1,013</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791</w:t>
            </w:r>
          </w:p>
        </w:tc>
      </w:tr>
      <w:tr>
        <w:trPr>
          <w:trHeight w:val="203"/>
        </w:trPr>
        <w:tc>
          <w:tcPr>
            <w:tcW w:w="5220" w:type="dxa"/>
            <w:vAlign w:val="bottom"/>
          </w:tcPr>
          <w:p>
            <w:pPr>
              <w:spacing w:after="0"/>
              <w:rPr>
                <w:sz w:val="17"/>
                <w:szCs w:val="17"/>
                <w:color w:val="auto"/>
              </w:rPr>
            </w:pPr>
          </w:p>
        </w:tc>
        <w:tc>
          <w:tcPr>
            <w:tcW w:w="18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equivalents, end of period</w:t>
            </w:r>
          </w:p>
        </w:tc>
        <w:tc>
          <w:tcPr>
            <w:tcW w:w="18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1,152</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855</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Short-term investments, end of period</w:t>
            </w:r>
          </w:p>
        </w:tc>
        <w:tc>
          <w:tcPr>
            <w:tcW w:w="18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1,991</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1,146</w:t>
            </w:r>
          </w:p>
        </w:tc>
      </w:tr>
      <w:tr>
        <w:trPr>
          <w:trHeight w:val="203"/>
        </w:trPr>
        <w:tc>
          <w:tcPr>
            <w:tcW w:w="5220" w:type="dxa"/>
            <w:vAlign w:val="bottom"/>
          </w:tcPr>
          <w:p>
            <w:pPr>
              <w:spacing w:after="0"/>
              <w:rPr>
                <w:sz w:val="17"/>
                <w:szCs w:val="17"/>
                <w:color w:val="auto"/>
              </w:rPr>
            </w:pPr>
          </w:p>
        </w:tc>
        <w:tc>
          <w:tcPr>
            <w:tcW w:w="18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short-term investments, end of period</w:t>
            </w:r>
          </w:p>
        </w:tc>
        <w:tc>
          <w:tcPr>
            <w:tcW w:w="18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$3,143</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$2,001</w:t>
            </w:r>
          </w:p>
        </w:tc>
      </w:tr>
      <w:tr>
        <w:trPr>
          <w:trHeight w:val="203"/>
        </w:trPr>
        <w:tc>
          <w:tcPr>
            <w:tcW w:w="5220" w:type="dxa"/>
            <w:vAlign w:val="bottom"/>
          </w:tcPr>
          <w:p>
            <w:pPr>
              <w:spacing w:after="0"/>
              <w:rPr>
                <w:sz w:val="17"/>
                <w:szCs w:val="17"/>
                <w:color w:val="auto"/>
              </w:rPr>
            </w:pPr>
          </w:p>
        </w:tc>
        <w:tc>
          <w:tcPr>
            <w:tcW w:w="18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MICROSOFT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TO FINANCIAL STATEMENTS</w:t>
      </w:r>
    </w:p>
    <w:p>
      <w:pPr>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Basis of Presentation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the opinion of management, the accompanying balance sheets and related interim statements of income and cash flows include all adjustments necessary for their fair presentation. Interim results are not necessarily indicative of results for a full year. The information included in this Form 10-Q should be read in conjunction with the Management's Discussion and Analysis and financial statements and notes thereto included in the Microsoft Corporation 1993 Annual Report.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Earnings Per Share</w:t>
      </w:r>
    </w:p>
    <w:p>
      <w:pPr>
        <w:spacing w:after="0" w:line="207"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Earnings per share is computed on the basis of the weighted average number of common shares outstanding plus the effect of outstanding stock options, using the treasury stock method.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Agreement to Merge</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On February 14, 1994, Microsoft announced its agreement to merge with SOFTIMAGE Inc., a leading developer of high-performance 2D and 3D computer animation and visualization software. Under the terms of the combination agreement, Microsoft will exchange approximately 1.6 million shares of its common stock for all of the outstanding shares of SOFTIMAGE. It is anticipated the transaction will be accounted for as a pooling of interests. Management does not expect the transaction to have a material financial effect on the Company's financial results. The transaction is expected to be completed in late June 1994.</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Split</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On April 23, 1994, the Company's Board of Directors approved a two-for-one stock split, effective May 6, 1994. Share and per share amounts have not been restated for the upcoming stock split.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Contingencies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On March 17, 1988, Apple Computer, Inc. ("Apple") brought suit against Microsoft and Hewlett-Packard Company for alleged copyright infringement in the U.S. District Court, Northern District of California. The complaint included allegations that the visual displays of Microsoft(R) Windows(TM) version 2.03 infringed Apple's copyrights and exceeded the scope of a 1985 Settlement Agreement between Microsoft and Apple. The complaint sought to enjoin Microsoft from marketing Microsoft Windows version 2.03 or any derivative work based on Windows 2.03 and from otherwise infringing Apple's copyrights and sought damages resulting from the alleged infringement. The complaint also alleged that Microsoft was a contributory infringer as to a Hewlett-Packard(R) product called NewWave(TM).</w:t>
      </w:r>
    </w:p>
    <w:p>
      <w:pPr>
        <w:spacing w:after="0" w:line="21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 answered the complaint, denying Apple's allegations that the visual displays in Microsoft Windows version 2.03 infringe any protectible right of Apple, raising affirmative defenses, asserting counterclaims, and seeking damages in an unspecified amount resulting from Apple's actions.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a June 14, 1991 order, the Court permitted Apple to supplement its complaint to include Windows version 3.0 as an allegedly infringing work. Later in 1991, the Court dismissed Microsoft's counterclaim in which it alleged that Apple had breached an implied covenant not to sue for infringement as to any visual displays covered by the 1985 Agreement.</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On February 11, 1992, Microsoft disclosed Apple's written claim for $4.4 billion as damages from Microsoft's alleged infringement of Apple's copyrights. Apple later amended this claim to $5.5 billion and more recently to $4.9 billion. Microsoft considers Apple's damages claim to be insupportable under the copyright law and speculative.</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On August 24, 1993, the Court entered final judgment dismissing all of Apple's claims. Apple has appealed a number of the Court's decisions in the case to the Ninth Circuit Court of Appeals. Microsoft has cross-appealed the dismissal of its counterclaim and related issues. All briefing on the appeal and cross-appeal has been completed. The date on which oral argument will be heard on the appeal and cross-appeal has not yet been scheduled.</w:t>
      </w:r>
    </w:p>
    <w:p>
      <w:pPr>
        <w:sectPr>
          <w:pgSz w:w="11900" w:h="16838" w:orient="portrait"/>
          <w:cols w:equalWidth="0" w:num="1">
            <w:col w:w="10219"/>
          </w:cols>
          <w:pgMar w:left="240" w:top="312" w:right="1440" w:bottom="0" w:gutter="0" w:footer="0" w:header="0"/>
        </w:sect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12" w:right="1440" w:bottom="0" w:gutter="0" w:footer="0" w:header="0"/>
          <w:type w:val="continuous"/>
        </w:sectPr>
      </w:pPr>
    </w:p>
    <w:bookmarkStart w:id="6" w:name="page7"/>
    <w:bookmarkEnd w:id="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7</w:t>
      </w:r>
    </w:p>
    <w:p>
      <w:pPr>
        <w:spacing w:after="0" w:line="4"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In June 1990, Microsoft was notified that it was the subject of a nonpublic investigation being conducted by the staff of the Federal Trade Commission ("Commission"). During further communications, the Company learned that the staff wished to determine if Microsoft and the IBM Corporation had entered into an alleged anticompetitive horizontal agreement that was purportedly reflected in a joint press release issued at the COMDEX computer trade show in November 1989. In April 1991, Microsoft learned that, apparently due to complaints from third parties, the staff had decided to broaden the investigation to examine allegations that the Company has monopolized or has attempted to monopolize the market for operating systems, operating environments, computer software, and peripherals for personal computers. The Company produced documents, witnesses, and other information to the FTC staff in connection with the investigation.</w:t>
      </w:r>
    </w:p>
    <w:p>
      <w:pPr>
        <w:spacing w:after="0" w:line="18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In a letter dated August 20, 1993, the Commission notified Microsoft that its investigation had been closed.</w:t>
      </w:r>
    </w:p>
    <w:p>
      <w:pPr>
        <w:spacing w:after="0" w:line="208"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The Company was also notified on August 20, 1993 that the U.S. Department of Justice had been granted clearance by the Commission to investigate Microsoft. That investigation is underway, and the Company is cooperating.</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On July 20, 1993, Microsoft was notified by the Commission of the European Communities that the Directorate-General for Competition had received a complaint from Novell, Inc. against Microsoft. The complaint claims that certain allegedly anti-competitive practices of Microsoft violated Articles 85 and 86 of the EEC Treaty of Rome, and includes a request for interim measures. Microsoft is cooperating with the investigation of Novell's claims being conducted by the Directorate-General for Competition.</w:t>
      </w:r>
    </w:p>
    <w:p>
      <w:pPr>
        <w:spacing w:after="0" w:line="211"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On January 25, 1993, Stac Electronics ("Stac") of Carlsbad, California, filed suit against Microsoft in U.S. District Court in Los Angeles, alleging that Microsoft's MS-DOS(R) version 6 operating system infringed two patents owned by Stac relating to data compression techniques. Stac sought monetary relief and an injunction prohibiting the sale of products that include Microsoft's DoubleSpace technology. Microsoft denied that its DoubleSpace technology infringed the Stac patents, and asked the Court to declare those patents invalid and unenforceable for failing to meet the patent law requirements. Microsoft also filed counterclaims alleging that Stac's Stacker(R) compression products infringe a patent owned by Microsoft; that Stac engaged in unfair competition; and that Stac misappropriated Microsoft trade secrets relating to Microsoft's proprietary technology for integrating data compression into the MS-DOS operating system.</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On November 15, 1993, Judge Edward Rafeedie denied Microsoft's motion for summary adjudication that MS-DOS 6 does not infringe Stac's patents. The trial of the matter commenced on January 18, 1994, and on February 23, 1994 the seven-person jury returned a verdict ruling that Microsoft's MS-DOS 6 operating system infringed the Stac patents and awarded Stac $120 million in compensatory damages. Accordingly, Microsoft recorded a one-time charge of $120 million in its financial statements in the quarter ended March 31, 1994. The jury determined that the infringement was not willful. The jury also found that Stac had misappropriated and used in its Stacker products Microsoft's trade secret pre-loading feature, and awarded Microsoft $13.7 million in compensatory and punitive damages.</w:t>
      </w:r>
    </w:p>
    <w:p>
      <w:pPr>
        <w:spacing w:after="0" w:line="21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Stac filed a motion to permanently enjoin Microsoft from making, using, selling, licensing, offering for sale, or soliciting the sale of MS-DOS 6.0 and MS-DOS 6.2, and all other Microsoft products that include the compression or decompression contained in MS-DOS 6, or otherwise infringing in any manner. Microsoft has opposed Stac's motion. In addition, within days of the jury verdict, Microsoft began to provide its OEM licensees manufacturing in, or shipping to the U.S., a version of MS-DOS that does not include the disk-compression feature in question. On April 11, 1994 Microsoft also began shipping in the U.S. the Microsoft MS-DOS operating system version 6.21 Upgrade, which provides the same functionality as the MS-DOS 6.2 Upgrade without the DoubleSpace disk compression utility.</w:t>
      </w:r>
    </w:p>
    <w:p>
      <w:pPr>
        <w:spacing w:after="0" w:line="216"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Microsoft has filed a motion for a permanent injunction preventing Stac from selling any product containing Microsoft's trade secret pre-loading feature. The hearing on both motions is scheduled to occur on May 13, 1994. Following entry of the judgment in the case, Microsoft intends to move to overturn the patent-infringement portion of the verdict or to seek a new trial. If that motion is not successful, Microsoft will appeal the judgment to the Circuit Court of Appeals for the Federal Circuit, the federal appellate court that reviews all patent appeals.</w:t>
      </w:r>
    </w:p>
    <w:p>
      <w:pPr>
        <w:spacing w:after="0" w:line="212"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Management currently believes that the resolution of these matters will not have a material adverse financial effect on the Company.</w:t>
      </w:r>
    </w:p>
    <w:p>
      <w:pPr>
        <w:sectPr>
          <w:pgSz w:w="11900" w:h="16838" w:orient="portrait"/>
          <w:cols w:equalWidth="0" w:num="1">
            <w:col w:w="10219"/>
          </w:cols>
          <w:pgMar w:left="240" w:top="312" w:right="1440" w:bottom="161" w:gutter="0" w:footer="0" w:header="0"/>
        </w:sectPr>
      </w:pPr>
    </w:p>
    <w:bookmarkStart w:id="8" w:name="page9"/>
    <w:bookmarkEnd w:id="8"/>
    <w:p>
      <w:pPr>
        <w:ind w:left="28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019"/>
          </w:cols>
          <w:pgMar w:left="1440" w:top="750" w:right="1440"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8</w:t>
      </w:r>
    </w:p>
    <w:p>
      <w:pPr>
        <w:spacing w:after="0" w:line="4" w:lineRule="exact"/>
        <w:rPr>
          <w:sz w:val="20"/>
          <w:szCs w:val="20"/>
          <w:color w:val="auto"/>
        </w:rPr>
      </w:pPr>
    </w:p>
    <w:p>
      <w:pPr>
        <w:ind w:left="960" w:right="261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2.</w:t>
        <w:tab/>
        <w:t>Management's Discussion and Analysis of Financial Condition and Results of Operations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Overview</w:t>
      </w:r>
    </w:p>
    <w:p>
      <w:pPr>
        <w:spacing w:after="0" w:line="207" w:lineRule="exact"/>
        <w:rPr>
          <w:sz w:val="20"/>
          <w:szCs w:val="20"/>
          <w:color w:val="auto"/>
        </w:rPr>
      </w:pPr>
    </w:p>
    <w:p>
      <w:pPr>
        <w:ind w:right="2099"/>
        <w:spacing w:after="0" w:line="275" w:lineRule="auto"/>
        <w:rPr>
          <w:sz w:val="20"/>
          <w:szCs w:val="20"/>
          <w:color w:val="auto"/>
        </w:rPr>
      </w:pPr>
      <w:r>
        <w:rPr>
          <w:rFonts w:ascii="Courier New" w:cs="Courier New" w:eastAsia="Courier New" w:hAnsi="Courier New"/>
          <w:sz w:val="16"/>
          <w:szCs w:val="16"/>
          <w:color w:val="auto"/>
        </w:rPr>
        <w:t>Microsoft's business strategy emphasizes the development and sale of a broad line of software products, including operating systems for personal computers ("PCs"), office machines, and personal information devices; application programs; languages; and other hardware, book, and multimedia products.</w:t>
      </w:r>
    </w:p>
    <w:p>
      <w:pPr>
        <w:spacing w:after="0" w:line="182" w:lineRule="exact"/>
        <w:rPr>
          <w:sz w:val="20"/>
          <w:szCs w:val="20"/>
          <w:color w:val="auto"/>
        </w:rPr>
      </w:pPr>
    </w:p>
    <w:p>
      <w:pPr>
        <w:jc w:val="both"/>
        <w:ind w:right="2099"/>
        <w:spacing w:after="0" w:line="237" w:lineRule="auto"/>
        <w:rPr>
          <w:sz w:val="20"/>
          <w:szCs w:val="20"/>
          <w:color w:val="auto"/>
        </w:rPr>
      </w:pPr>
      <w:r>
        <w:rPr>
          <w:rFonts w:ascii="Courier New" w:cs="Courier New" w:eastAsia="Courier New" w:hAnsi="Courier New"/>
          <w:sz w:val="18"/>
          <w:szCs w:val="18"/>
          <w:color w:val="auto"/>
        </w:rPr>
        <w:t>Revenues for the third quarter of fiscal 1994 increased 30% over revenues for the third quarter of fiscal 1993. Revenues were $3.36 billion for the first nine months of fiscal 1994, an increase of 24% over the comparable period of the prior year.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Product Groups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Operating systems sales were $393 million in the third quarter of 1994, compared to $313 million recorded in the same period of 1993. Systems revenues were $1.12 billion in the first nine months of 1994 compared to $854 million in the first nine months of 1993, an increase of 31%. Revenues generated by both Microsoft MS-DOS and Microsoft Windows operating systems increased from the prior year, particularly through the original equipment manufacturer ("OEM") channel. During 1994, more than 80% of Windows units were sold through the OEM channel.</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Applications revenues were $798 million in the third quarter of 1994,</w:t>
      </w:r>
    </w:p>
    <w:p>
      <w:pPr>
        <w:spacing w:after="0"/>
        <w:tabs>
          <w:tab w:leader="none" w:pos="6720" w:val="left"/>
        </w:tabs>
        <w:rPr>
          <w:sz w:val="20"/>
          <w:szCs w:val="20"/>
          <w:color w:val="auto"/>
        </w:rPr>
      </w:pPr>
      <w:r>
        <w:rPr>
          <w:rFonts w:ascii="Courier New" w:cs="Courier New" w:eastAsia="Courier New" w:hAnsi="Courier New"/>
          <w:sz w:val="18"/>
          <w:szCs w:val="18"/>
          <w:color w:val="auto"/>
        </w:rPr>
        <w:t>increasing 33% from $600 million in the third quarter of 1993.</w:t>
      </w:r>
      <w:r>
        <w:rPr>
          <w:sz w:val="20"/>
          <w:szCs w:val="20"/>
          <w:color w:val="auto"/>
        </w:rPr>
        <w:tab/>
      </w:r>
      <w:r>
        <w:rPr>
          <w:rFonts w:ascii="Courier New" w:cs="Courier New" w:eastAsia="Courier New" w:hAnsi="Courier New"/>
          <w:sz w:val="16"/>
          <w:szCs w:val="16"/>
          <w:color w:val="auto"/>
        </w:rPr>
        <w:t>For the first</w:t>
      </w:r>
    </w:p>
    <w:p>
      <w:pPr>
        <w:spacing w:after="0"/>
        <w:rPr>
          <w:sz w:val="20"/>
          <w:szCs w:val="20"/>
          <w:color w:val="auto"/>
        </w:rPr>
      </w:pPr>
      <w:r>
        <w:rPr>
          <w:rFonts w:ascii="Courier New" w:cs="Courier New" w:eastAsia="Courier New" w:hAnsi="Courier New"/>
          <w:sz w:val="18"/>
          <w:szCs w:val="18"/>
          <w:color w:val="auto"/>
        </w:rPr>
        <w:t>three quarters of 1994, applications revenues were $2.08 billion, compared to</w:t>
      </w:r>
    </w:p>
    <w:p>
      <w:pPr>
        <w:spacing w:after="0"/>
        <w:tabs>
          <w:tab w:leader="none" w:pos="2520" w:val="left"/>
        </w:tabs>
        <w:rPr>
          <w:sz w:val="20"/>
          <w:szCs w:val="20"/>
          <w:color w:val="auto"/>
        </w:rPr>
      </w:pPr>
      <w:r>
        <w:rPr>
          <w:rFonts w:ascii="Courier New" w:cs="Courier New" w:eastAsia="Courier New" w:hAnsi="Courier New"/>
          <w:sz w:val="18"/>
          <w:szCs w:val="18"/>
          <w:color w:val="auto"/>
        </w:rPr>
        <w:t>$1.68 billion in 1993.</w:t>
      </w:r>
      <w:r>
        <w:rPr>
          <w:sz w:val="20"/>
          <w:szCs w:val="20"/>
          <w:color w:val="auto"/>
        </w:rPr>
        <w:tab/>
      </w:r>
      <w:r>
        <w:rPr>
          <w:rFonts w:ascii="Courier New" w:cs="Courier New" w:eastAsia="Courier New" w:hAnsi="Courier New"/>
          <w:sz w:val="16"/>
          <w:szCs w:val="16"/>
          <w:color w:val="auto"/>
        </w:rPr>
        <w:t>Increases in applications revenues were led by sales of</w:t>
      </w:r>
    </w:p>
    <w:p>
      <w:pPr>
        <w:spacing w:after="0" w:line="238" w:lineRule="auto"/>
        <w:rPr>
          <w:sz w:val="20"/>
          <w:szCs w:val="20"/>
          <w:color w:val="auto"/>
        </w:rPr>
      </w:pPr>
      <w:r>
        <w:rPr>
          <w:rFonts w:ascii="Courier New" w:cs="Courier New" w:eastAsia="Courier New" w:hAnsi="Courier New"/>
          <w:sz w:val="18"/>
          <w:szCs w:val="18"/>
          <w:color w:val="auto"/>
        </w:rPr>
        <w:t>Windows-based products, particularly Microsoft Office. Microsoft Office</w:t>
      </w:r>
    </w:p>
    <w:p>
      <w:pPr>
        <w:spacing w:after="0"/>
        <w:rPr>
          <w:sz w:val="20"/>
          <w:szCs w:val="20"/>
          <w:color w:val="auto"/>
        </w:rPr>
      </w:pPr>
      <w:r>
        <w:rPr>
          <w:rFonts w:ascii="Courier New" w:cs="Courier New" w:eastAsia="Courier New" w:hAnsi="Courier New"/>
          <w:sz w:val="18"/>
          <w:szCs w:val="18"/>
          <w:color w:val="auto"/>
        </w:rPr>
        <w:t>Standard includes Microsoft Excel, Microsoft Word, a Microsoft Mail license,</w:t>
      </w:r>
    </w:p>
    <w:p>
      <w:pPr>
        <w:spacing w:after="0"/>
        <w:tabs>
          <w:tab w:leader="none" w:pos="6720" w:val="left"/>
        </w:tabs>
        <w:rPr>
          <w:sz w:val="20"/>
          <w:szCs w:val="20"/>
          <w:color w:val="auto"/>
        </w:rPr>
      </w:pPr>
      <w:r>
        <w:rPr>
          <w:rFonts w:ascii="Courier New" w:cs="Courier New" w:eastAsia="Courier New" w:hAnsi="Courier New"/>
          <w:sz w:val="18"/>
          <w:szCs w:val="18"/>
          <w:color w:val="auto"/>
        </w:rPr>
        <w:t>and the Microsoft PowerPoint(R) presentation graphics program.</w:t>
      </w:r>
      <w:r>
        <w:rPr>
          <w:sz w:val="20"/>
          <w:szCs w:val="20"/>
          <w:color w:val="auto"/>
        </w:rPr>
        <w:tab/>
      </w:r>
      <w:r>
        <w:rPr>
          <w:rFonts w:ascii="Courier New" w:cs="Courier New" w:eastAsia="Courier New" w:hAnsi="Courier New"/>
          <w:sz w:val="16"/>
          <w:szCs w:val="16"/>
          <w:color w:val="auto"/>
        </w:rPr>
        <w:t>Microsoft</w:t>
      </w:r>
    </w:p>
    <w:p>
      <w:pPr>
        <w:spacing w:after="0"/>
        <w:rPr>
          <w:sz w:val="20"/>
          <w:szCs w:val="20"/>
          <w:color w:val="auto"/>
        </w:rPr>
      </w:pPr>
      <w:r>
        <w:rPr>
          <w:rFonts w:ascii="Courier New" w:cs="Courier New" w:eastAsia="Courier New" w:hAnsi="Courier New"/>
          <w:sz w:val="18"/>
          <w:szCs w:val="18"/>
          <w:color w:val="auto"/>
        </w:rPr>
        <w:t>Office Professional for Windows includes all of the above plus the Microsoft</w:t>
      </w:r>
    </w:p>
    <w:p>
      <w:pPr>
        <w:spacing w:after="0"/>
        <w:tabs>
          <w:tab w:leader="none" w:pos="4200" w:val="left"/>
        </w:tabs>
        <w:rPr>
          <w:sz w:val="20"/>
          <w:szCs w:val="20"/>
          <w:color w:val="auto"/>
        </w:rPr>
      </w:pPr>
      <w:r>
        <w:rPr>
          <w:rFonts w:ascii="Courier New" w:cs="Courier New" w:eastAsia="Courier New" w:hAnsi="Courier New"/>
          <w:sz w:val="18"/>
          <w:szCs w:val="18"/>
          <w:color w:val="auto"/>
        </w:rPr>
        <w:t>Access(R) database management program.</w:t>
      </w:r>
      <w:r>
        <w:rPr>
          <w:sz w:val="20"/>
          <w:szCs w:val="20"/>
          <w:color w:val="auto"/>
        </w:rPr>
        <w:tab/>
      </w:r>
      <w:r>
        <w:rPr>
          <w:rFonts w:ascii="Courier New" w:cs="Courier New" w:eastAsia="Courier New" w:hAnsi="Courier New"/>
          <w:sz w:val="16"/>
          <w:szCs w:val="16"/>
          <w:color w:val="auto"/>
        </w:rPr>
        <w:t>During the third quarter of 1994, the</w:t>
      </w:r>
    </w:p>
    <w:p>
      <w:pPr>
        <w:spacing w:after="0"/>
        <w:rPr>
          <w:sz w:val="20"/>
          <w:szCs w:val="20"/>
          <w:color w:val="auto"/>
        </w:rPr>
      </w:pPr>
      <w:r>
        <w:rPr>
          <w:rFonts w:ascii="Courier New" w:cs="Courier New" w:eastAsia="Courier New" w:hAnsi="Courier New"/>
          <w:sz w:val="18"/>
          <w:szCs w:val="18"/>
          <w:color w:val="auto"/>
        </w:rPr>
        <w:t>Company released new Windows-based versions of Microsoft Office Standard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Microsoft Office Professional, which contained the latest editions of Microsoft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Excel and Microsoft PowerPoint.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gridSpan w:val="2"/>
          </w:tcPr>
          <w:p>
            <w:pPr>
              <w:spacing w:after="0"/>
              <w:rPr>
                <w:sz w:val="20"/>
                <w:szCs w:val="20"/>
                <w:color w:val="auto"/>
              </w:rPr>
            </w:pPr>
            <w:r>
              <w:rPr>
                <w:rFonts w:ascii="Courier New" w:cs="Courier New" w:eastAsia="Courier New" w:hAnsi="Courier New"/>
                <w:sz w:val="18"/>
                <w:szCs w:val="18"/>
                <w:color w:val="auto"/>
              </w:rPr>
              <w:t>Hardware</w:t>
            </w:r>
          </w:p>
        </w:tc>
        <w:tc>
          <w:tcPr>
            <w:tcW w:w="960" w:type="dxa"/>
            <w:vAlign w:val="bottom"/>
          </w:tcPr>
          <w:p>
            <w:pPr>
              <w:ind w:left="60"/>
              <w:spacing w:after="0"/>
              <w:rPr>
                <w:sz w:val="20"/>
                <w:szCs w:val="20"/>
                <w:color w:val="auto"/>
              </w:rPr>
            </w:pPr>
            <w:r>
              <w:rPr>
                <w:rFonts w:ascii="Courier New" w:cs="Courier New" w:eastAsia="Courier New" w:hAnsi="Courier New"/>
                <w:sz w:val="18"/>
                <w:szCs w:val="18"/>
                <w:color w:val="auto"/>
              </w:rPr>
              <w:t>revenues</w:t>
            </w:r>
          </w:p>
        </w:tc>
        <w:tc>
          <w:tcPr>
            <w:tcW w:w="17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were $53 million</w:t>
            </w:r>
          </w:p>
        </w:tc>
        <w:tc>
          <w:tcPr>
            <w:tcW w:w="47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and $45 million in the third quarters of</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1994</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w:t>
            </w:r>
          </w:p>
        </w:tc>
        <w:tc>
          <w:tcPr>
            <w:tcW w:w="338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w w:val="98"/>
              </w:rPr>
              <w:t>1993.  On a year-to-date basis,</w:t>
            </w:r>
          </w:p>
        </w:tc>
        <w:tc>
          <w:tcPr>
            <w:tcW w:w="40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hardware revenues were $157 million in</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1994</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w:t>
            </w:r>
          </w:p>
        </w:tc>
        <w:tc>
          <w:tcPr>
            <w:tcW w:w="744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w w:val="97"/>
              </w:rPr>
              <w:t>$176 million in 1993.  The hardware product group's principal products</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are the Microsoft</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Mouse and</w:t>
            </w:r>
          </w:p>
        </w:tc>
        <w:tc>
          <w:tcPr>
            <w:tcW w:w="1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BallPoint(R)</w:t>
            </w:r>
          </w:p>
        </w:tc>
        <w:tc>
          <w:tcPr>
            <w:tcW w:w="40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mouse pointing devices.  Mouse</w:t>
            </w:r>
          </w:p>
        </w:tc>
      </w:tr>
      <w:tr>
        <w:trPr>
          <w:trHeight w:val="203"/>
        </w:trPr>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 unit</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are lower</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 the</w:t>
            </w:r>
          </w:p>
        </w:tc>
        <w:tc>
          <w:tcPr>
            <w:tcW w:w="47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OEM channel than in the Company's retail</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channels, and the</w:t>
            </w:r>
          </w:p>
        </w:tc>
        <w:tc>
          <w:tcPr>
            <w:tcW w:w="64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percentage of mouse sales through the OEM channel increased</w:t>
            </w:r>
          </w:p>
        </w:tc>
      </w:tr>
      <w:tr>
        <w:trPr>
          <w:trHeight w:val="203"/>
        </w:trPr>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from the</w:t>
            </w:r>
          </w:p>
        </w:tc>
        <w:tc>
          <w:tcPr>
            <w:tcW w:w="20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comparable quarter</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the</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prior</w:t>
            </w:r>
          </w:p>
        </w:tc>
        <w:tc>
          <w:tcPr>
            <w:tcW w:w="40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year.</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Sales Channels</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Company has four major channels of distribution: OEM; U.S. and Canada; Europe; and Other International. OEM channel revenues are license fees from original equipment manufacturers. Sales in the retail channels are primarily to distributors and resellers.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OEM revenues (primarily operating systems) grew 59% to $323 million from the $203 million recorded in the comparable quarter of the prior year. For the first three quarters of 1994, OEM revenues were $846 million, compared to $514 million in the first three quarters of 1993. MS-DOS continues to be pre-installed on many PCs sold by original equipment manufacturers. In addition, many major OEMs are also preinstalling the Microsoft Windows operating system on PCs, leading to increased revenues through the OEM channel.</w:t>
      </w:r>
    </w:p>
    <w:p>
      <w:pPr>
        <w:spacing w:after="0" w:line="211"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Revenues in the U.S. and Canada were $381 million in the third quarter of 1994 compared to $322 million in 1993. For the first three quarters of 1994, revenues were $1.13 billion, compared to $975 million in 1993.</w:t>
      </w:r>
    </w:p>
    <w:p>
      <w:pPr>
        <w:spacing w:after="0" w:line="209"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Revenues in Europe were $391 million in the third quarter of 1994 compared to $335 million the prior year. For the first three quarters, European revenues were $989 million in 1994 and $963 million in 1993.</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Other International channel revenues showed strong growth, increasing to $149 million in the third quarter of 1994 from $98 million in the third quarter of 1993. Sales in Japan were particularly strong. On a year-to-date basis, Other International channel revenues grew 48%, to $389 million in 1994 from $262 million in 1993.</w:t>
      </w:r>
    </w:p>
    <w:p>
      <w:pPr>
        <w:spacing w:after="0" w:line="203" w:lineRule="exact"/>
        <w:rPr>
          <w:sz w:val="20"/>
          <w:szCs w:val="20"/>
          <w:color w:val="auto"/>
        </w:rPr>
      </w:pPr>
    </w:p>
    <w:p>
      <w:pPr>
        <w:spacing w:after="0"/>
        <w:tabs>
          <w:tab w:leader="none" w:pos="7680" w:val="left"/>
        </w:tabs>
        <w:rPr>
          <w:sz w:val="20"/>
          <w:szCs w:val="20"/>
          <w:color w:val="auto"/>
        </w:rPr>
      </w:pPr>
      <w:r>
        <w:rPr>
          <w:rFonts w:ascii="Courier New" w:cs="Courier New" w:eastAsia="Courier New" w:hAnsi="Courier New"/>
          <w:sz w:val="18"/>
          <w:szCs w:val="18"/>
          <w:color w:val="auto"/>
        </w:rPr>
        <w:t>The Company's operating results are affected by foreign exchange rates.</w:t>
      </w:r>
      <w:r>
        <w:rPr>
          <w:sz w:val="20"/>
          <w:szCs w:val="20"/>
          <w:color w:val="auto"/>
        </w:rPr>
        <w:tab/>
      </w:r>
      <w:r>
        <w:rPr>
          <w:rFonts w:ascii="Courier New" w:cs="Courier New" w:eastAsia="Courier New" w:hAnsi="Courier New"/>
          <w:sz w:val="16"/>
          <w:szCs w:val="16"/>
          <w:color w:val="auto"/>
        </w:rPr>
        <w:t>Had</w:t>
      </w:r>
    </w:p>
    <w:p>
      <w:pPr>
        <w:sectPr>
          <w:pgSz w:w="11900" w:h="16838" w:orient="portrait"/>
          <w:cols w:equalWidth="0" w:num="1">
            <w:col w:w="10219"/>
          </w:cols>
          <w:pgMar w:left="240" w:top="312" w:right="1440" w:bottom="0" w:gutter="0" w:footer="0" w:header="0"/>
        </w:sectPr>
      </w:pPr>
    </w:p>
    <w:bookmarkStart w:id="10" w:name="page11"/>
    <w:bookmarkEnd w:id="10"/>
    <w:p>
      <w:pPr>
        <w:ind w:right="1879"/>
        <w:spacing w:after="0" w:line="237" w:lineRule="auto"/>
        <w:rPr>
          <w:sz w:val="20"/>
          <w:szCs w:val="20"/>
          <w:color w:val="auto"/>
        </w:rPr>
      </w:pPr>
      <w:r>
        <w:rPr>
          <w:rFonts w:ascii="Courier New" w:cs="Courier New" w:eastAsia="Courier New" w:hAnsi="Courier New"/>
          <w:sz w:val="18"/>
          <w:szCs w:val="18"/>
          <w:color w:val="auto"/>
        </w:rPr>
        <w:t>the exchange rates in effect during the third quarter of the prior year been in effect during the third quarter of 1994, translated revenues would have been approximately 2% higher in the third quarter of 1994. Since much of the Company's international manufacturing costs and operating expenses are incurred in local currencies, the total impact of exchange rates on net income is less than on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142" w:right="1440" w:bottom="14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9</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Cost of revenues as a percentage of revenues decreased slightly to 16.7% in the third quarter of 1994 from 16.8% in the third quarter of 1993. On a year-to-date basis, cost of revenues was 16.4% in 1994 and 16.7% in 1993. Cost of revenues varies with the channel mix and product mix within channels.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Research and development expenses increased 34% to $156 million, or</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12.5% of revenues in the third quarter of 1994 from $116 million, or 12.1% of revenues in the corresponding quarter of 1993. For the first three quarters of 1994, research and development expenses represented 13.1% of revenues, compared to 12.2% in 1993. The increase in research and development expenses resulted primarily from planned hiring of software developers and higher levels of third-party development costs.</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Sales and marketing expenses increased 15% to $359 million from $313 million in the comparable quarter. As a percentage of revenues, sales and marketing expenses were 28.9% and 32.7% in the respective third quarters of 1994 and 1993 and 30.0% and 32.9% in the respective three quarters of 1994 and 1993. The increase in absolute amounts of sales and marketing expenses was primarily due to increased marketing costs associated with the promotion of new products, particularly Microsoft Office.</w:t>
      </w:r>
    </w:p>
    <w:p>
      <w:pPr>
        <w:spacing w:after="0" w:line="211"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General and administrative expenses were 3.3% of revenues in the third quarter of 1994 and 3.1% of revenues in the third quarter of 1993.</w:t>
      </w:r>
    </w:p>
    <w:p>
      <w:pPr>
        <w:spacing w:after="0" w:line="208"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After a February 1994 jury verdict in the Stac Electronics lawsuit, the Company recorded a one-time charge of $120 million.</w:t>
      </w:r>
    </w:p>
    <w:p>
      <w:pPr>
        <w:spacing w:after="0" w:line="208" w:lineRule="exact"/>
        <w:rPr>
          <w:sz w:val="20"/>
          <w:szCs w:val="20"/>
          <w:color w:val="auto"/>
        </w:rPr>
      </w:pPr>
    </w:p>
    <w:p>
      <w:pPr>
        <w:jc w:val="both"/>
        <w:ind w:right="2419"/>
        <w:spacing w:after="0" w:line="236" w:lineRule="auto"/>
        <w:rPr>
          <w:sz w:val="20"/>
          <w:szCs w:val="20"/>
          <w:color w:val="auto"/>
        </w:rPr>
      </w:pPr>
      <w:r>
        <w:rPr>
          <w:rFonts w:ascii="Courier New" w:cs="Courier New" w:eastAsia="Courier New" w:hAnsi="Courier New"/>
          <w:sz w:val="18"/>
          <w:szCs w:val="18"/>
          <w:color w:val="auto"/>
        </w:rPr>
        <w:t>Net interest income increased as a result of a larger investment portfolio generated by cash from operations, offset by lower interest rates. Other expense did not fluctuate significantly.</w:t>
      </w:r>
    </w:p>
    <w:p>
      <w:pPr>
        <w:spacing w:after="0" w:line="209"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The effective income tax rate was 33% in the third quarter of 1994, compared to 32% in 1993, reflecting newly enacted U.S. income tax laws.</w:t>
      </w:r>
    </w:p>
    <w:p>
      <w:pPr>
        <w:spacing w:after="0" w:line="208"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Net income for the third quarter of 1994 was $256 million. Excluding the aforementioned one-time litigation charge, net income would have been $336 million, a 38% increase over the $243 million in the corresponding quarter of 1993. Net income as a percentage of revenues was 20.6% in the third</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quarter of 1994 (27.0% excluding the litigation charge), compared with 25.4% in the third quarter of 1993. On a year to date basis, net income as a percent of revenues was 23.4% (25.7% excluding the litigation charge) in 1994 and 25.4% in 1993.</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Condition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Company's cash and short-term investment portfolio totaled $3.14 billion at March 31, 1994 and represented 64% of total assets. The portfolio is diversified among security types, industry groups, and individual issuers. The Company's investments are investment grade and liquid. The portfolio, while invested predominantly in U.S. dollar denominated securities, also includes foreign currency positions in anticipation of continued international expansion.</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Microsoft has no material long-term debt. The Company has available $70 million of standby multicurrency lines of credit. These lines support foreign currency hedging and international cash management. Stockholders' equity at March 31, 1994 exceeded $4 billion.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Cash generated from operations has been sufficient to fund the Company's investment in research and development activities and facilities expansion. As the Company grows, investments will continue in research and development in existing and advanced areas of technology. Cash may also be used to acquire technology or to fund strategic ventures. Additions to property, plant, and equipment are expected to continue, including new facilities and computer systems for research and development; sales and marketing; product support; and administrative staff.</w:t>
      </w:r>
    </w:p>
    <w:p>
      <w:pPr>
        <w:spacing w:after="0" w:line="212"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exercise of stock options by employees provides additional cash. Funds received have been used to repurchase the Company's common stock on the open market to provide shares for stock option and stock purchase plans. This practice is continuing in 1994.</w:t>
      </w:r>
    </w:p>
    <w:p>
      <w:pPr>
        <w:spacing w:after="0" w:line="207" w:lineRule="exact"/>
        <w:rPr>
          <w:sz w:val="20"/>
          <w:szCs w:val="20"/>
          <w:color w:val="auto"/>
        </w:rPr>
      </w:pPr>
    </w:p>
    <w:p>
      <w:pPr>
        <w:jc w:val="both"/>
        <w:ind w:right="2419"/>
        <w:spacing w:after="0" w:line="236" w:lineRule="auto"/>
        <w:rPr>
          <w:sz w:val="20"/>
          <w:szCs w:val="20"/>
          <w:color w:val="auto"/>
        </w:rPr>
      </w:pPr>
      <w:r>
        <w:rPr>
          <w:rFonts w:ascii="Courier New" w:cs="Courier New" w:eastAsia="Courier New" w:hAnsi="Courier New"/>
          <w:sz w:val="18"/>
          <w:szCs w:val="18"/>
          <w:color w:val="auto"/>
        </w:rPr>
        <w:t>Management believes existing cash and short-term investments together with funds generated from operations should be sufficient to meet the Company's operating requirements for the next 12 months.</w:t>
      </w:r>
    </w:p>
    <w:p>
      <w:pPr>
        <w:sectPr>
          <w:pgSz w:w="11900" w:h="16838" w:orient="portrait"/>
          <w:cols w:equalWidth="0" w:num="1">
            <w:col w:w="10219"/>
          </w:cols>
          <w:pgMar w:left="240" w:top="312" w:right="1440" w:bottom="566" w:gutter="0" w:footer="0" w:header="0"/>
        </w:sectPr>
      </w:pPr>
    </w:p>
    <w:bookmarkStart w:id="12" w:name="page13"/>
    <w:bookmarkEnd w:id="12"/>
    <w:p>
      <w:pPr>
        <w:ind w:left="28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9019"/>
          </w:cols>
          <w:pgMar w:left="1440" w:top="344" w:right="1440" w:bottom="1440" w:gutter="0" w:footer="0" w:header="0"/>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10</w:t>
      </w:r>
    </w:p>
    <w:p>
      <w:pPr>
        <w:ind w:left="2740"/>
        <w:spacing w:after="0"/>
        <w:tabs>
          <w:tab w:leader="none" w:pos="378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Legal Proceedings</w:t>
      </w:r>
    </w:p>
    <w:p>
      <w:pPr>
        <w:spacing w:after="0" w:line="206"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The Company is currently involved in litigation with Apple Computer, Inc. and Stac Electronics. Also, the U.S. Department of Justice and the Directorate-General for Competition of the Commission of the European Communities are investigating the Company. See Notes to Financial Statements.</w:t>
      </w:r>
    </w:p>
    <w:p>
      <w:pPr>
        <w:spacing w:after="0" w:line="17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740" w:hanging="732"/>
        <w:spacing w:after="0"/>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rFonts w:ascii="Courier New" w:cs="Courier New" w:eastAsia="Courier New" w:hAnsi="Courier New"/>
          <w:sz w:val="18"/>
          <w:szCs w:val="18"/>
          <w:color w:val="auto"/>
        </w:rPr>
      </w:pP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11. Computation of Earnings Per Share is on page 10.</w:t>
      </w:r>
    </w:p>
    <w:p>
      <w:pPr>
        <w:spacing w:after="0" w:line="201" w:lineRule="exact"/>
        <w:rPr>
          <w:rFonts w:ascii="Courier New" w:cs="Courier New" w:eastAsia="Courier New" w:hAnsi="Courier New"/>
          <w:sz w:val="18"/>
          <w:szCs w:val="18"/>
          <w:color w:val="auto"/>
        </w:rPr>
      </w:pPr>
    </w:p>
    <w:p>
      <w:pPr>
        <w:ind w:left="740" w:hanging="732"/>
        <w:spacing w:after="0"/>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spacing w:after="0" w:line="206" w:lineRule="exact"/>
        <w:rPr>
          <w:rFonts w:ascii="Courier New" w:cs="Courier New" w:eastAsia="Courier New" w:hAnsi="Courier New"/>
          <w:sz w:val="18"/>
          <w:szCs w:val="18"/>
          <w:color w:val="auto"/>
        </w:rPr>
      </w:pPr>
    </w:p>
    <w:p>
      <w:pPr>
        <w:ind w:left="740"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 reports on Form 8-K were filed by the Company during the quarter ended March 31, 1994.</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Items 2, 3, 4 and 5 are not applicable and have been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312" w:right="1440" w:bottom="1440" w:gutter="0" w:footer="0" w:header="0"/>
        </w:sectPr>
      </w:pPr>
    </w:p>
    <w:bookmarkStart w:id="14" w:name="page15"/>
    <w:bookmarkEnd w:id="14"/>
    <w:p>
      <w:pPr>
        <w:ind w:left="320"/>
        <w:spacing w:after="0"/>
        <w:rPr>
          <w:sz w:val="20"/>
          <w:szCs w:val="20"/>
          <w:color w:val="auto"/>
        </w:rPr>
      </w:pPr>
      <w:r>
        <w:rPr>
          <w:rFonts w:ascii="Courier New" w:cs="Courier New" w:eastAsia="Courier New" w:hAnsi="Courier New"/>
          <w:sz w:val="18"/>
          <w:szCs w:val="18"/>
          <w:color w:val="auto"/>
        </w:rPr>
        <w:t>11</w:t>
      </w:r>
    </w:p>
    <w:p>
      <w:pPr>
        <w:ind w:left="358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8"/>
          <w:szCs w:val="18"/>
          <w:color w:val="auto"/>
        </w:rPr>
        <w:t>Microsoft Corporation</w:t>
      </w:r>
    </w:p>
    <w:p>
      <w:pPr>
        <w:sectPr>
          <w:pgSz w:w="11900" w:h="16838" w:orient="portrait"/>
          <w:cols w:equalWidth="0" w:num="1">
            <w:col w:w="10219"/>
          </w:cols>
          <w:pgMar w:left="240" w:top="312"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3, 1994</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Michael W. Brown</w:t>
      </w:r>
    </w:p>
    <w:p>
      <w:pPr>
        <w:spacing w:after="0" w:line="1" w:lineRule="exact"/>
        <w:rPr>
          <w:sz w:val="20"/>
          <w:szCs w:val="20"/>
          <w:color w:val="auto"/>
        </w:rPr>
      </w:pPr>
    </w:p>
    <w:p>
      <w:pPr>
        <w:sectPr>
          <w:pgSz w:w="11900" w:h="16838" w:orient="portrait"/>
          <w:cols w:equalWidth="0" w:num="3">
            <w:col w:w="540" w:space="200"/>
            <w:col w:w="2660" w:space="720"/>
            <w:col w:w="6099"/>
          </w:cols>
          <w:pgMar w:left="240" w:top="312" w:right="1440" w:bottom="1440" w:gutter="0" w:footer="0" w:header="0"/>
          <w:type w:val="continuous"/>
        </w:sectPr>
      </w:pP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4540"/>
        <w:spacing w:after="0"/>
        <w:rPr>
          <w:sz w:val="20"/>
          <w:szCs w:val="20"/>
          <w:color w:val="auto"/>
        </w:rPr>
      </w:pPr>
      <w:r>
        <w:rPr>
          <w:rFonts w:ascii="Courier New" w:cs="Courier New" w:eastAsia="Courier New" w:hAnsi="Courier New"/>
          <w:sz w:val="18"/>
          <w:szCs w:val="18"/>
          <w:color w:val="auto"/>
        </w:rPr>
        <w:t>Michael W. Brown,</w:t>
      </w:r>
    </w:p>
    <w:p>
      <w:pPr>
        <w:ind w:left="4540"/>
        <w:spacing w:after="0" w:line="237" w:lineRule="auto"/>
        <w:rPr>
          <w:sz w:val="20"/>
          <w:szCs w:val="20"/>
          <w:color w:val="auto"/>
        </w:rPr>
      </w:pPr>
      <w:r>
        <w:rPr>
          <w:rFonts w:ascii="Courier New" w:cs="Courier New" w:eastAsia="Courier New" w:hAnsi="Courier New"/>
          <w:sz w:val="18"/>
          <w:szCs w:val="18"/>
          <w:color w:val="auto"/>
        </w:rPr>
        <w:t>Vice President, Finance</w:t>
      </w:r>
    </w:p>
    <w:p>
      <w:pPr>
        <w:spacing w:after="0" w:line="207"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(Principal Financial and</w:t>
      </w:r>
    </w:p>
    <w:p>
      <w:pPr>
        <w:spacing w:after="0" w:line="16"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Accounting Officer and</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Duly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312" w:right="1440" w:bottom="1440" w:gutter="0" w:footer="0" w:header="0"/>
          <w:type w:val="continuous"/>
        </w:sectPr>
      </w:pPr>
    </w:p>
    <w:bookmarkStart w:id="15" w:name="page16"/>
    <w:bookmarkEnd w:id="15"/>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120" w:type="dxa"/>
            <w:vAlign w:val="bottom"/>
          </w:tcPr>
          <w:p>
            <w:pPr>
              <w:spacing w:after="0"/>
              <w:rPr>
                <w:sz w:val="17"/>
                <w:szCs w:val="17"/>
                <w:color w:val="auto"/>
              </w:rPr>
            </w:pPr>
          </w:p>
        </w:tc>
        <w:tc>
          <w:tcPr>
            <w:tcW w:w="24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Exhibit 11.</w:t>
            </w:r>
          </w:p>
        </w:tc>
        <w:tc>
          <w:tcPr>
            <w:tcW w:w="11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6120" w:type="dxa"/>
            <w:vAlign w:val="bottom"/>
          </w:tcPr>
          <w:p>
            <w:pPr>
              <w:spacing w:after="0"/>
              <w:rPr>
                <w:sz w:val="20"/>
                <w:szCs w:val="20"/>
                <w:color w:val="auto"/>
              </w:rPr>
            </w:pPr>
            <w:r>
              <w:rPr>
                <w:rFonts w:ascii="Courier New" w:cs="Courier New" w:eastAsia="Courier New" w:hAnsi="Courier New"/>
                <w:sz w:val="18"/>
                <w:szCs w:val="18"/>
                <w:color w:val="auto"/>
              </w:rPr>
              <w:t>MICROSOFT CORPORATION</w:t>
            </w:r>
          </w:p>
        </w:tc>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COMPUTATION OF EARNINGS PER SHARE</w:t>
            </w:r>
          </w:p>
        </w:tc>
        <w:tc>
          <w:tcPr>
            <w:tcW w:w="1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(In millions, except earnings per share)</w:t>
            </w:r>
          </w:p>
        </w:tc>
        <w:tc>
          <w:tcPr>
            <w:tcW w:w="1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810"/>
        </w:trPr>
        <w:tc>
          <w:tcPr>
            <w:tcW w:w="6120" w:type="dxa"/>
            <w:vAlign w:val="bottom"/>
          </w:tcPr>
          <w:p>
            <w:pPr>
              <w:spacing w:after="0"/>
              <w:rPr>
                <w:sz w:val="24"/>
                <w:szCs w:val="24"/>
                <w:color w:val="auto"/>
              </w:rPr>
            </w:pPr>
          </w:p>
        </w:tc>
        <w:tc>
          <w:tcPr>
            <w:tcW w:w="248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Three Months Ended</w:t>
            </w:r>
          </w:p>
        </w:tc>
        <w:tc>
          <w:tcPr>
            <w:tcW w:w="19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612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March</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31</w:t>
            </w:r>
          </w:p>
        </w:tc>
        <w:tc>
          <w:tcPr>
            <w:tcW w:w="19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March 31</w:t>
            </w:r>
          </w:p>
        </w:tc>
      </w:tr>
      <w:tr>
        <w:trPr>
          <w:trHeight w:val="203"/>
        </w:trPr>
        <w:tc>
          <w:tcPr>
            <w:tcW w:w="6120" w:type="dxa"/>
            <w:vAlign w:val="bottom"/>
          </w:tcPr>
          <w:p>
            <w:pPr>
              <w:spacing w:after="0"/>
              <w:rPr>
                <w:sz w:val="17"/>
                <w:szCs w:val="17"/>
                <w:color w:val="auto"/>
              </w:rPr>
            </w:pP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1994</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1993</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1994</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1993</w:t>
            </w:r>
          </w:p>
        </w:tc>
      </w:tr>
      <w:tr>
        <w:trPr>
          <w:trHeight w:val="203"/>
        </w:trPr>
        <w:tc>
          <w:tcPr>
            <w:tcW w:w="6120" w:type="dxa"/>
            <w:vAlign w:val="bottom"/>
          </w:tcPr>
          <w:p>
            <w:pPr>
              <w:spacing w:after="0"/>
              <w:rPr>
                <w:sz w:val="17"/>
                <w:szCs w:val="17"/>
                <w:color w:val="auto"/>
              </w:rPr>
            </w:pP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120" w:type="dxa"/>
            <w:vAlign w:val="bottom"/>
          </w:tcPr>
          <w:p>
            <w:pPr>
              <w:spacing w:after="0"/>
              <w:rPr>
                <w:sz w:val="20"/>
                <w:szCs w:val="20"/>
                <w:color w:val="auto"/>
              </w:rPr>
            </w:pPr>
            <w:r>
              <w:rPr>
                <w:rFonts w:ascii="Courier New" w:cs="Courier New" w:eastAsia="Courier New" w:hAnsi="Courier New"/>
                <w:sz w:val="18"/>
                <w:szCs w:val="18"/>
                <w:color w:val="auto"/>
              </w:rPr>
              <w:t>Weighted average number of common shares outstanding</w:t>
            </w:r>
          </w:p>
        </w:tc>
        <w:tc>
          <w:tcPr>
            <w:tcW w:w="14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286</w:t>
            </w:r>
          </w:p>
        </w:tc>
        <w:tc>
          <w:tcPr>
            <w:tcW w:w="10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280</w:t>
            </w:r>
          </w:p>
        </w:tc>
        <w:tc>
          <w:tcPr>
            <w:tcW w:w="11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284</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276</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 equivalents from outstanding stock options</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18</w:t>
            </w:r>
          </w:p>
        </w:tc>
        <w:tc>
          <w:tcPr>
            <w:tcW w:w="10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24</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Average common and common stock equivalents outstanding</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304</w:t>
            </w:r>
          </w:p>
        </w:tc>
        <w:tc>
          <w:tcPr>
            <w:tcW w:w="10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304</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304</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302</w:t>
            </w:r>
          </w:p>
        </w:tc>
      </w:tr>
      <w:tr>
        <w:trPr>
          <w:trHeight w:val="203"/>
        </w:trPr>
        <w:tc>
          <w:tcPr>
            <w:tcW w:w="612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$ 256</w:t>
            </w:r>
          </w:p>
        </w:tc>
        <w:tc>
          <w:tcPr>
            <w:tcW w:w="10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$ 243</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$ 784</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$ 688</w:t>
            </w:r>
          </w:p>
        </w:tc>
      </w:tr>
      <w:tr>
        <w:trPr>
          <w:trHeight w:val="203"/>
        </w:trPr>
        <w:tc>
          <w:tcPr>
            <w:tcW w:w="612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share(1)</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$0.84</w:t>
            </w:r>
          </w:p>
        </w:tc>
        <w:tc>
          <w:tcPr>
            <w:tcW w:w="10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$0.80</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$2.58</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$2.28</w:t>
            </w:r>
          </w:p>
        </w:tc>
      </w:tr>
      <w:tr>
        <w:trPr>
          <w:trHeight w:val="203"/>
        </w:trPr>
        <w:tc>
          <w:tcPr>
            <w:tcW w:w="612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left="540" w:right="2840" w:hanging="532"/>
        <w:spacing w:after="0" w:line="235"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Fully diluted earnings per share have not been presented because the effects are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sectPr>
      <w:pgSz w:w="11900" w:h="16838" w:orient="portrait"/>
      <w:cols w:equalWidth="0" w:num="1">
        <w:col w:w="10540"/>
      </w:cols>
      <w:pgMar w:left="240" w:top="136" w:right="11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2019-12-13T16:27:28Z</dcterms:created>
  <dcterms:modified xsi:type="dcterms:W3CDTF">2019-12-13T16:27:28Z</dcterms:modified>
</cp:coreProperties>
</file>