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6" w:space="1" w:color="000000"/>
        </w:pBdr>
        <w:bidi w:val="0"/>
        <w:spacing w:before="20" w:after="283"/>
        <w:jc w:val="left"/>
        <w:rPr/>
      </w:pPr>
      <w:bookmarkStart w:id="0" w:name="msft-20240425.htm"/>
      <w:bookmarkStart w:id="1" w:name="ksmsft20240425"/>
      <w:bookmarkEnd w:id="0"/>
      <w:bookmarkEnd w:id="1"/>
      <w:r>
        <w:rPr/>
        <w:t> </w:t>
      </w:r>
    </w:p>
    <w:p>
      <w:pPr>
        <w:pStyle w:val="TextBody"/>
        <w:bidi w:val="0"/>
        <w:spacing w:before="60" w:after="283"/>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bidi w:val="0"/>
        <w:spacing w:before="180" w:after="283"/>
        <w:jc w:val="center"/>
        <w:rPr>
          <w:rFonts w:ascii="Times New Roman" w:hAnsi="Times New Roman"/>
          <w:sz w:val="20"/>
        </w:rPr>
      </w:pPr>
      <w:r>
        <w:rPr>
          <w:rFonts w:ascii="Arial" w:hAnsi="Arial"/>
          <w:b/>
          <w:color w:val="000000"/>
          <w:sz w:val="36"/>
        </w:rPr>
        <w:t>FORM 8-K</w:t>
      </w:r>
      <w:r>
        <w:rPr>
          <w:rFonts w:ascii="Times New Roman" w:hAnsi="Times New Roman"/>
          <w:color w:val="000000"/>
          <w:sz w:val="20"/>
        </w:rPr>
        <w:t xml:space="preserve"> </w:t>
      </w:r>
    </w:p>
    <w:p>
      <w:pPr>
        <w:pStyle w:val="TextBody"/>
        <w:bidi w:val="0"/>
        <w:spacing w:before="180" w:after="283"/>
        <w:jc w:val="center"/>
        <w:rPr>
          <w:rFonts w:ascii="Arial" w:hAnsi="Arial"/>
          <w:b/>
          <w:color w:val="000000"/>
          <w:sz w:val="24"/>
        </w:rPr>
      </w:pPr>
      <w:r>
        <w:rPr>
          <w:rFonts w:ascii="Arial" w:hAnsi="Arial"/>
          <w:b/>
          <w:color w:val="000000"/>
          <w:sz w:val="24"/>
        </w:rPr>
        <w:t>CURRENT REPORT</w:t>
      </w:r>
    </w:p>
    <w:p>
      <w:pPr>
        <w:pStyle w:val="TextBody"/>
        <w:bidi w:val="0"/>
        <w:jc w:val="center"/>
        <w:rPr>
          <w:rFonts w:ascii="Arial" w:hAnsi="Arial"/>
          <w:b/>
          <w:color w:val="000000"/>
          <w:sz w:val="24"/>
        </w:rPr>
      </w:pPr>
      <w:r>
        <w:rPr>
          <w:rFonts w:ascii="Arial" w:hAnsi="Arial"/>
          <w:b/>
          <w:color w:val="000000"/>
          <w:sz w:val="24"/>
        </w:rPr>
        <w:t>PURSUANT TO SECTION 13 OR 15(D)</w:t>
      </w:r>
    </w:p>
    <w:p>
      <w:pPr>
        <w:pStyle w:val="TextBody"/>
        <w:bidi w:val="0"/>
        <w:jc w:val="center"/>
        <w:rPr>
          <w:rFonts w:ascii="Arial" w:hAnsi="Arial"/>
          <w:b/>
          <w:color w:val="000000"/>
          <w:sz w:val="24"/>
        </w:rPr>
      </w:pPr>
      <w:r>
        <w:rPr>
          <w:rFonts w:ascii="Arial" w:hAnsi="Arial"/>
          <w:b/>
          <w:color w:val="000000"/>
          <w:sz w:val="24"/>
        </w:rPr>
        <w:t>OF THE SECURITIES EXCHANGE ACT OF 1934</w:t>
      </w:r>
    </w:p>
    <w:p>
      <w:pPr>
        <w:pStyle w:val="TextBody"/>
        <w:bidi w:val="0"/>
        <w:spacing w:before="180" w:after="283"/>
        <w:jc w:val="center"/>
        <w:rPr>
          <w:rFonts w:ascii="Arial" w:hAnsi="Arial"/>
          <w:b/>
          <w:color w:val="000000"/>
          <w:sz w:val="24"/>
        </w:rPr>
      </w:pPr>
      <w:r>
        <w:rPr>
          <w:rFonts w:ascii="Arial" w:hAnsi="Arial"/>
          <w:b/>
          <w:color w:val="000000"/>
          <w:sz w:val="24"/>
        </w:rPr>
        <w:t>Date of Report (Date of earliest event reported) April 25, 2024</w:t>
      </w:r>
    </w:p>
    <w:p>
      <w:pPr>
        <w:pStyle w:val="TextBody"/>
        <w:bidi w:val="0"/>
        <w:spacing w:before="180" w:after="283"/>
        <w:jc w:val="center"/>
        <w:rPr>
          <w:rFonts w:ascii="Arial" w:hAnsi="Arial"/>
          <w:b/>
          <w:color w:val="000000"/>
          <w:sz w:val="48"/>
        </w:rPr>
      </w:pPr>
      <w:r>
        <w:rPr>
          <w:rFonts w:ascii="Arial" w:hAnsi="Arial"/>
          <w:b/>
          <w:color w:val="000000"/>
          <w:sz w:val="48"/>
        </w:rPr>
        <w:t>Microsoft Corporation</w:t>
      </w:r>
    </w:p>
    <w:p>
      <w:pPr>
        <w:pStyle w:val="Normal"/>
        <w:bidi w:val="0"/>
        <w:spacing w:before="0" w:after="0"/>
        <w:jc w:val="left"/>
        <w:rPr>
          <w:sz w:val="4"/>
          <w:szCs w:val="4"/>
        </w:rPr>
      </w:pPr>
      <w:r>
        <w:rPr>
          <w:sz w:val="4"/>
          <w:szCs w:val="4"/>
        </w:rPr>
      </w:r>
      <w:bookmarkStart w:id="2" w:name="fis_unidentified_table"/>
      <w:bookmarkStart w:id="3" w:name="fis_unidentified_table"/>
      <w:bookmarkEnd w:id="3"/>
    </w:p>
    <w:tbl>
      <w:tblPr>
        <w:tblW w:w="4933" w:type="dxa"/>
        <w:jc w:val="left"/>
        <w:tblInd w:w="0" w:type="dxa"/>
        <w:tblLayout w:type="fixed"/>
        <w:tblCellMar>
          <w:top w:w="28" w:type="dxa"/>
          <w:left w:w="28" w:type="dxa"/>
          <w:bottom w:w="28" w:type="dxa"/>
          <w:right w:w="28" w:type="dxa"/>
        </w:tblCellMar>
      </w:tblPr>
      <w:tblGrid>
        <w:gridCol w:w="2101"/>
        <w:gridCol w:w="162"/>
        <w:gridCol w:w="1082"/>
        <w:gridCol w:w="146"/>
        <w:gridCol w:w="1442"/>
      </w:tblGrid>
      <w:tr>
        <w:trPr/>
        <w:tc>
          <w:tcPr>
            <w:tcW w:w="210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42" w:type="dxa"/>
            <w:tcBorders/>
            <w:vAlign w:val="center"/>
          </w:tcPr>
          <w:p>
            <w:pPr>
              <w:pStyle w:val="TableContents"/>
              <w:bidi w:val="0"/>
              <w:spacing w:before="0" w:after="283"/>
              <w:jc w:val="left"/>
              <w:rPr/>
            </w:pPr>
            <w:r>
              <w:rPr/>
              <w:t> </w:t>
            </w:r>
          </w:p>
        </w:tc>
      </w:tr>
      <w:tr>
        <w:trPr/>
        <w:tc>
          <w:tcPr>
            <w:tcW w:w="2101" w:type="dxa"/>
            <w:tcBorders/>
            <w:vAlign w:val="center"/>
          </w:tcPr>
          <w:p>
            <w:pPr>
              <w:pStyle w:val="TableContents"/>
              <w:bidi w:val="0"/>
              <w:spacing w:before="0" w:after="283"/>
              <w:ind w:left="0" w:right="16" w:hanging="0"/>
              <w:jc w:val="center"/>
              <w:rPr>
                <w:rFonts w:ascii="Arial" w:hAnsi="Arial"/>
                <w:b/>
                <w:color w:val="000000"/>
                <w:sz w:val="20"/>
              </w:rPr>
            </w:pPr>
            <w:r>
              <w:rPr>
                <w:rFonts w:ascii="Arial" w:hAnsi="Arial"/>
                <w:b/>
                <w:color w:val="000000"/>
                <w:sz w:val="20"/>
              </w:rPr>
              <w:t>Washington</w:t>
            </w:r>
          </w:p>
        </w:tc>
        <w:tc>
          <w:tcPr>
            <w:tcW w:w="162" w:type="dxa"/>
            <w:tcBorders/>
            <w:vAlign w:val="center"/>
          </w:tcPr>
          <w:p>
            <w:pPr>
              <w:pStyle w:val="TableContents"/>
              <w:bidi w:val="0"/>
              <w:spacing w:before="0" w:after="283"/>
              <w:ind w:left="0" w:right="16" w:hanging="0"/>
              <w:jc w:val="center"/>
              <w:rPr/>
            </w:pPr>
            <w:r>
              <w:rPr/>
              <w:t> </w:t>
            </w:r>
          </w:p>
        </w:tc>
        <w:tc>
          <w:tcPr>
            <w:tcW w:w="1082" w:type="dxa"/>
            <w:tcBorders/>
            <w:vAlign w:val="center"/>
          </w:tcPr>
          <w:p>
            <w:pPr>
              <w:pStyle w:val="TableContents"/>
              <w:bidi w:val="0"/>
              <w:spacing w:before="0" w:after="283"/>
              <w:ind w:left="0" w:right="16" w:hanging="0"/>
              <w:jc w:val="center"/>
              <w:rPr>
                <w:rFonts w:ascii="Arial" w:hAnsi="Arial"/>
                <w:b/>
                <w:color w:val="000000"/>
                <w:sz w:val="20"/>
              </w:rPr>
            </w:pPr>
            <w:r>
              <w:rPr>
                <w:rFonts w:ascii="Arial" w:hAnsi="Arial"/>
                <w:b/>
                <w:color w:val="000000"/>
                <w:sz w:val="20"/>
              </w:rPr>
              <w:t>001-37845</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1442" w:type="dxa"/>
            <w:tcBorders/>
            <w:vAlign w:val="center"/>
          </w:tcPr>
          <w:p>
            <w:pPr>
              <w:pStyle w:val="TableContents"/>
              <w:bidi w:val="0"/>
              <w:spacing w:before="0" w:after="283"/>
              <w:ind w:left="0" w:right="16" w:hanging="0"/>
              <w:jc w:val="center"/>
              <w:rPr>
                <w:rFonts w:ascii="Arial" w:hAnsi="Arial"/>
                <w:b/>
                <w:color w:val="000000"/>
                <w:sz w:val="20"/>
              </w:rPr>
            </w:pPr>
            <w:r>
              <w:rPr>
                <w:rFonts w:ascii="Arial" w:hAnsi="Arial"/>
                <w:b/>
                <w:color w:val="000000"/>
                <w:sz w:val="20"/>
              </w:rPr>
              <w:t>91-1144442</w:t>
            </w:r>
          </w:p>
        </w:tc>
      </w:tr>
      <w:tr>
        <w:trPr/>
        <w:tc>
          <w:tcPr>
            <w:tcW w:w="2101" w:type="dxa"/>
            <w:tcBorders/>
            <w:vAlign w:val="center"/>
          </w:tcPr>
          <w:p>
            <w:pPr>
              <w:pStyle w:val="TableContents"/>
              <w:bidi w:val="0"/>
              <w:jc w:val="center"/>
              <w:rPr>
                <w:rFonts w:ascii="Arial" w:hAnsi="Arial"/>
                <w:b/>
                <w:color w:val="000000"/>
                <w:sz w:val="15"/>
              </w:rPr>
            </w:pPr>
            <w:r>
              <w:rPr>
                <w:rFonts w:ascii="Arial" w:hAnsi="Arial"/>
                <w:b/>
                <w:color w:val="000000"/>
                <w:sz w:val="15"/>
              </w:rPr>
              <w:t>(State or Other Jurisdiction</w:t>
            </w:r>
          </w:p>
          <w:p>
            <w:pPr>
              <w:pStyle w:val="TableContents"/>
              <w:bidi w:val="0"/>
              <w:spacing w:before="0" w:after="283"/>
              <w:jc w:val="center"/>
              <w:rPr>
                <w:rFonts w:ascii="Arial" w:hAnsi="Arial"/>
                <w:b/>
                <w:color w:val="000000"/>
                <w:sz w:val="15"/>
              </w:rPr>
            </w:pPr>
            <w:r>
              <w:rPr>
                <w:rFonts w:ascii="Arial" w:hAnsi="Arial"/>
                <w:b/>
                <w:color w:val="000000"/>
                <w:sz w:val="15"/>
              </w:rPr>
              <w:t>of Incorporation)</w:t>
            </w:r>
          </w:p>
        </w:tc>
        <w:tc>
          <w:tcPr>
            <w:tcW w:w="162" w:type="dxa"/>
            <w:tcBorders/>
            <w:vAlign w:val="center"/>
          </w:tcPr>
          <w:p>
            <w:pPr>
              <w:pStyle w:val="TableContents"/>
              <w:bidi w:val="0"/>
              <w:spacing w:before="0" w:after="283"/>
              <w:ind w:left="0" w:right="16" w:hanging="0"/>
              <w:jc w:val="center"/>
              <w:rPr/>
            </w:pPr>
            <w:r>
              <w:rPr/>
              <w:t> </w:t>
            </w:r>
          </w:p>
        </w:tc>
        <w:tc>
          <w:tcPr>
            <w:tcW w:w="1082" w:type="dxa"/>
            <w:tcBorders/>
            <w:vAlign w:val="center"/>
          </w:tcPr>
          <w:p>
            <w:pPr>
              <w:pStyle w:val="TableContents"/>
              <w:bidi w:val="0"/>
              <w:ind w:left="0" w:right="16" w:hanging="0"/>
              <w:jc w:val="center"/>
              <w:rPr>
                <w:rFonts w:ascii="Arial" w:hAnsi="Arial"/>
                <w:b/>
                <w:color w:val="000000"/>
                <w:sz w:val="15"/>
              </w:rPr>
            </w:pPr>
            <w:r>
              <w:rPr>
                <w:rFonts w:ascii="Arial" w:hAnsi="Arial"/>
                <w:b/>
                <w:color w:val="000000"/>
                <w:sz w:val="15"/>
              </w:rPr>
              <w:t>(Commission</w:t>
            </w:r>
          </w:p>
          <w:p>
            <w:pPr>
              <w:pStyle w:val="TableContents"/>
              <w:bidi w:val="0"/>
              <w:spacing w:before="0" w:after="283"/>
              <w:ind w:left="0" w:right="16" w:hanging="0"/>
              <w:jc w:val="center"/>
              <w:rPr>
                <w:rFonts w:ascii="Arial" w:hAnsi="Arial"/>
                <w:b/>
                <w:color w:val="000000"/>
                <w:sz w:val="15"/>
              </w:rPr>
            </w:pPr>
            <w:r>
              <w:rPr>
                <w:rFonts w:ascii="Arial" w:hAnsi="Arial"/>
                <w:b/>
                <w:color w:val="000000"/>
                <w:sz w:val="15"/>
              </w:rPr>
              <w:t>File Number)</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1442" w:type="dxa"/>
            <w:tcBorders/>
            <w:vAlign w:val="center"/>
          </w:tcPr>
          <w:p>
            <w:pPr>
              <w:pStyle w:val="TableContents"/>
              <w:bidi w:val="0"/>
              <w:ind w:left="0" w:right="16" w:hanging="0"/>
              <w:jc w:val="center"/>
              <w:rPr>
                <w:rFonts w:ascii="Arial" w:hAnsi="Arial"/>
                <w:b/>
                <w:color w:val="000000"/>
                <w:sz w:val="15"/>
              </w:rPr>
            </w:pPr>
            <w:r>
              <w:rPr>
                <w:rFonts w:ascii="Arial" w:hAnsi="Arial"/>
                <w:b/>
                <w:color w:val="000000"/>
                <w:sz w:val="15"/>
              </w:rPr>
              <w:t>(IRS Employer</w:t>
            </w:r>
          </w:p>
          <w:p>
            <w:pPr>
              <w:pStyle w:val="TableContents"/>
              <w:bidi w:val="0"/>
              <w:spacing w:before="0" w:after="283"/>
              <w:ind w:left="0" w:right="16" w:hanging="0"/>
              <w:jc w:val="center"/>
              <w:rPr>
                <w:rFonts w:ascii="Arial" w:hAnsi="Arial"/>
                <w:b/>
                <w:color w:val="000000"/>
                <w:sz w:val="15"/>
              </w:rPr>
            </w:pPr>
            <w:r>
              <w:rPr>
                <w:rFonts w:ascii="Arial" w:hAnsi="Arial"/>
                <w:b/>
                <w:color w:val="000000"/>
                <w:sz w:val="15"/>
              </w:rPr>
              <w:t>Identification No.)</w:t>
            </w:r>
          </w:p>
        </w:tc>
      </w:tr>
    </w:tbl>
    <w:tbl>
      <w:tblPr>
        <w:tblW w:w="5237" w:type="dxa"/>
        <w:jc w:val="left"/>
        <w:tblInd w:w="0" w:type="dxa"/>
        <w:tblLayout w:type="fixed"/>
        <w:tblCellMar>
          <w:top w:w="28" w:type="dxa"/>
          <w:left w:w="28" w:type="dxa"/>
          <w:bottom w:w="28" w:type="dxa"/>
          <w:right w:w="28" w:type="dxa"/>
        </w:tblCellMar>
      </w:tblPr>
      <w:tblGrid>
        <w:gridCol w:w="5237"/>
      </w:tblGrid>
      <w:tr>
        <w:trPr/>
        <w:tc>
          <w:tcPr>
            <w:tcW w:w="5237" w:type="dxa"/>
            <w:tcBorders/>
            <w:vAlign w:val="center"/>
          </w:tcPr>
          <w:p>
            <w:pPr>
              <w:pStyle w:val="TableContents"/>
              <w:bidi w:val="0"/>
              <w:spacing w:before="0" w:after="283"/>
              <w:jc w:val="left"/>
              <w:rPr>
                <w:sz w:val="4"/>
                <w:szCs w:val="4"/>
              </w:rPr>
            </w:pPr>
            <w:r>
              <w:rPr>
                <w:sz w:val="4"/>
                <w:szCs w:val="4"/>
              </w:rPr>
            </w:r>
          </w:p>
        </w:tc>
      </w:tr>
      <w:tr>
        <w:trPr/>
        <w:tc>
          <w:tcPr>
            <w:tcW w:w="5237" w:type="dxa"/>
            <w:tcBorders/>
            <w:vAlign w:val="center"/>
          </w:tcPr>
          <w:p>
            <w:pPr>
              <w:pStyle w:val="TableContents"/>
              <w:bidi w:val="0"/>
              <w:spacing w:before="0" w:after="283"/>
              <w:jc w:val="left"/>
              <w:rPr/>
            </w:pPr>
            <w:r>
              <w:rPr/>
              <w:t> </w:t>
            </w:r>
          </w:p>
        </w:tc>
      </w:tr>
      <w:tr>
        <w:trPr/>
        <w:tc>
          <w:tcPr>
            <w:tcW w:w="5237" w:type="dxa"/>
            <w:tcBorders/>
            <w:vAlign w:val="center"/>
          </w:tcPr>
          <w:p>
            <w:pPr>
              <w:pStyle w:val="TableContents"/>
              <w:bidi w:val="0"/>
              <w:spacing w:before="0" w:after="283"/>
              <w:ind w:left="0" w:right="16" w:hanging="0"/>
              <w:jc w:val="center"/>
              <w:rPr>
                <w:rFonts w:ascii="Times New Roman" w:hAnsi="Times New Roman"/>
                <w:sz w:val="20"/>
              </w:rPr>
            </w:pPr>
            <w:r>
              <w:rPr>
                <w:rFonts w:ascii="Arial" w:hAnsi="Arial"/>
                <w:b/>
                <w:color w:val="000000"/>
                <w:sz w:val="20"/>
              </w:rPr>
              <w:t>One Microsoft Way, Redmond, Washington</w:t>
            </w:r>
            <w:r>
              <w:rPr>
                <w:rFonts w:ascii="Times New Roman" w:hAnsi="Times New Roman"/>
                <w:color w:val="000000"/>
                <w:sz w:val="20"/>
              </w:rPr>
              <w:t xml:space="preserve"> </w:t>
            </w:r>
            <w:r>
              <w:rPr>
                <w:rFonts w:ascii="Arial" w:hAnsi="Arial"/>
                <w:b/>
                <w:color w:val="000000"/>
                <w:sz w:val="20"/>
              </w:rPr>
              <w:t>98052-6399</w:t>
            </w:r>
          </w:p>
        </w:tc>
      </w:tr>
    </w:tbl>
    <w:p>
      <w:pPr>
        <w:pStyle w:val="TextBody"/>
        <w:bidi w:val="0"/>
        <w:spacing w:before="180" w:after="283"/>
        <w:jc w:val="center"/>
        <w:rPr>
          <w:rFonts w:ascii="Arial" w:hAnsi="Arial"/>
          <w:b/>
          <w:color w:val="000000"/>
          <w:sz w:val="20"/>
        </w:rPr>
      </w:pPr>
      <w:r>
        <w:rPr>
          <w:rFonts w:ascii="Arial" w:hAnsi="Arial"/>
          <w:b/>
          <w:color w:val="000000"/>
          <w:sz w:val="20"/>
        </w:rPr>
        <w:t>(425) 882-8080</w:t>
      </w:r>
    </w:p>
    <w:p>
      <w:pPr>
        <w:pStyle w:val="TextBody"/>
        <w:bidi w:val="0"/>
        <w:jc w:val="center"/>
        <w:rPr>
          <w:rFonts w:ascii="Arial" w:hAnsi="Arial"/>
          <w:b/>
          <w:color w:val="000000"/>
          <w:sz w:val="15"/>
        </w:rPr>
      </w:pPr>
      <w:r>
        <w:rPr>
          <w:rFonts w:ascii="Arial" w:hAnsi="Arial"/>
          <w:b/>
          <w:color w:val="000000"/>
          <w:sz w:val="15"/>
        </w:rPr>
        <w:t>www.microsoft.com/investor</w:t>
      </w:r>
    </w:p>
    <w:p>
      <w:pPr>
        <w:pStyle w:val="TextBody"/>
        <w:bidi w:val="0"/>
        <w:spacing w:before="180" w:after="283"/>
        <w:jc w:val="both"/>
        <w:rPr>
          <w:rFonts w:ascii="Arial" w:hAnsi="Arial"/>
          <w:color w:val="000000"/>
          <w:sz w:val="20"/>
        </w:rPr>
      </w:pPr>
      <w:r>
        <w:rPr>
          <w:rFonts w:ascii="Arial" w:hAnsi="Arial"/>
          <w:color w:val="000000"/>
          <w:sz w:val="20"/>
        </w:rPr>
        <w:t>Check the appropriate box below if the Form 8-K filing is intended to simultaneously satisfy the filing obligation of the registrant under any of the following provisions (see General Instruction A.2. below):</w:t>
      </w:r>
    </w:p>
    <w:tbl>
      <w:tblPr>
        <w:tblW w:w="8284" w:type="dxa"/>
        <w:jc w:val="left"/>
        <w:tblInd w:w="0" w:type="dxa"/>
        <w:tblLayout w:type="fixed"/>
        <w:tblCellMar>
          <w:top w:w="28" w:type="dxa"/>
          <w:left w:w="28" w:type="dxa"/>
          <w:bottom w:w="28" w:type="dxa"/>
          <w:right w:w="28" w:type="dxa"/>
        </w:tblCellMar>
      </w:tblPr>
      <w:tblGrid>
        <w:gridCol w:w="407"/>
        <w:gridCol w:w="7877"/>
      </w:tblGrid>
      <w:tr>
        <w:trPr/>
        <w:tc>
          <w:tcPr>
            <w:tcW w:w="407" w:type="dxa"/>
            <w:tcBorders/>
            <w:vAlign w:val="center"/>
          </w:tcPr>
          <w:p>
            <w:pPr>
              <w:pStyle w:val="TableContents"/>
              <w:bidi w:val="0"/>
              <w:spacing w:before="0" w:after="283"/>
              <w:jc w:val="left"/>
              <w:rPr>
                <w:sz w:val="4"/>
                <w:szCs w:val="4"/>
              </w:rPr>
            </w:pPr>
            <w:r>
              <w:rPr>
                <w:sz w:val="4"/>
                <w:szCs w:val="4"/>
              </w:rPr>
            </w:r>
          </w:p>
        </w:tc>
        <w:tc>
          <w:tcPr>
            <w:tcW w:w="7877" w:type="dxa"/>
            <w:tcBorders/>
            <w:vAlign w:val="center"/>
          </w:tcPr>
          <w:p>
            <w:pPr>
              <w:pStyle w:val="TableContents"/>
              <w:bidi w:val="0"/>
              <w:spacing w:before="0" w:after="283"/>
              <w:jc w:val="left"/>
              <w:rPr>
                <w:sz w:val="4"/>
                <w:szCs w:val="4"/>
              </w:rPr>
            </w:pPr>
            <w:r>
              <w:rPr>
                <w:sz w:val="4"/>
                <w:szCs w:val="4"/>
              </w:rPr>
            </w:r>
          </w:p>
        </w:tc>
      </w:tr>
      <w:tr>
        <w:trPr/>
        <w:tc>
          <w:tcPr>
            <w:tcW w:w="407" w:type="dxa"/>
            <w:tcBorders/>
            <w:vAlign w:val="center"/>
          </w:tcPr>
          <w:p>
            <w:pPr>
              <w:pStyle w:val="TableContents"/>
              <w:bidi w:val="0"/>
              <w:spacing w:before="0" w:after="283"/>
              <w:ind w:left="0" w:right="16" w:hanging="0"/>
              <w:jc w:val="left"/>
              <w:rPr>
                <w:color w:val="000000"/>
              </w:rPr>
            </w:pPr>
            <w:r>
              <w:rPr>
                <w:color w:val="000000"/>
              </w:rPr>
              <w:t xml:space="preserve">☐ </w:t>
            </w:r>
          </w:p>
        </w:tc>
        <w:tc>
          <w:tcPr>
            <w:tcW w:w="7877" w:type="dxa"/>
            <w:tcBorders/>
            <w:vAlign w:val="center"/>
          </w:tcPr>
          <w:p>
            <w:pPr>
              <w:pStyle w:val="TableContents"/>
              <w:bidi w:val="0"/>
              <w:spacing w:before="0" w:after="283"/>
              <w:ind w:left="0" w:right="16" w:hanging="0"/>
              <w:jc w:val="left"/>
              <w:rPr>
                <w:rFonts w:ascii="Arial" w:hAnsi="Arial"/>
                <w:color w:val="000000"/>
                <w:sz w:val="20"/>
              </w:rPr>
            </w:pPr>
            <w:r>
              <w:rPr>
                <w:rFonts w:ascii="Arial" w:hAnsi="Arial"/>
                <w:color w:val="000000"/>
                <w:sz w:val="20"/>
              </w:rPr>
              <w:t>Written communications pursuant to Rule 425 under the Securities Act (17 CFR 230.425)</w:t>
            </w:r>
          </w:p>
        </w:tc>
      </w:tr>
    </w:tbl>
    <w:tbl>
      <w:tblPr>
        <w:tblW w:w="8269" w:type="dxa"/>
        <w:jc w:val="left"/>
        <w:tblInd w:w="0" w:type="dxa"/>
        <w:tblLayout w:type="fixed"/>
        <w:tblCellMar>
          <w:top w:w="28" w:type="dxa"/>
          <w:left w:w="28" w:type="dxa"/>
          <w:bottom w:w="28" w:type="dxa"/>
          <w:right w:w="28" w:type="dxa"/>
        </w:tblCellMar>
      </w:tblPr>
      <w:tblGrid>
        <w:gridCol w:w="407"/>
        <w:gridCol w:w="7862"/>
      </w:tblGrid>
      <w:tr>
        <w:trPr/>
        <w:tc>
          <w:tcPr>
            <w:tcW w:w="407" w:type="dxa"/>
            <w:tcBorders/>
            <w:vAlign w:val="center"/>
          </w:tcPr>
          <w:p>
            <w:pPr>
              <w:pStyle w:val="TableContents"/>
              <w:bidi w:val="0"/>
              <w:spacing w:before="0" w:after="283"/>
              <w:jc w:val="left"/>
              <w:rPr>
                <w:sz w:val="4"/>
                <w:szCs w:val="4"/>
              </w:rPr>
            </w:pPr>
            <w:r>
              <w:rPr>
                <w:sz w:val="4"/>
                <w:szCs w:val="4"/>
              </w:rPr>
            </w:r>
          </w:p>
        </w:tc>
        <w:tc>
          <w:tcPr>
            <w:tcW w:w="7862" w:type="dxa"/>
            <w:tcBorders/>
            <w:vAlign w:val="center"/>
          </w:tcPr>
          <w:p>
            <w:pPr>
              <w:pStyle w:val="TableContents"/>
              <w:bidi w:val="0"/>
              <w:spacing w:before="0" w:after="283"/>
              <w:jc w:val="left"/>
              <w:rPr>
                <w:sz w:val="4"/>
                <w:szCs w:val="4"/>
              </w:rPr>
            </w:pPr>
            <w:r>
              <w:rPr>
                <w:sz w:val="4"/>
                <w:szCs w:val="4"/>
              </w:rPr>
            </w:r>
          </w:p>
        </w:tc>
      </w:tr>
      <w:tr>
        <w:trPr/>
        <w:tc>
          <w:tcPr>
            <w:tcW w:w="407" w:type="dxa"/>
            <w:tcBorders/>
            <w:vAlign w:val="center"/>
          </w:tcPr>
          <w:p>
            <w:pPr>
              <w:pStyle w:val="TableContents"/>
              <w:bidi w:val="0"/>
              <w:spacing w:before="0" w:after="283"/>
              <w:ind w:left="0" w:right="16" w:hanging="0"/>
              <w:jc w:val="left"/>
              <w:rPr>
                <w:color w:val="000000"/>
              </w:rPr>
            </w:pPr>
            <w:r>
              <w:rPr>
                <w:color w:val="000000"/>
              </w:rPr>
              <w:t xml:space="preserve">☐ </w:t>
            </w:r>
          </w:p>
        </w:tc>
        <w:tc>
          <w:tcPr>
            <w:tcW w:w="7862" w:type="dxa"/>
            <w:tcBorders/>
            <w:vAlign w:val="center"/>
          </w:tcPr>
          <w:p>
            <w:pPr>
              <w:pStyle w:val="TableContents"/>
              <w:bidi w:val="0"/>
              <w:spacing w:before="0" w:after="283"/>
              <w:ind w:left="0" w:right="16" w:hanging="0"/>
              <w:jc w:val="left"/>
              <w:rPr>
                <w:rFonts w:ascii="Arial" w:hAnsi="Arial"/>
                <w:color w:val="000000"/>
                <w:sz w:val="20"/>
              </w:rPr>
            </w:pPr>
            <w:r>
              <w:rPr>
                <w:rFonts w:ascii="Arial" w:hAnsi="Arial"/>
                <w:color w:val="000000"/>
                <w:sz w:val="20"/>
              </w:rPr>
              <w:t>Soliciting material pursuant to Rule 14a-12 under the Exchange Act (17 CFR 240.14a-12)</w:t>
            </w:r>
          </w:p>
        </w:tc>
      </w:tr>
    </w:tbl>
    <w:tbl>
      <w:tblPr>
        <w:tblW w:w="10204" w:type="dxa"/>
        <w:jc w:val="left"/>
        <w:tblInd w:w="0" w:type="dxa"/>
        <w:tblLayout w:type="fixed"/>
        <w:tblCellMar>
          <w:top w:w="28" w:type="dxa"/>
          <w:left w:w="28" w:type="dxa"/>
          <w:bottom w:w="28" w:type="dxa"/>
          <w:right w:w="28" w:type="dxa"/>
        </w:tblCellMar>
      </w:tblPr>
      <w:tblGrid>
        <w:gridCol w:w="407"/>
        <w:gridCol w:w="9797"/>
      </w:tblGrid>
      <w:tr>
        <w:trPr/>
        <w:tc>
          <w:tcPr>
            <w:tcW w:w="407" w:type="dxa"/>
            <w:tcBorders/>
            <w:vAlign w:val="center"/>
          </w:tcPr>
          <w:p>
            <w:pPr>
              <w:pStyle w:val="TableContents"/>
              <w:bidi w:val="0"/>
              <w:spacing w:before="0" w:after="283"/>
              <w:jc w:val="left"/>
              <w:rPr>
                <w:sz w:val="4"/>
                <w:szCs w:val="4"/>
              </w:rPr>
            </w:pPr>
            <w:r>
              <w:rPr>
                <w:sz w:val="4"/>
                <w:szCs w:val="4"/>
              </w:rPr>
            </w:r>
          </w:p>
        </w:tc>
        <w:tc>
          <w:tcPr>
            <w:tcW w:w="9797" w:type="dxa"/>
            <w:tcBorders/>
            <w:vAlign w:val="center"/>
          </w:tcPr>
          <w:p>
            <w:pPr>
              <w:pStyle w:val="TableContents"/>
              <w:bidi w:val="0"/>
              <w:spacing w:before="0" w:after="283"/>
              <w:jc w:val="left"/>
              <w:rPr>
                <w:sz w:val="4"/>
                <w:szCs w:val="4"/>
              </w:rPr>
            </w:pPr>
            <w:r>
              <w:rPr>
                <w:sz w:val="4"/>
                <w:szCs w:val="4"/>
              </w:rPr>
            </w:r>
          </w:p>
        </w:tc>
      </w:tr>
      <w:tr>
        <w:trPr/>
        <w:tc>
          <w:tcPr>
            <w:tcW w:w="407" w:type="dxa"/>
            <w:tcBorders/>
            <w:vAlign w:val="center"/>
          </w:tcPr>
          <w:p>
            <w:pPr>
              <w:pStyle w:val="TableContents"/>
              <w:bidi w:val="0"/>
              <w:spacing w:before="0" w:after="283"/>
              <w:ind w:left="0" w:right="16" w:hanging="0"/>
              <w:jc w:val="left"/>
              <w:rPr>
                <w:color w:val="000000"/>
              </w:rPr>
            </w:pPr>
            <w:r>
              <w:rPr>
                <w:color w:val="000000"/>
              </w:rPr>
              <w:t xml:space="preserve">☐ </w:t>
            </w:r>
          </w:p>
        </w:tc>
        <w:tc>
          <w:tcPr>
            <w:tcW w:w="9797" w:type="dxa"/>
            <w:tcBorders/>
            <w:vAlign w:val="center"/>
          </w:tcPr>
          <w:p>
            <w:pPr>
              <w:pStyle w:val="TableContents"/>
              <w:bidi w:val="0"/>
              <w:spacing w:before="0" w:after="283"/>
              <w:ind w:left="0" w:right="16" w:hanging="0"/>
              <w:jc w:val="left"/>
              <w:rPr>
                <w:rFonts w:ascii="Arial" w:hAnsi="Arial"/>
                <w:color w:val="000000"/>
                <w:sz w:val="20"/>
              </w:rPr>
            </w:pPr>
            <w:r>
              <w:rPr>
                <w:rFonts w:ascii="Arial" w:hAnsi="Arial"/>
                <w:color w:val="000000"/>
                <w:sz w:val="20"/>
              </w:rPr>
              <w:t>Pre-commencement communications pursuant to Rule 14d-2(b) under the Exchange Act (17 CFR 240.14d-2(b))</w:t>
            </w:r>
          </w:p>
        </w:tc>
      </w:tr>
    </w:tbl>
    <w:tbl>
      <w:tblPr>
        <w:tblW w:w="10204" w:type="dxa"/>
        <w:jc w:val="left"/>
        <w:tblInd w:w="0" w:type="dxa"/>
        <w:tblLayout w:type="fixed"/>
        <w:tblCellMar>
          <w:top w:w="28" w:type="dxa"/>
          <w:left w:w="28" w:type="dxa"/>
          <w:bottom w:w="28" w:type="dxa"/>
          <w:right w:w="28" w:type="dxa"/>
        </w:tblCellMar>
      </w:tblPr>
      <w:tblGrid>
        <w:gridCol w:w="407"/>
        <w:gridCol w:w="9797"/>
      </w:tblGrid>
      <w:tr>
        <w:trPr/>
        <w:tc>
          <w:tcPr>
            <w:tcW w:w="407" w:type="dxa"/>
            <w:tcBorders/>
            <w:vAlign w:val="center"/>
          </w:tcPr>
          <w:p>
            <w:pPr>
              <w:pStyle w:val="TableContents"/>
              <w:bidi w:val="0"/>
              <w:spacing w:before="0" w:after="283"/>
              <w:jc w:val="left"/>
              <w:rPr>
                <w:sz w:val="4"/>
                <w:szCs w:val="4"/>
              </w:rPr>
            </w:pPr>
            <w:r>
              <w:rPr>
                <w:sz w:val="4"/>
                <w:szCs w:val="4"/>
              </w:rPr>
            </w:r>
          </w:p>
        </w:tc>
        <w:tc>
          <w:tcPr>
            <w:tcW w:w="9797" w:type="dxa"/>
            <w:tcBorders/>
            <w:vAlign w:val="center"/>
          </w:tcPr>
          <w:p>
            <w:pPr>
              <w:pStyle w:val="TableContents"/>
              <w:bidi w:val="0"/>
              <w:spacing w:before="0" w:after="283"/>
              <w:jc w:val="left"/>
              <w:rPr>
                <w:sz w:val="4"/>
                <w:szCs w:val="4"/>
              </w:rPr>
            </w:pPr>
            <w:r>
              <w:rPr>
                <w:sz w:val="4"/>
                <w:szCs w:val="4"/>
              </w:rPr>
            </w:r>
          </w:p>
        </w:tc>
      </w:tr>
      <w:tr>
        <w:trPr/>
        <w:tc>
          <w:tcPr>
            <w:tcW w:w="407" w:type="dxa"/>
            <w:tcBorders/>
            <w:vAlign w:val="center"/>
          </w:tcPr>
          <w:p>
            <w:pPr>
              <w:pStyle w:val="TableContents"/>
              <w:bidi w:val="0"/>
              <w:spacing w:before="0" w:after="283"/>
              <w:ind w:left="0" w:right="16" w:hanging="0"/>
              <w:jc w:val="left"/>
              <w:rPr>
                <w:color w:val="000000"/>
              </w:rPr>
            </w:pPr>
            <w:r>
              <w:rPr>
                <w:color w:val="000000"/>
              </w:rPr>
              <w:t xml:space="preserve">☐ </w:t>
            </w:r>
          </w:p>
        </w:tc>
        <w:tc>
          <w:tcPr>
            <w:tcW w:w="9797" w:type="dxa"/>
            <w:tcBorders/>
            <w:vAlign w:val="center"/>
          </w:tcPr>
          <w:p>
            <w:pPr>
              <w:pStyle w:val="TableContents"/>
              <w:bidi w:val="0"/>
              <w:spacing w:before="0" w:after="283"/>
              <w:ind w:left="0" w:right="16" w:hanging="0"/>
              <w:jc w:val="left"/>
              <w:rPr>
                <w:rFonts w:ascii="Arial" w:hAnsi="Arial"/>
                <w:color w:val="000000"/>
                <w:sz w:val="20"/>
              </w:rPr>
            </w:pPr>
            <w:r>
              <w:rPr>
                <w:rFonts w:ascii="Arial" w:hAnsi="Arial"/>
                <w:color w:val="000000"/>
                <w:sz w:val="20"/>
              </w:rPr>
              <w:t>Pre-commencement communications pursuant to Rule 13e-4(c) under the Exchange Act (17 CFR 240.13e-4(c))</w:t>
            </w:r>
          </w:p>
        </w:tc>
      </w:tr>
    </w:tbl>
    <w:p>
      <w:pPr>
        <w:pStyle w:val="TextBody"/>
        <w:bidi w:val="0"/>
        <w:spacing w:before="180" w:after="283"/>
        <w:jc w:val="both"/>
        <w:rPr/>
      </w:pPr>
      <w:r>
        <w:rPr/>
        <w:t> </w:t>
      </w:r>
    </w:p>
    <w:tbl>
      <w:tblPr>
        <w:tblW w:w="9895" w:type="dxa"/>
        <w:jc w:val="left"/>
        <w:tblInd w:w="0" w:type="dxa"/>
        <w:tblLayout w:type="fixed"/>
        <w:tblCellMar>
          <w:top w:w="28" w:type="dxa"/>
          <w:left w:w="28" w:type="dxa"/>
          <w:bottom w:w="28" w:type="dxa"/>
          <w:right w:w="28" w:type="dxa"/>
        </w:tblCellMar>
      </w:tblPr>
      <w:tblGrid>
        <w:gridCol w:w="4606"/>
        <w:gridCol w:w="146"/>
        <w:gridCol w:w="1471"/>
        <w:gridCol w:w="146"/>
        <w:gridCol w:w="3526"/>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6" w:type="dxa"/>
            <w:tcBorders/>
            <w:vAlign w:val="center"/>
          </w:tcPr>
          <w:p>
            <w:pPr>
              <w:pStyle w:val="TableContents"/>
              <w:bidi w:val="0"/>
              <w:spacing w:before="0" w:after="283"/>
              <w:jc w:val="left"/>
              <w:rPr>
                <w:sz w:val="4"/>
                <w:szCs w:val="4"/>
              </w:rPr>
            </w:pPr>
            <w:r>
              <w:rPr>
                <w:sz w:val="4"/>
                <w:szCs w:val="4"/>
              </w:rPr>
            </w:r>
          </w:p>
        </w:tc>
      </w:tr>
      <w:tr>
        <w:trPr/>
        <w:tc>
          <w:tcPr>
            <w:tcW w:w="9895" w:type="dxa"/>
            <w:gridSpan w:val="5"/>
            <w:tcBorders/>
            <w:vAlign w:val="center"/>
          </w:tcPr>
          <w:p>
            <w:pPr>
              <w:pStyle w:val="TableContents"/>
              <w:bidi w:val="0"/>
              <w:spacing w:before="40" w:after="283"/>
              <w:jc w:val="left"/>
              <w:rPr>
                <w:rFonts w:ascii="Times New Roman" w:hAnsi="Times New Roman"/>
                <w:sz w:val="20"/>
              </w:rPr>
            </w:pPr>
            <w:r>
              <w:rPr>
                <w:rFonts w:ascii="Arial" w:hAnsi="Arial"/>
                <w:color w:val="000000"/>
                <w:sz w:val="20"/>
              </w:rPr>
              <w:t>Securities registered pursuant to Section 12(b) of the Act:</w:t>
            </w:r>
            <w:r>
              <w:rPr>
                <w:rFonts w:ascii="Times New Roman" w:hAnsi="Times New Roman"/>
                <w:color w:val="000000"/>
                <w:sz w:val="20"/>
              </w:rPr>
              <w:t xml:space="preserve"> </w:t>
            </w:r>
          </w:p>
        </w:tc>
      </w:tr>
      <w:tr>
        <w:trPr/>
        <w:tc>
          <w:tcPr>
            <w:tcW w:w="4606" w:type="dxa"/>
            <w:tcBorders/>
            <w:vAlign w:val="center"/>
          </w:tcPr>
          <w:p>
            <w:pPr>
              <w:pStyle w:val="TableContents"/>
              <w:bidi w:val="0"/>
              <w:spacing w:before="40" w:after="283"/>
              <w:jc w:val="left"/>
              <w:rPr/>
            </w:pPr>
            <w:r>
              <w:rPr/>
              <w:t> </w:t>
            </w:r>
          </w:p>
        </w:tc>
        <w:tc>
          <w:tcPr>
            <w:tcW w:w="146" w:type="dxa"/>
            <w:tcBorders/>
            <w:vAlign w:val="center"/>
          </w:tcPr>
          <w:p>
            <w:pPr>
              <w:pStyle w:val="TableContents"/>
              <w:bidi w:val="0"/>
              <w:spacing w:before="40" w:after="283"/>
              <w:jc w:val="left"/>
              <w:rPr/>
            </w:pPr>
            <w:r>
              <w:rPr/>
              <w:t> </w:t>
            </w:r>
          </w:p>
        </w:tc>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40" w:after="283"/>
              <w:jc w:val="left"/>
              <w:rPr/>
            </w:pPr>
            <w:r>
              <w:rPr/>
              <w:t> </w:t>
            </w:r>
          </w:p>
        </w:tc>
        <w:tc>
          <w:tcPr>
            <w:tcW w:w="3526" w:type="dxa"/>
            <w:tcBorders/>
            <w:vAlign w:val="center"/>
          </w:tcPr>
          <w:p>
            <w:pPr>
              <w:pStyle w:val="TableContents"/>
              <w:bidi w:val="0"/>
              <w:spacing w:before="40" w:after="283"/>
              <w:jc w:val="left"/>
              <w:rPr/>
            </w:pPr>
            <w:r>
              <w:rPr/>
              <w:t> </w:t>
            </w:r>
          </w:p>
        </w:tc>
      </w:tr>
      <w:tr>
        <w:trPr/>
        <w:tc>
          <w:tcPr>
            <w:tcW w:w="4606" w:type="dxa"/>
            <w:tcBorders/>
            <w:vAlign w:val="center"/>
          </w:tcPr>
          <w:p>
            <w:pPr>
              <w:pStyle w:val="TableContents"/>
              <w:bidi w:val="0"/>
              <w:spacing w:before="40" w:after="283"/>
              <w:jc w:val="left"/>
              <w:rPr>
                <w:rFonts w:ascii="Arial" w:hAnsi="Arial"/>
                <w:color w:val="000000"/>
                <w:sz w:val="20"/>
              </w:rPr>
            </w:pPr>
            <w:r>
              <w:rPr>
                <w:rFonts w:ascii="Arial" w:hAnsi="Arial"/>
                <w:color w:val="000000"/>
                <w:sz w:val="20"/>
              </w:rPr>
              <w:t>Title of each class</w:t>
            </w:r>
          </w:p>
        </w:tc>
        <w:tc>
          <w:tcPr>
            <w:tcW w:w="146" w:type="dxa"/>
            <w:tcBorders/>
            <w:vAlign w:val="center"/>
          </w:tcPr>
          <w:p>
            <w:pPr>
              <w:pStyle w:val="TableContents"/>
              <w:bidi w:val="0"/>
              <w:spacing w:before="40" w:after="283"/>
              <w:jc w:val="left"/>
              <w:rPr/>
            </w:pPr>
            <w:r>
              <w:rPr/>
              <w:t> </w:t>
            </w:r>
          </w:p>
        </w:tc>
        <w:tc>
          <w:tcPr>
            <w:tcW w:w="1471" w:type="dxa"/>
            <w:tcBorders/>
            <w:vAlign w:val="center"/>
          </w:tcPr>
          <w:p>
            <w:pPr>
              <w:pStyle w:val="TableContents"/>
              <w:bidi w:val="0"/>
              <w:spacing w:before="40" w:after="283"/>
              <w:jc w:val="center"/>
              <w:rPr>
                <w:rFonts w:ascii="Arial" w:hAnsi="Arial"/>
                <w:color w:val="000000"/>
                <w:sz w:val="20"/>
              </w:rPr>
            </w:pPr>
            <w:r>
              <w:rPr>
                <w:rFonts w:ascii="Arial" w:hAnsi="Arial"/>
                <w:color w:val="000000"/>
                <w:sz w:val="20"/>
              </w:rPr>
              <w:t>Trading Symbol</w:t>
            </w:r>
          </w:p>
        </w:tc>
        <w:tc>
          <w:tcPr>
            <w:tcW w:w="146" w:type="dxa"/>
            <w:tcBorders/>
            <w:vAlign w:val="center"/>
          </w:tcPr>
          <w:p>
            <w:pPr>
              <w:pStyle w:val="TableContents"/>
              <w:bidi w:val="0"/>
              <w:spacing w:before="40" w:after="283"/>
              <w:jc w:val="left"/>
              <w:rPr/>
            </w:pPr>
            <w:r>
              <w:rPr/>
              <w:t> </w:t>
            </w:r>
          </w:p>
        </w:tc>
        <w:tc>
          <w:tcPr>
            <w:tcW w:w="3526" w:type="dxa"/>
            <w:tcBorders/>
            <w:vAlign w:val="center"/>
          </w:tcPr>
          <w:p>
            <w:pPr>
              <w:pStyle w:val="TableContents"/>
              <w:bidi w:val="0"/>
              <w:spacing w:before="40" w:after="283"/>
              <w:jc w:val="center"/>
              <w:rPr>
                <w:rFonts w:ascii="Arial" w:hAnsi="Arial"/>
                <w:color w:val="000000"/>
                <w:sz w:val="20"/>
              </w:rPr>
            </w:pPr>
            <w:r>
              <w:rPr>
                <w:rFonts w:ascii="Arial" w:hAnsi="Arial"/>
                <w:color w:val="000000"/>
                <w:sz w:val="20"/>
              </w:rPr>
              <w:t>Name of exchange on which registered</w:t>
            </w:r>
          </w:p>
        </w:tc>
      </w:tr>
      <w:tr>
        <w:trPr/>
        <w:tc>
          <w:tcPr>
            <w:tcW w:w="4606" w:type="dxa"/>
            <w:tcBorders/>
            <w:vAlign w:val="center"/>
          </w:tcPr>
          <w:p>
            <w:pPr>
              <w:pStyle w:val="TableContents"/>
              <w:bidi w:val="0"/>
              <w:spacing w:before="40" w:after="283"/>
              <w:jc w:val="left"/>
              <w:rPr/>
            </w:pPr>
            <w:r>
              <w:rPr/>
              <w:t> </w:t>
            </w:r>
          </w:p>
        </w:tc>
        <w:tc>
          <w:tcPr>
            <w:tcW w:w="146" w:type="dxa"/>
            <w:tcBorders/>
            <w:vAlign w:val="center"/>
          </w:tcPr>
          <w:p>
            <w:pPr>
              <w:pStyle w:val="TableContents"/>
              <w:bidi w:val="0"/>
              <w:spacing w:before="40" w:after="283"/>
              <w:jc w:val="left"/>
              <w:rPr/>
            </w:pPr>
            <w:r>
              <w:rPr/>
              <w:t> </w:t>
            </w:r>
          </w:p>
        </w:tc>
        <w:tc>
          <w:tcPr>
            <w:tcW w:w="1471" w:type="dxa"/>
            <w:tcBorders/>
            <w:vAlign w:val="center"/>
          </w:tcPr>
          <w:p>
            <w:pPr>
              <w:pStyle w:val="TableContents"/>
              <w:bidi w:val="0"/>
              <w:spacing w:before="40" w:after="283"/>
              <w:jc w:val="center"/>
              <w:rPr/>
            </w:pPr>
            <w:r>
              <w:rPr/>
              <w:t> </w:t>
            </w:r>
          </w:p>
        </w:tc>
        <w:tc>
          <w:tcPr>
            <w:tcW w:w="146" w:type="dxa"/>
            <w:tcBorders/>
            <w:vAlign w:val="center"/>
          </w:tcPr>
          <w:p>
            <w:pPr>
              <w:pStyle w:val="TableContents"/>
              <w:bidi w:val="0"/>
              <w:spacing w:before="40" w:after="283"/>
              <w:jc w:val="left"/>
              <w:rPr/>
            </w:pPr>
            <w:r>
              <w:rPr/>
              <w:t> </w:t>
            </w:r>
          </w:p>
        </w:tc>
        <w:tc>
          <w:tcPr>
            <w:tcW w:w="3526" w:type="dxa"/>
            <w:tcBorders/>
            <w:vAlign w:val="center"/>
          </w:tcPr>
          <w:p>
            <w:pPr>
              <w:pStyle w:val="TableContents"/>
              <w:bidi w:val="0"/>
              <w:spacing w:before="40" w:after="283"/>
              <w:jc w:val="center"/>
              <w:rPr/>
            </w:pPr>
            <w:r>
              <w:rPr/>
              <w:t> </w:t>
            </w:r>
          </w:p>
        </w:tc>
      </w:tr>
      <w:tr>
        <w:trPr/>
        <w:tc>
          <w:tcPr>
            <w:tcW w:w="4606" w:type="dxa"/>
            <w:tcBorders/>
            <w:vAlign w:val="center"/>
          </w:tcPr>
          <w:p>
            <w:pPr>
              <w:pStyle w:val="TableContents"/>
              <w:bidi w:val="0"/>
              <w:spacing w:before="40" w:after="283"/>
              <w:jc w:val="left"/>
              <w:rPr>
                <w:rFonts w:ascii="Arial" w:hAnsi="Arial"/>
                <w:b/>
                <w:color w:val="000000"/>
                <w:sz w:val="20"/>
              </w:rPr>
            </w:pPr>
            <w:r>
              <w:rPr>
                <w:rFonts w:ascii="Arial" w:hAnsi="Arial"/>
                <w:b/>
                <w:color w:val="000000"/>
                <w:sz w:val="20"/>
              </w:rPr>
              <w:t>Common stock, $0.00000625 par value per share</w:t>
            </w:r>
          </w:p>
        </w:tc>
        <w:tc>
          <w:tcPr>
            <w:tcW w:w="146" w:type="dxa"/>
            <w:tcBorders/>
            <w:vAlign w:val="center"/>
          </w:tcPr>
          <w:p>
            <w:pPr>
              <w:pStyle w:val="TableContents"/>
              <w:bidi w:val="0"/>
              <w:spacing w:before="40" w:after="283"/>
              <w:jc w:val="center"/>
              <w:rPr/>
            </w:pPr>
            <w:r>
              <w:rPr/>
              <w:t> </w:t>
            </w:r>
          </w:p>
        </w:tc>
        <w:tc>
          <w:tcPr>
            <w:tcW w:w="1471" w:type="dxa"/>
            <w:tcBorders/>
            <w:vAlign w:val="center"/>
          </w:tcPr>
          <w:p>
            <w:pPr>
              <w:pStyle w:val="TableContents"/>
              <w:bidi w:val="0"/>
              <w:spacing w:before="40" w:after="283"/>
              <w:jc w:val="center"/>
              <w:rPr>
                <w:rFonts w:ascii="Arial" w:hAnsi="Arial"/>
                <w:b/>
                <w:caps/>
                <w:color w:val="000000"/>
                <w:sz w:val="20"/>
              </w:rPr>
            </w:pPr>
            <w:r>
              <w:rPr>
                <w:rFonts w:ascii="Arial" w:hAnsi="Arial"/>
                <w:b/>
                <w:caps/>
                <w:color w:val="000000"/>
                <w:sz w:val="20"/>
              </w:rPr>
              <w:t>MSFT</w:t>
            </w:r>
          </w:p>
        </w:tc>
        <w:tc>
          <w:tcPr>
            <w:tcW w:w="146" w:type="dxa"/>
            <w:tcBorders/>
            <w:vAlign w:val="center"/>
          </w:tcPr>
          <w:p>
            <w:pPr>
              <w:pStyle w:val="TableContents"/>
              <w:bidi w:val="0"/>
              <w:spacing w:before="40" w:after="283"/>
              <w:jc w:val="left"/>
              <w:rPr/>
            </w:pPr>
            <w:r>
              <w:rPr/>
              <w:t> </w:t>
            </w:r>
          </w:p>
        </w:tc>
        <w:tc>
          <w:tcPr>
            <w:tcW w:w="3526" w:type="dxa"/>
            <w:tcBorders/>
            <w:vAlign w:val="center"/>
          </w:tcPr>
          <w:p>
            <w:pPr>
              <w:pStyle w:val="TableContents"/>
              <w:bidi w:val="0"/>
              <w:spacing w:before="40" w:after="283"/>
              <w:jc w:val="center"/>
              <w:rPr>
                <w:rFonts w:ascii="Arial" w:hAnsi="Arial"/>
                <w:b/>
                <w:caps/>
                <w:color w:val="000000"/>
                <w:sz w:val="20"/>
              </w:rPr>
            </w:pPr>
            <w:r>
              <w:rPr>
                <w:rFonts w:ascii="Arial" w:hAnsi="Arial"/>
                <w:b/>
                <w:caps/>
                <w:color w:val="000000"/>
                <w:sz w:val="20"/>
              </w:rPr>
              <w:t>Nasdaq</w:t>
            </w:r>
          </w:p>
        </w:tc>
      </w:tr>
      <w:tr>
        <w:trPr/>
        <w:tc>
          <w:tcPr>
            <w:tcW w:w="4606" w:type="dxa"/>
            <w:tcBorders/>
            <w:vAlign w:val="center"/>
          </w:tcPr>
          <w:p>
            <w:pPr>
              <w:pStyle w:val="TableContents"/>
              <w:bidi w:val="0"/>
              <w:spacing w:before="40" w:after="283"/>
              <w:jc w:val="left"/>
              <w:rPr>
                <w:rFonts w:ascii="Arial" w:hAnsi="Arial"/>
                <w:b/>
                <w:color w:val="000000"/>
                <w:sz w:val="20"/>
              </w:rPr>
            </w:pPr>
            <w:r>
              <w:rPr>
                <w:rFonts w:ascii="Arial" w:hAnsi="Arial"/>
                <w:b/>
                <w:color w:val="000000"/>
                <w:sz w:val="20"/>
              </w:rPr>
              <w:t>3.125% Notes due 2028</w:t>
            </w:r>
          </w:p>
        </w:tc>
        <w:tc>
          <w:tcPr>
            <w:tcW w:w="146" w:type="dxa"/>
            <w:tcBorders/>
            <w:vAlign w:val="center"/>
          </w:tcPr>
          <w:p>
            <w:pPr>
              <w:pStyle w:val="TableContents"/>
              <w:bidi w:val="0"/>
              <w:spacing w:before="40" w:after="283"/>
              <w:jc w:val="center"/>
              <w:rPr/>
            </w:pPr>
            <w:r>
              <w:rPr/>
              <w:t> </w:t>
            </w:r>
          </w:p>
        </w:tc>
        <w:tc>
          <w:tcPr>
            <w:tcW w:w="1471" w:type="dxa"/>
            <w:tcBorders/>
            <w:vAlign w:val="center"/>
          </w:tcPr>
          <w:p>
            <w:pPr>
              <w:pStyle w:val="TableContents"/>
              <w:bidi w:val="0"/>
              <w:spacing w:before="40" w:after="283"/>
              <w:jc w:val="center"/>
              <w:rPr>
                <w:rFonts w:ascii="Arial" w:hAnsi="Arial"/>
                <w:b/>
                <w:caps/>
                <w:color w:val="000000"/>
                <w:sz w:val="20"/>
              </w:rPr>
            </w:pPr>
            <w:r>
              <w:rPr>
                <w:rFonts w:ascii="Arial" w:hAnsi="Arial"/>
                <w:b/>
                <w:caps/>
                <w:color w:val="000000"/>
                <w:sz w:val="20"/>
              </w:rPr>
              <w:t>MSFT</w:t>
            </w:r>
          </w:p>
        </w:tc>
        <w:tc>
          <w:tcPr>
            <w:tcW w:w="146" w:type="dxa"/>
            <w:tcBorders/>
            <w:vAlign w:val="center"/>
          </w:tcPr>
          <w:p>
            <w:pPr>
              <w:pStyle w:val="TableContents"/>
              <w:bidi w:val="0"/>
              <w:spacing w:before="40" w:after="283"/>
              <w:jc w:val="left"/>
              <w:rPr/>
            </w:pPr>
            <w:r>
              <w:rPr/>
              <w:t> </w:t>
            </w:r>
          </w:p>
        </w:tc>
        <w:tc>
          <w:tcPr>
            <w:tcW w:w="3526" w:type="dxa"/>
            <w:tcBorders/>
            <w:vAlign w:val="center"/>
          </w:tcPr>
          <w:p>
            <w:pPr>
              <w:pStyle w:val="TableContents"/>
              <w:bidi w:val="0"/>
              <w:spacing w:before="40" w:after="283"/>
              <w:jc w:val="center"/>
              <w:rPr>
                <w:rFonts w:ascii="Arial" w:hAnsi="Arial"/>
                <w:b/>
                <w:caps/>
                <w:color w:val="000000"/>
                <w:sz w:val="20"/>
              </w:rPr>
            </w:pPr>
            <w:r>
              <w:rPr>
                <w:rFonts w:ascii="Arial" w:hAnsi="Arial"/>
                <w:b/>
                <w:caps/>
                <w:color w:val="000000"/>
                <w:sz w:val="20"/>
              </w:rPr>
              <w:t>Nasdaq</w:t>
            </w:r>
          </w:p>
        </w:tc>
      </w:tr>
      <w:tr>
        <w:trPr/>
        <w:tc>
          <w:tcPr>
            <w:tcW w:w="4606" w:type="dxa"/>
            <w:tcBorders/>
            <w:vAlign w:val="center"/>
          </w:tcPr>
          <w:p>
            <w:pPr>
              <w:pStyle w:val="TableContents"/>
              <w:bidi w:val="0"/>
              <w:spacing w:before="40" w:after="283"/>
              <w:jc w:val="left"/>
              <w:rPr>
                <w:rFonts w:ascii="Arial" w:hAnsi="Arial"/>
                <w:b/>
                <w:color w:val="000000"/>
                <w:sz w:val="20"/>
              </w:rPr>
            </w:pPr>
            <w:r>
              <w:rPr>
                <w:rFonts w:ascii="Arial" w:hAnsi="Arial"/>
                <w:b/>
                <w:color w:val="000000"/>
                <w:sz w:val="20"/>
              </w:rPr>
              <w:t>2.625% Notes due 2033</w:t>
            </w:r>
          </w:p>
        </w:tc>
        <w:tc>
          <w:tcPr>
            <w:tcW w:w="146" w:type="dxa"/>
            <w:tcBorders/>
            <w:vAlign w:val="center"/>
          </w:tcPr>
          <w:p>
            <w:pPr>
              <w:pStyle w:val="TableContents"/>
              <w:bidi w:val="0"/>
              <w:spacing w:before="40" w:after="283"/>
              <w:jc w:val="center"/>
              <w:rPr/>
            </w:pPr>
            <w:r>
              <w:rPr/>
              <w:t> </w:t>
            </w:r>
          </w:p>
        </w:tc>
        <w:tc>
          <w:tcPr>
            <w:tcW w:w="1471" w:type="dxa"/>
            <w:tcBorders/>
            <w:vAlign w:val="center"/>
          </w:tcPr>
          <w:p>
            <w:pPr>
              <w:pStyle w:val="TableContents"/>
              <w:bidi w:val="0"/>
              <w:spacing w:before="40" w:after="283"/>
              <w:jc w:val="center"/>
              <w:rPr>
                <w:rFonts w:ascii="Arial" w:hAnsi="Arial"/>
                <w:b/>
                <w:caps/>
                <w:color w:val="000000"/>
                <w:sz w:val="20"/>
              </w:rPr>
            </w:pPr>
            <w:r>
              <w:rPr>
                <w:rFonts w:ascii="Arial" w:hAnsi="Arial"/>
                <w:b/>
                <w:caps/>
                <w:color w:val="000000"/>
                <w:sz w:val="20"/>
              </w:rPr>
              <w:t>MSFT</w:t>
            </w:r>
          </w:p>
        </w:tc>
        <w:tc>
          <w:tcPr>
            <w:tcW w:w="146" w:type="dxa"/>
            <w:tcBorders/>
            <w:vAlign w:val="center"/>
          </w:tcPr>
          <w:p>
            <w:pPr>
              <w:pStyle w:val="TableContents"/>
              <w:bidi w:val="0"/>
              <w:spacing w:before="40" w:after="283"/>
              <w:jc w:val="left"/>
              <w:rPr/>
            </w:pPr>
            <w:r>
              <w:rPr/>
              <w:t> </w:t>
            </w:r>
          </w:p>
        </w:tc>
        <w:tc>
          <w:tcPr>
            <w:tcW w:w="3526" w:type="dxa"/>
            <w:tcBorders/>
            <w:vAlign w:val="center"/>
          </w:tcPr>
          <w:p>
            <w:pPr>
              <w:pStyle w:val="TableContents"/>
              <w:bidi w:val="0"/>
              <w:spacing w:before="40" w:after="283"/>
              <w:jc w:val="center"/>
              <w:rPr>
                <w:rFonts w:ascii="Arial" w:hAnsi="Arial"/>
                <w:b/>
                <w:caps/>
                <w:color w:val="000000"/>
                <w:sz w:val="20"/>
              </w:rPr>
            </w:pPr>
            <w:r>
              <w:rPr>
                <w:rFonts w:ascii="Arial" w:hAnsi="Arial"/>
                <w:b/>
                <w:caps/>
                <w:color w:val="000000"/>
                <w:sz w:val="20"/>
              </w:rPr>
              <w:t>Nasdaq</w:t>
            </w:r>
          </w:p>
        </w:tc>
      </w:tr>
    </w:tbl>
    <w:p>
      <w:pPr>
        <w:pStyle w:val="TextBody"/>
        <w:bidi w:val="0"/>
        <w:spacing w:before="180" w:after="283"/>
        <w:jc w:val="both"/>
        <w:rPr>
          <w:rFonts w:ascii="Times New Roman" w:hAnsi="Times New Roman"/>
          <w:sz w:val="20"/>
        </w:rPr>
      </w:pPr>
      <w:r>
        <w:rPr>
          <w:rFonts w:ascii="Arial" w:hAnsi="Arial"/>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Times New Roman" w:hAnsi="Times New Roman"/>
          <w:color w:val="000000"/>
          <w:sz w:val="20"/>
        </w:rPr>
        <w:t>☐</w:t>
      </w:r>
    </w:p>
    <w:p>
      <w:pPr>
        <w:pStyle w:val="TextBody"/>
        <w:pBdr>
          <w:bottom w:val="single" w:sz="4" w:space="1" w:color="000000"/>
        </w:pBdr>
        <w:bidi w:val="0"/>
        <w:spacing w:before="180" w:after="283"/>
        <w:jc w:val="both"/>
        <w:rPr>
          <w:rFonts w:ascii="Times New Roman" w:hAnsi="Times New Roman"/>
          <w:sz w:val="20"/>
        </w:rPr>
      </w:pPr>
      <w:r>
        <w:rPr>
          <w:rFonts w:ascii="Arial" w:hAnsi="Arial"/>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509" w:type="dxa"/>
        <w:jc w:val="left"/>
        <w:tblInd w:w="0" w:type="dxa"/>
        <w:tblLayout w:type="fixed"/>
        <w:tblCellMar>
          <w:top w:w="28" w:type="dxa"/>
          <w:left w:w="28" w:type="dxa"/>
          <w:bottom w:w="28" w:type="dxa"/>
          <w:right w:w="28" w:type="dxa"/>
        </w:tblCellMar>
      </w:tblPr>
      <w:tblGrid>
        <w:gridCol w:w="1037"/>
        <w:gridCol w:w="4472"/>
      </w:tblGrid>
      <w:tr>
        <w:trPr/>
        <w:tc>
          <w:tcPr>
            <w:tcW w:w="1037" w:type="dxa"/>
            <w:tcBorders/>
            <w:vAlign w:val="center"/>
          </w:tcPr>
          <w:p>
            <w:pPr>
              <w:pStyle w:val="TableContents"/>
              <w:bidi w:val="0"/>
              <w:spacing w:before="0" w:after="283"/>
              <w:jc w:val="left"/>
              <w:rPr>
                <w:sz w:val="4"/>
                <w:szCs w:val="4"/>
              </w:rPr>
            </w:pPr>
            <w:r>
              <w:rPr>
                <w:sz w:val="4"/>
                <w:szCs w:val="4"/>
              </w:rPr>
            </w:r>
          </w:p>
        </w:tc>
        <w:tc>
          <w:tcPr>
            <w:tcW w:w="4472" w:type="dxa"/>
            <w:tcBorders/>
            <w:vAlign w:val="center"/>
          </w:tcPr>
          <w:p>
            <w:pPr>
              <w:pStyle w:val="TableContents"/>
              <w:bidi w:val="0"/>
              <w:spacing w:before="0" w:after="283"/>
              <w:jc w:val="left"/>
              <w:rPr>
                <w:sz w:val="4"/>
                <w:szCs w:val="4"/>
              </w:rPr>
            </w:pPr>
            <w:r>
              <w:rPr>
                <w:sz w:val="4"/>
                <w:szCs w:val="4"/>
              </w:rPr>
            </w:r>
          </w:p>
        </w:tc>
      </w:tr>
      <w:tr>
        <w:trPr/>
        <w:tc>
          <w:tcPr>
            <w:tcW w:w="1037" w:type="dxa"/>
            <w:tcBorders/>
            <w:vAlign w:val="center"/>
          </w:tcPr>
          <w:p>
            <w:pPr>
              <w:pStyle w:val="TableContents"/>
              <w:bidi w:val="0"/>
              <w:spacing w:before="0" w:after="283"/>
              <w:ind w:left="0" w:right="16" w:hanging="0"/>
              <w:jc w:val="left"/>
              <w:rPr>
                <w:rFonts w:ascii="Arial" w:hAnsi="Arial"/>
                <w:b/>
                <w:color w:val="000000"/>
                <w:sz w:val="20"/>
              </w:rPr>
            </w:pPr>
            <w:bookmarkStart w:id="4" w:name="fis_section_2_financial_information"/>
            <w:bookmarkStart w:id="5" w:name="fis_results_of_operations"/>
            <w:bookmarkEnd w:id="4"/>
            <w:bookmarkEnd w:id="5"/>
            <w:r>
              <w:rPr>
                <w:rFonts w:ascii="Arial" w:hAnsi="Arial"/>
                <w:b/>
                <w:color w:val="000000"/>
                <w:sz w:val="20"/>
              </w:rPr>
              <w:t>Item 2.02.</w:t>
            </w:r>
          </w:p>
        </w:tc>
        <w:tc>
          <w:tcPr>
            <w:tcW w:w="4472" w:type="dxa"/>
            <w:tcBorders/>
            <w:vAlign w:val="center"/>
          </w:tcPr>
          <w:p>
            <w:pPr>
              <w:pStyle w:val="TableContents"/>
              <w:bidi w:val="0"/>
              <w:spacing w:before="0" w:after="283"/>
              <w:ind w:left="0" w:right="16" w:hanging="0"/>
              <w:jc w:val="left"/>
              <w:rPr>
                <w:rFonts w:ascii="Arial" w:hAnsi="Arial"/>
                <w:b/>
                <w:color w:val="000000"/>
                <w:sz w:val="20"/>
              </w:rPr>
            </w:pPr>
            <w:r>
              <w:rPr>
                <w:rFonts w:ascii="Arial" w:hAnsi="Arial"/>
                <w:b/>
                <w:color w:val="000000"/>
                <w:sz w:val="20"/>
              </w:rPr>
              <w:t>Results of Operations and Financial Condition</w:t>
            </w:r>
          </w:p>
        </w:tc>
      </w:tr>
    </w:tbl>
    <w:p>
      <w:pPr>
        <w:pStyle w:val="TextBody"/>
        <w:bidi w:val="0"/>
        <w:spacing w:before="90" w:after="283"/>
        <w:jc w:val="both"/>
        <w:rPr>
          <w:rFonts w:ascii="Arial" w:hAnsi="Arial"/>
          <w:color w:val="000000"/>
          <w:sz w:val="20"/>
        </w:rPr>
      </w:pPr>
      <w:r>
        <w:rPr>
          <w:rFonts w:ascii="Arial" w:hAnsi="Arial"/>
          <w:color w:val="000000"/>
          <w:sz w:val="20"/>
        </w:rPr>
        <w:t>On April 25, 2024, Microsoft Corporation issued a press release announcing its financial results for the fiscal quarter ended March 31, 2024. A copy of the press release is furnished as Exhibit 99.1 to this report.</w:t>
      </w:r>
    </w:p>
    <w:p>
      <w:pPr>
        <w:pStyle w:val="TextBody"/>
        <w:bidi w:val="0"/>
        <w:spacing w:before="180" w:after="283"/>
        <w:jc w:val="both"/>
        <w:rPr>
          <w:rFonts w:ascii="Arial" w:hAnsi="Arial"/>
          <w:color w:val="000000"/>
          <w:sz w:val="20"/>
        </w:rPr>
      </w:pPr>
      <w:r>
        <w:rPr>
          <w:rFonts w:ascii="Arial" w:hAnsi="Arial"/>
          <w:color w:val="000000"/>
          <w:sz w:val="20"/>
        </w:rPr>
        <w:t>In accordance with General Instruction B.2 of Form 8-K, the information in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pStyle w:val="Normal"/>
        <w:bidi w:val="0"/>
        <w:spacing w:before="0" w:after="0"/>
        <w:jc w:val="left"/>
        <w:rPr>
          <w:sz w:val="4"/>
          <w:szCs w:val="4"/>
        </w:rPr>
      </w:pPr>
      <w:r>
        <w:rPr>
          <w:sz w:val="4"/>
          <w:szCs w:val="4"/>
        </w:rPr>
      </w:r>
      <w:bookmarkStart w:id="6" w:name="fis_financial_statements_and_exhibits"/>
      <w:bookmarkStart w:id="7" w:name="fis_section_9_financial_statements_and_e"/>
      <w:bookmarkStart w:id="8" w:name="fis_financial_statements_and_exhibits"/>
      <w:bookmarkStart w:id="9" w:name="fis_section_9_financial_statements_and_e"/>
      <w:bookmarkEnd w:id="8"/>
      <w:bookmarkEnd w:id="9"/>
    </w:p>
    <w:tbl>
      <w:tblPr>
        <w:tblW w:w="4384" w:type="dxa"/>
        <w:jc w:val="left"/>
        <w:tblInd w:w="0" w:type="dxa"/>
        <w:tblLayout w:type="fixed"/>
        <w:tblCellMar>
          <w:top w:w="28" w:type="dxa"/>
          <w:left w:w="28" w:type="dxa"/>
          <w:bottom w:w="28" w:type="dxa"/>
          <w:right w:w="28" w:type="dxa"/>
        </w:tblCellMar>
      </w:tblPr>
      <w:tblGrid>
        <w:gridCol w:w="1037"/>
        <w:gridCol w:w="3347"/>
      </w:tblGrid>
      <w:tr>
        <w:trPr/>
        <w:tc>
          <w:tcPr>
            <w:tcW w:w="1037" w:type="dxa"/>
            <w:tcBorders/>
            <w:vAlign w:val="center"/>
          </w:tcPr>
          <w:p>
            <w:pPr>
              <w:pStyle w:val="TableContents"/>
              <w:bidi w:val="0"/>
              <w:spacing w:before="0" w:after="283"/>
              <w:jc w:val="left"/>
              <w:rPr>
                <w:sz w:val="4"/>
                <w:szCs w:val="4"/>
              </w:rPr>
            </w:pPr>
            <w:r>
              <w:rPr>
                <w:sz w:val="4"/>
                <w:szCs w:val="4"/>
              </w:rPr>
            </w:r>
          </w:p>
        </w:tc>
        <w:tc>
          <w:tcPr>
            <w:tcW w:w="3347" w:type="dxa"/>
            <w:tcBorders/>
            <w:vAlign w:val="center"/>
          </w:tcPr>
          <w:p>
            <w:pPr>
              <w:pStyle w:val="TableContents"/>
              <w:bidi w:val="0"/>
              <w:spacing w:before="0" w:after="283"/>
              <w:jc w:val="left"/>
              <w:rPr>
                <w:sz w:val="4"/>
                <w:szCs w:val="4"/>
              </w:rPr>
            </w:pPr>
            <w:r>
              <w:rPr>
                <w:sz w:val="4"/>
                <w:szCs w:val="4"/>
              </w:rPr>
            </w:r>
          </w:p>
        </w:tc>
      </w:tr>
      <w:tr>
        <w:trPr/>
        <w:tc>
          <w:tcPr>
            <w:tcW w:w="1037" w:type="dxa"/>
            <w:tcBorders/>
            <w:vAlign w:val="center"/>
          </w:tcPr>
          <w:p>
            <w:pPr>
              <w:pStyle w:val="TableContents"/>
              <w:bidi w:val="0"/>
              <w:spacing w:before="0" w:after="283"/>
              <w:ind w:left="0" w:right="16" w:hanging="0"/>
              <w:jc w:val="left"/>
              <w:rPr>
                <w:rFonts w:ascii="Arial" w:hAnsi="Arial"/>
                <w:b/>
                <w:color w:val="000000"/>
                <w:sz w:val="20"/>
              </w:rPr>
            </w:pPr>
            <w:r>
              <w:rPr>
                <w:rFonts w:ascii="Arial" w:hAnsi="Arial"/>
                <w:b/>
                <w:color w:val="000000"/>
                <w:sz w:val="20"/>
              </w:rPr>
              <w:t>Item 9.01.</w:t>
            </w:r>
          </w:p>
        </w:tc>
        <w:tc>
          <w:tcPr>
            <w:tcW w:w="3347" w:type="dxa"/>
            <w:tcBorders/>
            <w:vAlign w:val="center"/>
          </w:tcPr>
          <w:p>
            <w:pPr>
              <w:pStyle w:val="TableContents"/>
              <w:bidi w:val="0"/>
              <w:spacing w:before="0" w:after="283"/>
              <w:ind w:left="0" w:right="16" w:hanging="0"/>
              <w:jc w:val="left"/>
              <w:rPr>
                <w:rFonts w:ascii="Arial" w:hAnsi="Arial"/>
                <w:b/>
                <w:color w:val="000000"/>
                <w:sz w:val="20"/>
              </w:rPr>
            </w:pPr>
            <w:r>
              <w:rPr>
                <w:rFonts w:ascii="Arial" w:hAnsi="Arial"/>
                <w:b/>
                <w:color w:val="000000"/>
                <w:sz w:val="20"/>
              </w:rPr>
              <w:t>Financial Statements and Exhibits</w:t>
            </w:r>
          </w:p>
        </w:tc>
      </w:tr>
    </w:tbl>
    <w:p>
      <w:pPr>
        <w:pStyle w:val="TextBody"/>
        <w:bidi w:val="0"/>
        <w:spacing w:before="90" w:after="283"/>
        <w:jc w:val="left"/>
        <w:rPr>
          <w:rFonts w:ascii="Arial" w:hAnsi="Arial"/>
          <w:color w:val="000000"/>
          <w:sz w:val="20"/>
        </w:rPr>
      </w:pPr>
      <w:r>
        <w:rPr>
          <w:rFonts w:ascii="Arial" w:hAnsi="Arial"/>
          <w:color w:val="000000"/>
          <w:sz w:val="20"/>
        </w:rPr>
        <w:t>(d) Exhibits:</w:t>
      </w:r>
    </w:p>
    <w:tbl>
      <w:tblPr>
        <w:tblW w:w="7651" w:type="dxa"/>
        <w:jc w:val="left"/>
        <w:tblInd w:w="0" w:type="dxa"/>
        <w:tblLayout w:type="fixed"/>
        <w:tblCellMar>
          <w:top w:w="28" w:type="dxa"/>
          <w:left w:w="28" w:type="dxa"/>
          <w:bottom w:w="28" w:type="dxa"/>
          <w:right w:w="28" w:type="dxa"/>
        </w:tblCellMar>
      </w:tblPr>
      <w:tblGrid>
        <w:gridCol w:w="177"/>
        <w:gridCol w:w="497"/>
        <w:gridCol w:w="6977"/>
      </w:tblGrid>
      <w:tr>
        <w:trPr/>
        <w:tc>
          <w:tcPr>
            <w:tcW w:w="17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6977" w:type="dxa"/>
            <w:tcBorders/>
            <w:vAlign w:val="center"/>
          </w:tcPr>
          <w:p>
            <w:pPr>
              <w:pStyle w:val="TableContents"/>
              <w:bidi w:val="0"/>
              <w:spacing w:before="0" w:after="283"/>
              <w:jc w:val="left"/>
              <w:rPr>
                <w:sz w:val="4"/>
                <w:szCs w:val="4"/>
              </w:rPr>
            </w:pPr>
            <w:r>
              <w:rPr>
                <w:sz w:val="4"/>
                <w:szCs w:val="4"/>
              </w:rPr>
            </w:r>
          </w:p>
        </w:tc>
      </w:tr>
      <w:tr>
        <w:trPr/>
        <w:tc>
          <w:tcPr>
            <w:tcW w:w="177" w:type="dxa"/>
            <w:tcBorders/>
            <w:vAlign w:val="center"/>
          </w:tcPr>
          <w:p>
            <w:pPr>
              <w:pStyle w:val="TableContents"/>
              <w:bidi w:val="0"/>
              <w:spacing w:before="0" w:after="283"/>
              <w:ind w:left="0" w:right="16" w:hanging="0"/>
              <w:jc w:val="left"/>
              <w:rPr>
                <w:sz w:val="4"/>
                <w:szCs w:val="4"/>
              </w:rPr>
            </w:pPr>
            <w:r>
              <w:rPr>
                <w:sz w:val="4"/>
                <w:szCs w:val="4"/>
              </w:rPr>
            </w:r>
          </w:p>
        </w:tc>
        <w:tc>
          <w:tcPr>
            <w:tcW w:w="497" w:type="dxa"/>
            <w:tcBorders/>
            <w:vAlign w:val="center"/>
          </w:tcPr>
          <w:p>
            <w:pPr>
              <w:pStyle w:val="TableContents"/>
              <w:bidi w:val="0"/>
              <w:spacing w:before="0" w:after="283"/>
              <w:ind w:left="0" w:right="16" w:hanging="0"/>
              <w:jc w:val="left"/>
              <w:rPr>
                <w:rFonts w:ascii="Arial" w:hAnsi="Arial"/>
                <w:color w:val="000000"/>
                <w:sz w:val="20"/>
              </w:rPr>
            </w:pPr>
            <w:r>
              <w:rPr>
                <w:rFonts w:ascii="Arial" w:hAnsi="Arial"/>
                <w:color w:val="000000"/>
                <w:sz w:val="20"/>
              </w:rPr>
              <w:t>99.1</w:t>
            </w:r>
          </w:p>
        </w:tc>
        <w:tc>
          <w:tcPr>
            <w:tcW w:w="6977" w:type="dxa"/>
            <w:tcBorders/>
            <w:vAlign w:val="center"/>
          </w:tcPr>
          <w:p>
            <w:pPr>
              <w:pStyle w:val="TableContents"/>
              <w:bidi w:val="0"/>
              <w:spacing w:before="0" w:after="283"/>
              <w:ind w:left="0" w:right="16" w:hanging="0"/>
              <w:jc w:val="left"/>
              <w:rPr/>
            </w:pPr>
            <w:hyperlink w:anchor="msft-ex99_1.htm">
              <w:r>
                <w:rPr>
                  <w:rStyle w:val="InternetLink"/>
                  <w:rFonts w:ascii="Arial" w:hAnsi="Arial"/>
                  <w:color w:val="0000FF"/>
                  <w:sz w:val="20"/>
                  <w:u w:val="single"/>
                </w:rPr>
                <w:t>Press release, dated April 25, 2024, issued by Microsoft Corporation</w:t>
              </w:r>
            </w:hyperlink>
          </w:p>
        </w:tc>
      </w:tr>
      <w:tr>
        <w:trPr/>
        <w:tc>
          <w:tcPr>
            <w:tcW w:w="177" w:type="dxa"/>
            <w:tcBorders/>
            <w:vAlign w:val="center"/>
          </w:tcPr>
          <w:p>
            <w:pPr>
              <w:pStyle w:val="TableContents"/>
              <w:bidi w:val="0"/>
              <w:spacing w:before="0" w:after="283"/>
              <w:ind w:left="0" w:right="16" w:hanging="0"/>
              <w:jc w:val="left"/>
              <w:rPr/>
            </w:pPr>
            <w:r>
              <w:rPr/>
              <w:t> </w:t>
            </w:r>
          </w:p>
        </w:tc>
        <w:tc>
          <w:tcPr>
            <w:tcW w:w="497" w:type="dxa"/>
            <w:tcBorders/>
            <w:vAlign w:val="center"/>
          </w:tcPr>
          <w:p>
            <w:pPr>
              <w:pStyle w:val="TableContents"/>
              <w:bidi w:val="0"/>
              <w:spacing w:before="0" w:after="283"/>
              <w:ind w:left="0" w:right="16" w:hanging="0"/>
              <w:jc w:val="left"/>
              <w:rPr>
                <w:rFonts w:ascii="Arial" w:hAnsi="Arial"/>
                <w:color w:val="000000"/>
                <w:sz w:val="20"/>
              </w:rPr>
            </w:pPr>
            <w:r>
              <w:rPr>
                <w:rFonts w:ascii="Arial" w:hAnsi="Arial"/>
                <w:color w:val="000000"/>
                <w:sz w:val="20"/>
              </w:rPr>
              <w:t>104</w:t>
            </w:r>
          </w:p>
        </w:tc>
        <w:tc>
          <w:tcPr>
            <w:tcW w:w="6977" w:type="dxa"/>
            <w:tcBorders/>
            <w:vAlign w:val="center"/>
          </w:tcPr>
          <w:p>
            <w:pPr>
              <w:pStyle w:val="TableContents"/>
              <w:bidi w:val="0"/>
              <w:spacing w:before="0" w:after="283"/>
              <w:ind w:left="0" w:right="16" w:hanging="0"/>
              <w:jc w:val="left"/>
              <w:rPr>
                <w:rFonts w:ascii="Arial" w:hAnsi="Arial"/>
                <w:color w:val="000000"/>
                <w:sz w:val="20"/>
              </w:rPr>
            </w:pPr>
            <w:r>
              <w:rPr>
                <w:rFonts w:ascii="Arial" w:hAnsi="Arial"/>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10" w:name="eolpage3"/>
      <w:bookmarkEnd w:id="10"/>
      <w:r>
        <w:rPr/>
        <w:t> </w:t>
      </w:r>
    </w:p>
    <w:p>
      <w:pPr>
        <w:pStyle w:val="TextBody"/>
        <w:bidi w:val="0"/>
        <w:jc w:val="center"/>
        <w:rPr>
          <w:rFonts w:ascii="Arial" w:hAnsi="Arial"/>
          <w:b/>
          <w:color w:val="000000"/>
          <w:sz w:val="20"/>
        </w:rPr>
      </w:pPr>
      <w:bookmarkStart w:id="11" w:name="fis_signatures"/>
      <w:bookmarkEnd w:id="11"/>
      <w:r>
        <w:rPr>
          <w:rFonts w:ascii="Arial" w:hAnsi="Arial"/>
          <w:b/>
          <w:color w:val="000000"/>
          <w:sz w:val="20"/>
        </w:rPr>
        <w:t>SIGNATURE</w:t>
      </w:r>
    </w:p>
    <w:p>
      <w:pPr>
        <w:pStyle w:val="TextBody"/>
        <w:bidi w:val="0"/>
        <w:spacing w:before="180" w:after="283"/>
        <w:jc w:val="both"/>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hereunto duly authorized.</w:t>
      </w:r>
    </w:p>
    <w:tbl>
      <w:tblPr>
        <w:tblW w:w="4845" w:type="dxa"/>
        <w:jc w:val="left"/>
        <w:tblInd w:w="0" w:type="dxa"/>
        <w:tblLayout w:type="fixed"/>
        <w:tblCellMar>
          <w:top w:w="28" w:type="dxa"/>
          <w:left w:w="28" w:type="dxa"/>
          <w:bottom w:w="28" w:type="dxa"/>
          <w:right w:w="28" w:type="dxa"/>
        </w:tblCellMar>
      </w:tblPr>
      <w:tblGrid>
        <w:gridCol w:w="1862"/>
        <w:gridCol w:w="146"/>
        <w:gridCol w:w="2837"/>
      </w:tblGrid>
      <w:tr>
        <w:trPr/>
        <w:tc>
          <w:tcPr>
            <w:tcW w:w="1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r>
      <w:tr>
        <w:trPr/>
        <w:tc>
          <w:tcPr>
            <w:tcW w:w="18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837" w:type="dxa"/>
            <w:tcBorders/>
            <w:vAlign w:val="center"/>
          </w:tcPr>
          <w:p>
            <w:pPr>
              <w:pStyle w:val="TableContents"/>
              <w:bidi w:val="0"/>
              <w:spacing w:before="0" w:after="283"/>
              <w:jc w:val="left"/>
              <w:rPr/>
            </w:pPr>
            <w:r>
              <w:rPr/>
              <w:t> </w:t>
            </w:r>
          </w:p>
        </w:tc>
      </w:tr>
      <w:tr>
        <w:trPr/>
        <w:tc>
          <w:tcPr>
            <w:tcW w:w="18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2837" w:type="dxa"/>
            <w:tcBorders/>
            <w:vAlign w:val="center"/>
          </w:tcPr>
          <w:p>
            <w:pPr>
              <w:pStyle w:val="TableContents"/>
              <w:bidi w:val="0"/>
              <w:spacing w:before="0" w:after="283"/>
              <w:ind w:left="0" w:right="16" w:hanging="0"/>
              <w:jc w:val="center"/>
              <w:rPr>
                <w:rFonts w:ascii="Arial" w:hAnsi="Arial"/>
                <w:color w:val="000000"/>
                <w:sz w:val="20"/>
              </w:rPr>
            </w:pPr>
            <w:r>
              <w:rPr>
                <w:rFonts w:ascii="Arial" w:hAnsi="Arial"/>
                <w:color w:val="000000"/>
                <w:sz w:val="20"/>
              </w:rPr>
              <w:t>MICROSOFT CORPORATION</w:t>
            </w:r>
          </w:p>
        </w:tc>
      </w:tr>
      <w:tr>
        <w:trPr/>
        <w:tc>
          <w:tcPr>
            <w:tcW w:w="18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2837" w:type="dxa"/>
            <w:tcBorders/>
            <w:vAlign w:val="center"/>
          </w:tcPr>
          <w:p>
            <w:pPr>
              <w:pStyle w:val="TableContents"/>
              <w:bidi w:val="0"/>
              <w:spacing w:before="0" w:after="283"/>
              <w:ind w:left="0" w:right="16" w:hanging="0"/>
              <w:jc w:val="center"/>
              <w:rPr>
                <w:rFonts w:ascii="Arial" w:hAnsi="Arial"/>
                <w:color w:val="000000"/>
                <w:sz w:val="20"/>
              </w:rPr>
            </w:pPr>
            <w:r>
              <w:rPr>
                <w:rFonts w:ascii="Arial" w:hAnsi="Arial"/>
                <w:color w:val="000000"/>
                <w:sz w:val="20"/>
              </w:rPr>
              <w:t>(Registrant)</w:t>
            </w:r>
          </w:p>
        </w:tc>
      </w:tr>
      <w:tr>
        <w:trPr/>
        <w:tc>
          <w:tcPr>
            <w:tcW w:w="1862" w:type="dxa"/>
            <w:tcBorders/>
            <w:vAlign w:val="center"/>
          </w:tcPr>
          <w:p>
            <w:pPr>
              <w:pStyle w:val="TableContents"/>
              <w:bidi w:val="0"/>
              <w:spacing w:before="0" w:after="283"/>
              <w:jc w:val="left"/>
              <w:rPr/>
            </w:pPr>
            <w:r>
              <w:rPr/>
              <w:t> </w:t>
            </w:r>
          </w:p>
        </w:tc>
        <w:tc>
          <w:tcPr>
            <w:tcW w:w="2983" w:type="dxa"/>
            <w:gridSpan w:val="2"/>
            <w:tcBorders/>
            <w:vAlign w:val="center"/>
          </w:tcPr>
          <w:p>
            <w:pPr>
              <w:pStyle w:val="TableContents"/>
              <w:bidi w:val="0"/>
              <w:spacing w:before="0" w:after="283"/>
              <w:jc w:val="left"/>
              <w:rPr/>
            </w:pPr>
            <w:r>
              <w:rPr/>
              <w:t> </w:t>
            </w:r>
          </w:p>
        </w:tc>
      </w:tr>
      <w:tr>
        <w:trPr/>
        <w:tc>
          <w:tcPr>
            <w:tcW w:w="1862" w:type="dxa"/>
            <w:tcBorders/>
            <w:vAlign w:val="center"/>
          </w:tcPr>
          <w:p>
            <w:pPr>
              <w:pStyle w:val="TableContents"/>
              <w:bidi w:val="0"/>
              <w:spacing w:before="0" w:after="283"/>
              <w:ind w:left="0" w:right="16" w:hanging="0"/>
              <w:jc w:val="left"/>
              <w:rPr>
                <w:rFonts w:ascii="Arial" w:hAnsi="Arial"/>
                <w:color w:val="000000"/>
                <w:sz w:val="20"/>
              </w:rPr>
            </w:pPr>
            <w:r>
              <w:rPr>
                <w:rFonts w:ascii="Arial" w:hAnsi="Arial"/>
                <w:color w:val="000000"/>
                <w:sz w:val="20"/>
              </w:rPr>
              <w:t>Date: April 25, 2024</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2837" w:type="dxa"/>
            <w:tcBorders/>
            <w:vAlign w:val="center"/>
          </w:tcPr>
          <w:p>
            <w:pPr>
              <w:pStyle w:val="TableContents"/>
              <w:pBdr>
                <w:bottom w:val="single" w:sz="6" w:space="1" w:color="000000"/>
              </w:pBdr>
              <w:bidi w:val="0"/>
              <w:spacing w:before="0" w:after="283"/>
              <w:ind w:left="0" w:right="16" w:hanging="0"/>
              <w:jc w:val="center"/>
              <w:rPr>
                <w:rFonts w:ascii="Times New Roman" w:hAnsi="Times New Roman"/>
                <w:sz w:val="22"/>
              </w:rPr>
            </w:pPr>
            <w:r>
              <w:rPr>
                <w:rFonts w:ascii="Arial" w:hAnsi="Arial"/>
                <w:color w:val="000000"/>
                <w:sz w:val="20"/>
              </w:rPr>
              <w:t>/s/ A</w:t>
            </w:r>
            <w:r>
              <w:rPr>
                <w:rFonts w:ascii="Arial" w:hAnsi="Arial"/>
                <w:color w:val="000000"/>
                <w:sz w:val="15"/>
              </w:rPr>
              <w:t>LICE</w:t>
            </w:r>
            <w:r>
              <w:rPr>
                <w:rFonts w:ascii="Times New Roman" w:hAnsi="Times New Roman"/>
                <w:color w:val="000000"/>
                <w:sz w:val="22"/>
              </w:rPr>
              <w:t xml:space="preserve"> </w:t>
            </w:r>
            <w:r>
              <w:rPr>
                <w:rFonts w:ascii="Arial" w:hAnsi="Arial"/>
                <w:color w:val="000000"/>
                <w:sz w:val="20"/>
              </w:rPr>
              <w:t>L</w:t>
            </w:r>
            <w:r>
              <w:rPr>
                <w:rFonts w:ascii="Arial" w:hAnsi="Arial"/>
                <w:color w:val="000000"/>
                <w:sz w:val="22"/>
              </w:rPr>
              <w:t xml:space="preserve">. </w:t>
            </w:r>
            <w:r>
              <w:rPr>
                <w:rFonts w:ascii="Arial" w:hAnsi="Arial"/>
                <w:color w:val="000000"/>
                <w:sz w:val="20"/>
              </w:rPr>
              <w:t>J</w:t>
            </w:r>
            <w:r>
              <w:rPr>
                <w:rFonts w:ascii="Arial" w:hAnsi="Arial"/>
                <w:color w:val="000000"/>
                <w:sz w:val="15"/>
              </w:rPr>
              <w:t>OLLA</w:t>
            </w:r>
          </w:p>
        </w:tc>
      </w:tr>
      <w:tr>
        <w:trPr/>
        <w:tc>
          <w:tcPr>
            <w:tcW w:w="18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2837" w:type="dxa"/>
            <w:tcBorders/>
            <w:vAlign w:val="center"/>
          </w:tcPr>
          <w:p>
            <w:pPr>
              <w:pStyle w:val="TableContents"/>
              <w:bidi w:val="0"/>
              <w:spacing w:before="0" w:after="283"/>
              <w:ind w:left="0" w:right="16" w:hanging="0"/>
              <w:jc w:val="center"/>
              <w:rPr>
                <w:rFonts w:ascii="Arial" w:hAnsi="Arial"/>
                <w:color w:val="000000"/>
                <w:sz w:val="20"/>
              </w:rPr>
            </w:pPr>
            <w:r>
              <w:rPr>
                <w:rFonts w:ascii="Arial" w:hAnsi="Arial"/>
                <w:color w:val="000000"/>
                <w:sz w:val="20"/>
              </w:rPr>
              <w:t>Alice L. Jolla</w:t>
            </w:r>
          </w:p>
        </w:tc>
      </w:tr>
      <w:tr>
        <w:trPr/>
        <w:tc>
          <w:tcPr>
            <w:tcW w:w="186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ind w:left="0" w:right="16" w:hanging="0"/>
              <w:jc w:val="left"/>
              <w:rPr>
                <w:sz w:val="4"/>
                <w:szCs w:val="4"/>
              </w:rPr>
            </w:pPr>
            <w:r>
              <w:rPr>
                <w:sz w:val="4"/>
                <w:szCs w:val="4"/>
              </w:rPr>
            </w:r>
          </w:p>
        </w:tc>
        <w:tc>
          <w:tcPr>
            <w:tcW w:w="2837" w:type="dxa"/>
            <w:tcBorders/>
            <w:vAlign w:val="center"/>
          </w:tcPr>
          <w:p>
            <w:pPr>
              <w:pStyle w:val="TableContents"/>
              <w:bidi w:val="0"/>
              <w:ind w:left="0" w:right="16" w:hanging="0"/>
              <w:jc w:val="center"/>
              <w:rPr>
                <w:rFonts w:ascii="Times New Roman" w:hAnsi="Times New Roman"/>
                <w:sz w:val="20"/>
              </w:rPr>
            </w:pPr>
            <w:r>
              <w:rPr>
                <w:rFonts w:ascii="Arial" w:hAnsi="Arial"/>
                <w:color w:val="000000"/>
                <w:sz w:val="20"/>
              </w:rPr>
              <w:t>Corporate Vice President and</w:t>
            </w:r>
            <w:r>
              <w:rPr>
                <w:rFonts w:ascii="Times New Roman" w:hAnsi="Times New Roman"/>
                <w:color w:val="000000"/>
                <w:sz w:val="20"/>
              </w:rPr>
              <w:t xml:space="preserve"> </w:t>
            </w:r>
          </w:p>
          <w:p>
            <w:pPr>
              <w:pStyle w:val="TableContents"/>
              <w:bidi w:val="0"/>
              <w:spacing w:before="0" w:after="283"/>
              <w:ind w:left="0" w:right="16" w:hanging="0"/>
              <w:jc w:val="center"/>
              <w:rPr>
                <w:rFonts w:ascii="Arial" w:hAnsi="Arial"/>
                <w:color w:val="000000"/>
                <w:sz w:val="20"/>
              </w:rPr>
            </w:pPr>
            <w:r>
              <w:rPr>
                <w:rFonts w:ascii="Arial" w:hAnsi="Arial"/>
                <w:color w:val="000000"/>
                <w:sz w:val="20"/>
              </w:rPr>
              <w:t>Chief Accounting Officer</w:t>
            </w:r>
          </w:p>
        </w:tc>
      </w:tr>
    </w:tbl>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color w:val="000000"/>
          <w:sz w:val="20"/>
        </w:rPr>
      </w:pPr>
      <w:bookmarkStart w:id="12" w:name="msft-ex99_1.htm"/>
      <w:bookmarkStart w:id="13" w:name="ksmsftex99_1"/>
      <w:bookmarkEnd w:id="12"/>
      <w:bookmarkEnd w:id="13"/>
      <w:r>
        <w:rPr>
          <w:rFonts w:ascii="Arial" w:hAnsi="Arial"/>
          <w:color w:val="000000"/>
          <w:sz w:val="20"/>
        </w:rPr>
        <w:t>Exhibit 99.1</w:t>
      </w:r>
      <w:r>
        <w:br w:type="page"/>
      </w:r>
    </w:p>
    <w:p>
      <w:pPr>
        <w:pStyle w:val="TextBody"/>
        <w:bidi w:val="0"/>
        <w:spacing w:before="240" w:after="283"/>
        <w:jc w:val="left"/>
        <w:rPr>
          <w:rFonts w:ascii="Times New Roman" w:hAnsi="Times New Roman"/>
          <w:sz w:val="20"/>
        </w:rPr>
      </w:pPr>
      <w:r>
        <w:rPr>
          <w:rFonts w:ascii="Arial" w:hAnsi="Arial"/>
          <w:b/>
          <w:color w:val="666666"/>
          <w:sz w:val="26"/>
        </w:rPr>
        <w:t>Microsoft Cloud Strength Fuels Third Quarter Results</w:t>
      </w:r>
      <w:r>
        <w:rPr>
          <w:rFonts w:ascii="Times New Roman" w:hAnsi="Times New Roman"/>
          <w:color w:val="666666"/>
          <w:sz w:val="20"/>
        </w:rPr>
        <w:t xml:space="preserve"> </w:t>
      </w:r>
    </w:p>
    <w:p>
      <w:pPr>
        <w:pStyle w:val="TextBody"/>
        <w:bidi w:val="0"/>
        <w:spacing w:before="240" w:after="283"/>
        <w:jc w:val="left"/>
        <w:rPr>
          <w:rFonts w:ascii="Times New Roman" w:hAnsi="Times New Roman"/>
          <w:sz w:val="20"/>
        </w:rPr>
      </w:pPr>
      <w:r>
        <w:rPr>
          <w:rFonts w:ascii="Arial" w:hAnsi="Arial"/>
          <w:b/>
          <w:color w:val="666666"/>
          <w:sz w:val="20"/>
        </w:rPr>
        <w:t xml:space="preserve">REDMOND, Wash. — April 25, 2024 — </w:t>
      </w:r>
      <w:r>
        <w:rPr>
          <w:rFonts w:ascii="Arial" w:hAnsi="Arial"/>
          <w:color w:val="666666"/>
          <w:sz w:val="20"/>
        </w:rPr>
        <w:t>Microsoft Corp. today announced the following results for the quarter ended March 31, 2024, as compared to the corresponding period of last fiscal year:</w:t>
      </w:r>
    </w:p>
    <w:p>
      <w:pPr>
        <w:pStyle w:val="TextBody"/>
        <w:bidi w:val="0"/>
        <w:spacing w:before="240" w:after="283"/>
        <w:jc w:val="left"/>
        <w:rPr>
          <w:color w:val="666666"/>
        </w:rPr>
      </w:pPr>
      <w:r>
        <w:rPr>
          <w:color w:val="666666"/>
        </w:rPr>
        <w:t>•</w:t>
      </w:r>
    </w:p>
    <w:p>
      <w:pPr>
        <w:pStyle w:val="TextBody"/>
        <w:bidi w:val="0"/>
        <w:spacing w:before="240" w:after="283"/>
        <w:jc w:val="left"/>
        <w:rPr>
          <w:rFonts w:ascii="Arial" w:hAnsi="Arial"/>
          <w:color w:val="666666"/>
          <w:sz w:val="20"/>
        </w:rPr>
      </w:pPr>
      <w:r>
        <w:rPr>
          <w:rFonts w:ascii="Arial" w:hAnsi="Arial"/>
          <w:color w:val="666666"/>
          <w:sz w:val="20"/>
        </w:rPr>
        <w:t>Revenue was $61.9 billion and increased 17%</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Operating income was $27.6 billion and increased 23%</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Net income was $21.9 billion and increased 20%</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Diluted earnings per share was $2.94 and increased 20%</w:t>
      </w:r>
    </w:p>
    <w:p>
      <w:pPr>
        <w:pStyle w:val="TextBody"/>
        <w:bidi w:val="0"/>
        <w:spacing w:before="240" w:after="283"/>
        <w:jc w:val="left"/>
        <w:rPr>
          <w:color w:val="666666"/>
        </w:rPr>
      </w:pPr>
      <w:r>
        <w:rPr>
          <w:color w:val="666666"/>
        </w:rPr>
        <w:t>“</w:t>
      </w:r>
      <w:r>
        <w:rPr>
          <w:rFonts w:ascii="Arial" w:hAnsi="Arial"/>
          <w:color w:val="666666"/>
          <w:sz w:val="20"/>
        </w:rPr>
        <w:t>Microsoft Copilot and Copilot stack are orchestrating a new era of AI transformation, driving better business outcomes across every role and industry,” said Satya Nadella, chairman and chief executive officer of Microsoft.</w:t>
      </w:r>
    </w:p>
    <w:p>
      <w:pPr>
        <w:pStyle w:val="TextBody"/>
        <w:bidi w:val="0"/>
        <w:spacing w:before="240" w:after="283"/>
        <w:jc w:val="left"/>
        <w:rPr>
          <w:color w:val="666666"/>
        </w:rPr>
      </w:pPr>
      <w:r>
        <w:rPr>
          <w:color w:val="666666"/>
        </w:rPr>
        <w:t>“</w:t>
      </w:r>
      <w:r>
        <w:rPr>
          <w:rFonts w:ascii="Arial" w:hAnsi="Arial"/>
          <w:color w:val="666666"/>
          <w:sz w:val="20"/>
        </w:rPr>
        <w:t>This quarter Microsoft Cloud revenue was $35.1 billion, up 23% year-over-year, driven by strong execution by our sales teams and partners,” said Amy Hood, executive vice president and chief financial officer of Microsoft.</w:t>
      </w:r>
    </w:p>
    <w:p>
      <w:pPr>
        <w:pStyle w:val="TextBody"/>
        <w:bidi w:val="0"/>
        <w:spacing w:before="240" w:after="283"/>
        <w:jc w:val="left"/>
        <w:rPr>
          <w:rFonts w:ascii="Arial" w:hAnsi="Arial"/>
          <w:b/>
          <w:color w:val="666666"/>
          <w:sz w:val="20"/>
        </w:rPr>
      </w:pPr>
      <w:r>
        <w:rPr>
          <w:rFonts w:ascii="Arial" w:hAnsi="Arial"/>
          <w:b/>
          <w:color w:val="666666"/>
          <w:sz w:val="20"/>
        </w:rPr>
        <w:t>Business Highlights</w:t>
      </w:r>
    </w:p>
    <w:p>
      <w:pPr>
        <w:pStyle w:val="TextBody"/>
        <w:bidi w:val="0"/>
        <w:spacing w:before="240" w:after="283"/>
        <w:jc w:val="left"/>
        <w:rPr>
          <w:rFonts w:ascii="Arial" w:hAnsi="Arial"/>
          <w:color w:val="666666"/>
          <w:sz w:val="20"/>
        </w:rPr>
      </w:pPr>
      <w:r>
        <w:rPr>
          <w:rFonts w:ascii="Arial" w:hAnsi="Arial"/>
          <w:color w:val="666666"/>
          <w:sz w:val="20"/>
        </w:rPr>
        <w:t>Revenue in Productivity and Business Processes was $19.6 billion and increased 12% (up 11% in constant currency), with the following business highlights:</w:t>
      </w:r>
    </w:p>
    <w:p>
      <w:pPr>
        <w:pStyle w:val="TextBody"/>
        <w:bidi w:val="0"/>
        <w:spacing w:before="240" w:after="283"/>
        <w:jc w:val="left"/>
        <w:rPr>
          <w:color w:val="666666"/>
        </w:rPr>
      </w:pPr>
      <w:r>
        <w:rPr>
          <w:color w:val="666666"/>
        </w:rPr>
        <w:t>•</w:t>
      </w:r>
    </w:p>
    <w:p>
      <w:pPr>
        <w:pStyle w:val="TextBody"/>
        <w:bidi w:val="0"/>
        <w:spacing w:before="240" w:after="283"/>
        <w:jc w:val="left"/>
        <w:rPr>
          <w:rFonts w:ascii="Arial" w:hAnsi="Arial"/>
          <w:color w:val="666666"/>
          <w:sz w:val="20"/>
        </w:rPr>
      </w:pPr>
      <w:r>
        <w:rPr>
          <w:rFonts w:ascii="Arial" w:hAnsi="Arial"/>
          <w:color w:val="666666"/>
          <w:sz w:val="20"/>
        </w:rPr>
        <w:t>Office Commercial products and cloud services revenue increased 13% (up 12% in constant currency) driven by Office 365 Commercial revenue growth of 15%</w:t>
      </w:r>
    </w:p>
    <w:p>
      <w:pPr>
        <w:pStyle w:val="TextBody"/>
        <w:bidi w:val="0"/>
        <w:spacing w:before="120" w:after="283"/>
        <w:jc w:val="left"/>
        <w:rPr>
          <w:color w:val="666666"/>
        </w:rPr>
      </w:pPr>
      <w:r>
        <w:rPr>
          <w:color w:val="666666"/>
        </w:rPr>
        <w:t>•</w:t>
      </w:r>
    </w:p>
    <w:p>
      <w:pPr>
        <w:pStyle w:val="TextBody"/>
        <w:bidi w:val="0"/>
        <w:spacing w:before="120" w:after="283"/>
        <w:jc w:val="left"/>
        <w:rPr/>
      </w:pPr>
      <w:r>
        <w:rPr>
          <w:rFonts w:ascii="Arial" w:hAnsi="Arial"/>
          <w:color w:val="666666"/>
          <w:sz w:val="20"/>
        </w:rPr>
        <w:t>Office Consumer products and cloud services revenue increased 4% and Microsoft 365 Consumer subscribers grew to 80.8</w:t>
      </w:r>
      <w:r>
        <w:rPr>
          <w:color w:val="FF0000"/>
        </w:rPr>
        <w:t xml:space="preserve"> </w:t>
      </w:r>
      <w:r>
        <w:rPr>
          <w:rFonts w:ascii="Arial" w:hAnsi="Arial"/>
          <w:color w:val="666666"/>
          <w:sz w:val="20"/>
        </w:rPr>
        <w:t>million</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LinkedIn revenue increased 10% (up 9% in constant currency)</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Dynamics products and cloud services revenue increased 19% (up 17% in constant currency) driven by Dynamics 365 revenue growth of 23% (up 22% in constant currency)</w:t>
      </w:r>
    </w:p>
    <w:p>
      <w:pPr>
        <w:pStyle w:val="TextBody"/>
        <w:bidi w:val="0"/>
        <w:spacing w:before="240" w:after="283"/>
        <w:jc w:val="left"/>
        <w:rPr>
          <w:rFonts w:ascii="Arial" w:hAnsi="Arial"/>
          <w:color w:val="666666"/>
          <w:sz w:val="20"/>
        </w:rPr>
      </w:pPr>
      <w:r>
        <w:rPr>
          <w:rFonts w:ascii="Arial" w:hAnsi="Arial"/>
          <w:color w:val="666666"/>
          <w:sz w:val="20"/>
        </w:rPr>
        <w:t>Revenue in Intelligent Cloud was $26.7 billion and increased 21%, with the following business highlights:</w:t>
      </w:r>
    </w:p>
    <w:p>
      <w:pPr>
        <w:pStyle w:val="TextBody"/>
        <w:bidi w:val="0"/>
        <w:spacing w:before="240" w:after="283"/>
        <w:jc w:val="left"/>
        <w:rPr>
          <w:color w:val="666666"/>
        </w:rPr>
      </w:pPr>
      <w:r>
        <w:rPr>
          <w:color w:val="666666"/>
        </w:rPr>
        <w:t>•</w:t>
      </w:r>
    </w:p>
    <w:p>
      <w:pPr>
        <w:pStyle w:val="TextBody"/>
        <w:bidi w:val="0"/>
        <w:spacing w:before="240" w:after="283"/>
        <w:jc w:val="left"/>
        <w:rPr>
          <w:rFonts w:ascii="Arial" w:hAnsi="Arial"/>
          <w:color w:val="666666"/>
          <w:sz w:val="20"/>
        </w:rPr>
      </w:pPr>
      <w:r>
        <w:rPr>
          <w:rFonts w:ascii="Arial" w:hAnsi="Arial"/>
          <w:color w:val="666666"/>
          <w:sz w:val="20"/>
        </w:rPr>
        <w:t>Server products and cloud services revenue increased 24% driven by Azure and other cloud services revenue growth of 31%</w:t>
      </w:r>
    </w:p>
    <w:p>
      <w:pPr>
        <w:pStyle w:val="TextBody"/>
        <w:bidi w:val="0"/>
        <w:spacing w:before="240" w:after="283"/>
        <w:jc w:val="left"/>
        <w:rPr>
          <w:rFonts w:ascii="Arial" w:hAnsi="Arial"/>
          <w:color w:val="666666"/>
          <w:sz w:val="20"/>
        </w:rPr>
      </w:pPr>
      <w:r>
        <w:rPr>
          <w:rFonts w:ascii="Arial" w:hAnsi="Arial"/>
          <w:color w:val="666666"/>
          <w:sz w:val="20"/>
        </w:rPr>
        <w:t>Revenue in More Personal Computing was $15.6 billion and increased 17%, with the following business highlights:</w:t>
      </w:r>
    </w:p>
    <w:p>
      <w:pPr>
        <w:pStyle w:val="TextBody"/>
        <w:bidi w:val="0"/>
        <w:spacing w:before="240" w:after="283"/>
        <w:jc w:val="left"/>
        <w:rPr>
          <w:color w:val="666666"/>
        </w:rPr>
      </w:pPr>
      <w:r>
        <w:rPr>
          <w:color w:val="666666"/>
        </w:rPr>
        <w:t>•</w:t>
      </w:r>
    </w:p>
    <w:p>
      <w:pPr>
        <w:pStyle w:val="TextBody"/>
        <w:bidi w:val="0"/>
        <w:spacing w:before="240" w:after="283"/>
        <w:jc w:val="left"/>
        <w:rPr>
          <w:rFonts w:ascii="Arial" w:hAnsi="Arial"/>
          <w:color w:val="666666"/>
          <w:sz w:val="20"/>
        </w:rPr>
      </w:pPr>
      <w:r>
        <w:rPr>
          <w:rFonts w:ascii="Arial" w:hAnsi="Arial"/>
          <w:color w:val="666666"/>
          <w:sz w:val="20"/>
        </w:rPr>
        <w:t>Windows revenue increased 11% with Windows OEM revenue growth of 11% and Windows Commercial products and cloud services revenue growth of 13% (up 12% in constant currency)</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Devices revenue decreased 17% (down 16% in constant currency)</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Xbox content and services revenue increased 62% (up 61% in constant currency) driven by 61 points of net impact from the Activision acquisition</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Search and news advertising revenue excluding traffic acquisition costs increased 12%</w:t>
      </w:r>
    </w:p>
    <w:p>
      <w:pPr>
        <w:pStyle w:val="TextBody"/>
        <w:bidi w:val="0"/>
        <w:spacing w:before="240" w:after="283"/>
        <w:jc w:val="left"/>
        <w:rPr>
          <w:rFonts w:ascii="Arial" w:hAnsi="Arial"/>
          <w:color w:val="666666"/>
          <w:sz w:val="20"/>
        </w:rPr>
      </w:pPr>
      <w:r>
        <w:rPr>
          <w:rFonts w:ascii="Arial" w:hAnsi="Arial"/>
          <w:color w:val="666666"/>
          <w:sz w:val="20"/>
        </w:rPr>
        <w:t>Microsoft returned $8.4 billion to shareholders in the form of share repurchases and dividends in the third quarter of fiscal year 2024.</w:t>
      </w:r>
    </w:p>
    <w:p>
      <w:pPr>
        <w:pStyle w:val="TextBody"/>
        <w:bidi w:val="0"/>
        <w:spacing w:before="240" w:after="283"/>
        <w:jc w:val="left"/>
        <w:rPr>
          <w:rFonts w:ascii="Arial" w:hAnsi="Arial"/>
          <w:b/>
          <w:color w:val="666666"/>
          <w:sz w:val="20"/>
        </w:rPr>
      </w:pPr>
      <w:r>
        <w:rPr>
          <w:rFonts w:ascii="Arial" w:hAnsi="Arial"/>
          <w:b/>
          <w:color w:val="666666"/>
          <w:sz w:val="20"/>
        </w:rPr>
        <w:t>Business Outlook</w:t>
      </w:r>
    </w:p>
    <w:p>
      <w:pPr>
        <w:pStyle w:val="TextBody"/>
        <w:bidi w:val="0"/>
        <w:spacing w:before="240" w:after="283"/>
        <w:jc w:val="left"/>
        <w:rPr>
          <w:rFonts w:ascii="Arial" w:hAnsi="Arial"/>
          <w:color w:val="666666"/>
          <w:sz w:val="20"/>
        </w:rPr>
      </w:pPr>
      <w:r>
        <w:rPr>
          <w:rFonts w:ascii="Arial" w:hAnsi="Arial"/>
          <w:color w:val="666666"/>
          <w:sz w:val="20"/>
        </w:rPr>
        <w:t>Microsoft will provide forward-looking guidance in connection with this quarterly earnings announcement on its earnings conference call and webcast.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b/>
          <w:color w:val="666666"/>
          <w:sz w:val="20"/>
        </w:rPr>
        <w:t>Quarterly Highlights, Product Releases, and Enhancements</w:t>
      </w:r>
      <w:r>
        <w:rPr>
          <w:rFonts w:ascii="Times New Roman" w:hAnsi="Times New Roman"/>
          <w:color w:val="666666"/>
          <w:sz w:val="20"/>
        </w:rPr>
        <w:t xml:space="preserve"> </w:t>
      </w:r>
    </w:p>
    <w:p>
      <w:pPr>
        <w:pStyle w:val="TextBody"/>
        <w:bidi w:val="0"/>
        <w:spacing w:before="240" w:after="283"/>
        <w:jc w:val="left"/>
        <w:rPr>
          <w:rFonts w:ascii="Times New Roman" w:hAnsi="Times New Roman"/>
          <w:sz w:val="20"/>
        </w:rPr>
      </w:pPr>
      <w:r>
        <w:rPr>
          <w:rFonts w:ascii="Arial" w:hAnsi="Arial"/>
          <w:color w:val="666666"/>
          <w:sz w:val="20"/>
        </w:rPr>
        <w:t>Every quarter Microsoft delivers hundreds of products, either as new releases, services, or enhancements to current products and services. These releases are a result of significant research and development investments, made over multiple years, designed to help customers be more productive and secure and to deliver differentiated value across the cloud and the edge.</w:t>
      </w:r>
      <w:r>
        <w:rPr>
          <w:rFonts w:ascii="Times New Roman" w:hAnsi="Times New Roman"/>
          <w:color w:val="666666"/>
          <w:sz w:val="20"/>
        </w:rPr>
        <w:t xml:space="preserve"> </w:t>
      </w:r>
    </w:p>
    <w:p>
      <w:pPr>
        <w:pStyle w:val="TextBody"/>
        <w:bidi w:val="0"/>
        <w:spacing w:before="240" w:after="283"/>
        <w:jc w:val="left"/>
        <w:rPr>
          <w:rFonts w:ascii="Times New Roman" w:hAnsi="Times New Roman"/>
          <w:sz w:val="20"/>
        </w:rPr>
      </w:pPr>
      <w:r>
        <w:rPr>
          <w:rFonts w:ascii="Arial" w:hAnsi="Arial"/>
          <w:color w:val="666666"/>
          <w:sz w:val="20"/>
        </w:rPr>
        <w:t xml:space="preserve">Here are the </w:t>
      </w:r>
      <w:r>
        <w:rPr>
          <w:rFonts w:ascii="Arial" w:hAnsi="Arial"/>
          <w:color w:val="666666"/>
          <w:sz w:val="20"/>
          <w:u w:val="single"/>
        </w:rPr>
        <w:t>major product releases and other highlights</w:t>
      </w:r>
      <w:r>
        <w:rPr>
          <w:rFonts w:ascii="Times New Roman" w:hAnsi="Times New Roman"/>
          <w:color w:val="666666"/>
          <w:sz w:val="20"/>
        </w:rPr>
        <w:t xml:space="preserve"> </w:t>
      </w:r>
      <w:r>
        <w:rPr>
          <w:rFonts w:ascii="Arial" w:hAnsi="Arial"/>
          <w:color w:val="666666"/>
          <w:sz w:val="20"/>
        </w:rPr>
        <w:t>for the quarter, organized by product categories, to help illustrate how we are accelerating innovation across our businesses while expanding our market opportunities.</w:t>
      </w:r>
    </w:p>
    <w:p>
      <w:pPr>
        <w:pStyle w:val="TextBody"/>
        <w:bidi w:val="0"/>
        <w:spacing w:before="240" w:after="283"/>
        <w:jc w:val="left"/>
        <w:rPr>
          <w:rFonts w:ascii="Arial" w:hAnsi="Arial"/>
          <w:b/>
          <w:color w:val="666666"/>
          <w:sz w:val="20"/>
        </w:rPr>
      </w:pPr>
      <w:r>
        <w:rPr>
          <w:rFonts w:ascii="Arial" w:hAnsi="Arial"/>
          <w:b/>
          <w:color w:val="666666"/>
          <w:sz w:val="20"/>
        </w:rPr>
        <w:t>Environmental, Social, and Governance (ESG)</w:t>
      </w:r>
    </w:p>
    <w:p>
      <w:pPr>
        <w:pStyle w:val="TextBody"/>
        <w:bidi w:val="0"/>
        <w:spacing w:before="240" w:after="283"/>
        <w:jc w:val="left"/>
        <w:rPr>
          <w:rFonts w:ascii="Times New Roman" w:hAnsi="Times New Roman"/>
          <w:sz w:val="20"/>
        </w:rPr>
      </w:pPr>
      <w:r>
        <w:rPr>
          <w:rFonts w:ascii="Arial" w:hAnsi="Arial"/>
          <w:color w:val="666666"/>
          <w:sz w:val="20"/>
        </w:rPr>
        <w:t xml:space="preserve">To better execute on Microsoft’s mission, we focus our Environmental, Social, and Governance (ESG) efforts where we can have the most positive impact. To learn more about our latest initiatives and priorities, please visit our investor relations </w:t>
      </w:r>
      <w:r>
        <w:rPr>
          <w:rFonts w:ascii="Arial" w:hAnsi="Arial"/>
          <w:color w:val="666666"/>
          <w:sz w:val="20"/>
          <w:u w:val="single"/>
        </w:rPr>
        <w:t>ESG website</w:t>
      </w:r>
      <w:r>
        <w:rPr>
          <w:rFonts w:ascii="Arial" w:hAnsi="Arial"/>
          <w:color w:val="666666"/>
          <w:sz w:val="20"/>
        </w:rPr>
        <w:t>.</w:t>
      </w:r>
      <w:r>
        <w:rPr>
          <w:rFonts w:ascii="Times New Roman" w:hAnsi="Times New Roman"/>
          <w:color w:val="000000"/>
          <w:sz w:val="20"/>
        </w:rPr>
        <w:t xml:space="preserve"> </w:t>
      </w:r>
    </w:p>
    <w:p>
      <w:pPr>
        <w:pStyle w:val="TextBody"/>
        <w:bidi w:val="0"/>
        <w:spacing w:before="240" w:after="283"/>
        <w:jc w:val="left"/>
        <w:rPr>
          <w:rFonts w:ascii="Arial" w:hAnsi="Arial"/>
          <w:b/>
          <w:color w:val="666666"/>
          <w:sz w:val="20"/>
        </w:rPr>
      </w:pPr>
      <w:r>
        <w:rPr>
          <w:rFonts w:ascii="Arial" w:hAnsi="Arial"/>
          <w:b/>
          <w:color w:val="666666"/>
          <w:sz w:val="20"/>
        </w:rPr>
        <w:t>Webcast Details</w:t>
      </w:r>
    </w:p>
    <w:p>
      <w:pPr>
        <w:pStyle w:val="TextBody"/>
        <w:bidi w:val="0"/>
        <w:spacing w:before="240" w:after="283"/>
        <w:jc w:val="left"/>
        <w:rPr>
          <w:rFonts w:ascii="Times New Roman" w:hAnsi="Times New Roman"/>
          <w:sz w:val="20"/>
        </w:rPr>
      </w:pPr>
      <w:r>
        <w:rPr>
          <w:rFonts w:ascii="Arial" w:hAnsi="Arial"/>
          <w:color w:val="666666"/>
          <w:sz w:val="20"/>
        </w:rPr>
        <w:t>Satya Nadella, chairman and chief executive officer, Amy Hood, executive vice president and chief financial officer, Alice Jolla, chief accounting officer, Keith Dolliver, corporate secretary and</w:t>
      </w:r>
      <w:r>
        <w:rPr>
          <w:rFonts w:ascii="Times New Roman" w:hAnsi="Times New Roman"/>
          <w:color w:val="FF0000"/>
          <w:sz w:val="20"/>
        </w:rPr>
        <w:t xml:space="preserve"> </w:t>
      </w:r>
      <w:r>
        <w:rPr>
          <w:rFonts w:ascii="Arial" w:hAnsi="Arial"/>
          <w:color w:val="666666"/>
          <w:sz w:val="20"/>
        </w:rPr>
        <w:t xml:space="preserve">deputy general counsel, and Brett Iversen, vice president of investor relations, will host a conference call and webcast at 2:30 p.m. Pacific time (5:30 p.m. Eastern time) today to discuss details of the company’s performance for the quarter and certain forward-looking information. The session may be accessed at </w:t>
      </w:r>
      <w:r>
        <w:rPr>
          <w:rFonts w:ascii="Arial" w:hAnsi="Arial"/>
          <w:color w:val="666666"/>
          <w:sz w:val="20"/>
          <w:u w:val="single"/>
        </w:rPr>
        <w:t>http://www.microsoft.com/en-us/investor</w:t>
      </w:r>
      <w:r>
        <w:rPr>
          <w:rFonts w:ascii="Arial" w:hAnsi="Arial"/>
          <w:color w:val="666666"/>
          <w:sz w:val="20"/>
        </w:rPr>
        <w:t>. The webcast will be available for replay through the close of business on April 25, 2025.</w:t>
      </w:r>
    </w:p>
    <w:p>
      <w:pPr>
        <w:pStyle w:val="TextBody"/>
        <w:bidi w:val="0"/>
        <w:spacing w:before="240" w:after="283"/>
        <w:jc w:val="left"/>
        <w:rPr>
          <w:rFonts w:ascii="Arial" w:hAnsi="Arial"/>
          <w:b/>
          <w:color w:val="666666"/>
          <w:sz w:val="20"/>
        </w:rPr>
      </w:pPr>
      <w:r>
        <w:rPr>
          <w:rFonts w:ascii="Arial" w:hAnsi="Arial"/>
          <w:b/>
          <w:color w:val="666666"/>
          <w:sz w:val="20"/>
        </w:rPr>
        <w:t>Constant Currency</w:t>
      </w:r>
    </w:p>
    <w:p>
      <w:pPr>
        <w:pStyle w:val="TextBody"/>
        <w:bidi w:val="0"/>
        <w:spacing w:before="240" w:after="283"/>
        <w:jc w:val="left"/>
        <w:rPr>
          <w:rFonts w:ascii="Arial" w:hAnsi="Arial"/>
          <w:color w:val="666666"/>
          <w:sz w:val="20"/>
        </w:rPr>
      </w:pPr>
      <w:r>
        <w:rPr>
          <w:rFonts w:ascii="Arial" w:hAnsi="Arial"/>
          <w:color w:val="666666"/>
          <w:sz w:val="20"/>
        </w:rPr>
        <w:t>Microsoft presents constant currency information to provide a framework for assessing how our underlying businesses performed excluding the effect of foreign currency rate fluctuations. To present this information, current and comparative prior period results for entities reporting in currencies other than United States dollars are converted into United States dollars using the average exchange rates from the comparative period rather than the actual exchange rates in effect during the respective periods. All growth comparisons relate to the corresponding period in the last fiscal year. Microsoft has provided this non-GAAP financial information to aid investors in better understanding our performance. The non-GAAP financial measures presented in this release should not be considered as a substitute for, or superior to, the measures of financial performance prepared in accordance with GAAP.</w:t>
      </w:r>
    </w:p>
    <w:p>
      <w:pPr>
        <w:pStyle w:val="TextBody"/>
        <w:bidi w:val="0"/>
        <w:spacing w:before="240" w:after="283"/>
        <w:jc w:val="left"/>
        <w:rPr>
          <w:rFonts w:ascii="Arial" w:hAnsi="Arial"/>
          <w:b/>
          <w:color w:val="666666"/>
          <w:sz w:val="20"/>
        </w:rPr>
      </w:pPr>
      <w:r>
        <w:rPr>
          <w:rFonts w:ascii="Arial" w:hAnsi="Arial"/>
          <w:b/>
          <w:color w:val="666666"/>
          <w:sz w:val="20"/>
        </w:rPr>
        <w:t>Financial Performance Constant Currency Reconciliation</w:t>
      </w:r>
    </w:p>
    <w:p>
      <w:pPr>
        <w:pStyle w:val="TextBody"/>
        <w:bidi w:val="0"/>
        <w:jc w:val="left"/>
        <w:rPr/>
      </w:pPr>
      <w:r>
        <w:rPr/>
        <w:t> </w:t>
      </w:r>
    </w:p>
    <w:tbl>
      <w:tblPr>
        <w:tblW w:w="8614" w:type="dxa"/>
        <w:jc w:val="left"/>
        <w:tblInd w:w="0" w:type="dxa"/>
        <w:tblLayout w:type="fixed"/>
        <w:tblCellMar>
          <w:top w:w="28" w:type="dxa"/>
          <w:left w:w="28" w:type="dxa"/>
          <w:bottom w:w="28" w:type="dxa"/>
          <w:right w:w="28" w:type="dxa"/>
        </w:tblCellMar>
      </w:tblPr>
      <w:tblGrid>
        <w:gridCol w:w="3901"/>
        <w:gridCol w:w="146"/>
        <w:gridCol w:w="901"/>
        <w:gridCol w:w="146"/>
        <w:gridCol w:w="1021"/>
        <w:gridCol w:w="146"/>
        <w:gridCol w:w="1156"/>
        <w:gridCol w:w="146"/>
        <w:gridCol w:w="105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4567" w:type="dxa"/>
            <w:gridSpan w:val="7"/>
            <w:tcBorders/>
            <w:shd w:fill="FFFFFF" w:val="clear"/>
            <w:vAlign w:val="center"/>
          </w:tcPr>
          <w:p>
            <w:pPr>
              <w:pStyle w:val="TableContents"/>
              <w:bidi w:val="0"/>
              <w:spacing w:before="0" w:after="283"/>
              <w:jc w:val="center"/>
              <w:rPr>
                <w:rFonts w:ascii="Arial" w:hAnsi="Arial"/>
                <w:b/>
                <w:color w:val="666666"/>
                <w:sz w:val="20"/>
              </w:rPr>
            </w:pPr>
            <w:r>
              <w:rPr>
                <w:rFonts w:ascii="Arial" w:hAnsi="Arial"/>
                <w:b/>
                <w:color w:val="666666"/>
                <w:sz w:val="20"/>
              </w:rPr>
              <w:t>Three Months Ended March 31,</w:t>
            </w:r>
          </w:p>
        </w:tc>
      </w:tr>
      <w:tr>
        <w:trPr/>
        <w:tc>
          <w:tcPr>
            <w:tcW w:w="3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pPr>
            <w:r>
              <w:rPr/>
              <w:t> </w:t>
            </w:r>
          </w:p>
        </w:tc>
      </w:tr>
      <w:tr>
        <w:trPr/>
        <w:tc>
          <w:tcPr>
            <w:tcW w:w="3901" w:type="dxa"/>
            <w:tcBorders/>
            <w:shd w:fill="FFFFFF" w:val="clear"/>
            <w:vAlign w:val="center"/>
          </w:tcPr>
          <w:p>
            <w:pPr>
              <w:pStyle w:val="TableContents"/>
              <w:bidi w:val="0"/>
              <w:spacing w:before="0" w:after="283"/>
              <w:jc w:val="left"/>
              <w:rPr>
                <w:color w:val="666666"/>
              </w:rPr>
            </w:pPr>
            <w:r>
              <w:rPr>
                <w:color w:val="666666"/>
              </w:rPr>
              <w:t> </w:t>
            </w:r>
            <w:r>
              <w:rPr>
                <w:rFonts w:ascii="Arial" w:hAnsi="Arial"/>
                <w:color w:val="666666"/>
                <w:sz w:val="20"/>
              </w:rPr>
              <w:t>($ in millions, except per share amounts)</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center"/>
              <w:rPr>
                <w:rFonts w:ascii="Arial" w:hAnsi="Arial"/>
                <w:b/>
                <w:color w:val="666666"/>
                <w:sz w:val="20"/>
              </w:rPr>
            </w:pPr>
            <w:r>
              <w:rPr>
                <w:rFonts w:ascii="Arial" w:hAnsi="Arial"/>
                <w:b/>
                <w:color w:val="666666"/>
                <w:sz w:val="20"/>
              </w:rPr>
              <w:t>Revenue</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center"/>
              <w:rPr>
                <w:rFonts w:ascii="Arial" w:hAnsi="Arial"/>
                <w:b/>
                <w:color w:val="666666"/>
                <w:sz w:val="20"/>
              </w:rPr>
            </w:pPr>
            <w:r>
              <w:rPr>
                <w:rFonts w:ascii="Arial" w:hAnsi="Arial"/>
                <w:b/>
                <w:color w:val="666666"/>
                <w:sz w:val="20"/>
              </w:rPr>
              <w:t>Operating</w:t>
              <w:br/>
              <w:t>Income</w:t>
            </w:r>
          </w:p>
        </w:tc>
        <w:tc>
          <w:tcPr>
            <w:tcW w:w="146"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center"/>
              <w:rPr>
                <w:rFonts w:ascii="Arial" w:hAnsi="Arial"/>
                <w:b/>
                <w:color w:val="666666"/>
                <w:sz w:val="20"/>
              </w:rPr>
            </w:pPr>
            <w:r>
              <w:rPr>
                <w:rFonts w:ascii="Arial" w:hAnsi="Arial"/>
                <w:b/>
                <w:color w:val="666666"/>
                <w:sz w:val="20"/>
              </w:rPr>
              <w:t>Net Income</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center"/>
              <w:rPr>
                <w:rFonts w:ascii="Arial" w:hAnsi="Arial"/>
                <w:b/>
                <w:color w:val="666666"/>
                <w:sz w:val="20"/>
              </w:rPr>
            </w:pPr>
            <w:r>
              <w:rPr>
                <w:rFonts w:ascii="Arial" w:hAnsi="Arial"/>
                <w:b/>
                <w:color w:val="666666"/>
                <w:sz w:val="20"/>
              </w:rPr>
              <w:t>Diluted</w:t>
              <w:br/>
              <w:t>Earnings</w:t>
              <w:br/>
              <w:t>per Share</w:t>
            </w:r>
          </w:p>
        </w:tc>
      </w:tr>
      <w:tr>
        <w:trPr/>
        <w:tc>
          <w:tcPr>
            <w:tcW w:w="39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pPr>
            <w:r>
              <w:rPr/>
              <w:t> </w:t>
            </w:r>
          </w:p>
        </w:tc>
      </w:tr>
      <w:tr>
        <w:trPr/>
        <w:tc>
          <w:tcPr>
            <w:tcW w:w="390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2023 As Reported (GAAP)</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$52,857</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$22,352</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$18,299</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$2.45</w:t>
            </w:r>
          </w:p>
        </w:tc>
      </w:tr>
      <w:tr>
        <w:trPr/>
        <w:tc>
          <w:tcPr>
            <w:tcW w:w="3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2024 As Reported (GAAP)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$61,858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$27,581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$21,939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$2.94</w:t>
            </w:r>
          </w:p>
        </w:tc>
      </w:tr>
      <w:tr>
        <w:trPr/>
        <w:tc>
          <w:tcPr>
            <w:tcW w:w="390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Percentage Change Y/Y (GAAP)</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17%</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23%</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20%</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20%</w:t>
            </w:r>
          </w:p>
        </w:tc>
      </w:tr>
      <w:tr>
        <w:trPr/>
        <w:tc>
          <w:tcPr>
            <w:tcW w:w="3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Constant Currency Impact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$(0.01)</w:t>
            </w:r>
          </w:p>
        </w:tc>
      </w:tr>
      <w:tr>
        <w:trPr/>
        <w:tc>
          <w:tcPr>
            <w:tcW w:w="390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Percentage Change Y/Y Constant Currency</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17%</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23%</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20%</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20%</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40" w:after="283"/>
        <w:jc w:val="left"/>
        <w:rPr>
          <w:rFonts w:ascii="Arial" w:hAnsi="Arial"/>
          <w:b/>
          <w:color w:val="666666"/>
          <w:sz w:val="20"/>
        </w:rPr>
      </w:pPr>
      <w:r>
        <w:rPr>
          <w:rFonts w:ascii="Arial" w:hAnsi="Arial"/>
          <w:b/>
          <w:color w:val="666666"/>
          <w:sz w:val="20"/>
        </w:rPr>
        <w:t>Segment Revenue Constant Currency Reconciliation</w:t>
      </w:r>
    </w:p>
    <w:p>
      <w:pPr>
        <w:pStyle w:val="TextBody"/>
        <w:bidi w:val="0"/>
        <w:jc w:val="left"/>
        <w:rPr/>
      </w:pPr>
      <w:r>
        <w:rPr/>
        <w:t> </w:t>
      </w:r>
    </w:p>
    <w:tbl>
      <w:tblPr>
        <w:tblW w:w="9472" w:type="dxa"/>
        <w:jc w:val="left"/>
        <w:tblInd w:w="0" w:type="dxa"/>
        <w:tblLayout w:type="fixed"/>
        <w:tblCellMar>
          <w:top w:w="28" w:type="dxa"/>
          <w:left w:w="28" w:type="dxa"/>
          <w:bottom w:w="28" w:type="dxa"/>
          <w:right w:w="28" w:type="dxa"/>
        </w:tblCellMar>
      </w:tblPr>
      <w:tblGrid>
        <w:gridCol w:w="3901"/>
        <w:gridCol w:w="146"/>
        <w:gridCol w:w="1981"/>
        <w:gridCol w:w="146"/>
        <w:gridCol w:w="1651"/>
        <w:gridCol w:w="146"/>
        <w:gridCol w:w="150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5425" w:type="dxa"/>
            <w:gridSpan w:val="5"/>
            <w:tcBorders/>
            <w:shd w:fill="FFFFFF" w:val="clear"/>
            <w:vAlign w:val="center"/>
          </w:tcPr>
          <w:p>
            <w:pPr>
              <w:pStyle w:val="TableContents"/>
              <w:bidi w:val="0"/>
              <w:spacing w:before="0" w:after="283"/>
              <w:jc w:val="center"/>
              <w:rPr>
                <w:rFonts w:ascii="Arial" w:hAnsi="Arial"/>
                <w:b/>
                <w:color w:val="666666"/>
                <w:sz w:val="20"/>
              </w:rPr>
            </w:pPr>
            <w:r>
              <w:rPr>
                <w:rFonts w:ascii="Arial" w:hAnsi="Arial"/>
                <w:b/>
                <w:color w:val="666666"/>
                <w:sz w:val="20"/>
              </w:rPr>
              <w:t>Three Months Ended March 31,</w:t>
            </w:r>
          </w:p>
        </w:tc>
      </w:tr>
      <w:tr>
        <w:trPr/>
        <w:tc>
          <w:tcPr>
            <w:tcW w:w="3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right"/>
              <w:rPr/>
            </w:pPr>
            <w:r>
              <w:rPr/>
              <w:t> </w:t>
            </w:r>
          </w:p>
        </w:tc>
      </w:tr>
      <w:tr>
        <w:trPr/>
        <w:tc>
          <w:tcPr>
            <w:tcW w:w="3901" w:type="dxa"/>
            <w:tcBorders/>
            <w:shd w:fill="FFFFFF" w:val="clear"/>
            <w:vAlign w:val="center"/>
          </w:tcPr>
          <w:p>
            <w:pPr>
              <w:pStyle w:val="TableContents"/>
              <w:bidi w:val="0"/>
              <w:spacing w:before="0" w:after="283"/>
              <w:jc w:val="left"/>
              <w:rPr>
                <w:color w:val="666666"/>
              </w:rPr>
            </w:pPr>
            <w:r>
              <w:rPr>
                <w:color w:val="666666"/>
              </w:rPr>
              <w:t> </w:t>
            </w:r>
            <w:r>
              <w:rPr>
                <w:rFonts w:ascii="Arial" w:hAnsi="Arial"/>
                <w:color w:val="666666"/>
                <w:sz w:val="20"/>
              </w:rPr>
              <w:t>($ in millions)</w:t>
            </w:r>
          </w:p>
        </w:tc>
        <w:tc>
          <w:tcPr>
            <w:tcW w:w="146" w:type="dxa"/>
            <w:tcBorders/>
            <w:shd w:fill="FFFFFF" w:val="clear"/>
            <w:vAlign w:val="center"/>
          </w:tcPr>
          <w:p>
            <w:pPr>
              <w:pStyle w:val="TableContents"/>
              <w:bidi w:val="0"/>
              <w:spacing w:before="0" w:after="283"/>
              <w:jc w:val="left"/>
              <w:rPr/>
            </w:pPr>
            <w:r>
              <w:rPr/>
              <w:t> </w:t>
            </w:r>
          </w:p>
        </w:tc>
        <w:tc>
          <w:tcPr>
            <w:tcW w:w="1981" w:type="dxa"/>
            <w:tcBorders/>
            <w:shd w:fill="FFFFFF" w:val="clear"/>
            <w:vAlign w:val="center"/>
          </w:tcPr>
          <w:p>
            <w:pPr>
              <w:pStyle w:val="TableContents"/>
              <w:bidi w:val="0"/>
              <w:spacing w:before="0" w:after="283"/>
              <w:jc w:val="center"/>
              <w:rPr>
                <w:rFonts w:ascii="Arial" w:hAnsi="Arial"/>
                <w:b/>
                <w:color w:val="666666"/>
                <w:sz w:val="20"/>
              </w:rPr>
            </w:pPr>
            <w:r>
              <w:rPr>
                <w:rFonts w:ascii="Arial" w:hAnsi="Arial"/>
                <w:b/>
                <w:color w:val="666666"/>
                <w:sz w:val="20"/>
              </w:rPr>
              <w:t>Productivity and</w:t>
              <w:br/>
              <w:t>Business Processes</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center"/>
              <w:rPr>
                <w:rFonts w:ascii="Arial" w:hAnsi="Arial"/>
                <w:b/>
                <w:color w:val="666666"/>
                <w:sz w:val="20"/>
              </w:rPr>
            </w:pPr>
            <w:r>
              <w:rPr>
                <w:rFonts w:ascii="Arial" w:hAnsi="Arial"/>
                <w:b/>
                <w:color w:val="666666"/>
                <w:sz w:val="20"/>
              </w:rPr>
              <w:t>Intelligent Cloud</w:t>
            </w:r>
          </w:p>
        </w:tc>
        <w:tc>
          <w:tcPr>
            <w:tcW w:w="146"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center"/>
              <w:rPr>
                <w:rFonts w:ascii="Arial" w:hAnsi="Arial"/>
                <w:b/>
                <w:color w:val="666666"/>
                <w:sz w:val="20"/>
              </w:rPr>
            </w:pPr>
            <w:r>
              <w:rPr>
                <w:rFonts w:ascii="Arial" w:hAnsi="Arial"/>
                <w:b/>
                <w:color w:val="666666"/>
                <w:sz w:val="20"/>
              </w:rPr>
              <w:t>More Personal</w:t>
              <w:br/>
              <w:t>Computing</w:t>
            </w:r>
          </w:p>
        </w:tc>
      </w:tr>
      <w:tr>
        <w:trPr/>
        <w:tc>
          <w:tcPr>
            <w:tcW w:w="39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98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6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9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8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right"/>
              <w:rPr/>
            </w:pPr>
            <w:r>
              <w:rPr/>
              <w:t> </w:t>
            </w:r>
          </w:p>
        </w:tc>
      </w:tr>
      <w:tr>
        <w:trPr/>
        <w:tc>
          <w:tcPr>
            <w:tcW w:w="390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2023 As Reported (GAAP)</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98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$17,516</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$22,081</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$13,260</w:t>
            </w:r>
          </w:p>
        </w:tc>
      </w:tr>
      <w:tr>
        <w:trPr/>
        <w:tc>
          <w:tcPr>
            <w:tcW w:w="3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2024 As Reported (GAAP)</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$19,570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$26,708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$15,580</w:t>
            </w:r>
          </w:p>
        </w:tc>
      </w:tr>
      <w:tr>
        <w:trPr/>
        <w:tc>
          <w:tcPr>
            <w:tcW w:w="390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Percentage Change Y/Y (GAAP)</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98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12%</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21%</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17%</w:t>
            </w:r>
          </w:p>
        </w:tc>
      </w:tr>
      <w:tr>
        <w:trPr/>
        <w:tc>
          <w:tcPr>
            <w:tcW w:w="3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Constant Currency Impact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$39</w:t>
            </w:r>
          </w:p>
        </w:tc>
      </w:tr>
      <w:tr>
        <w:trPr/>
        <w:tc>
          <w:tcPr>
            <w:tcW w:w="390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color w:val="666666"/>
                <w:sz w:val="20"/>
              </w:rPr>
            </w:pPr>
            <w:r>
              <w:rPr>
                <w:rFonts w:ascii="Arial" w:hAnsi="Arial"/>
                <w:color w:val="666666"/>
                <w:sz w:val="20"/>
              </w:rPr>
              <w:t>Percentage Change Y/Y Constant Currency</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98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11%</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65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21%</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color w:val="666666"/>
                <w:sz w:val="20"/>
              </w:rPr>
            </w:pPr>
            <w:r>
              <w:rPr>
                <w:rFonts w:ascii="Arial" w:hAnsi="Arial"/>
                <w:color w:val="666666"/>
                <w:sz w:val="20"/>
              </w:rPr>
              <w:t>17%</w:t>
            </w:r>
          </w:p>
        </w:tc>
      </w:tr>
    </w:tbl>
    <w:p>
      <w:pPr>
        <w:pStyle w:val="TextBody"/>
        <w:bidi w:val="0"/>
        <w:jc w:val="left"/>
        <w:rPr/>
      </w:pPr>
      <w:r>
        <w:rPr/>
        <w:t> </w:t>
      </w:r>
    </w:p>
    <w:p>
      <w:pPr>
        <w:pStyle w:val="TextBody"/>
        <w:bidi w:val="0"/>
        <w:jc w:val="left"/>
        <w:rPr/>
      </w:pPr>
      <w:r>
        <w:rPr/>
        <w:t> </w:t>
      </w:r>
    </w:p>
    <w:p>
      <w:pPr>
        <w:pStyle w:val="TextBody"/>
        <w:bidi w:val="0"/>
        <w:spacing w:before="40" w:after="283"/>
        <w:jc w:val="left"/>
        <w:rPr>
          <w:rFonts w:ascii="Arial" w:hAnsi="Arial"/>
          <w:b/>
          <w:color w:val="666666"/>
          <w:sz w:val="20"/>
        </w:rPr>
      </w:pPr>
      <w:r>
        <w:rPr>
          <w:rFonts w:ascii="Arial" w:hAnsi="Arial"/>
          <w:b/>
          <w:color w:val="666666"/>
          <w:sz w:val="20"/>
        </w:rPr>
        <w:t>Selected Product and Service Revenue Constant Currency Reconciliation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86"/>
        <w:gridCol w:w="146"/>
        <w:gridCol w:w="2028"/>
        <w:gridCol w:w="146"/>
        <w:gridCol w:w="1685"/>
        <w:gridCol w:w="146"/>
        <w:gridCol w:w="2568"/>
      </w:tblGrid>
      <w:tr>
        <w:trPr/>
        <w:tc>
          <w:tcPr>
            <w:tcW w:w="3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r>
      <w:tr>
        <w:trPr/>
        <w:tc>
          <w:tcPr>
            <w:tcW w:w="34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6573" w:type="dxa"/>
            <w:gridSpan w:val="5"/>
            <w:tcBorders/>
            <w:shd w:fill="FFFFFF" w:val="clear"/>
            <w:vAlign w:val="center"/>
          </w:tcPr>
          <w:p>
            <w:pPr>
              <w:pStyle w:val="TableContents"/>
              <w:bidi w:val="0"/>
              <w:spacing w:before="0" w:after="283"/>
              <w:jc w:val="center"/>
              <w:rPr>
                <w:rFonts w:ascii="Arial" w:hAnsi="Arial"/>
                <w:b/>
                <w:color w:val="666666"/>
                <w:sz w:val="20"/>
              </w:rPr>
            </w:pPr>
            <w:r>
              <w:rPr>
                <w:rFonts w:ascii="Arial" w:hAnsi="Arial"/>
                <w:b/>
                <w:color w:val="666666"/>
                <w:sz w:val="20"/>
              </w:rPr>
              <w:t>Three Months Ended March 31, 2024</w:t>
            </w:r>
          </w:p>
        </w:tc>
      </w:tr>
      <w:tr>
        <w:trPr/>
        <w:tc>
          <w:tcPr>
            <w:tcW w:w="34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02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6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56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8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8" w:type="dxa"/>
            <w:tcBorders/>
            <w:shd w:fill="FFFFFF" w:val="clear"/>
            <w:vAlign w:val="center"/>
          </w:tcPr>
          <w:p>
            <w:pPr>
              <w:pStyle w:val="TableContents"/>
              <w:bidi w:val="0"/>
              <w:spacing w:before="0" w:after="283"/>
              <w:jc w:val="right"/>
              <w:rPr/>
            </w:pPr>
            <w:r>
              <w:rPr/>
              <w:t> </w:t>
            </w:r>
          </w:p>
        </w:tc>
      </w:tr>
      <w:tr>
        <w:trPr/>
        <w:tc>
          <w:tcPr>
            <w:tcW w:w="34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028" w:type="dxa"/>
            <w:tcBorders/>
            <w:shd w:fill="FFFFFF" w:val="clear"/>
            <w:vAlign w:val="center"/>
          </w:tcPr>
          <w:p>
            <w:pPr>
              <w:pStyle w:val="TableContents"/>
              <w:bidi w:val="0"/>
              <w:spacing w:before="0" w:after="283"/>
              <w:jc w:val="center"/>
              <w:rPr>
                <w:rFonts w:ascii="Arial" w:hAnsi="Arial"/>
                <w:b/>
                <w:color w:val="666666"/>
                <w:sz w:val="20"/>
              </w:rPr>
            </w:pPr>
            <w:r>
              <w:rPr>
                <w:rFonts w:ascii="Arial" w:hAnsi="Arial"/>
                <w:b/>
                <w:color w:val="666666"/>
                <w:sz w:val="20"/>
              </w:rPr>
              <w:t>Percentage Change Y/Y (GAAP)</w:t>
            </w:r>
          </w:p>
        </w:tc>
        <w:tc>
          <w:tcPr>
            <w:tcW w:w="146" w:type="dxa"/>
            <w:tcBorders/>
            <w:shd w:fill="FFFFFF" w:val="clear"/>
            <w:vAlign w:val="center"/>
          </w:tcPr>
          <w:p>
            <w:pPr>
              <w:pStyle w:val="TableContents"/>
              <w:bidi w:val="0"/>
              <w:spacing w:before="0" w:after="283"/>
              <w:jc w:val="left"/>
              <w:rPr/>
            </w:pPr>
            <w:r>
              <w:rPr/>
              <w:t> </w:t>
            </w:r>
          </w:p>
        </w:tc>
        <w:tc>
          <w:tcPr>
            <w:tcW w:w="1685" w:type="dxa"/>
            <w:tcBorders/>
            <w:shd w:fill="FFFFFF" w:val="clear"/>
            <w:vAlign w:val="center"/>
          </w:tcPr>
          <w:p>
            <w:pPr>
              <w:pStyle w:val="TableContents"/>
              <w:bidi w:val="0"/>
              <w:spacing w:before="0" w:after="283"/>
              <w:jc w:val="center"/>
              <w:rPr>
                <w:rFonts w:ascii="Arial" w:hAnsi="Arial"/>
                <w:b/>
                <w:color w:val="666666"/>
                <w:sz w:val="20"/>
              </w:rPr>
            </w:pPr>
            <w:r>
              <w:rPr>
                <w:rFonts w:ascii="Arial" w:hAnsi="Arial"/>
                <w:b/>
                <w:color w:val="666666"/>
                <w:sz w:val="20"/>
              </w:rPr>
              <w:t>Constant Currency Impact</w:t>
            </w:r>
          </w:p>
        </w:tc>
        <w:tc>
          <w:tcPr>
            <w:tcW w:w="146" w:type="dxa"/>
            <w:tcBorders/>
            <w:shd w:fill="FFFFFF" w:val="clear"/>
            <w:vAlign w:val="center"/>
          </w:tcPr>
          <w:p>
            <w:pPr>
              <w:pStyle w:val="TableContents"/>
              <w:bidi w:val="0"/>
              <w:spacing w:before="0" w:after="283"/>
              <w:jc w:val="left"/>
              <w:rPr/>
            </w:pPr>
            <w:r>
              <w:rPr/>
              <w:t> </w:t>
            </w:r>
          </w:p>
        </w:tc>
        <w:tc>
          <w:tcPr>
            <w:tcW w:w="2568" w:type="dxa"/>
            <w:tcBorders/>
            <w:shd w:fill="FFFFFF" w:val="clear"/>
            <w:vAlign w:val="center"/>
          </w:tcPr>
          <w:p>
            <w:pPr>
              <w:pStyle w:val="TableContents"/>
              <w:bidi w:val="0"/>
              <w:spacing w:before="0" w:after="283"/>
              <w:jc w:val="center"/>
              <w:rPr>
                <w:rFonts w:ascii="Arial" w:hAnsi="Arial"/>
                <w:b/>
                <w:color w:val="666666"/>
                <w:sz w:val="20"/>
              </w:rPr>
            </w:pPr>
            <w:r>
              <w:rPr>
                <w:rFonts w:ascii="Arial" w:hAnsi="Arial"/>
                <w:b/>
                <w:color w:val="666666"/>
                <w:sz w:val="20"/>
              </w:rPr>
              <w:t>Percentage Change Y/Y Constant Currency</w:t>
            </w:r>
          </w:p>
        </w:tc>
      </w:tr>
      <w:tr>
        <w:trPr/>
        <w:tc>
          <w:tcPr>
            <w:tcW w:w="34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02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6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56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8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8" w:type="dxa"/>
            <w:tcBorders/>
            <w:shd w:fill="FFFFFF" w:val="clear"/>
            <w:vAlign w:val="center"/>
          </w:tcPr>
          <w:p>
            <w:pPr>
              <w:pStyle w:val="TableContents"/>
              <w:bidi w:val="0"/>
              <w:spacing w:before="0" w:after="283"/>
              <w:jc w:val="right"/>
              <w:rPr/>
            </w:pPr>
            <w:r>
              <w:rPr/>
              <w:t> </w:t>
            </w:r>
          </w:p>
        </w:tc>
      </w:tr>
      <w:tr>
        <w:trPr/>
        <w:tc>
          <w:tcPr>
            <w:tcW w:w="348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Microsoft Cloud</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202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23%</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68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0%</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256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23%</w:t>
            </w:r>
          </w:p>
        </w:tc>
      </w:tr>
      <w:tr>
        <w:trPr/>
        <w:tc>
          <w:tcPr>
            <w:tcW w:w="3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Office Commercial products and cloud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12%</w:t>
            </w:r>
          </w:p>
        </w:tc>
      </w:tr>
      <w:tr>
        <w:trPr/>
        <w:tc>
          <w:tcPr>
            <w:tcW w:w="348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Office 365 Commercial</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202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15%</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68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0%</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256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15%</w:t>
            </w:r>
          </w:p>
        </w:tc>
      </w:tr>
      <w:tr>
        <w:trPr/>
        <w:tc>
          <w:tcPr>
            <w:tcW w:w="3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Office Consumer products and cloud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4%</w:t>
            </w:r>
          </w:p>
        </w:tc>
      </w:tr>
      <w:tr>
        <w:trPr/>
        <w:tc>
          <w:tcPr>
            <w:tcW w:w="348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LinkedIn</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202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10%</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68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256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9%</w:t>
            </w:r>
          </w:p>
        </w:tc>
      </w:tr>
      <w:tr>
        <w:trPr/>
        <w:tc>
          <w:tcPr>
            <w:tcW w:w="3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Dynamics products and cloud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17%</w:t>
            </w:r>
          </w:p>
        </w:tc>
      </w:tr>
      <w:tr>
        <w:trPr/>
        <w:tc>
          <w:tcPr>
            <w:tcW w:w="348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Dynamics 365</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202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23%</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68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256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22%</w:t>
            </w:r>
          </w:p>
        </w:tc>
      </w:tr>
      <w:tr>
        <w:trPr/>
        <w:tc>
          <w:tcPr>
            <w:tcW w:w="3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Server products and cloud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24%</w:t>
            </w:r>
          </w:p>
        </w:tc>
      </w:tr>
      <w:tr>
        <w:trPr/>
        <w:tc>
          <w:tcPr>
            <w:tcW w:w="348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Azure and other cloud services</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202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31%</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68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0%</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256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31%</w:t>
            </w:r>
          </w:p>
        </w:tc>
      </w:tr>
      <w:tr>
        <w:trPr/>
        <w:tc>
          <w:tcPr>
            <w:tcW w:w="3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Windows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11%</w:t>
            </w:r>
          </w:p>
        </w:tc>
      </w:tr>
      <w:tr>
        <w:trPr/>
        <w:tc>
          <w:tcPr>
            <w:tcW w:w="348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Windows OEM</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202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11%</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68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0%</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256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11%</w:t>
            </w:r>
          </w:p>
        </w:tc>
      </w:tr>
      <w:tr>
        <w:trPr/>
        <w:tc>
          <w:tcPr>
            <w:tcW w:w="3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Windows Commercial products and cloud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12%</w:t>
            </w:r>
          </w:p>
        </w:tc>
      </w:tr>
      <w:tr>
        <w:trPr/>
        <w:tc>
          <w:tcPr>
            <w:tcW w:w="348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Devices</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202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(17)%</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68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256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(16)%</w:t>
            </w:r>
          </w:p>
        </w:tc>
      </w:tr>
      <w:tr>
        <w:trPr/>
        <w:tc>
          <w:tcPr>
            <w:tcW w:w="3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Xbox content and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61%</w:t>
            </w:r>
          </w:p>
        </w:tc>
      </w:tr>
      <w:tr>
        <w:trPr/>
        <w:tc>
          <w:tcPr>
            <w:tcW w:w="348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rFonts w:ascii="Arial" w:hAnsi="Arial"/>
                <w:b/>
                <w:color w:val="666666"/>
                <w:sz w:val="20"/>
              </w:rPr>
            </w:pPr>
            <w:r>
              <w:rPr>
                <w:rFonts w:ascii="Arial" w:hAnsi="Arial"/>
                <w:b/>
                <w:color w:val="666666"/>
                <w:sz w:val="20"/>
              </w:rPr>
              <w:t>Search and news advertising excluding traffic acquisition costs</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202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12%</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1685"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0%</w:t>
            </w:r>
          </w:p>
        </w:tc>
        <w:tc>
          <w:tcPr>
            <w:tcW w:w="146"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left"/>
              <w:rPr/>
            </w:pPr>
            <w:r>
              <w:rPr/>
              <w:t> </w:t>
            </w:r>
          </w:p>
        </w:tc>
        <w:tc>
          <w:tcPr>
            <w:tcW w:w="2568" w:type="dxa"/>
            <w:tcBorders>
              <w:bottom w:val="single" w:sz="4" w:space="0" w:color="000000"/>
            </w:tcBorders>
            <w:shd w:fill="E5E5E5" w:val="clear"/>
            <w:tcMar>
              <w:top w:w="0" w:type="dxa"/>
              <w:left w:w="0" w:type="dxa"/>
              <w:right w:w="0" w:type="dxa"/>
            </w:tcMar>
            <w:vAlign w:val="center"/>
          </w:tcPr>
          <w:p>
            <w:pPr>
              <w:pStyle w:val="TableContents"/>
              <w:bidi w:val="0"/>
              <w:spacing w:before="0" w:after="283"/>
              <w:jc w:val="right"/>
              <w:rPr>
                <w:rFonts w:ascii="Arial" w:hAnsi="Arial"/>
                <w:b/>
                <w:color w:val="666666"/>
                <w:sz w:val="20"/>
              </w:rPr>
            </w:pPr>
            <w:r>
              <w:rPr>
                <w:rFonts w:ascii="Arial" w:hAnsi="Arial"/>
                <w:b/>
                <w:color w:val="666666"/>
                <w:sz w:val="20"/>
              </w:rPr>
              <w:t>12%</w:t>
            </w:r>
          </w:p>
        </w:tc>
      </w:tr>
    </w:tbl>
    <w:p>
      <w:pPr>
        <w:pStyle w:val="TextBody"/>
        <w:bidi w:val="0"/>
        <w:jc w:val="left"/>
        <w:rPr/>
      </w:pPr>
      <w:r>
        <w:rPr/>
        <w:t> </w:t>
      </w:r>
    </w:p>
    <w:p>
      <w:pPr>
        <w:pStyle w:val="TextBody"/>
        <w:bidi w:val="0"/>
        <w:spacing w:before="40" w:after="283"/>
        <w:jc w:val="left"/>
        <w:rPr>
          <w:rFonts w:ascii="Arial" w:hAnsi="Arial"/>
          <w:b/>
          <w:color w:val="666666"/>
          <w:sz w:val="20"/>
        </w:rPr>
      </w:pPr>
      <w:r>
        <w:rPr>
          <w:rFonts w:ascii="Arial" w:hAnsi="Arial"/>
          <w:b/>
          <w:color w:val="666666"/>
          <w:sz w:val="20"/>
        </w:rPr>
        <w:t>About Microsoft</w:t>
      </w:r>
    </w:p>
    <w:p>
      <w:pPr>
        <w:pStyle w:val="TextBody"/>
        <w:bidi w:val="0"/>
        <w:spacing w:before="240" w:after="283"/>
        <w:jc w:val="left"/>
        <w:rPr>
          <w:rFonts w:ascii="Arial" w:hAnsi="Arial"/>
          <w:color w:val="666666"/>
          <w:sz w:val="20"/>
        </w:rPr>
      </w:pPr>
      <w:r>
        <w:rPr>
          <w:rFonts w:ascii="Arial" w:hAnsi="Arial"/>
          <w:color w:val="666666"/>
          <w:sz w:val="20"/>
        </w:rPr>
        <w:t>Microsoft (Nasdaq “MSFT” @microsoft) enables digital transformation for the era of an intelligent cloud and an intelligent edge. Its mission is to empower every person and every organization on the planet to achieve more.</w:t>
      </w:r>
    </w:p>
    <w:p>
      <w:pPr>
        <w:pStyle w:val="TextBody"/>
        <w:bidi w:val="0"/>
        <w:spacing w:before="240" w:after="283"/>
        <w:jc w:val="left"/>
        <w:rPr>
          <w:rFonts w:ascii="Arial" w:hAnsi="Arial"/>
          <w:b/>
          <w:color w:val="666666"/>
          <w:sz w:val="20"/>
        </w:rPr>
      </w:pPr>
      <w:r>
        <w:rPr>
          <w:rFonts w:ascii="Arial" w:hAnsi="Arial"/>
          <w:b/>
          <w:color w:val="666666"/>
          <w:sz w:val="20"/>
        </w:rPr>
        <w:t>Forward-Looking Statements</w:t>
      </w:r>
    </w:p>
    <w:p>
      <w:pPr>
        <w:pStyle w:val="TextBody"/>
        <w:bidi w:val="0"/>
        <w:spacing w:before="240" w:after="283"/>
        <w:jc w:val="left"/>
        <w:rPr>
          <w:rFonts w:ascii="Times New Roman" w:hAnsi="Times New Roman"/>
          <w:sz w:val="20"/>
        </w:rPr>
      </w:pPr>
      <w:r>
        <w:rPr>
          <w:rFonts w:ascii="Arial" w:hAnsi="Arial"/>
          <w:color w:val="666666"/>
          <w:sz w:val="20"/>
        </w:rPr>
        <w:t>Statements in this release that are “forward-looking statements” are based on current expectations and assumptions that are subject to risks and uncertainties. Actual results could differ materially because of factors such as:</w:t>
      </w:r>
      <w:r>
        <w:rPr>
          <w:rFonts w:ascii="Times New Roman" w:hAnsi="Times New Roman"/>
          <w:color w:val="666666"/>
          <w:sz w:val="20"/>
        </w:rPr>
        <w:t xml:space="preserve"> </w:t>
      </w:r>
    </w:p>
    <w:p>
      <w:pPr>
        <w:pStyle w:val="TextBody"/>
        <w:bidi w:val="0"/>
        <w:spacing w:before="240" w:after="283"/>
        <w:jc w:val="left"/>
        <w:rPr>
          <w:color w:val="666666"/>
        </w:rPr>
      </w:pPr>
      <w:r>
        <w:rPr>
          <w:color w:val="666666"/>
        </w:rPr>
        <w:t>•</w:t>
      </w:r>
    </w:p>
    <w:p>
      <w:pPr>
        <w:pStyle w:val="TextBody"/>
        <w:bidi w:val="0"/>
        <w:spacing w:before="240" w:after="283"/>
        <w:jc w:val="left"/>
        <w:rPr>
          <w:rFonts w:ascii="Arial" w:hAnsi="Arial"/>
          <w:color w:val="666666"/>
          <w:sz w:val="20"/>
        </w:rPr>
      </w:pPr>
      <w:r>
        <w:rPr>
          <w:rFonts w:ascii="Arial" w:hAnsi="Arial"/>
          <w:color w:val="666666"/>
          <w:sz w:val="20"/>
        </w:rPr>
        <w:t>intense competition in all of our markets that may lead to lower revenue or operating margins;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focus on cloud-based services presenting execution and competitive risks;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significant investments in products and services that may not achieve expected returns;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acquisitions, joint ventures, and strategic alliances that may have an adverse effect on our business;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impairment of goodwill or amortizable intangible assets causing a significant charge to earnings;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cyberattacks and security vulnerabilities that could lead to reduced revenue, increased costs, liability claims, or harm to our reputation or competitive position;</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 xml:space="preserve">disclosure and misuse of personal data that could cause liability and harm to our reputation; </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the possibility that we may not be able to protect information stored in our products and services from use by others;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abuse of our advertising, professional, marketplace, or gaming platforms that may harm our reputation or user engagement;</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the development of the internet of things presenting security, privacy, and execution risks;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 xml:space="preserve">issues about the use of artificial intelligence in our offerings that may result in reputational or competitive harm, or legal liability; </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excessive outages, data losses, and disruptions of our online services if we fail to maintain an adequate operations infrastructure;</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quality or supply problems;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government enforcement under competition laws and new market regulation may limit how we design and market our products;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potential consequences of trade and anti-corruption laws;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potential consequences of existing and increasing legal and regulatory requirements;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 xml:space="preserve">laws and regulations relating to the handling of personal data that may impede the adoption of our services or result in increased costs, legal claims, fines, or reputational damage; </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claims against us that may result in adverse outcomes in legal disputes;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uncertainties relating to our business with government customers;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additional tax liabilities;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an inability to protect and utilize our intellectual property may harm our business and operating results;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claims that Microsoft has infringed the intellectual property rights of others;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damage to our reputation or our brands that may harm our business and operating results;</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 xml:space="preserve">adverse economic or market conditions that may harm our business; </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 xml:space="preserve">catastrophic events or geo-political conditions, such as the COVID-19 pandemic, that may disrupt our business; </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exposure to increased economic and operational uncertainties from operating a global business, including the effects of foreign currency exchange and</w:t>
      </w:r>
    </w:p>
    <w:p>
      <w:pPr>
        <w:pStyle w:val="TextBody"/>
        <w:bidi w:val="0"/>
        <w:spacing w:before="120" w:after="283"/>
        <w:jc w:val="left"/>
        <w:rPr>
          <w:color w:val="666666"/>
        </w:rPr>
      </w:pPr>
      <w:r>
        <w:rPr>
          <w:color w:val="666666"/>
        </w:rPr>
        <w:t>•</w:t>
      </w:r>
    </w:p>
    <w:p>
      <w:pPr>
        <w:pStyle w:val="TextBody"/>
        <w:bidi w:val="0"/>
        <w:spacing w:before="120" w:after="283"/>
        <w:jc w:val="left"/>
        <w:rPr>
          <w:rFonts w:ascii="Arial" w:hAnsi="Arial"/>
          <w:color w:val="666666"/>
          <w:sz w:val="20"/>
        </w:rPr>
      </w:pPr>
      <w:r>
        <w:rPr>
          <w:rFonts w:ascii="Arial" w:hAnsi="Arial"/>
          <w:color w:val="666666"/>
          <w:sz w:val="20"/>
        </w:rPr>
        <w:t>the dependence of our business on our ability to attract and retain talented employees.</w:t>
      </w:r>
    </w:p>
    <w:p>
      <w:pPr>
        <w:pStyle w:val="TextBody"/>
        <w:bidi w:val="0"/>
        <w:spacing w:before="240" w:after="283"/>
        <w:jc w:val="left"/>
        <w:rPr>
          <w:rFonts w:ascii="Times New Roman" w:hAnsi="Times New Roman"/>
          <w:sz w:val="20"/>
        </w:rPr>
      </w:pPr>
      <w:r>
        <w:rPr>
          <w:rFonts w:ascii="Arial" w:hAnsi="Arial"/>
          <w:color w:val="666666"/>
          <w:sz w:val="20"/>
        </w:rPr>
        <w:t xml:space="preserve">For more information about risks and uncertainties associated with Microsoft’s business, please refer to the “Management’s Discussion and Analysis of Financial Condition and Results of Operations” and “Risk Factors” sections of Microsoft’s SEC filings, including, but not limited to, its annual report on Form 10-K and quarterly reports on Form 10-Q, copies of which may be obtained by contacting Microsoft’s Investor Relations department at (800) 285-7772 or at Microsoft’s Investor Relations website at </w:t>
      </w:r>
      <w:r>
        <w:rPr>
          <w:rFonts w:ascii="Arial" w:hAnsi="Arial"/>
          <w:color w:val="666666"/>
          <w:sz w:val="20"/>
          <w:u w:val="single"/>
        </w:rPr>
        <w:t>http://www.microsoft.com/en-us/investor</w:t>
      </w:r>
      <w:r>
        <w:rPr>
          <w:rFonts w:ascii="Arial" w:hAnsi="Arial"/>
          <w:color w:val="666666"/>
          <w:sz w:val="20"/>
        </w:rPr>
        <w:t>.</w:t>
      </w:r>
    </w:p>
    <w:p>
      <w:pPr>
        <w:pStyle w:val="TextBody"/>
        <w:bidi w:val="0"/>
        <w:spacing w:before="240" w:after="283"/>
        <w:jc w:val="left"/>
        <w:rPr>
          <w:rFonts w:ascii="Arial" w:hAnsi="Arial"/>
          <w:color w:val="666666"/>
          <w:sz w:val="20"/>
        </w:rPr>
      </w:pPr>
      <w:r>
        <w:rPr>
          <w:rFonts w:ascii="Arial" w:hAnsi="Arial"/>
          <w:color w:val="666666"/>
          <w:sz w:val="20"/>
        </w:rPr>
        <w:t>All information in this release is as of March 31, 2024. The company undertakes no duty to update any forward-looking statement to conform the statement to actual results or changes in the company’s expectations.</w:t>
      </w:r>
    </w:p>
    <w:p>
      <w:pPr>
        <w:pStyle w:val="TextBody"/>
        <w:bidi w:val="0"/>
        <w:spacing w:before="240" w:after="283"/>
        <w:jc w:val="left"/>
        <w:rPr>
          <w:rFonts w:ascii="Times New Roman" w:hAnsi="Times New Roman"/>
          <w:sz w:val="20"/>
        </w:rPr>
      </w:pPr>
      <w:r>
        <w:rPr>
          <w:rFonts w:ascii="Arial" w:hAnsi="Arial"/>
          <w:b/>
          <w:color w:val="666666"/>
          <w:sz w:val="20"/>
        </w:rPr>
        <w:t>For more information, press only:</w:t>
      </w:r>
      <w:r>
        <w:rPr>
          <w:rFonts w:ascii="Times New Roman" w:hAnsi="Times New Roman"/>
          <w:color w:val="666666"/>
          <w:sz w:val="20"/>
        </w:rPr>
        <w:t xml:space="preserve"> </w:t>
      </w:r>
    </w:p>
    <w:p>
      <w:pPr>
        <w:pStyle w:val="TextBody"/>
        <w:bidi w:val="0"/>
        <w:spacing w:before="240" w:after="283"/>
        <w:jc w:val="left"/>
        <w:rPr>
          <w:rFonts w:ascii="Times New Roman" w:hAnsi="Times New Roman"/>
          <w:sz w:val="20"/>
        </w:rPr>
      </w:pPr>
      <w:r>
        <w:rPr>
          <w:rFonts w:ascii="Arial" w:hAnsi="Arial"/>
          <w:color w:val="666666"/>
          <w:sz w:val="20"/>
        </w:rPr>
        <w:t>Microsoft Media Relations, WE Communications for Microsoft, (425) 638-7777,</w:t>
      </w:r>
      <w:r>
        <w:rPr>
          <w:rFonts w:ascii="Times New Roman" w:hAnsi="Times New Roman"/>
          <w:color w:val="000000"/>
          <w:sz w:val="20"/>
        </w:rPr>
        <w:t xml:space="preserve"> </w:t>
      </w:r>
      <w:r>
        <w:rPr>
          <w:rFonts w:ascii="Arial" w:hAnsi="Arial"/>
          <w:color w:val="666666"/>
          <w:sz w:val="20"/>
          <w:u w:val="single"/>
        </w:rPr>
        <w:t>rrt@we-worldwide.com</w:t>
      </w:r>
      <w:r>
        <w:rPr>
          <w:rFonts w:ascii="Times New Roman" w:hAnsi="Times New Roman"/>
          <w:color w:val="4472C4"/>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Arial" w:hAnsi="Arial"/>
          <w:b/>
          <w:color w:val="666666"/>
          <w:sz w:val="20"/>
        </w:rPr>
        <w:t>For more information, financial analysts and investors only:</w:t>
      </w:r>
      <w:r>
        <w:rPr>
          <w:rFonts w:ascii="Times New Roman" w:hAnsi="Times New Roman"/>
          <w:color w:val="666666"/>
          <w:sz w:val="20"/>
        </w:rPr>
        <w:t xml:space="preserve"> </w:t>
      </w:r>
    </w:p>
    <w:p>
      <w:pPr>
        <w:pStyle w:val="TextBody"/>
        <w:bidi w:val="0"/>
        <w:spacing w:before="240" w:after="283"/>
        <w:jc w:val="left"/>
        <w:rPr>
          <w:rFonts w:ascii="Arial" w:hAnsi="Arial"/>
          <w:color w:val="666666"/>
          <w:sz w:val="20"/>
        </w:rPr>
      </w:pPr>
      <w:r>
        <w:rPr>
          <w:rFonts w:ascii="Arial" w:hAnsi="Arial"/>
          <w:color w:val="666666"/>
          <w:sz w:val="20"/>
        </w:rPr>
        <w:t>Brett Iversen, Vice President, Investor Relations, (425) 706-4400</w:t>
      </w:r>
    </w:p>
    <w:p>
      <w:pPr>
        <w:pStyle w:val="TextBody"/>
        <w:bidi w:val="0"/>
        <w:spacing w:before="240" w:after="283"/>
        <w:jc w:val="left"/>
        <w:rPr>
          <w:rFonts w:ascii="Times New Roman" w:hAnsi="Times New Roman"/>
          <w:sz w:val="20"/>
        </w:rPr>
      </w:pPr>
      <w:r>
        <w:rPr>
          <w:rFonts w:ascii="Arial" w:hAnsi="Arial"/>
          <w:color w:val="666666"/>
          <w:sz w:val="20"/>
        </w:rPr>
        <w:t xml:space="preserve">Note to editors: For more information, news and perspectives from Microsoft, please visit the Microsoft News Center at </w:t>
      </w:r>
      <w:r>
        <w:rPr>
          <w:rFonts w:ascii="Arial" w:hAnsi="Arial"/>
          <w:color w:val="666666"/>
          <w:sz w:val="20"/>
          <w:u w:val="single"/>
        </w:rPr>
        <w:t>http://www.microsoft.com/news</w:t>
      </w:r>
      <w:r>
        <w:rPr>
          <w:rFonts w:ascii="Arial" w:hAnsi="Arial"/>
          <w:color w:val="666666"/>
          <w:sz w:val="20"/>
        </w:rPr>
        <w:t xml:space="preserve">. Web links, telephone numbers, and titles were correct at time of publication, but may since have changed. Shareholder and financial information, as well as today’s 2:30 p.m. Pacific time conference call with investors and analysts, is available at </w:t>
      </w:r>
      <w:r>
        <w:rPr>
          <w:rFonts w:ascii="Arial" w:hAnsi="Arial"/>
          <w:color w:val="666666"/>
          <w:sz w:val="20"/>
          <w:u w:val="single"/>
        </w:rPr>
        <w:t>http://www.microsoft.com/en-us/investor</w:t>
      </w:r>
      <w:r>
        <w:rPr>
          <w:rFonts w:ascii="Arial" w:hAnsi="Arial"/>
          <w:color w:val="666666"/>
          <w:sz w:val="20"/>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b/>
          <w:color w:val="666666"/>
          <w:sz w:val="20"/>
        </w:rPr>
      </w:pPr>
      <w:r>
        <w:rPr>
          <w:rFonts w:ascii="Arial" w:hAnsi="Arial"/>
          <w:b/>
          <w:color w:val="666666"/>
          <w:sz w:val="20"/>
        </w:rPr>
        <w:t>MICROSOFT CORPORATION</w:t>
      </w:r>
    </w:p>
    <w:p>
      <w:pPr>
        <w:pStyle w:val="TextBody"/>
        <w:bidi w:val="0"/>
        <w:jc w:val="left"/>
        <w:rPr/>
      </w:pPr>
      <w:r>
        <w:rPr/>
        <w:t> </w:t>
      </w:r>
    </w:p>
    <w:p>
      <w:pPr>
        <w:pStyle w:val="TextBody"/>
        <w:bidi w:val="0"/>
        <w:jc w:val="center"/>
        <w:rPr>
          <w:rFonts w:ascii="Arial" w:hAnsi="Arial"/>
          <w:color w:val="666666"/>
          <w:sz w:val="20"/>
        </w:rPr>
      </w:pPr>
      <w:r>
        <w:rPr>
          <w:rFonts w:ascii="Arial" w:hAnsi="Arial"/>
          <w:color w:val="666666"/>
          <w:sz w:val="20"/>
        </w:rPr>
        <w:t>INCOME STATEMENTS</w:t>
      </w:r>
    </w:p>
    <w:p>
      <w:pPr>
        <w:pStyle w:val="TextBody"/>
        <w:bidi w:val="0"/>
        <w:spacing w:before="120" w:after="283"/>
        <w:jc w:val="center"/>
        <w:rPr>
          <w:rFonts w:ascii="Arial" w:hAnsi="Arial"/>
          <w:color w:val="666666"/>
          <w:sz w:val="20"/>
        </w:rPr>
      </w:pPr>
      <w:r>
        <w:rPr>
          <w:rFonts w:ascii="Arial" w:hAnsi="Arial"/>
          <w:color w:val="666666"/>
          <w:sz w:val="20"/>
        </w:rPr>
        <w:t>(In millions, except per share amounts) (Unaudited)</w:t>
      </w:r>
    </w:p>
    <w:p>
      <w:pPr>
        <w:pStyle w:val="TextBody"/>
        <w:bidi w:val="0"/>
        <w:jc w:val="center"/>
        <w:rPr/>
      </w:pPr>
      <w:r>
        <w:rPr/>
        <w:t> </w:t>
      </w:r>
    </w:p>
    <w:tbl>
      <w:tblPr>
        <w:tblW w:w="7845" w:type="dxa"/>
        <w:jc w:val="left"/>
        <w:tblInd w:w="0" w:type="dxa"/>
        <w:tblLayout w:type="fixed"/>
        <w:tblCellMar>
          <w:top w:w="28" w:type="dxa"/>
          <w:left w:w="28" w:type="dxa"/>
          <w:bottom w:w="28" w:type="dxa"/>
          <w:right w:w="28" w:type="dxa"/>
        </w:tblCellMar>
      </w:tblPr>
      <w:tblGrid>
        <w:gridCol w:w="3451"/>
        <w:gridCol w:w="146"/>
        <w:gridCol w:w="934"/>
        <w:gridCol w:w="171"/>
        <w:gridCol w:w="934"/>
        <w:gridCol w:w="146"/>
        <w:gridCol w:w="796"/>
        <w:gridCol w:w="146"/>
        <w:gridCol w:w="112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039" w:type="dxa"/>
            <w:gridSpan w:val="3"/>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Three Months Ended</w:t>
              <w:br/>
              <w:t>March 31,</w:t>
            </w:r>
          </w:p>
        </w:tc>
        <w:tc>
          <w:tcPr>
            <w:tcW w:w="146" w:type="dxa"/>
            <w:tcBorders/>
            <w:shd w:fill="FFFFFF" w:val="clear"/>
            <w:vAlign w:val="center"/>
          </w:tcPr>
          <w:p>
            <w:pPr>
              <w:pStyle w:val="TableContents"/>
              <w:bidi w:val="0"/>
              <w:spacing w:before="0" w:after="283"/>
              <w:jc w:val="left"/>
              <w:rPr/>
            </w:pPr>
            <w:r>
              <w:rPr/>
              <w:t> </w:t>
            </w:r>
          </w:p>
        </w:tc>
        <w:tc>
          <w:tcPr>
            <w:tcW w:w="2063" w:type="dxa"/>
            <w:gridSpan w:val="3"/>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Nine Months Ended</w:t>
              <w:br/>
              <w:t>March 31,</w:t>
            </w:r>
          </w:p>
        </w:tc>
      </w:tr>
      <w:tr>
        <w:trPr/>
        <w:tc>
          <w:tcPr>
            <w:tcW w:w="34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2024</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2023</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2024</w:t>
            </w:r>
          </w:p>
        </w:tc>
        <w:tc>
          <w:tcPr>
            <w:tcW w:w="146"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2023</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 </w:t>
            </w:r>
          </w:p>
        </w:tc>
      </w:tr>
      <w:tr>
        <w:trPr/>
        <w:tc>
          <w:tcPr>
            <w:tcW w:w="3451" w:type="dxa"/>
            <w:tcBorders/>
            <w:shd w:fill="E5E5E5" w:val="clear"/>
            <w:vAlign w:val="center"/>
          </w:tcPr>
          <w:p>
            <w:pPr>
              <w:pStyle w:val="TableContents"/>
              <w:bidi w:val="0"/>
              <w:spacing w:before="0" w:after="283"/>
              <w:jc w:val="left"/>
              <w:rPr>
                <w:rFonts w:ascii="Arial" w:hAnsi="Arial"/>
                <w:color w:val="666666"/>
                <w:sz w:val="20"/>
              </w:rPr>
            </w:pPr>
            <w:r>
              <w:rPr>
                <w:rFonts w:ascii="Arial" w:hAnsi="Arial"/>
                <w:color w:val="666666"/>
                <w:sz w:val="20"/>
              </w:rPr>
              <w:t>Revenue:</w:t>
            </w:r>
          </w:p>
        </w:tc>
        <w:tc>
          <w:tcPr>
            <w:tcW w:w="146" w:type="dxa"/>
            <w:tcBorders/>
            <w:shd w:fill="E5E5E5" w:val="clear"/>
            <w:vAlign w:val="center"/>
          </w:tcPr>
          <w:p>
            <w:pPr>
              <w:pStyle w:val="TableContents"/>
              <w:bidi w:val="0"/>
              <w:spacing w:before="0" w:after="283"/>
              <w:jc w:val="left"/>
              <w:rPr/>
            </w:pPr>
            <w:r>
              <w:rPr/>
              <w:t> </w:t>
            </w:r>
          </w:p>
        </w:tc>
        <w:tc>
          <w:tcPr>
            <w:tcW w:w="934" w:type="dxa"/>
            <w:tcBorders/>
            <w:shd w:fill="E5E5E5" w:val="clear"/>
            <w:vAlign w:val="center"/>
          </w:tcPr>
          <w:p>
            <w:pPr>
              <w:pStyle w:val="TableContents"/>
              <w:bidi w:val="0"/>
              <w:spacing w:before="0" w:after="283"/>
              <w:jc w:val="right"/>
              <w:rPr/>
            </w:pPr>
            <w:r>
              <w:rPr/>
              <w:t> </w:t>
            </w:r>
          </w:p>
        </w:tc>
        <w:tc>
          <w:tcPr>
            <w:tcW w:w="171" w:type="dxa"/>
            <w:tcBorders/>
            <w:shd w:fill="E5E5E5" w:val="clear"/>
            <w:vAlign w:val="center"/>
          </w:tcPr>
          <w:p>
            <w:pPr>
              <w:pStyle w:val="TableContents"/>
              <w:bidi w:val="0"/>
              <w:spacing w:before="0" w:after="283"/>
              <w:jc w:val="left"/>
              <w:rPr/>
            </w:pPr>
            <w:r>
              <w:rPr/>
              <w:t> </w:t>
            </w:r>
          </w:p>
        </w:tc>
        <w:tc>
          <w:tcPr>
            <w:tcW w:w="934"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left"/>
              <w:rPr/>
            </w:pPr>
            <w:r>
              <w:rPr/>
              <w:t> </w:t>
            </w:r>
          </w:p>
        </w:tc>
        <w:tc>
          <w:tcPr>
            <w:tcW w:w="1121" w:type="dxa"/>
            <w:tcBorders/>
            <w:shd w:fill="E5E5E5" w:val="clear"/>
            <w:vAlign w:val="center"/>
          </w:tcPr>
          <w:p>
            <w:pPr>
              <w:pStyle w:val="TableContents"/>
              <w:bidi w:val="0"/>
              <w:spacing w:before="0" w:after="283"/>
              <w:ind w:left="0" w:right="0" w:firstLine="280"/>
              <w:jc w:val="right"/>
              <w:rPr/>
            </w:pPr>
            <w:r>
              <w:rPr/>
              <w:t> </w:t>
            </w:r>
          </w:p>
        </w:tc>
      </w:tr>
      <w:tr>
        <w:trPr/>
        <w:tc>
          <w:tcPr>
            <w:tcW w:w="3451" w:type="dxa"/>
            <w:tcBorders/>
            <w:shd w:fill="FFFFFF" w:val="clear"/>
            <w:vAlign w:val="center"/>
          </w:tcPr>
          <w:p>
            <w:pPr>
              <w:pStyle w:val="TableContents"/>
              <w:bidi w:val="0"/>
              <w:spacing w:before="0" w:after="283"/>
              <w:ind w:left="280" w:right="0" w:firstLine="280"/>
              <w:jc w:val="left"/>
              <w:rPr>
                <w:rFonts w:ascii="Arial" w:hAnsi="Arial"/>
                <w:color w:val="666666"/>
                <w:sz w:val="20"/>
              </w:rPr>
            </w:pPr>
            <w:r>
              <w:rPr>
                <w:rFonts w:ascii="Arial" w:hAnsi="Arial"/>
                <w:color w:val="666666"/>
                <w:sz w:val="20"/>
              </w:rPr>
              <w:t>Product</w:t>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$17,080</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$15,588</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$51,556</w:t>
            </w:r>
          </w:p>
        </w:tc>
        <w:tc>
          <w:tcPr>
            <w:tcW w:w="146"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$47,846</w:t>
            </w:r>
          </w:p>
        </w:tc>
      </w:tr>
      <w:tr>
        <w:trPr/>
        <w:tc>
          <w:tcPr>
            <w:tcW w:w="3451" w:type="dxa"/>
            <w:tcBorders/>
            <w:shd w:fill="E5E5E5" w:val="clear"/>
            <w:vAlign w:val="center"/>
          </w:tcPr>
          <w:p>
            <w:pPr>
              <w:pStyle w:val="TableContents"/>
              <w:bidi w:val="0"/>
              <w:spacing w:before="0" w:after="283"/>
              <w:ind w:left="280" w:right="0" w:firstLine="280"/>
              <w:jc w:val="left"/>
              <w:rPr>
                <w:rFonts w:ascii="Arial" w:hAnsi="Arial"/>
                <w:color w:val="666666"/>
                <w:sz w:val="20"/>
              </w:rPr>
            </w:pPr>
            <w:r>
              <w:rPr>
                <w:rFonts w:ascii="Arial" w:hAnsi="Arial"/>
                <w:color w:val="666666"/>
                <w:sz w:val="20"/>
              </w:rPr>
              <w:t>Service and other</w:t>
            </w:r>
          </w:p>
        </w:tc>
        <w:tc>
          <w:tcPr>
            <w:tcW w:w="146" w:type="dxa"/>
            <w:tcBorders/>
            <w:shd w:fill="E5E5E5" w:val="clear"/>
            <w:vAlign w:val="center"/>
          </w:tcPr>
          <w:p>
            <w:pPr>
              <w:pStyle w:val="TableContents"/>
              <w:bidi w:val="0"/>
              <w:spacing w:before="0" w:after="283"/>
              <w:jc w:val="left"/>
              <w:rPr/>
            </w:pPr>
            <w:r>
              <w:rPr/>
              <w:t> </w:t>
            </w:r>
          </w:p>
        </w:tc>
        <w:tc>
          <w:tcPr>
            <w:tcW w:w="934"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44,778</w:t>
            </w:r>
          </w:p>
        </w:tc>
        <w:tc>
          <w:tcPr>
            <w:tcW w:w="171" w:type="dxa"/>
            <w:tcBorders/>
            <w:shd w:fill="E5E5E5" w:val="clear"/>
            <w:vAlign w:val="center"/>
          </w:tcPr>
          <w:p>
            <w:pPr>
              <w:pStyle w:val="TableContents"/>
              <w:bidi w:val="0"/>
              <w:spacing w:before="0" w:after="283"/>
              <w:jc w:val="left"/>
              <w:rPr/>
            </w:pPr>
            <w:r>
              <w:rPr/>
              <w:t> </w:t>
            </w:r>
          </w:p>
        </w:tc>
        <w:tc>
          <w:tcPr>
            <w:tcW w:w="934"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37,269</w:t>
            </w:r>
          </w:p>
        </w:tc>
        <w:tc>
          <w:tcPr>
            <w:tcW w:w="146"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128,839</w:t>
            </w:r>
          </w:p>
        </w:tc>
        <w:tc>
          <w:tcPr>
            <w:tcW w:w="146" w:type="dxa"/>
            <w:tcBorders/>
            <w:shd w:fill="E5E5E5" w:val="clear"/>
            <w:vAlign w:val="center"/>
          </w:tcPr>
          <w:p>
            <w:pPr>
              <w:pStyle w:val="TableContents"/>
              <w:bidi w:val="0"/>
              <w:spacing w:before="0" w:after="283"/>
              <w:jc w:val="left"/>
              <w:rPr/>
            </w:pPr>
            <w:r>
              <w:rPr/>
              <w:t> </w:t>
            </w:r>
          </w:p>
        </w:tc>
        <w:tc>
          <w:tcPr>
            <w:tcW w:w="1121"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107,880</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ind w:left="0" w:right="0" w:firstLine="560"/>
              <w:jc w:val="right"/>
              <w:rPr/>
            </w:pPr>
            <w:r>
              <w:rPr/>
              <w:t> </w:t>
            </w:r>
          </w:p>
        </w:tc>
      </w:tr>
      <w:tr>
        <w:trPr/>
        <w:tc>
          <w:tcPr>
            <w:tcW w:w="3451" w:type="dxa"/>
            <w:tcBorders/>
            <w:shd w:fill="FFFFFF" w:val="clear"/>
            <w:vAlign w:val="center"/>
          </w:tcPr>
          <w:p>
            <w:pPr>
              <w:pStyle w:val="TableContents"/>
              <w:bidi w:val="0"/>
              <w:spacing w:before="0" w:after="283"/>
              <w:ind w:left="560" w:right="0" w:firstLine="560"/>
              <w:jc w:val="left"/>
              <w:rPr>
                <w:rFonts w:ascii="Arial" w:hAnsi="Arial"/>
                <w:color w:val="666666"/>
                <w:sz w:val="20"/>
              </w:rPr>
            </w:pPr>
            <w:r>
              <w:rPr>
                <w:rFonts w:ascii="Arial" w:hAnsi="Arial"/>
                <w:color w:val="666666"/>
                <w:sz w:val="20"/>
              </w:rPr>
              <w:t>Total revenue</w:t>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61,858</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52,857</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180,395</w:t>
            </w:r>
          </w:p>
        </w:tc>
        <w:tc>
          <w:tcPr>
            <w:tcW w:w="146"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155,726</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 </w:t>
            </w:r>
          </w:p>
        </w:tc>
      </w:tr>
      <w:tr>
        <w:trPr/>
        <w:tc>
          <w:tcPr>
            <w:tcW w:w="3451" w:type="dxa"/>
            <w:tcBorders/>
            <w:shd w:fill="E5E5E5" w:val="clear"/>
            <w:vAlign w:val="center"/>
          </w:tcPr>
          <w:p>
            <w:pPr>
              <w:pStyle w:val="TableContents"/>
              <w:bidi w:val="0"/>
              <w:spacing w:before="0" w:after="283"/>
              <w:jc w:val="left"/>
              <w:rPr>
                <w:rFonts w:ascii="Arial" w:hAnsi="Arial"/>
                <w:color w:val="666666"/>
                <w:sz w:val="20"/>
              </w:rPr>
            </w:pPr>
            <w:r>
              <w:rPr>
                <w:rFonts w:ascii="Arial" w:hAnsi="Arial"/>
                <w:color w:val="666666"/>
                <w:sz w:val="20"/>
              </w:rPr>
              <w:t>Cost of revenue:</w:t>
            </w:r>
          </w:p>
        </w:tc>
        <w:tc>
          <w:tcPr>
            <w:tcW w:w="146" w:type="dxa"/>
            <w:tcBorders/>
            <w:shd w:fill="E5E5E5" w:val="clear"/>
            <w:vAlign w:val="center"/>
          </w:tcPr>
          <w:p>
            <w:pPr>
              <w:pStyle w:val="TableContents"/>
              <w:bidi w:val="0"/>
              <w:spacing w:before="0" w:after="283"/>
              <w:jc w:val="left"/>
              <w:rPr/>
            </w:pPr>
            <w:r>
              <w:rPr/>
              <w:t> </w:t>
            </w:r>
          </w:p>
        </w:tc>
        <w:tc>
          <w:tcPr>
            <w:tcW w:w="934" w:type="dxa"/>
            <w:tcBorders/>
            <w:shd w:fill="E5E5E5" w:val="clear"/>
            <w:vAlign w:val="center"/>
          </w:tcPr>
          <w:p>
            <w:pPr>
              <w:pStyle w:val="TableContents"/>
              <w:bidi w:val="0"/>
              <w:spacing w:before="0" w:after="283"/>
              <w:jc w:val="right"/>
              <w:rPr/>
            </w:pPr>
            <w:r>
              <w:rPr/>
              <w:t> </w:t>
            </w:r>
          </w:p>
        </w:tc>
        <w:tc>
          <w:tcPr>
            <w:tcW w:w="171" w:type="dxa"/>
            <w:tcBorders/>
            <w:shd w:fill="E5E5E5" w:val="clear"/>
            <w:vAlign w:val="center"/>
          </w:tcPr>
          <w:p>
            <w:pPr>
              <w:pStyle w:val="TableContents"/>
              <w:bidi w:val="0"/>
              <w:spacing w:before="0" w:after="283"/>
              <w:jc w:val="left"/>
              <w:rPr/>
            </w:pPr>
            <w:r>
              <w:rPr/>
              <w:t> </w:t>
            </w:r>
          </w:p>
        </w:tc>
        <w:tc>
          <w:tcPr>
            <w:tcW w:w="934"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left"/>
              <w:rPr/>
            </w:pPr>
            <w:r>
              <w:rPr/>
              <w:t> </w:t>
            </w:r>
          </w:p>
        </w:tc>
        <w:tc>
          <w:tcPr>
            <w:tcW w:w="1121" w:type="dxa"/>
            <w:tcBorders/>
            <w:shd w:fill="E5E5E5" w:val="clear"/>
            <w:vAlign w:val="center"/>
          </w:tcPr>
          <w:p>
            <w:pPr>
              <w:pStyle w:val="TableContents"/>
              <w:bidi w:val="0"/>
              <w:spacing w:before="0" w:after="283"/>
              <w:ind w:left="0" w:right="0" w:firstLine="280"/>
              <w:jc w:val="right"/>
              <w:rPr/>
            </w:pPr>
            <w:r>
              <w:rPr/>
              <w:t> </w:t>
            </w:r>
          </w:p>
        </w:tc>
      </w:tr>
      <w:tr>
        <w:trPr/>
        <w:tc>
          <w:tcPr>
            <w:tcW w:w="3451" w:type="dxa"/>
            <w:tcBorders/>
            <w:shd w:fill="FFFFFF" w:val="clear"/>
            <w:vAlign w:val="center"/>
          </w:tcPr>
          <w:p>
            <w:pPr>
              <w:pStyle w:val="TableContents"/>
              <w:bidi w:val="0"/>
              <w:spacing w:before="0" w:after="283"/>
              <w:ind w:left="280" w:right="0" w:firstLine="280"/>
              <w:jc w:val="left"/>
              <w:rPr>
                <w:rFonts w:ascii="Arial" w:hAnsi="Arial"/>
                <w:color w:val="666666"/>
                <w:sz w:val="20"/>
              </w:rPr>
            </w:pPr>
            <w:r>
              <w:rPr>
                <w:rFonts w:ascii="Arial" w:hAnsi="Arial"/>
                <w:color w:val="666666"/>
                <w:sz w:val="20"/>
              </w:rPr>
              <w:t>Product</w:t>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4,339</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3,941</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13,834</w:t>
            </w:r>
          </w:p>
        </w:tc>
        <w:tc>
          <w:tcPr>
            <w:tcW w:w="146"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13,933</w:t>
            </w:r>
          </w:p>
        </w:tc>
      </w:tr>
      <w:tr>
        <w:trPr/>
        <w:tc>
          <w:tcPr>
            <w:tcW w:w="3451" w:type="dxa"/>
            <w:tcBorders/>
            <w:shd w:fill="E5E5E5" w:val="clear"/>
            <w:vAlign w:val="center"/>
          </w:tcPr>
          <w:p>
            <w:pPr>
              <w:pStyle w:val="TableContents"/>
              <w:bidi w:val="0"/>
              <w:spacing w:before="0" w:after="283"/>
              <w:ind w:left="280" w:right="0" w:firstLine="280"/>
              <w:jc w:val="left"/>
              <w:rPr>
                <w:rFonts w:ascii="Arial" w:hAnsi="Arial"/>
                <w:color w:val="666666"/>
                <w:sz w:val="20"/>
              </w:rPr>
            </w:pPr>
            <w:r>
              <w:rPr>
                <w:rFonts w:ascii="Arial" w:hAnsi="Arial"/>
                <w:color w:val="666666"/>
                <w:sz w:val="20"/>
              </w:rPr>
              <w:t>Service and other</w:t>
            </w:r>
          </w:p>
        </w:tc>
        <w:tc>
          <w:tcPr>
            <w:tcW w:w="146" w:type="dxa"/>
            <w:tcBorders/>
            <w:shd w:fill="E5E5E5" w:val="clear"/>
            <w:vAlign w:val="center"/>
          </w:tcPr>
          <w:p>
            <w:pPr>
              <w:pStyle w:val="TableContents"/>
              <w:bidi w:val="0"/>
              <w:spacing w:before="0" w:after="283"/>
              <w:jc w:val="left"/>
              <w:rPr/>
            </w:pPr>
            <w:r>
              <w:rPr/>
              <w:t> </w:t>
            </w:r>
          </w:p>
        </w:tc>
        <w:tc>
          <w:tcPr>
            <w:tcW w:w="934"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14,166</w:t>
            </w:r>
          </w:p>
        </w:tc>
        <w:tc>
          <w:tcPr>
            <w:tcW w:w="171" w:type="dxa"/>
            <w:tcBorders/>
            <w:shd w:fill="E5E5E5" w:val="clear"/>
            <w:vAlign w:val="center"/>
          </w:tcPr>
          <w:p>
            <w:pPr>
              <w:pStyle w:val="TableContents"/>
              <w:bidi w:val="0"/>
              <w:spacing w:before="0" w:after="283"/>
              <w:jc w:val="left"/>
              <w:rPr/>
            </w:pPr>
            <w:r>
              <w:rPr/>
              <w:t> </w:t>
            </w:r>
          </w:p>
        </w:tc>
        <w:tc>
          <w:tcPr>
            <w:tcW w:w="934"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12,187</w:t>
            </w:r>
          </w:p>
        </w:tc>
        <w:tc>
          <w:tcPr>
            <w:tcW w:w="146"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40,596</w:t>
            </w:r>
          </w:p>
        </w:tc>
        <w:tc>
          <w:tcPr>
            <w:tcW w:w="146" w:type="dxa"/>
            <w:tcBorders/>
            <w:shd w:fill="E5E5E5" w:val="clear"/>
            <w:vAlign w:val="center"/>
          </w:tcPr>
          <w:p>
            <w:pPr>
              <w:pStyle w:val="TableContents"/>
              <w:bidi w:val="0"/>
              <w:spacing w:before="0" w:after="283"/>
              <w:jc w:val="left"/>
              <w:rPr/>
            </w:pPr>
            <w:r>
              <w:rPr/>
              <w:t> </w:t>
            </w:r>
          </w:p>
        </w:tc>
        <w:tc>
          <w:tcPr>
            <w:tcW w:w="1121"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35,135</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ind w:left="0" w:right="0" w:firstLine="560"/>
              <w:jc w:val="right"/>
              <w:rPr/>
            </w:pPr>
            <w:r>
              <w:rPr/>
              <w:t> </w:t>
            </w:r>
          </w:p>
        </w:tc>
      </w:tr>
      <w:tr>
        <w:trPr/>
        <w:tc>
          <w:tcPr>
            <w:tcW w:w="3451" w:type="dxa"/>
            <w:tcBorders/>
            <w:shd w:fill="FFFFFF" w:val="clear"/>
            <w:vAlign w:val="center"/>
          </w:tcPr>
          <w:p>
            <w:pPr>
              <w:pStyle w:val="TableContents"/>
              <w:bidi w:val="0"/>
              <w:spacing w:before="0" w:after="283"/>
              <w:ind w:left="560" w:right="0" w:firstLine="560"/>
              <w:jc w:val="left"/>
              <w:rPr>
                <w:rFonts w:ascii="Arial" w:hAnsi="Arial"/>
                <w:color w:val="666666"/>
                <w:sz w:val="20"/>
              </w:rPr>
            </w:pPr>
            <w:r>
              <w:rPr>
                <w:rFonts w:ascii="Arial" w:hAnsi="Arial"/>
                <w:color w:val="666666"/>
                <w:sz w:val="20"/>
              </w:rPr>
              <w:t>Total cost of revenue</w:t>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18,505</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16,128</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54,430</w:t>
            </w:r>
          </w:p>
        </w:tc>
        <w:tc>
          <w:tcPr>
            <w:tcW w:w="146"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49,068</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ind w:left="0" w:right="0" w:firstLine="560"/>
              <w:jc w:val="right"/>
              <w:rPr/>
            </w:pPr>
            <w:r>
              <w:rPr/>
              <w:t> </w:t>
            </w:r>
          </w:p>
        </w:tc>
      </w:tr>
      <w:tr>
        <w:trPr/>
        <w:tc>
          <w:tcPr>
            <w:tcW w:w="3451" w:type="dxa"/>
            <w:tcBorders/>
            <w:shd w:fill="E5E5E5" w:val="clear"/>
            <w:vAlign w:val="center"/>
          </w:tcPr>
          <w:p>
            <w:pPr>
              <w:pStyle w:val="TableContents"/>
              <w:bidi w:val="0"/>
              <w:spacing w:before="0" w:after="283"/>
              <w:ind w:left="560" w:right="0" w:firstLine="560"/>
              <w:jc w:val="left"/>
              <w:rPr>
                <w:rFonts w:ascii="Arial" w:hAnsi="Arial"/>
                <w:color w:val="666666"/>
                <w:sz w:val="20"/>
              </w:rPr>
            </w:pPr>
            <w:r>
              <w:rPr>
                <w:rFonts w:ascii="Arial" w:hAnsi="Arial"/>
                <w:color w:val="666666"/>
                <w:sz w:val="20"/>
              </w:rPr>
              <w:t>Gross margin</w:t>
            </w:r>
          </w:p>
        </w:tc>
        <w:tc>
          <w:tcPr>
            <w:tcW w:w="146" w:type="dxa"/>
            <w:tcBorders/>
            <w:shd w:fill="E5E5E5" w:val="clear"/>
            <w:vAlign w:val="center"/>
          </w:tcPr>
          <w:p>
            <w:pPr>
              <w:pStyle w:val="TableContents"/>
              <w:bidi w:val="0"/>
              <w:spacing w:before="0" w:after="283"/>
              <w:jc w:val="left"/>
              <w:rPr/>
            </w:pPr>
            <w:r>
              <w:rPr/>
              <w:t> </w:t>
            </w:r>
          </w:p>
        </w:tc>
        <w:tc>
          <w:tcPr>
            <w:tcW w:w="934"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43,353</w:t>
            </w:r>
          </w:p>
        </w:tc>
        <w:tc>
          <w:tcPr>
            <w:tcW w:w="171" w:type="dxa"/>
            <w:tcBorders/>
            <w:shd w:fill="E5E5E5" w:val="clear"/>
            <w:vAlign w:val="center"/>
          </w:tcPr>
          <w:p>
            <w:pPr>
              <w:pStyle w:val="TableContents"/>
              <w:bidi w:val="0"/>
              <w:spacing w:before="0" w:after="283"/>
              <w:jc w:val="left"/>
              <w:rPr/>
            </w:pPr>
            <w:r>
              <w:rPr/>
              <w:t> </w:t>
            </w:r>
          </w:p>
        </w:tc>
        <w:tc>
          <w:tcPr>
            <w:tcW w:w="934"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36,729</w:t>
            </w:r>
          </w:p>
        </w:tc>
        <w:tc>
          <w:tcPr>
            <w:tcW w:w="146"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125,965</w:t>
            </w:r>
          </w:p>
        </w:tc>
        <w:tc>
          <w:tcPr>
            <w:tcW w:w="146" w:type="dxa"/>
            <w:tcBorders/>
            <w:shd w:fill="E5E5E5" w:val="clear"/>
            <w:vAlign w:val="center"/>
          </w:tcPr>
          <w:p>
            <w:pPr>
              <w:pStyle w:val="TableContents"/>
              <w:bidi w:val="0"/>
              <w:spacing w:before="0" w:after="283"/>
              <w:jc w:val="left"/>
              <w:rPr/>
            </w:pPr>
            <w:r>
              <w:rPr/>
              <w:t> </w:t>
            </w:r>
          </w:p>
        </w:tc>
        <w:tc>
          <w:tcPr>
            <w:tcW w:w="1121"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106,658</w:t>
            </w:r>
          </w:p>
        </w:tc>
      </w:tr>
      <w:tr>
        <w:trPr/>
        <w:tc>
          <w:tcPr>
            <w:tcW w:w="3451" w:type="dxa"/>
            <w:tcBorders/>
            <w:shd w:fill="FFFFFF" w:val="clear"/>
            <w:vAlign w:val="center"/>
          </w:tcPr>
          <w:p>
            <w:pPr>
              <w:pStyle w:val="TableContents"/>
              <w:bidi w:val="0"/>
              <w:spacing w:before="0" w:after="283"/>
              <w:jc w:val="left"/>
              <w:rPr>
                <w:rFonts w:ascii="Arial" w:hAnsi="Arial"/>
                <w:color w:val="666666"/>
                <w:sz w:val="20"/>
              </w:rPr>
            </w:pPr>
            <w:r>
              <w:rPr>
                <w:rFonts w:ascii="Arial" w:hAnsi="Arial"/>
                <w:color w:val="666666"/>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7,653</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6,984</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21,454</w:t>
            </w:r>
          </w:p>
        </w:tc>
        <w:tc>
          <w:tcPr>
            <w:tcW w:w="146"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20,456</w:t>
            </w:r>
          </w:p>
        </w:tc>
      </w:tr>
      <w:tr>
        <w:trPr/>
        <w:tc>
          <w:tcPr>
            <w:tcW w:w="3451" w:type="dxa"/>
            <w:tcBorders/>
            <w:shd w:fill="E5E5E5" w:val="clear"/>
            <w:vAlign w:val="center"/>
          </w:tcPr>
          <w:p>
            <w:pPr>
              <w:pStyle w:val="TableContents"/>
              <w:bidi w:val="0"/>
              <w:spacing w:before="0" w:after="283"/>
              <w:jc w:val="left"/>
              <w:rPr>
                <w:rFonts w:ascii="Arial" w:hAnsi="Arial"/>
                <w:color w:val="666666"/>
                <w:sz w:val="20"/>
              </w:rPr>
            </w:pPr>
            <w:r>
              <w:rPr>
                <w:rFonts w:ascii="Arial" w:hAnsi="Arial"/>
                <w:color w:val="666666"/>
                <w:sz w:val="20"/>
              </w:rPr>
              <w:t>Sales and marketing</w:t>
            </w:r>
          </w:p>
        </w:tc>
        <w:tc>
          <w:tcPr>
            <w:tcW w:w="146" w:type="dxa"/>
            <w:tcBorders/>
            <w:shd w:fill="E5E5E5" w:val="clear"/>
            <w:vAlign w:val="center"/>
          </w:tcPr>
          <w:p>
            <w:pPr>
              <w:pStyle w:val="TableContents"/>
              <w:bidi w:val="0"/>
              <w:spacing w:before="0" w:after="283"/>
              <w:jc w:val="left"/>
              <w:rPr/>
            </w:pPr>
            <w:r>
              <w:rPr/>
              <w:t> </w:t>
            </w:r>
          </w:p>
        </w:tc>
        <w:tc>
          <w:tcPr>
            <w:tcW w:w="934"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6,207</w:t>
            </w:r>
          </w:p>
        </w:tc>
        <w:tc>
          <w:tcPr>
            <w:tcW w:w="171" w:type="dxa"/>
            <w:tcBorders/>
            <w:shd w:fill="E5E5E5" w:val="clear"/>
            <w:vAlign w:val="center"/>
          </w:tcPr>
          <w:p>
            <w:pPr>
              <w:pStyle w:val="TableContents"/>
              <w:bidi w:val="0"/>
              <w:spacing w:before="0" w:after="283"/>
              <w:jc w:val="left"/>
              <w:rPr/>
            </w:pPr>
            <w:r>
              <w:rPr/>
              <w:t> </w:t>
            </w:r>
          </w:p>
        </w:tc>
        <w:tc>
          <w:tcPr>
            <w:tcW w:w="934"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5,750</w:t>
            </w:r>
          </w:p>
        </w:tc>
        <w:tc>
          <w:tcPr>
            <w:tcW w:w="146"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17,640</w:t>
            </w:r>
          </w:p>
        </w:tc>
        <w:tc>
          <w:tcPr>
            <w:tcW w:w="146" w:type="dxa"/>
            <w:tcBorders/>
            <w:shd w:fill="E5E5E5" w:val="clear"/>
            <w:vAlign w:val="center"/>
          </w:tcPr>
          <w:p>
            <w:pPr>
              <w:pStyle w:val="TableContents"/>
              <w:bidi w:val="0"/>
              <w:spacing w:before="0" w:after="283"/>
              <w:jc w:val="left"/>
              <w:rPr/>
            </w:pPr>
            <w:r>
              <w:rPr/>
              <w:t> </w:t>
            </w:r>
          </w:p>
        </w:tc>
        <w:tc>
          <w:tcPr>
            <w:tcW w:w="1121"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16,555</w:t>
            </w:r>
          </w:p>
        </w:tc>
      </w:tr>
      <w:tr>
        <w:trPr/>
        <w:tc>
          <w:tcPr>
            <w:tcW w:w="3451" w:type="dxa"/>
            <w:tcBorders/>
            <w:shd w:fill="FFFFFF" w:val="clear"/>
            <w:vAlign w:val="center"/>
          </w:tcPr>
          <w:p>
            <w:pPr>
              <w:pStyle w:val="TableContents"/>
              <w:bidi w:val="0"/>
              <w:spacing w:before="0" w:after="283"/>
              <w:jc w:val="left"/>
              <w:rPr>
                <w:rFonts w:ascii="Arial" w:hAnsi="Arial"/>
                <w:color w:val="666666"/>
                <w:sz w:val="20"/>
              </w:rPr>
            </w:pPr>
            <w:r>
              <w:rPr>
                <w:rFonts w:ascii="Arial" w:hAnsi="Arial"/>
                <w:color w:val="666666"/>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1,912</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1,643</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5,363</w:t>
            </w:r>
          </w:p>
        </w:tc>
        <w:tc>
          <w:tcPr>
            <w:tcW w:w="146"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5,378</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 </w:t>
            </w:r>
          </w:p>
        </w:tc>
      </w:tr>
      <w:tr>
        <w:trPr/>
        <w:tc>
          <w:tcPr>
            <w:tcW w:w="3451" w:type="dxa"/>
            <w:tcBorders/>
            <w:shd w:fill="E5E5E5" w:val="clear"/>
            <w:vAlign w:val="center"/>
          </w:tcPr>
          <w:p>
            <w:pPr>
              <w:pStyle w:val="TableContents"/>
              <w:bidi w:val="0"/>
              <w:spacing w:before="0" w:after="283"/>
              <w:jc w:val="left"/>
              <w:rPr>
                <w:rFonts w:ascii="Arial" w:hAnsi="Arial"/>
                <w:color w:val="666666"/>
                <w:sz w:val="20"/>
              </w:rPr>
            </w:pPr>
            <w:r>
              <w:rPr>
                <w:rFonts w:ascii="Arial" w:hAnsi="Arial"/>
                <w:color w:val="666666"/>
                <w:sz w:val="20"/>
              </w:rPr>
              <w:t>Operating income</w:t>
            </w:r>
          </w:p>
        </w:tc>
        <w:tc>
          <w:tcPr>
            <w:tcW w:w="146" w:type="dxa"/>
            <w:tcBorders/>
            <w:shd w:fill="E5E5E5" w:val="clear"/>
            <w:vAlign w:val="center"/>
          </w:tcPr>
          <w:p>
            <w:pPr>
              <w:pStyle w:val="TableContents"/>
              <w:bidi w:val="0"/>
              <w:spacing w:before="0" w:after="283"/>
              <w:jc w:val="left"/>
              <w:rPr/>
            </w:pPr>
            <w:r>
              <w:rPr/>
              <w:t> </w:t>
            </w:r>
          </w:p>
        </w:tc>
        <w:tc>
          <w:tcPr>
            <w:tcW w:w="934"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27,581</w:t>
            </w:r>
          </w:p>
        </w:tc>
        <w:tc>
          <w:tcPr>
            <w:tcW w:w="171" w:type="dxa"/>
            <w:tcBorders/>
            <w:shd w:fill="E5E5E5" w:val="clear"/>
            <w:vAlign w:val="center"/>
          </w:tcPr>
          <w:p>
            <w:pPr>
              <w:pStyle w:val="TableContents"/>
              <w:bidi w:val="0"/>
              <w:spacing w:before="0" w:after="283"/>
              <w:jc w:val="left"/>
              <w:rPr/>
            </w:pPr>
            <w:r>
              <w:rPr/>
              <w:t> </w:t>
            </w:r>
          </w:p>
        </w:tc>
        <w:tc>
          <w:tcPr>
            <w:tcW w:w="934"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22,352</w:t>
            </w:r>
          </w:p>
        </w:tc>
        <w:tc>
          <w:tcPr>
            <w:tcW w:w="146"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81,508</w:t>
            </w:r>
          </w:p>
        </w:tc>
        <w:tc>
          <w:tcPr>
            <w:tcW w:w="146" w:type="dxa"/>
            <w:tcBorders/>
            <w:shd w:fill="E5E5E5" w:val="clear"/>
            <w:vAlign w:val="center"/>
          </w:tcPr>
          <w:p>
            <w:pPr>
              <w:pStyle w:val="TableContents"/>
              <w:bidi w:val="0"/>
              <w:spacing w:before="0" w:after="283"/>
              <w:jc w:val="left"/>
              <w:rPr/>
            </w:pPr>
            <w:r>
              <w:rPr/>
              <w:t> </w:t>
            </w:r>
          </w:p>
        </w:tc>
        <w:tc>
          <w:tcPr>
            <w:tcW w:w="1121"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64,269</w:t>
            </w:r>
          </w:p>
        </w:tc>
      </w:tr>
      <w:tr>
        <w:trPr/>
        <w:tc>
          <w:tcPr>
            <w:tcW w:w="3451" w:type="dxa"/>
            <w:tcBorders/>
            <w:shd w:fill="FFFFFF" w:val="clear"/>
            <w:vAlign w:val="center"/>
          </w:tcPr>
          <w:p>
            <w:pPr>
              <w:pStyle w:val="TableContents"/>
              <w:bidi w:val="0"/>
              <w:spacing w:before="0" w:after="283"/>
              <w:jc w:val="left"/>
              <w:rPr>
                <w:rFonts w:ascii="Arial" w:hAnsi="Arial"/>
                <w:color w:val="666666"/>
                <w:sz w:val="20"/>
              </w:rPr>
            </w:pPr>
            <w:r>
              <w:rPr>
                <w:rFonts w:ascii="Arial" w:hAnsi="Arial"/>
                <w:color w:val="666666"/>
                <w:sz w:val="20"/>
              </w:rPr>
              <w:t>Other income (expense), net</w:t>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(854)</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321</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(971)</w:t>
            </w:r>
          </w:p>
        </w:tc>
        <w:tc>
          <w:tcPr>
            <w:tcW w:w="146"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315</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 </w:t>
            </w:r>
          </w:p>
        </w:tc>
      </w:tr>
      <w:tr>
        <w:trPr/>
        <w:tc>
          <w:tcPr>
            <w:tcW w:w="3451" w:type="dxa"/>
            <w:tcBorders/>
            <w:shd w:fill="E5E5E5" w:val="clear"/>
            <w:vAlign w:val="center"/>
          </w:tcPr>
          <w:p>
            <w:pPr>
              <w:pStyle w:val="TableContents"/>
              <w:bidi w:val="0"/>
              <w:spacing w:before="0" w:after="283"/>
              <w:jc w:val="left"/>
              <w:rPr>
                <w:rFonts w:ascii="Arial" w:hAnsi="Arial"/>
                <w:color w:val="666666"/>
                <w:sz w:val="20"/>
              </w:rPr>
            </w:pPr>
            <w:r>
              <w:rPr>
                <w:rFonts w:ascii="Arial" w:hAnsi="Arial"/>
                <w:color w:val="666666"/>
                <w:sz w:val="20"/>
              </w:rPr>
              <w:t>Income before income taxes</w:t>
            </w:r>
          </w:p>
        </w:tc>
        <w:tc>
          <w:tcPr>
            <w:tcW w:w="146" w:type="dxa"/>
            <w:tcBorders/>
            <w:shd w:fill="E5E5E5" w:val="clear"/>
            <w:vAlign w:val="center"/>
          </w:tcPr>
          <w:p>
            <w:pPr>
              <w:pStyle w:val="TableContents"/>
              <w:bidi w:val="0"/>
              <w:spacing w:before="0" w:after="283"/>
              <w:jc w:val="left"/>
              <w:rPr/>
            </w:pPr>
            <w:r>
              <w:rPr/>
              <w:t> </w:t>
            </w:r>
          </w:p>
        </w:tc>
        <w:tc>
          <w:tcPr>
            <w:tcW w:w="934"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26,727</w:t>
            </w:r>
          </w:p>
        </w:tc>
        <w:tc>
          <w:tcPr>
            <w:tcW w:w="171" w:type="dxa"/>
            <w:tcBorders/>
            <w:shd w:fill="E5E5E5" w:val="clear"/>
            <w:vAlign w:val="center"/>
          </w:tcPr>
          <w:p>
            <w:pPr>
              <w:pStyle w:val="TableContents"/>
              <w:bidi w:val="0"/>
              <w:spacing w:before="0" w:after="283"/>
              <w:jc w:val="left"/>
              <w:rPr/>
            </w:pPr>
            <w:r>
              <w:rPr/>
              <w:t> </w:t>
            </w:r>
          </w:p>
        </w:tc>
        <w:tc>
          <w:tcPr>
            <w:tcW w:w="934"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22,673</w:t>
            </w:r>
          </w:p>
        </w:tc>
        <w:tc>
          <w:tcPr>
            <w:tcW w:w="146"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80,537</w:t>
            </w:r>
          </w:p>
        </w:tc>
        <w:tc>
          <w:tcPr>
            <w:tcW w:w="146" w:type="dxa"/>
            <w:tcBorders/>
            <w:shd w:fill="E5E5E5" w:val="clear"/>
            <w:vAlign w:val="center"/>
          </w:tcPr>
          <w:p>
            <w:pPr>
              <w:pStyle w:val="TableContents"/>
              <w:bidi w:val="0"/>
              <w:spacing w:before="0" w:after="283"/>
              <w:jc w:val="left"/>
              <w:rPr/>
            </w:pPr>
            <w:r>
              <w:rPr/>
              <w:t> </w:t>
            </w:r>
          </w:p>
        </w:tc>
        <w:tc>
          <w:tcPr>
            <w:tcW w:w="1121"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64,584</w:t>
            </w:r>
          </w:p>
        </w:tc>
      </w:tr>
      <w:tr>
        <w:trPr/>
        <w:tc>
          <w:tcPr>
            <w:tcW w:w="3451" w:type="dxa"/>
            <w:tcBorders/>
            <w:shd w:fill="FFFFFF" w:val="clear"/>
            <w:vAlign w:val="center"/>
          </w:tcPr>
          <w:p>
            <w:pPr>
              <w:pStyle w:val="TableContents"/>
              <w:bidi w:val="0"/>
              <w:spacing w:before="0" w:after="283"/>
              <w:jc w:val="left"/>
              <w:rPr>
                <w:rFonts w:ascii="Arial" w:hAnsi="Arial"/>
                <w:color w:val="666666"/>
                <w:sz w:val="20"/>
              </w:rPr>
            </w:pPr>
            <w:r>
              <w:rPr>
                <w:rFonts w:ascii="Arial" w:hAnsi="Arial"/>
                <w:color w:val="666666"/>
                <w:sz w:val="20"/>
              </w:rPr>
              <w:t>Provision for income taxes</w:t>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4,788</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4,374</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14,437</w:t>
            </w:r>
          </w:p>
        </w:tc>
        <w:tc>
          <w:tcPr>
            <w:tcW w:w="146"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12,304</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 </w:t>
            </w:r>
          </w:p>
        </w:tc>
      </w:tr>
      <w:tr>
        <w:trPr/>
        <w:tc>
          <w:tcPr>
            <w:tcW w:w="3451" w:type="dxa"/>
            <w:tcBorders/>
            <w:shd w:fill="E5E5E5" w:val="clear"/>
            <w:vAlign w:val="center"/>
          </w:tcPr>
          <w:p>
            <w:pPr>
              <w:pStyle w:val="TableContents"/>
              <w:bidi w:val="0"/>
              <w:spacing w:before="0" w:after="283"/>
              <w:jc w:val="left"/>
              <w:rPr>
                <w:rFonts w:ascii="Arial" w:hAnsi="Arial"/>
                <w:color w:val="666666"/>
                <w:sz w:val="20"/>
              </w:rPr>
            </w:pPr>
            <w:r>
              <w:rPr>
                <w:rFonts w:ascii="Arial" w:hAnsi="Arial"/>
                <w:color w:val="666666"/>
                <w:sz w:val="20"/>
              </w:rPr>
              <w:t>Net income</w:t>
            </w:r>
          </w:p>
        </w:tc>
        <w:tc>
          <w:tcPr>
            <w:tcW w:w="146" w:type="dxa"/>
            <w:tcBorders/>
            <w:shd w:fill="E5E5E5" w:val="clear"/>
            <w:vAlign w:val="center"/>
          </w:tcPr>
          <w:p>
            <w:pPr>
              <w:pStyle w:val="TableContents"/>
              <w:bidi w:val="0"/>
              <w:spacing w:before="0" w:after="283"/>
              <w:jc w:val="left"/>
              <w:rPr/>
            </w:pPr>
            <w:r>
              <w:rPr/>
              <w:t> </w:t>
            </w:r>
          </w:p>
        </w:tc>
        <w:tc>
          <w:tcPr>
            <w:tcW w:w="934"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$21,939</w:t>
            </w:r>
          </w:p>
        </w:tc>
        <w:tc>
          <w:tcPr>
            <w:tcW w:w="171" w:type="dxa"/>
            <w:tcBorders/>
            <w:shd w:fill="E5E5E5" w:val="clear"/>
            <w:vAlign w:val="center"/>
          </w:tcPr>
          <w:p>
            <w:pPr>
              <w:pStyle w:val="TableContents"/>
              <w:bidi w:val="0"/>
              <w:spacing w:before="0" w:after="283"/>
              <w:jc w:val="left"/>
              <w:rPr/>
            </w:pPr>
            <w:r>
              <w:rPr/>
              <w:t> </w:t>
            </w:r>
          </w:p>
        </w:tc>
        <w:tc>
          <w:tcPr>
            <w:tcW w:w="934"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$18,299</w:t>
            </w:r>
          </w:p>
        </w:tc>
        <w:tc>
          <w:tcPr>
            <w:tcW w:w="146"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$66,100</w:t>
            </w:r>
          </w:p>
        </w:tc>
        <w:tc>
          <w:tcPr>
            <w:tcW w:w="146" w:type="dxa"/>
            <w:tcBorders/>
            <w:shd w:fill="E5E5E5" w:val="clear"/>
            <w:vAlign w:val="center"/>
          </w:tcPr>
          <w:p>
            <w:pPr>
              <w:pStyle w:val="TableContents"/>
              <w:bidi w:val="0"/>
              <w:spacing w:before="0" w:after="283"/>
              <w:jc w:val="left"/>
              <w:rPr/>
            </w:pPr>
            <w:r>
              <w:rPr/>
              <w:t> </w:t>
            </w:r>
          </w:p>
        </w:tc>
        <w:tc>
          <w:tcPr>
            <w:tcW w:w="1121"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$52,280</w:t>
            </w:r>
          </w:p>
        </w:tc>
      </w:tr>
      <w:tr>
        <w:trPr/>
        <w:tc>
          <w:tcPr>
            <w:tcW w:w="3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 </w:t>
            </w:r>
          </w:p>
        </w:tc>
      </w:tr>
      <w:tr>
        <w:trPr/>
        <w:tc>
          <w:tcPr>
            <w:tcW w:w="3451" w:type="dxa"/>
            <w:tcBorders/>
            <w:shd w:fill="FFFFFF" w:val="clear"/>
            <w:vAlign w:val="center"/>
          </w:tcPr>
          <w:p>
            <w:pPr>
              <w:pStyle w:val="TableContents"/>
              <w:bidi w:val="0"/>
              <w:spacing w:before="0" w:after="283"/>
              <w:jc w:val="left"/>
              <w:rPr>
                <w:rFonts w:ascii="Arial" w:hAnsi="Arial"/>
                <w:color w:val="666666"/>
                <w:sz w:val="20"/>
              </w:rPr>
            </w:pPr>
            <w:r>
              <w:rPr>
                <w:rFonts w:ascii="Arial" w:hAnsi="Arial"/>
                <w:color w:val="666666"/>
                <w:sz w:val="20"/>
              </w:rPr>
              <w:t>Earnings per share:</w:t>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ind w:left="0" w:right="0" w:firstLine="280"/>
              <w:jc w:val="right"/>
              <w:rPr/>
            </w:pPr>
            <w:r>
              <w:rPr/>
              <w:t> </w:t>
            </w:r>
          </w:p>
        </w:tc>
      </w:tr>
      <w:tr>
        <w:trPr/>
        <w:tc>
          <w:tcPr>
            <w:tcW w:w="3451" w:type="dxa"/>
            <w:tcBorders/>
            <w:shd w:fill="E5E5E5" w:val="clear"/>
            <w:vAlign w:val="center"/>
          </w:tcPr>
          <w:p>
            <w:pPr>
              <w:pStyle w:val="TableContents"/>
              <w:bidi w:val="0"/>
              <w:spacing w:before="0" w:after="283"/>
              <w:ind w:left="280" w:right="0" w:firstLine="280"/>
              <w:jc w:val="left"/>
              <w:rPr>
                <w:rFonts w:ascii="Arial" w:hAnsi="Arial"/>
                <w:color w:val="666666"/>
                <w:sz w:val="20"/>
              </w:rPr>
            </w:pPr>
            <w:r>
              <w:rPr>
                <w:rFonts w:ascii="Arial" w:hAnsi="Arial"/>
                <w:color w:val="666666"/>
                <w:sz w:val="20"/>
              </w:rPr>
              <w:t>Basic</w:t>
            </w:r>
          </w:p>
        </w:tc>
        <w:tc>
          <w:tcPr>
            <w:tcW w:w="146" w:type="dxa"/>
            <w:tcBorders/>
            <w:shd w:fill="E5E5E5" w:val="clear"/>
            <w:vAlign w:val="center"/>
          </w:tcPr>
          <w:p>
            <w:pPr>
              <w:pStyle w:val="TableContents"/>
              <w:bidi w:val="0"/>
              <w:spacing w:before="0" w:after="283"/>
              <w:jc w:val="left"/>
              <w:rPr/>
            </w:pPr>
            <w:r>
              <w:rPr/>
              <w:t> </w:t>
            </w:r>
          </w:p>
        </w:tc>
        <w:tc>
          <w:tcPr>
            <w:tcW w:w="934"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$2.95</w:t>
            </w:r>
          </w:p>
        </w:tc>
        <w:tc>
          <w:tcPr>
            <w:tcW w:w="171" w:type="dxa"/>
            <w:tcBorders/>
            <w:shd w:fill="E5E5E5" w:val="clear"/>
            <w:vAlign w:val="center"/>
          </w:tcPr>
          <w:p>
            <w:pPr>
              <w:pStyle w:val="TableContents"/>
              <w:bidi w:val="0"/>
              <w:spacing w:before="0" w:after="283"/>
              <w:jc w:val="left"/>
              <w:rPr/>
            </w:pPr>
            <w:r>
              <w:rPr/>
              <w:t> </w:t>
            </w:r>
          </w:p>
        </w:tc>
        <w:tc>
          <w:tcPr>
            <w:tcW w:w="934"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$2.46</w:t>
            </w:r>
          </w:p>
        </w:tc>
        <w:tc>
          <w:tcPr>
            <w:tcW w:w="146"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$8.90</w:t>
            </w:r>
          </w:p>
        </w:tc>
        <w:tc>
          <w:tcPr>
            <w:tcW w:w="146" w:type="dxa"/>
            <w:tcBorders/>
            <w:shd w:fill="E5E5E5" w:val="clear"/>
            <w:vAlign w:val="center"/>
          </w:tcPr>
          <w:p>
            <w:pPr>
              <w:pStyle w:val="TableContents"/>
              <w:bidi w:val="0"/>
              <w:spacing w:before="0" w:after="283"/>
              <w:jc w:val="left"/>
              <w:rPr/>
            </w:pPr>
            <w:r>
              <w:rPr/>
              <w:t> </w:t>
            </w:r>
          </w:p>
        </w:tc>
        <w:tc>
          <w:tcPr>
            <w:tcW w:w="1121" w:type="dxa"/>
            <w:tcBorders/>
            <w:shd w:fill="E5E5E5" w:val="cle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$7.02</w:t>
            </w:r>
          </w:p>
        </w:tc>
      </w:tr>
      <w:tr>
        <w:trPr/>
        <w:tc>
          <w:tcPr>
            <w:tcW w:w="3451" w:type="dxa"/>
            <w:tcBorders/>
            <w:shd w:fill="FFFFFF" w:val="clear"/>
            <w:vAlign w:val="center"/>
          </w:tcPr>
          <w:p>
            <w:pPr>
              <w:pStyle w:val="TableContents"/>
              <w:bidi w:val="0"/>
              <w:spacing w:before="0" w:after="283"/>
              <w:ind w:left="280" w:right="0" w:firstLine="280"/>
              <w:jc w:val="left"/>
              <w:rPr>
                <w:rFonts w:ascii="Arial" w:hAnsi="Arial"/>
                <w:color w:val="666666"/>
                <w:sz w:val="20"/>
              </w:rPr>
            </w:pPr>
            <w:r>
              <w:rPr>
                <w:rFonts w:ascii="Arial" w:hAnsi="Arial"/>
                <w:color w:val="666666"/>
                <w:sz w:val="20"/>
              </w:rPr>
              <w:t>Diluted</w:t>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$2.94</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$2.45</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$8.85</w:t>
            </w:r>
          </w:p>
        </w:tc>
        <w:tc>
          <w:tcPr>
            <w:tcW w:w="146"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$6.99</w:t>
            </w:r>
          </w:p>
        </w:tc>
      </w:tr>
      <w:tr>
        <w:trPr/>
        <w:tc>
          <w:tcPr>
            <w:tcW w:w="3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 </w:t>
            </w:r>
          </w:p>
        </w:tc>
      </w:tr>
      <w:tr>
        <w:trPr/>
        <w:tc>
          <w:tcPr>
            <w:tcW w:w="3451" w:type="dxa"/>
            <w:tcBorders/>
            <w:shd w:fill="E5E5E5" w:val="clear"/>
            <w:vAlign w:val="center"/>
          </w:tcPr>
          <w:p>
            <w:pPr>
              <w:pStyle w:val="TableContents"/>
              <w:bidi w:val="0"/>
              <w:spacing w:before="0" w:after="283"/>
              <w:jc w:val="left"/>
              <w:rPr>
                <w:rFonts w:ascii="Arial" w:hAnsi="Arial"/>
                <w:color w:val="666666"/>
                <w:sz w:val="20"/>
              </w:rPr>
            </w:pPr>
            <w:r>
              <w:rPr>
                <w:rFonts w:ascii="Arial" w:hAnsi="Arial"/>
                <w:color w:val="666666"/>
                <w:sz w:val="20"/>
              </w:rPr>
              <w:t>Weighted average shares outstanding:</w:t>
            </w:r>
          </w:p>
        </w:tc>
        <w:tc>
          <w:tcPr>
            <w:tcW w:w="146" w:type="dxa"/>
            <w:tcBorders/>
            <w:shd w:fill="E5E5E5" w:val="clear"/>
            <w:vAlign w:val="center"/>
          </w:tcPr>
          <w:p>
            <w:pPr>
              <w:pStyle w:val="TableContents"/>
              <w:bidi w:val="0"/>
              <w:spacing w:before="0" w:after="283"/>
              <w:jc w:val="left"/>
              <w:rPr/>
            </w:pPr>
            <w:r>
              <w:rPr/>
              <w:t> </w:t>
            </w:r>
          </w:p>
        </w:tc>
        <w:tc>
          <w:tcPr>
            <w:tcW w:w="934" w:type="dxa"/>
            <w:tcBorders/>
            <w:shd w:fill="E5E5E5" w:val="clear"/>
            <w:vAlign w:val="center"/>
          </w:tcPr>
          <w:p>
            <w:pPr>
              <w:pStyle w:val="TableContents"/>
              <w:bidi w:val="0"/>
              <w:spacing w:before="0" w:after="283"/>
              <w:jc w:val="right"/>
              <w:rPr/>
            </w:pPr>
            <w:r>
              <w:rPr/>
              <w:t> </w:t>
            </w:r>
          </w:p>
        </w:tc>
        <w:tc>
          <w:tcPr>
            <w:tcW w:w="171" w:type="dxa"/>
            <w:tcBorders/>
            <w:shd w:fill="E5E5E5" w:val="clear"/>
            <w:vAlign w:val="center"/>
          </w:tcPr>
          <w:p>
            <w:pPr>
              <w:pStyle w:val="TableContents"/>
              <w:bidi w:val="0"/>
              <w:spacing w:before="0" w:after="283"/>
              <w:jc w:val="left"/>
              <w:rPr/>
            </w:pPr>
            <w:r>
              <w:rPr/>
              <w:t> </w:t>
            </w:r>
          </w:p>
        </w:tc>
        <w:tc>
          <w:tcPr>
            <w:tcW w:w="934"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left"/>
              <w:rPr/>
            </w:pPr>
            <w:r>
              <w:rPr/>
              <w:t> </w:t>
            </w:r>
          </w:p>
        </w:tc>
        <w:tc>
          <w:tcPr>
            <w:tcW w:w="1121" w:type="dxa"/>
            <w:tcBorders/>
            <w:shd w:fill="E5E5E5" w:val="clear"/>
            <w:vAlign w:val="center"/>
          </w:tcPr>
          <w:p>
            <w:pPr>
              <w:pStyle w:val="TableContents"/>
              <w:bidi w:val="0"/>
              <w:spacing w:before="0" w:after="283"/>
              <w:ind w:left="0" w:right="0" w:firstLine="280"/>
              <w:jc w:val="right"/>
              <w:rPr/>
            </w:pPr>
            <w:r>
              <w:rPr/>
              <w:t> </w:t>
            </w:r>
          </w:p>
        </w:tc>
      </w:tr>
      <w:tr>
        <w:trPr/>
        <w:tc>
          <w:tcPr>
            <w:tcW w:w="3451" w:type="dxa"/>
            <w:tcBorders/>
            <w:shd w:fill="FFFFFF" w:val="clear"/>
            <w:vAlign w:val="center"/>
          </w:tcPr>
          <w:p>
            <w:pPr>
              <w:pStyle w:val="TableContents"/>
              <w:bidi w:val="0"/>
              <w:spacing w:before="0" w:after="283"/>
              <w:ind w:left="280" w:right="0" w:firstLine="280"/>
              <w:jc w:val="left"/>
              <w:rPr>
                <w:rFonts w:ascii="Arial" w:hAnsi="Arial"/>
                <w:color w:val="666666"/>
                <w:sz w:val="20"/>
              </w:rPr>
            </w:pPr>
            <w:r>
              <w:rPr>
                <w:rFonts w:ascii="Arial" w:hAnsi="Arial"/>
                <w:color w:val="666666"/>
                <w:sz w:val="20"/>
              </w:rPr>
              <w:t>Basic</w:t>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7,431</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7,441</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7,431</w:t>
            </w:r>
          </w:p>
        </w:tc>
        <w:tc>
          <w:tcPr>
            <w:tcW w:w="146"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7,450</w:t>
            </w:r>
          </w:p>
        </w:tc>
      </w:tr>
      <w:tr>
        <w:trPr/>
        <w:tc>
          <w:tcPr>
            <w:tcW w:w="3451" w:type="dxa"/>
            <w:tcBorders/>
            <w:shd w:fill="E5E5E5" w:val="clear"/>
            <w:vAlign w:val="center"/>
          </w:tcPr>
          <w:p>
            <w:pPr>
              <w:pStyle w:val="TableContents"/>
              <w:bidi w:val="0"/>
              <w:spacing w:before="0" w:after="283"/>
              <w:ind w:left="280" w:right="0" w:firstLine="280"/>
              <w:jc w:val="left"/>
              <w:rPr>
                <w:rFonts w:ascii="Arial" w:hAnsi="Arial"/>
                <w:color w:val="666666"/>
                <w:sz w:val="20"/>
              </w:rPr>
            </w:pPr>
            <w:r>
              <w:rPr>
                <w:rFonts w:ascii="Arial" w:hAnsi="Arial"/>
                <w:color w:val="666666"/>
                <w:sz w:val="20"/>
              </w:rPr>
              <w:t>Diluted</w:t>
            </w:r>
          </w:p>
        </w:tc>
        <w:tc>
          <w:tcPr>
            <w:tcW w:w="146" w:type="dxa"/>
            <w:tcBorders/>
            <w:shd w:fill="E5E5E5" w:val="clear"/>
            <w:vAlign w:val="center"/>
          </w:tcPr>
          <w:p>
            <w:pPr>
              <w:pStyle w:val="TableContents"/>
              <w:bidi w:val="0"/>
              <w:spacing w:before="0" w:after="283"/>
              <w:jc w:val="left"/>
              <w:rPr/>
            </w:pPr>
            <w:r>
              <w:rPr/>
              <w:t> </w:t>
            </w:r>
          </w:p>
        </w:tc>
        <w:tc>
          <w:tcPr>
            <w:tcW w:w="934"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7,472</w:t>
            </w:r>
          </w:p>
        </w:tc>
        <w:tc>
          <w:tcPr>
            <w:tcW w:w="171" w:type="dxa"/>
            <w:tcBorders/>
            <w:shd w:fill="E5E5E5" w:val="clear"/>
            <w:vAlign w:val="center"/>
          </w:tcPr>
          <w:p>
            <w:pPr>
              <w:pStyle w:val="TableContents"/>
              <w:bidi w:val="0"/>
              <w:spacing w:before="0" w:after="283"/>
              <w:jc w:val="left"/>
              <w:rPr/>
            </w:pPr>
            <w:r>
              <w:rPr/>
              <w:t> </w:t>
            </w:r>
          </w:p>
        </w:tc>
        <w:tc>
          <w:tcPr>
            <w:tcW w:w="934"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7,464</w:t>
            </w:r>
          </w:p>
        </w:tc>
        <w:tc>
          <w:tcPr>
            <w:tcW w:w="146" w:type="dxa"/>
            <w:tcBorders/>
            <w:shd w:fill="E5E5E5" w:val="clear"/>
            <w:vAlign w:val="center"/>
          </w:tcPr>
          <w:p>
            <w:pPr>
              <w:pStyle w:val="TableContents"/>
              <w:bidi w:val="0"/>
              <w:spacing w:before="0" w:after="283"/>
              <w:jc w:val="left"/>
              <w:rPr/>
            </w:pPr>
            <w:r>
              <w:rPr/>
              <w:t> </w:t>
            </w:r>
          </w:p>
        </w:tc>
        <w:tc>
          <w:tcPr>
            <w:tcW w:w="796"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7,467</w:t>
            </w:r>
          </w:p>
        </w:tc>
        <w:tc>
          <w:tcPr>
            <w:tcW w:w="146" w:type="dxa"/>
            <w:tcBorders/>
            <w:shd w:fill="E5E5E5" w:val="clear"/>
            <w:vAlign w:val="center"/>
          </w:tcPr>
          <w:p>
            <w:pPr>
              <w:pStyle w:val="TableContents"/>
              <w:bidi w:val="0"/>
              <w:spacing w:before="0" w:after="283"/>
              <w:jc w:val="left"/>
              <w:rPr/>
            </w:pPr>
            <w:r>
              <w:rPr/>
              <w:t> </w:t>
            </w:r>
          </w:p>
        </w:tc>
        <w:tc>
          <w:tcPr>
            <w:tcW w:w="1121"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7,474</w:t>
            </w:r>
          </w:p>
        </w:tc>
      </w:tr>
      <w:tr>
        <w:trPr/>
        <w:tc>
          <w:tcPr>
            <w:tcW w:w="3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666666"/>
          <w:sz w:val="20"/>
        </w:rPr>
      </w:pPr>
      <w:r>
        <w:rPr>
          <w:rFonts w:ascii="Arial" w:hAnsi="Arial"/>
          <w:color w:val="666666"/>
          <w:sz w:val="20"/>
        </w:rPr>
        <w:t>COMPREHENSIVE INCOME STATEMENTS</w:t>
      </w:r>
    </w:p>
    <w:p>
      <w:pPr>
        <w:pStyle w:val="TextBody"/>
        <w:bidi w:val="0"/>
        <w:spacing w:before="120" w:after="283"/>
        <w:jc w:val="center"/>
        <w:rPr>
          <w:rFonts w:ascii="Arial" w:hAnsi="Arial"/>
          <w:color w:val="666666"/>
          <w:sz w:val="20"/>
        </w:rPr>
      </w:pPr>
      <w:r>
        <w:rPr>
          <w:rFonts w:ascii="Arial" w:hAnsi="Arial"/>
          <w:color w:val="666666"/>
          <w:sz w:val="20"/>
        </w:rPr>
        <w:t>(In millions) (Unaudited)</w:t>
      </w:r>
    </w:p>
    <w:p>
      <w:pPr>
        <w:pStyle w:val="TextBody"/>
        <w:bidi w:val="0"/>
        <w:jc w:val="left"/>
        <w:rPr/>
      </w:pPr>
      <w:r>
        <w:rPr/>
        <w:t> </w:t>
      </w:r>
    </w:p>
    <w:tbl>
      <w:tblPr>
        <w:tblW w:w="8526" w:type="dxa"/>
        <w:jc w:val="left"/>
        <w:tblInd w:w="0" w:type="dxa"/>
        <w:tblLayout w:type="fixed"/>
        <w:tblCellMar>
          <w:top w:w="28" w:type="dxa"/>
          <w:left w:w="28" w:type="dxa"/>
          <w:bottom w:w="28" w:type="dxa"/>
          <w:right w:w="28" w:type="dxa"/>
        </w:tblCellMar>
      </w:tblPr>
      <w:tblGrid>
        <w:gridCol w:w="4216"/>
        <w:gridCol w:w="146"/>
        <w:gridCol w:w="934"/>
        <w:gridCol w:w="171"/>
        <w:gridCol w:w="934"/>
        <w:gridCol w:w="146"/>
        <w:gridCol w:w="872"/>
        <w:gridCol w:w="159"/>
        <w:gridCol w:w="948"/>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039" w:type="dxa"/>
            <w:gridSpan w:val="3"/>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Three Months Ended</w:t>
            </w:r>
          </w:p>
        </w:tc>
        <w:tc>
          <w:tcPr>
            <w:tcW w:w="146" w:type="dxa"/>
            <w:tcBorders/>
            <w:shd w:fill="FFFFFF" w:val="clear"/>
            <w:vAlign w:val="center"/>
          </w:tcPr>
          <w:p>
            <w:pPr>
              <w:pStyle w:val="TableContents"/>
              <w:bidi w:val="0"/>
              <w:spacing w:before="0" w:after="283"/>
              <w:jc w:val="left"/>
              <w:rPr/>
            </w:pPr>
            <w:r>
              <w:rPr/>
              <w:t> </w:t>
            </w:r>
          </w:p>
        </w:tc>
        <w:tc>
          <w:tcPr>
            <w:tcW w:w="1979" w:type="dxa"/>
            <w:gridSpan w:val="3"/>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Nine Months Ended</w:t>
            </w:r>
          </w:p>
        </w:tc>
      </w:tr>
      <w:tr>
        <w:trPr/>
        <w:tc>
          <w:tcPr>
            <w:tcW w:w="42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039" w:type="dxa"/>
            <w:gridSpan w:val="3"/>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March 31,</w:t>
            </w:r>
          </w:p>
        </w:tc>
        <w:tc>
          <w:tcPr>
            <w:tcW w:w="146" w:type="dxa"/>
            <w:tcBorders/>
            <w:shd w:fill="FFFFFF" w:val="clear"/>
            <w:vAlign w:val="center"/>
          </w:tcPr>
          <w:p>
            <w:pPr>
              <w:pStyle w:val="TableContents"/>
              <w:bidi w:val="0"/>
              <w:spacing w:before="0" w:after="283"/>
              <w:jc w:val="left"/>
              <w:rPr/>
            </w:pPr>
            <w:r>
              <w:rPr/>
              <w:t> </w:t>
            </w:r>
          </w:p>
        </w:tc>
        <w:tc>
          <w:tcPr>
            <w:tcW w:w="1979" w:type="dxa"/>
            <w:gridSpan w:val="3"/>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March 31,</w:t>
            </w:r>
          </w:p>
        </w:tc>
      </w:tr>
      <w:tr>
        <w:trPr/>
        <w:tc>
          <w:tcPr>
            <w:tcW w:w="42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2024</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2023</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2024</w:t>
            </w:r>
          </w:p>
        </w:tc>
        <w:tc>
          <w:tcPr>
            <w:tcW w:w="159"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2023</w:t>
            </w:r>
          </w:p>
        </w:tc>
      </w:tr>
      <w:tr>
        <w:trPr/>
        <w:tc>
          <w:tcPr>
            <w:tcW w:w="4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 </w:t>
            </w:r>
          </w:p>
        </w:tc>
      </w:tr>
      <w:tr>
        <w:trPr/>
        <w:tc>
          <w:tcPr>
            <w:tcW w:w="4216" w:type="dxa"/>
            <w:tcBorders/>
            <w:shd w:fill="E5E5E5" w:val="clear"/>
            <w:vAlign w:val="center"/>
          </w:tcPr>
          <w:p>
            <w:pPr>
              <w:pStyle w:val="TableContents"/>
              <w:bidi w:val="0"/>
              <w:spacing w:before="0" w:after="283"/>
              <w:jc w:val="left"/>
              <w:rPr>
                <w:rFonts w:ascii="Arial" w:hAnsi="Arial"/>
                <w:color w:val="666666"/>
                <w:sz w:val="20"/>
              </w:rPr>
            </w:pPr>
            <w:r>
              <w:rPr>
                <w:rFonts w:ascii="Arial" w:hAnsi="Arial"/>
                <w:color w:val="666666"/>
                <w:sz w:val="20"/>
              </w:rPr>
              <w:t>Net income</w:t>
            </w:r>
          </w:p>
        </w:tc>
        <w:tc>
          <w:tcPr>
            <w:tcW w:w="146" w:type="dxa"/>
            <w:tcBorders/>
            <w:shd w:fill="E5E5E5" w:val="clear"/>
            <w:vAlign w:val="center"/>
          </w:tcPr>
          <w:p>
            <w:pPr>
              <w:pStyle w:val="TableContents"/>
              <w:bidi w:val="0"/>
              <w:spacing w:before="0" w:after="283"/>
              <w:jc w:val="left"/>
              <w:rPr/>
            </w:pPr>
            <w:r>
              <w:rPr/>
              <w:t> </w:t>
            </w:r>
          </w:p>
        </w:tc>
        <w:tc>
          <w:tcPr>
            <w:tcW w:w="934"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$21,939</w:t>
            </w:r>
          </w:p>
        </w:tc>
        <w:tc>
          <w:tcPr>
            <w:tcW w:w="171" w:type="dxa"/>
            <w:tcBorders/>
            <w:shd w:fill="E5E5E5" w:val="clear"/>
            <w:vAlign w:val="center"/>
          </w:tcPr>
          <w:p>
            <w:pPr>
              <w:pStyle w:val="TableContents"/>
              <w:bidi w:val="0"/>
              <w:spacing w:before="0" w:after="283"/>
              <w:jc w:val="left"/>
              <w:rPr/>
            </w:pPr>
            <w:r>
              <w:rPr/>
              <w:t> </w:t>
            </w:r>
          </w:p>
        </w:tc>
        <w:tc>
          <w:tcPr>
            <w:tcW w:w="934"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$18,299</w:t>
            </w:r>
          </w:p>
        </w:tc>
        <w:tc>
          <w:tcPr>
            <w:tcW w:w="146" w:type="dxa"/>
            <w:tcBorders/>
            <w:shd w:fill="E5E5E5" w:val="clear"/>
            <w:vAlign w:val="center"/>
          </w:tcPr>
          <w:p>
            <w:pPr>
              <w:pStyle w:val="TableContents"/>
              <w:bidi w:val="0"/>
              <w:spacing w:before="0" w:after="283"/>
              <w:jc w:val="left"/>
              <w:rPr/>
            </w:pPr>
            <w:r>
              <w:rPr/>
              <w:t> </w:t>
            </w:r>
          </w:p>
        </w:tc>
        <w:tc>
          <w:tcPr>
            <w:tcW w:w="872"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$66,100</w:t>
            </w:r>
          </w:p>
        </w:tc>
        <w:tc>
          <w:tcPr>
            <w:tcW w:w="159" w:type="dxa"/>
            <w:tcBorders/>
            <w:shd w:fill="E5E5E5" w:val="clear"/>
            <w:vAlign w:val="center"/>
          </w:tcPr>
          <w:p>
            <w:pPr>
              <w:pStyle w:val="TableContents"/>
              <w:bidi w:val="0"/>
              <w:spacing w:before="0" w:after="283"/>
              <w:jc w:val="left"/>
              <w:rPr/>
            </w:pPr>
            <w:r>
              <w:rPr/>
              <w:t> </w:t>
            </w:r>
          </w:p>
        </w:tc>
        <w:tc>
          <w:tcPr>
            <w:tcW w:w="948"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$52,280</w:t>
            </w:r>
          </w:p>
        </w:tc>
      </w:tr>
      <w:tr>
        <w:trPr/>
        <w:tc>
          <w:tcPr>
            <w:tcW w:w="4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 </w:t>
            </w:r>
          </w:p>
        </w:tc>
      </w:tr>
      <w:tr>
        <w:trPr/>
        <w:tc>
          <w:tcPr>
            <w:tcW w:w="4216" w:type="dxa"/>
            <w:tcBorders/>
            <w:shd w:fill="FFFFFF" w:val="clear"/>
            <w:vAlign w:val="center"/>
          </w:tcPr>
          <w:p>
            <w:pPr>
              <w:pStyle w:val="TableContents"/>
              <w:bidi w:val="0"/>
              <w:spacing w:before="0" w:after="283"/>
              <w:jc w:val="left"/>
              <w:rPr>
                <w:rFonts w:ascii="Arial" w:hAnsi="Arial"/>
                <w:color w:val="666666"/>
                <w:sz w:val="20"/>
              </w:rPr>
            </w:pPr>
            <w:r>
              <w:rPr>
                <w:rFonts w:ascii="Arial" w:hAnsi="Arial"/>
                <w:color w:val="666666"/>
                <w:sz w:val="20"/>
              </w:rPr>
              <w:t>Other comprehensive income (loss), net of tax:</w:t>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ind w:left="0" w:right="0" w:firstLine="280"/>
              <w:jc w:val="right"/>
              <w:rPr/>
            </w:pPr>
            <w:r>
              <w:rPr/>
              <w:t> </w:t>
            </w:r>
          </w:p>
        </w:tc>
      </w:tr>
      <w:tr>
        <w:trPr/>
        <w:tc>
          <w:tcPr>
            <w:tcW w:w="4216" w:type="dxa"/>
            <w:tcBorders/>
            <w:shd w:fill="E5E5E5" w:val="clear"/>
            <w:vAlign w:val="center"/>
          </w:tcPr>
          <w:p>
            <w:pPr>
              <w:pStyle w:val="TableContents"/>
              <w:bidi w:val="0"/>
              <w:spacing w:before="0" w:after="283"/>
              <w:ind w:left="280" w:right="0" w:firstLine="280"/>
              <w:jc w:val="left"/>
              <w:rPr>
                <w:rFonts w:ascii="Arial" w:hAnsi="Arial"/>
                <w:color w:val="666666"/>
                <w:sz w:val="20"/>
              </w:rPr>
            </w:pPr>
            <w:r>
              <w:rPr>
                <w:rFonts w:ascii="Arial" w:hAnsi="Arial"/>
                <w:color w:val="666666"/>
                <w:sz w:val="20"/>
              </w:rPr>
              <w:t>Net change related to derivatives</w:t>
            </w:r>
          </w:p>
        </w:tc>
        <w:tc>
          <w:tcPr>
            <w:tcW w:w="146" w:type="dxa"/>
            <w:tcBorders/>
            <w:shd w:fill="E5E5E5" w:val="clear"/>
            <w:vAlign w:val="center"/>
          </w:tcPr>
          <w:p>
            <w:pPr>
              <w:pStyle w:val="TableContents"/>
              <w:bidi w:val="0"/>
              <w:spacing w:before="0" w:after="283"/>
              <w:jc w:val="left"/>
              <w:rPr/>
            </w:pPr>
            <w:r>
              <w:rPr/>
              <w:t> </w:t>
            </w:r>
          </w:p>
        </w:tc>
        <w:tc>
          <w:tcPr>
            <w:tcW w:w="934"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10</w:t>
            </w:r>
          </w:p>
        </w:tc>
        <w:tc>
          <w:tcPr>
            <w:tcW w:w="171" w:type="dxa"/>
            <w:tcBorders/>
            <w:shd w:fill="E5E5E5" w:val="clear"/>
            <w:vAlign w:val="center"/>
          </w:tcPr>
          <w:p>
            <w:pPr>
              <w:pStyle w:val="TableContents"/>
              <w:bidi w:val="0"/>
              <w:spacing w:before="0" w:after="283"/>
              <w:jc w:val="left"/>
              <w:rPr/>
            </w:pPr>
            <w:r>
              <w:rPr/>
              <w:t> </w:t>
            </w:r>
          </w:p>
        </w:tc>
        <w:tc>
          <w:tcPr>
            <w:tcW w:w="934"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(9)</w:t>
            </w:r>
          </w:p>
        </w:tc>
        <w:tc>
          <w:tcPr>
            <w:tcW w:w="146" w:type="dxa"/>
            <w:tcBorders/>
            <w:shd w:fill="E5E5E5" w:val="clear"/>
            <w:vAlign w:val="center"/>
          </w:tcPr>
          <w:p>
            <w:pPr>
              <w:pStyle w:val="TableContents"/>
              <w:bidi w:val="0"/>
              <w:spacing w:before="0" w:after="283"/>
              <w:jc w:val="left"/>
              <w:rPr/>
            </w:pPr>
            <w:r>
              <w:rPr/>
              <w:t> </w:t>
            </w:r>
          </w:p>
        </w:tc>
        <w:tc>
          <w:tcPr>
            <w:tcW w:w="872"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28</w:t>
            </w:r>
          </w:p>
        </w:tc>
        <w:tc>
          <w:tcPr>
            <w:tcW w:w="159" w:type="dxa"/>
            <w:tcBorders/>
            <w:shd w:fill="E5E5E5" w:val="clear"/>
            <w:vAlign w:val="center"/>
          </w:tcPr>
          <w:p>
            <w:pPr>
              <w:pStyle w:val="TableContents"/>
              <w:bidi w:val="0"/>
              <w:spacing w:before="0" w:after="283"/>
              <w:jc w:val="left"/>
              <w:rPr/>
            </w:pPr>
            <w:r>
              <w:rPr/>
              <w:t> </w:t>
            </w:r>
          </w:p>
        </w:tc>
        <w:tc>
          <w:tcPr>
            <w:tcW w:w="948" w:type="dxa"/>
            <w:tcBorders/>
            <w:shd w:fill="E5E5E5" w:val="cle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(34)</w:t>
            </w:r>
          </w:p>
        </w:tc>
      </w:tr>
      <w:tr>
        <w:trPr/>
        <w:tc>
          <w:tcPr>
            <w:tcW w:w="4216" w:type="dxa"/>
            <w:tcBorders/>
            <w:shd w:fill="FFFFFF" w:val="clear"/>
            <w:vAlign w:val="center"/>
          </w:tcPr>
          <w:p>
            <w:pPr>
              <w:pStyle w:val="TableContents"/>
              <w:bidi w:val="0"/>
              <w:spacing w:before="0" w:after="283"/>
              <w:ind w:left="280" w:right="0" w:firstLine="280"/>
              <w:jc w:val="left"/>
              <w:rPr>
                <w:rFonts w:ascii="Arial" w:hAnsi="Arial"/>
                <w:color w:val="666666"/>
                <w:sz w:val="20"/>
              </w:rPr>
            </w:pPr>
            <w:r>
              <w:rPr>
                <w:rFonts w:ascii="Arial" w:hAnsi="Arial"/>
                <w:color w:val="666666"/>
                <w:sz w:val="20"/>
              </w:rPr>
              <w:t>Net change related to investments</w:t>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(202)</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753</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869</w:t>
            </w:r>
          </w:p>
        </w:tc>
        <w:tc>
          <w:tcPr>
            <w:tcW w:w="159"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(796)</w:t>
            </w:r>
          </w:p>
        </w:tc>
      </w:tr>
      <w:tr>
        <w:trPr/>
        <w:tc>
          <w:tcPr>
            <w:tcW w:w="4216" w:type="dxa"/>
            <w:tcBorders/>
            <w:shd w:fill="E5E5E5" w:val="clear"/>
            <w:vAlign w:val="center"/>
          </w:tcPr>
          <w:p>
            <w:pPr>
              <w:pStyle w:val="TableContents"/>
              <w:bidi w:val="0"/>
              <w:spacing w:before="0" w:after="283"/>
              <w:ind w:left="280" w:right="0" w:firstLine="280"/>
              <w:jc w:val="left"/>
              <w:rPr>
                <w:rFonts w:ascii="Arial" w:hAnsi="Arial"/>
                <w:color w:val="666666"/>
                <w:sz w:val="20"/>
              </w:rPr>
            </w:pPr>
            <w:r>
              <w:rPr>
                <w:rFonts w:ascii="Arial" w:hAnsi="Arial"/>
                <w:color w:val="666666"/>
                <w:sz w:val="20"/>
              </w:rPr>
              <w:t>Translation adjustments and other</w:t>
            </w:r>
          </w:p>
        </w:tc>
        <w:tc>
          <w:tcPr>
            <w:tcW w:w="146" w:type="dxa"/>
            <w:tcBorders/>
            <w:shd w:fill="E5E5E5" w:val="clear"/>
            <w:vAlign w:val="center"/>
          </w:tcPr>
          <w:p>
            <w:pPr>
              <w:pStyle w:val="TableContents"/>
              <w:bidi w:val="0"/>
              <w:spacing w:before="0" w:after="283"/>
              <w:jc w:val="left"/>
              <w:rPr/>
            </w:pPr>
            <w:r>
              <w:rPr/>
              <w:t> </w:t>
            </w:r>
          </w:p>
        </w:tc>
        <w:tc>
          <w:tcPr>
            <w:tcW w:w="934"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(294)</w:t>
            </w:r>
          </w:p>
        </w:tc>
        <w:tc>
          <w:tcPr>
            <w:tcW w:w="171" w:type="dxa"/>
            <w:tcBorders/>
            <w:shd w:fill="E5E5E5" w:val="clear"/>
            <w:vAlign w:val="center"/>
          </w:tcPr>
          <w:p>
            <w:pPr>
              <w:pStyle w:val="TableContents"/>
              <w:bidi w:val="0"/>
              <w:spacing w:before="0" w:after="283"/>
              <w:jc w:val="left"/>
              <w:rPr/>
            </w:pPr>
            <w:r>
              <w:rPr/>
              <w:t> </w:t>
            </w:r>
          </w:p>
        </w:tc>
        <w:tc>
          <w:tcPr>
            <w:tcW w:w="934"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69</w:t>
            </w:r>
          </w:p>
        </w:tc>
        <w:tc>
          <w:tcPr>
            <w:tcW w:w="146" w:type="dxa"/>
            <w:tcBorders/>
            <w:shd w:fill="E5E5E5" w:val="clear"/>
            <w:vAlign w:val="center"/>
          </w:tcPr>
          <w:p>
            <w:pPr>
              <w:pStyle w:val="TableContents"/>
              <w:bidi w:val="0"/>
              <w:spacing w:before="0" w:after="283"/>
              <w:jc w:val="left"/>
              <w:rPr/>
            </w:pPr>
            <w:r>
              <w:rPr/>
              <w:t> </w:t>
            </w:r>
          </w:p>
        </w:tc>
        <w:tc>
          <w:tcPr>
            <w:tcW w:w="872"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11</w:t>
            </w:r>
          </w:p>
        </w:tc>
        <w:tc>
          <w:tcPr>
            <w:tcW w:w="159" w:type="dxa"/>
            <w:tcBorders/>
            <w:shd w:fill="E5E5E5" w:val="clear"/>
            <w:vAlign w:val="center"/>
          </w:tcPr>
          <w:p>
            <w:pPr>
              <w:pStyle w:val="TableContents"/>
              <w:bidi w:val="0"/>
              <w:spacing w:before="0" w:after="283"/>
              <w:jc w:val="left"/>
              <w:rPr/>
            </w:pPr>
            <w:r>
              <w:rPr/>
              <w:t> </w:t>
            </w:r>
          </w:p>
        </w:tc>
        <w:tc>
          <w:tcPr>
            <w:tcW w:w="948"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(136)</w:t>
            </w:r>
          </w:p>
        </w:tc>
      </w:tr>
      <w:tr>
        <w:trPr/>
        <w:tc>
          <w:tcPr>
            <w:tcW w:w="4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ind w:left="0" w:right="0" w:firstLine="560"/>
              <w:jc w:val="right"/>
              <w:rPr/>
            </w:pPr>
            <w:r>
              <w:rPr/>
              <w:t> </w:t>
            </w:r>
          </w:p>
        </w:tc>
      </w:tr>
      <w:tr>
        <w:trPr/>
        <w:tc>
          <w:tcPr>
            <w:tcW w:w="4216" w:type="dxa"/>
            <w:tcBorders/>
            <w:shd w:fill="FFFFFF" w:val="clear"/>
            <w:vAlign w:val="center"/>
          </w:tcPr>
          <w:p>
            <w:pPr>
              <w:pStyle w:val="TableContents"/>
              <w:bidi w:val="0"/>
              <w:spacing w:before="0" w:after="283"/>
              <w:ind w:left="560" w:right="0" w:firstLine="560"/>
              <w:jc w:val="left"/>
              <w:rPr>
                <w:rFonts w:ascii="Arial" w:hAnsi="Arial"/>
                <w:color w:val="666666"/>
                <w:sz w:val="20"/>
              </w:rPr>
            </w:pPr>
            <w:r>
              <w:rPr>
                <w:rFonts w:ascii="Arial" w:hAnsi="Arial"/>
                <w:color w:val="666666"/>
                <w:sz w:val="20"/>
              </w:rPr>
              <w:t>Other comprehensive income (loss)</w:t>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(486)</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813</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908</w:t>
            </w:r>
          </w:p>
        </w:tc>
        <w:tc>
          <w:tcPr>
            <w:tcW w:w="159"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(966)</w:t>
            </w:r>
          </w:p>
        </w:tc>
      </w:tr>
      <w:tr>
        <w:trPr/>
        <w:tc>
          <w:tcPr>
            <w:tcW w:w="4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 </w:t>
            </w:r>
          </w:p>
        </w:tc>
      </w:tr>
      <w:tr>
        <w:trPr/>
        <w:tc>
          <w:tcPr>
            <w:tcW w:w="4216" w:type="dxa"/>
            <w:tcBorders/>
            <w:shd w:fill="E5E5E5" w:val="clear"/>
            <w:vAlign w:val="center"/>
          </w:tcPr>
          <w:p>
            <w:pPr>
              <w:pStyle w:val="TableContents"/>
              <w:bidi w:val="0"/>
              <w:spacing w:before="0" w:after="283"/>
              <w:jc w:val="left"/>
              <w:rPr>
                <w:rFonts w:ascii="Arial" w:hAnsi="Arial"/>
                <w:color w:val="666666"/>
                <w:sz w:val="20"/>
              </w:rPr>
            </w:pPr>
            <w:r>
              <w:rPr>
                <w:rFonts w:ascii="Arial" w:hAnsi="Arial"/>
                <w:color w:val="666666"/>
                <w:sz w:val="20"/>
              </w:rPr>
              <w:t>Comprehensive income</w:t>
            </w:r>
          </w:p>
        </w:tc>
        <w:tc>
          <w:tcPr>
            <w:tcW w:w="146" w:type="dxa"/>
            <w:tcBorders/>
            <w:shd w:fill="E5E5E5" w:val="clear"/>
            <w:vAlign w:val="center"/>
          </w:tcPr>
          <w:p>
            <w:pPr>
              <w:pStyle w:val="TableContents"/>
              <w:bidi w:val="0"/>
              <w:spacing w:before="0" w:after="283"/>
              <w:jc w:val="left"/>
              <w:rPr/>
            </w:pPr>
            <w:r>
              <w:rPr/>
              <w:t> </w:t>
            </w:r>
          </w:p>
        </w:tc>
        <w:tc>
          <w:tcPr>
            <w:tcW w:w="934"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$21,453</w:t>
            </w:r>
          </w:p>
        </w:tc>
        <w:tc>
          <w:tcPr>
            <w:tcW w:w="171" w:type="dxa"/>
            <w:tcBorders/>
            <w:shd w:fill="E5E5E5" w:val="clear"/>
            <w:vAlign w:val="center"/>
          </w:tcPr>
          <w:p>
            <w:pPr>
              <w:pStyle w:val="TableContents"/>
              <w:bidi w:val="0"/>
              <w:spacing w:before="0" w:after="283"/>
              <w:jc w:val="left"/>
              <w:rPr/>
            </w:pPr>
            <w:r>
              <w:rPr/>
              <w:t> </w:t>
            </w:r>
          </w:p>
        </w:tc>
        <w:tc>
          <w:tcPr>
            <w:tcW w:w="934"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$19,112</w:t>
            </w:r>
          </w:p>
        </w:tc>
        <w:tc>
          <w:tcPr>
            <w:tcW w:w="146" w:type="dxa"/>
            <w:tcBorders/>
            <w:shd w:fill="E5E5E5" w:val="clear"/>
            <w:vAlign w:val="center"/>
          </w:tcPr>
          <w:p>
            <w:pPr>
              <w:pStyle w:val="TableContents"/>
              <w:bidi w:val="0"/>
              <w:spacing w:before="0" w:after="283"/>
              <w:jc w:val="left"/>
              <w:rPr/>
            </w:pPr>
            <w:r>
              <w:rPr/>
              <w:t> </w:t>
            </w:r>
          </w:p>
        </w:tc>
        <w:tc>
          <w:tcPr>
            <w:tcW w:w="872"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$67,008</w:t>
            </w:r>
          </w:p>
        </w:tc>
        <w:tc>
          <w:tcPr>
            <w:tcW w:w="159" w:type="dxa"/>
            <w:tcBorders/>
            <w:shd w:fill="E5E5E5" w:val="clear"/>
            <w:vAlign w:val="center"/>
          </w:tcPr>
          <w:p>
            <w:pPr>
              <w:pStyle w:val="TableContents"/>
              <w:bidi w:val="0"/>
              <w:spacing w:before="0" w:after="283"/>
              <w:jc w:val="left"/>
              <w:rPr/>
            </w:pPr>
            <w:r>
              <w:rPr/>
              <w:t> </w:t>
            </w:r>
          </w:p>
        </w:tc>
        <w:tc>
          <w:tcPr>
            <w:tcW w:w="948"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$51,314</w:t>
            </w:r>
          </w:p>
        </w:tc>
      </w:tr>
      <w:tr>
        <w:trPr/>
        <w:tc>
          <w:tcPr>
            <w:tcW w:w="42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666666"/>
          <w:sz w:val="20"/>
        </w:rPr>
      </w:pPr>
      <w:r>
        <w:rPr>
          <w:rFonts w:ascii="Arial" w:hAnsi="Arial"/>
          <w:color w:val="666666"/>
          <w:sz w:val="20"/>
        </w:rPr>
        <w:t>BALANCE SHEETS</w:t>
      </w:r>
    </w:p>
    <w:p>
      <w:pPr>
        <w:pStyle w:val="TextBody"/>
        <w:bidi w:val="0"/>
        <w:spacing w:before="120" w:after="283"/>
        <w:jc w:val="center"/>
        <w:rPr>
          <w:rFonts w:ascii="Arial" w:hAnsi="Arial"/>
          <w:color w:val="666666"/>
          <w:sz w:val="20"/>
        </w:rPr>
      </w:pPr>
      <w:r>
        <w:rPr>
          <w:rFonts w:ascii="Arial" w:hAnsi="Arial"/>
          <w:color w:val="666666"/>
          <w:sz w:val="20"/>
        </w:rPr>
        <w:t>(In millions)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19"/>
        <w:gridCol w:w="986"/>
        <w:gridCol w:w="982"/>
        <w:gridCol w:w="146"/>
        <w:gridCol w:w="1172"/>
      </w:tblGrid>
      <w:tr>
        <w:trPr/>
        <w:tc>
          <w:tcPr>
            <w:tcW w:w="6919"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r>
      <w:tr>
        <w:trPr/>
        <w:tc>
          <w:tcPr>
            <w:tcW w:w="6919" w:type="dxa"/>
            <w:tcBorders/>
            <w:shd w:fill="FFFFFF" w:val="clear"/>
            <w:vAlign w:val="center"/>
          </w:tcPr>
          <w:p>
            <w:pPr>
              <w:pStyle w:val="TableContents"/>
              <w:bidi w:val="0"/>
              <w:spacing w:before="0" w:after="283"/>
              <w:jc w:val="left"/>
              <w:rPr>
                <w:sz w:val="4"/>
                <w:szCs w:val="4"/>
              </w:rPr>
            </w:pPr>
            <w:r>
              <w:rPr>
                <w:sz w:val="4"/>
                <w:szCs w:val="4"/>
              </w:rPr>
            </w:r>
          </w:p>
        </w:tc>
        <w:tc>
          <w:tcPr>
            <w:tcW w:w="98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March 31,</w:t>
              <w:br/>
              <w:t>2024</w:t>
            </w:r>
          </w:p>
        </w:tc>
        <w:tc>
          <w:tcPr>
            <w:tcW w:w="146"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June 30,</w:t>
              <w:br/>
              <w:t>2023</w:t>
            </w:r>
          </w:p>
        </w:tc>
      </w:tr>
      <w:tr>
        <w:trPr/>
        <w:tc>
          <w:tcPr>
            <w:tcW w:w="6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91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pPr>
            <w:r>
              <w:rPr/>
              <w:t> </w:t>
            </w:r>
          </w:p>
        </w:tc>
      </w:tr>
      <w:tr>
        <w:trPr/>
        <w:tc>
          <w:tcPr>
            <w:tcW w:w="6919" w:type="dxa"/>
            <w:tcBorders/>
            <w:shd w:fill="E5E5E5" w:val="clear"/>
            <w:vAlign w:val="center"/>
          </w:tcPr>
          <w:p>
            <w:pPr>
              <w:pStyle w:val="TableContents"/>
              <w:bidi w:val="0"/>
              <w:spacing w:before="0" w:after="283"/>
              <w:jc w:val="left"/>
              <w:rPr>
                <w:rFonts w:ascii="Arial" w:hAnsi="Arial"/>
                <w:b/>
                <w:color w:val="666666"/>
                <w:sz w:val="20"/>
              </w:rPr>
            </w:pPr>
            <w:r>
              <w:rPr>
                <w:rFonts w:ascii="Arial" w:hAnsi="Arial"/>
                <w:b/>
                <w:color w:val="666666"/>
                <w:sz w:val="20"/>
              </w:rPr>
              <w:t>Assets</w:t>
            </w:r>
          </w:p>
        </w:tc>
        <w:tc>
          <w:tcPr>
            <w:tcW w:w="986" w:type="dxa"/>
            <w:tcBorders/>
            <w:shd w:fill="E5E5E5" w:val="clear"/>
            <w:vAlign w:val="center"/>
          </w:tcPr>
          <w:p>
            <w:pPr>
              <w:pStyle w:val="TableContents"/>
              <w:bidi w:val="0"/>
              <w:spacing w:before="0" w:after="283"/>
              <w:jc w:val="left"/>
              <w:rPr/>
            </w:pPr>
            <w:r>
              <w:rPr/>
              <w:t> </w:t>
            </w:r>
          </w:p>
        </w:tc>
        <w:tc>
          <w:tcPr>
            <w:tcW w:w="982"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left"/>
              <w:rPr/>
            </w:pPr>
            <w:r>
              <w:rPr/>
              <w:t> </w:t>
            </w:r>
          </w:p>
        </w:tc>
        <w:tc>
          <w:tcPr>
            <w:tcW w:w="1172" w:type="dxa"/>
            <w:tcBorders/>
            <w:shd w:fill="E5E5E5" w:val="clear"/>
            <w:vAlign w:val="center"/>
          </w:tcPr>
          <w:p>
            <w:pPr>
              <w:pStyle w:val="TableContents"/>
              <w:bidi w:val="0"/>
              <w:spacing w:before="0" w:after="283"/>
              <w:jc w:val="right"/>
              <w:rPr/>
            </w:pPr>
            <w:r>
              <w:rPr/>
              <w:t> </w:t>
            </w:r>
          </w:p>
        </w:tc>
      </w:tr>
      <w:tr>
        <w:trPr/>
        <w:tc>
          <w:tcPr>
            <w:tcW w:w="6919" w:type="dxa"/>
            <w:tcBorders/>
            <w:shd w:fill="FFFFFF" w:val="clear"/>
            <w:vAlign w:val="center"/>
          </w:tcPr>
          <w:p>
            <w:pPr>
              <w:pStyle w:val="TableContents"/>
              <w:bidi w:val="0"/>
              <w:spacing w:before="0" w:after="283"/>
              <w:jc w:val="left"/>
              <w:rPr>
                <w:rFonts w:ascii="Arial" w:hAnsi="Arial"/>
                <w:color w:val="666666"/>
                <w:sz w:val="20"/>
              </w:rPr>
            </w:pPr>
            <w:r>
              <w:rPr>
                <w:rFonts w:ascii="Arial" w:hAnsi="Arial"/>
                <w:color w:val="666666"/>
                <w:sz w:val="20"/>
              </w:rPr>
              <w:t>Current assets:</w:t>
            </w:r>
          </w:p>
        </w:tc>
        <w:tc>
          <w:tcPr>
            <w:tcW w:w="98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ind w:left="0" w:right="0" w:firstLine="280"/>
              <w:jc w:val="right"/>
              <w:rPr/>
            </w:pPr>
            <w:r>
              <w:rPr/>
              <w:t> </w:t>
            </w:r>
          </w:p>
        </w:tc>
      </w:tr>
      <w:tr>
        <w:trPr/>
        <w:tc>
          <w:tcPr>
            <w:tcW w:w="6919" w:type="dxa"/>
            <w:tcBorders/>
            <w:shd w:fill="E5E5E5" w:val="cle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Cash and cash equivalents</w:t>
            </w:r>
          </w:p>
        </w:tc>
        <w:tc>
          <w:tcPr>
            <w:tcW w:w="986" w:type="dxa"/>
            <w:tcBorders/>
            <w:shd w:fill="E5E5E5" w:val="clear"/>
            <w:vAlign w:val="center"/>
          </w:tcPr>
          <w:p>
            <w:pPr>
              <w:pStyle w:val="TableContents"/>
              <w:bidi w:val="0"/>
              <w:spacing w:before="0" w:after="283"/>
              <w:ind w:left="280" w:right="0" w:firstLine="280"/>
              <w:jc w:val="left"/>
              <w:rPr/>
            </w:pPr>
            <w:r>
              <w:rPr/>
              <w:t> </w:t>
            </w:r>
          </w:p>
        </w:tc>
        <w:tc>
          <w:tcPr>
            <w:tcW w:w="982"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$19,634</w:t>
            </w:r>
          </w:p>
        </w:tc>
        <w:tc>
          <w:tcPr>
            <w:tcW w:w="146" w:type="dxa"/>
            <w:tcBorders/>
            <w:shd w:fill="E5E5E5" w:val="clear"/>
            <w:vAlign w:val="center"/>
          </w:tcPr>
          <w:p>
            <w:pPr>
              <w:pStyle w:val="TableContents"/>
              <w:bidi w:val="0"/>
              <w:spacing w:before="0" w:after="283"/>
              <w:jc w:val="left"/>
              <w:rPr/>
            </w:pPr>
            <w:r>
              <w:rPr/>
              <w:t> </w:t>
            </w:r>
          </w:p>
        </w:tc>
        <w:tc>
          <w:tcPr>
            <w:tcW w:w="1172" w:type="dxa"/>
            <w:tcBorders/>
            <w:shd w:fill="E5E5E5" w:val="cle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$34,704</w:t>
            </w:r>
          </w:p>
        </w:tc>
      </w:tr>
      <w:tr>
        <w:trPr/>
        <w:tc>
          <w:tcPr>
            <w:tcW w:w="6919" w:type="dxa"/>
            <w:tcBorders/>
            <w:shd w:fill="FFFFFF" w:val="cle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Short-term investments</w:t>
            </w:r>
          </w:p>
        </w:tc>
        <w:tc>
          <w:tcPr>
            <w:tcW w:w="986" w:type="dxa"/>
            <w:tcBorders/>
            <w:shd w:fill="FFFFFF" w:val="clear"/>
            <w:vAlign w:val="center"/>
          </w:tcPr>
          <w:p>
            <w:pPr>
              <w:pStyle w:val="TableContents"/>
              <w:bidi w:val="0"/>
              <w:spacing w:before="0" w:after="283"/>
              <w:ind w:left="280" w:right="0" w:firstLine="280"/>
              <w:jc w:val="left"/>
              <w:rPr/>
            </w:pPr>
            <w:r>
              <w:rPr/>
              <w:t> </w:t>
            </w:r>
          </w:p>
        </w:tc>
        <w:tc>
          <w:tcPr>
            <w:tcW w:w="982"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60,387</w:t>
            </w:r>
          </w:p>
        </w:tc>
        <w:tc>
          <w:tcPr>
            <w:tcW w:w="146"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76,558</w:t>
            </w:r>
          </w:p>
        </w:tc>
      </w:tr>
      <w:tr>
        <w:trPr/>
        <w:tc>
          <w:tcPr>
            <w:tcW w:w="6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91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ind w:left="0" w:right="0" w:firstLine="560"/>
              <w:jc w:val="right"/>
              <w:rPr/>
            </w:pPr>
            <w:r>
              <w:rPr/>
              <w:t> </w:t>
            </w:r>
          </w:p>
        </w:tc>
      </w:tr>
      <w:tr>
        <w:trPr/>
        <w:tc>
          <w:tcPr>
            <w:tcW w:w="6919" w:type="dxa"/>
            <w:tcBorders/>
            <w:shd w:fill="E5E5E5" w:val="cle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Total cash, cash equivalents, and short-term investments</w:t>
            </w:r>
          </w:p>
        </w:tc>
        <w:tc>
          <w:tcPr>
            <w:tcW w:w="986" w:type="dxa"/>
            <w:tcBorders/>
            <w:shd w:fill="E5E5E5" w:val="clear"/>
            <w:vAlign w:val="center"/>
          </w:tcPr>
          <w:p>
            <w:pPr>
              <w:pStyle w:val="TableContents"/>
              <w:bidi w:val="0"/>
              <w:spacing w:before="0" w:after="283"/>
              <w:ind w:left="560" w:right="0" w:firstLine="560"/>
              <w:jc w:val="left"/>
              <w:rPr/>
            </w:pPr>
            <w:r>
              <w:rPr/>
              <w:t> </w:t>
            </w:r>
          </w:p>
        </w:tc>
        <w:tc>
          <w:tcPr>
            <w:tcW w:w="982"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80,021</w:t>
            </w:r>
          </w:p>
        </w:tc>
        <w:tc>
          <w:tcPr>
            <w:tcW w:w="146" w:type="dxa"/>
            <w:tcBorders/>
            <w:shd w:fill="E5E5E5" w:val="clear"/>
            <w:vAlign w:val="center"/>
          </w:tcPr>
          <w:p>
            <w:pPr>
              <w:pStyle w:val="TableContents"/>
              <w:bidi w:val="0"/>
              <w:spacing w:before="0" w:after="283"/>
              <w:jc w:val="left"/>
              <w:rPr/>
            </w:pPr>
            <w:r>
              <w:rPr/>
              <w:t> </w:t>
            </w:r>
          </w:p>
        </w:tc>
        <w:tc>
          <w:tcPr>
            <w:tcW w:w="1172" w:type="dxa"/>
            <w:tcBorders/>
            <w:shd w:fill="E5E5E5" w:val="cle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111,262</w:t>
            </w:r>
          </w:p>
        </w:tc>
      </w:tr>
      <w:tr>
        <w:trPr/>
        <w:tc>
          <w:tcPr>
            <w:tcW w:w="6919" w:type="dxa"/>
            <w:tcBorders/>
            <w:shd w:fill="FFFFFF" w:val="clear"/>
            <w:vAlign w:val="center"/>
          </w:tcPr>
          <w:p>
            <w:pPr>
              <w:pStyle w:val="TableContents"/>
              <w:bidi w:val="0"/>
              <w:spacing w:before="0" w:after="283"/>
              <w:ind w:left="0" w:right="0" w:firstLine="280"/>
              <w:jc w:val="left"/>
              <w:rPr>
                <w:rFonts w:ascii="Times New Roman" w:hAnsi="Times New Roman"/>
                <w:sz w:val="20"/>
              </w:rPr>
            </w:pPr>
            <w:r>
              <w:rPr>
                <w:rFonts w:ascii="Arial" w:hAnsi="Arial"/>
                <w:color w:val="666666"/>
                <w:sz w:val="20"/>
              </w:rPr>
              <w:t xml:space="preserve">Accounts receivable, net of allowance for doubtful accounts of </w:t>
            </w:r>
            <w:r>
              <w:rPr>
                <w:rFonts w:ascii="Arial" w:hAnsi="Arial"/>
                <w:b/>
                <w:color w:val="666666"/>
                <w:sz w:val="20"/>
              </w:rPr>
              <w:t>$616</w:t>
            </w:r>
            <w:r>
              <w:rPr>
                <w:rFonts w:ascii="Times New Roman" w:hAnsi="Times New Roman"/>
                <w:color w:val="666666"/>
                <w:sz w:val="20"/>
              </w:rPr>
              <w:t> </w:t>
            </w:r>
            <w:r>
              <w:rPr>
                <w:rFonts w:ascii="Arial" w:hAnsi="Arial"/>
                <w:color w:val="666666"/>
                <w:sz w:val="20"/>
              </w:rPr>
              <w:t>and $650</w:t>
            </w:r>
          </w:p>
        </w:tc>
        <w:tc>
          <w:tcPr>
            <w:tcW w:w="986" w:type="dxa"/>
            <w:tcBorders/>
            <w:shd w:fill="FFFFFF" w:val="clear"/>
            <w:vAlign w:val="center"/>
          </w:tcPr>
          <w:p>
            <w:pPr>
              <w:pStyle w:val="TableContents"/>
              <w:bidi w:val="0"/>
              <w:spacing w:before="0" w:after="283"/>
              <w:ind w:left="280" w:right="0" w:firstLine="280"/>
              <w:jc w:val="left"/>
              <w:rPr/>
            </w:pPr>
            <w:r>
              <w:rPr/>
              <w:t> </w:t>
            </w:r>
          </w:p>
        </w:tc>
        <w:tc>
          <w:tcPr>
            <w:tcW w:w="982"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44,029</w:t>
            </w:r>
          </w:p>
        </w:tc>
        <w:tc>
          <w:tcPr>
            <w:tcW w:w="146"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48,688</w:t>
            </w:r>
          </w:p>
        </w:tc>
      </w:tr>
      <w:tr>
        <w:trPr/>
        <w:tc>
          <w:tcPr>
            <w:tcW w:w="6919" w:type="dxa"/>
            <w:tcBorders/>
            <w:shd w:fill="E5E5E5" w:val="cle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Inventories</w:t>
            </w:r>
          </w:p>
        </w:tc>
        <w:tc>
          <w:tcPr>
            <w:tcW w:w="986" w:type="dxa"/>
            <w:tcBorders/>
            <w:shd w:fill="E5E5E5" w:val="clear"/>
            <w:vAlign w:val="center"/>
          </w:tcPr>
          <w:p>
            <w:pPr>
              <w:pStyle w:val="TableContents"/>
              <w:bidi w:val="0"/>
              <w:spacing w:before="0" w:after="283"/>
              <w:ind w:left="280" w:right="0" w:firstLine="280"/>
              <w:jc w:val="left"/>
              <w:rPr/>
            </w:pPr>
            <w:r>
              <w:rPr/>
              <w:t> </w:t>
            </w:r>
          </w:p>
        </w:tc>
        <w:tc>
          <w:tcPr>
            <w:tcW w:w="982"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1,304</w:t>
            </w:r>
          </w:p>
        </w:tc>
        <w:tc>
          <w:tcPr>
            <w:tcW w:w="146" w:type="dxa"/>
            <w:tcBorders/>
            <w:shd w:fill="E5E5E5" w:val="clear"/>
            <w:vAlign w:val="center"/>
          </w:tcPr>
          <w:p>
            <w:pPr>
              <w:pStyle w:val="TableContents"/>
              <w:bidi w:val="0"/>
              <w:spacing w:before="0" w:after="283"/>
              <w:jc w:val="left"/>
              <w:rPr/>
            </w:pPr>
            <w:r>
              <w:rPr/>
              <w:t> </w:t>
            </w:r>
          </w:p>
        </w:tc>
        <w:tc>
          <w:tcPr>
            <w:tcW w:w="1172" w:type="dxa"/>
            <w:tcBorders/>
            <w:shd w:fill="E5E5E5" w:val="cle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2,500</w:t>
            </w:r>
          </w:p>
        </w:tc>
      </w:tr>
      <w:tr>
        <w:trPr/>
        <w:tc>
          <w:tcPr>
            <w:tcW w:w="6919" w:type="dxa"/>
            <w:tcBorders/>
            <w:shd w:fill="FFFFFF" w:val="cle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Other current assets</w:t>
            </w:r>
          </w:p>
        </w:tc>
        <w:tc>
          <w:tcPr>
            <w:tcW w:w="986" w:type="dxa"/>
            <w:tcBorders/>
            <w:shd w:fill="FFFFFF" w:val="clear"/>
            <w:vAlign w:val="center"/>
          </w:tcPr>
          <w:p>
            <w:pPr>
              <w:pStyle w:val="TableContents"/>
              <w:bidi w:val="0"/>
              <w:spacing w:before="0" w:after="283"/>
              <w:ind w:left="280" w:right="0" w:firstLine="280"/>
              <w:jc w:val="left"/>
              <w:rPr/>
            </w:pPr>
            <w:r>
              <w:rPr/>
              <w:t> </w:t>
            </w:r>
          </w:p>
        </w:tc>
        <w:tc>
          <w:tcPr>
            <w:tcW w:w="982"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21,826</w:t>
            </w:r>
          </w:p>
        </w:tc>
        <w:tc>
          <w:tcPr>
            <w:tcW w:w="146"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21,807</w:t>
            </w:r>
          </w:p>
        </w:tc>
      </w:tr>
      <w:tr>
        <w:trPr/>
        <w:tc>
          <w:tcPr>
            <w:tcW w:w="6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91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ind w:left="0" w:right="0" w:firstLine="560"/>
              <w:jc w:val="right"/>
              <w:rPr/>
            </w:pPr>
            <w:r>
              <w:rPr/>
              <w:t> </w:t>
            </w:r>
          </w:p>
        </w:tc>
      </w:tr>
      <w:tr>
        <w:trPr/>
        <w:tc>
          <w:tcPr>
            <w:tcW w:w="6919" w:type="dxa"/>
            <w:tcBorders/>
            <w:shd w:fill="E5E5E5" w:val="cle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Total current assets</w:t>
            </w:r>
          </w:p>
        </w:tc>
        <w:tc>
          <w:tcPr>
            <w:tcW w:w="986" w:type="dxa"/>
            <w:tcBorders/>
            <w:shd w:fill="E5E5E5" w:val="clear"/>
            <w:vAlign w:val="center"/>
          </w:tcPr>
          <w:p>
            <w:pPr>
              <w:pStyle w:val="TableContents"/>
              <w:bidi w:val="0"/>
              <w:spacing w:before="0" w:after="283"/>
              <w:ind w:left="560" w:right="0" w:firstLine="560"/>
              <w:jc w:val="left"/>
              <w:rPr/>
            </w:pPr>
            <w:r>
              <w:rPr/>
              <w:t> </w:t>
            </w:r>
          </w:p>
        </w:tc>
        <w:tc>
          <w:tcPr>
            <w:tcW w:w="982"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147,180</w:t>
            </w:r>
          </w:p>
        </w:tc>
        <w:tc>
          <w:tcPr>
            <w:tcW w:w="146" w:type="dxa"/>
            <w:tcBorders/>
            <w:shd w:fill="E5E5E5" w:val="clear"/>
            <w:vAlign w:val="center"/>
          </w:tcPr>
          <w:p>
            <w:pPr>
              <w:pStyle w:val="TableContents"/>
              <w:bidi w:val="0"/>
              <w:spacing w:before="0" w:after="283"/>
              <w:jc w:val="left"/>
              <w:rPr/>
            </w:pPr>
            <w:r>
              <w:rPr/>
              <w:t> </w:t>
            </w:r>
          </w:p>
        </w:tc>
        <w:tc>
          <w:tcPr>
            <w:tcW w:w="1172"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184,257</w:t>
            </w:r>
          </w:p>
        </w:tc>
      </w:tr>
      <w:tr>
        <w:trPr/>
        <w:tc>
          <w:tcPr>
            <w:tcW w:w="6919"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666666"/>
                <w:sz w:val="20"/>
              </w:rPr>
              <w:t xml:space="preserve">Property and equipment, net of accumulated depreciation of </w:t>
            </w:r>
            <w:r>
              <w:rPr>
                <w:rFonts w:ascii="Arial" w:hAnsi="Arial"/>
                <w:b/>
                <w:color w:val="666666"/>
                <w:sz w:val="20"/>
              </w:rPr>
              <w:t xml:space="preserve">$74,945 </w:t>
            </w:r>
            <w:r>
              <w:rPr>
                <w:rFonts w:ascii="Arial" w:hAnsi="Arial"/>
                <w:color w:val="666666"/>
                <w:sz w:val="20"/>
              </w:rPr>
              <w:t>and $68,251</w:t>
            </w:r>
          </w:p>
        </w:tc>
        <w:tc>
          <w:tcPr>
            <w:tcW w:w="98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121,375</w:t>
            </w:r>
          </w:p>
        </w:tc>
        <w:tc>
          <w:tcPr>
            <w:tcW w:w="146"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95,641</w:t>
            </w:r>
          </w:p>
        </w:tc>
      </w:tr>
      <w:tr>
        <w:trPr/>
        <w:tc>
          <w:tcPr>
            <w:tcW w:w="6919" w:type="dxa"/>
            <w:tcBorders/>
            <w:shd w:fill="E5E5E5" w:val="clear"/>
            <w:vAlign w:val="center"/>
          </w:tcPr>
          <w:p>
            <w:pPr>
              <w:pStyle w:val="TableContents"/>
              <w:bidi w:val="0"/>
              <w:spacing w:before="0" w:after="283"/>
              <w:jc w:val="left"/>
              <w:rPr>
                <w:rFonts w:ascii="Arial" w:hAnsi="Arial"/>
                <w:color w:val="666666"/>
                <w:sz w:val="20"/>
              </w:rPr>
            </w:pPr>
            <w:r>
              <w:rPr>
                <w:rFonts w:ascii="Arial" w:hAnsi="Arial"/>
                <w:color w:val="666666"/>
                <w:sz w:val="20"/>
              </w:rPr>
              <w:t>Operating lease right-of-use assets</w:t>
            </w:r>
          </w:p>
        </w:tc>
        <w:tc>
          <w:tcPr>
            <w:tcW w:w="986" w:type="dxa"/>
            <w:tcBorders/>
            <w:shd w:fill="E5E5E5" w:val="clear"/>
            <w:vAlign w:val="center"/>
          </w:tcPr>
          <w:p>
            <w:pPr>
              <w:pStyle w:val="TableContents"/>
              <w:bidi w:val="0"/>
              <w:spacing w:before="0" w:after="283"/>
              <w:jc w:val="left"/>
              <w:rPr/>
            </w:pPr>
            <w:r>
              <w:rPr/>
              <w:t> </w:t>
            </w:r>
          </w:p>
        </w:tc>
        <w:tc>
          <w:tcPr>
            <w:tcW w:w="982"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17,371</w:t>
            </w:r>
          </w:p>
        </w:tc>
        <w:tc>
          <w:tcPr>
            <w:tcW w:w="146" w:type="dxa"/>
            <w:tcBorders/>
            <w:shd w:fill="E5E5E5" w:val="clear"/>
            <w:vAlign w:val="center"/>
          </w:tcPr>
          <w:p>
            <w:pPr>
              <w:pStyle w:val="TableContents"/>
              <w:bidi w:val="0"/>
              <w:spacing w:before="0" w:after="283"/>
              <w:jc w:val="left"/>
              <w:rPr/>
            </w:pPr>
            <w:r>
              <w:rPr/>
              <w:t> </w:t>
            </w:r>
          </w:p>
        </w:tc>
        <w:tc>
          <w:tcPr>
            <w:tcW w:w="1172"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14,346</w:t>
            </w:r>
          </w:p>
        </w:tc>
      </w:tr>
      <w:tr>
        <w:trPr/>
        <w:tc>
          <w:tcPr>
            <w:tcW w:w="6919" w:type="dxa"/>
            <w:tcBorders/>
            <w:shd w:fill="FFFFFF" w:val="clear"/>
            <w:vAlign w:val="center"/>
          </w:tcPr>
          <w:p>
            <w:pPr>
              <w:pStyle w:val="TableContents"/>
              <w:bidi w:val="0"/>
              <w:spacing w:before="0" w:after="283"/>
              <w:jc w:val="left"/>
              <w:rPr>
                <w:rFonts w:ascii="Arial" w:hAnsi="Arial"/>
                <w:color w:val="666666"/>
                <w:sz w:val="20"/>
              </w:rPr>
            </w:pPr>
            <w:r>
              <w:rPr>
                <w:rFonts w:ascii="Arial" w:hAnsi="Arial"/>
                <w:color w:val="666666"/>
                <w:sz w:val="20"/>
              </w:rPr>
              <w:t>Equity and other investments</w:t>
            </w:r>
          </w:p>
        </w:tc>
        <w:tc>
          <w:tcPr>
            <w:tcW w:w="98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14,807</w:t>
            </w:r>
          </w:p>
        </w:tc>
        <w:tc>
          <w:tcPr>
            <w:tcW w:w="146"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9,879</w:t>
            </w:r>
          </w:p>
        </w:tc>
      </w:tr>
      <w:tr>
        <w:trPr/>
        <w:tc>
          <w:tcPr>
            <w:tcW w:w="6919" w:type="dxa"/>
            <w:tcBorders/>
            <w:shd w:fill="E5E5E5" w:val="clear"/>
            <w:vAlign w:val="center"/>
          </w:tcPr>
          <w:p>
            <w:pPr>
              <w:pStyle w:val="TableContents"/>
              <w:bidi w:val="0"/>
              <w:spacing w:before="0" w:after="283"/>
              <w:jc w:val="left"/>
              <w:rPr>
                <w:rFonts w:ascii="Arial" w:hAnsi="Arial"/>
                <w:color w:val="666666"/>
                <w:sz w:val="20"/>
              </w:rPr>
            </w:pPr>
            <w:r>
              <w:rPr>
                <w:rFonts w:ascii="Arial" w:hAnsi="Arial"/>
                <w:color w:val="666666"/>
                <w:sz w:val="20"/>
              </w:rPr>
              <w:t>Goodwill</w:t>
            </w:r>
          </w:p>
        </w:tc>
        <w:tc>
          <w:tcPr>
            <w:tcW w:w="986" w:type="dxa"/>
            <w:tcBorders/>
            <w:shd w:fill="E5E5E5" w:val="clear"/>
            <w:vAlign w:val="center"/>
          </w:tcPr>
          <w:p>
            <w:pPr>
              <w:pStyle w:val="TableContents"/>
              <w:bidi w:val="0"/>
              <w:spacing w:before="0" w:after="283"/>
              <w:jc w:val="left"/>
              <w:rPr/>
            </w:pPr>
            <w:r>
              <w:rPr/>
              <w:t> </w:t>
            </w:r>
          </w:p>
        </w:tc>
        <w:tc>
          <w:tcPr>
            <w:tcW w:w="982"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119,163</w:t>
            </w:r>
          </w:p>
        </w:tc>
        <w:tc>
          <w:tcPr>
            <w:tcW w:w="146" w:type="dxa"/>
            <w:tcBorders/>
            <w:shd w:fill="E5E5E5" w:val="clear"/>
            <w:vAlign w:val="center"/>
          </w:tcPr>
          <w:p>
            <w:pPr>
              <w:pStyle w:val="TableContents"/>
              <w:bidi w:val="0"/>
              <w:spacing w:before="0" w:after="283"/>
              <w:jc w:val="left"/>
              <w:rPr/>
            </w:pPr>
            <w:r>
              <w:rPr/>
              <w:t> </w:t>
            </w:r>
          </w:p>
        </w:tc>
        <w:tc>
          <w:tcPr>
            <w:tcW w:w="1172"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67,886</w:t>
            </w:r>
          </w:p>
        </w:tc>
      </w:tr>
      <w:tr>
        <w:trPr/>
        <w:tc>
          <w:tcPr>
            <w:tcW w:w="6919" w:type="dxa"/>
            <w:tcBorders/>
            <w:shd w:fill="FFFFFF" w:val="clear"/>
            <w:vAlign w:val="center"/>
          </w:tcPr>
          <w:p>
            <w:pPr>
              <w:pStyle w:val="TableContents"/>
              <w:bidi w:val="0"/>
              <w:spacing w:before="0" w:after="283"/>
              <w:jc w:val="left"/>
              <w:rPr>
                <w:rFonts w:ascii="Arial" w:hAnsi="Arial"/>
                <w:color w:val="666666"/>
                <w:sz w:val="20"/>
              </w:rPr>
            </w:pPr>
            <w:r>
              <w:rPr>
                <w:rFonts w:ascii="Arial" w:hAnsi="Arial"/>
                <w:color w:val="666666"/>
                <w:sz w:val="20"/>
              </w:rPr>
              <w:t>Intangible assets, net</w:t>
            </w:r>
          </w:p>
        </w:tc>
        <w:tc>
          <w:tcPr>
            <w:tcW w:w="98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28,828</w:t>
            </w:r>
          </w:p>
        </w:tc>
        <w:tc>
          <w:tcPr>
            <w:tcW w:w="146"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9,366</w:t>
            </w:r>
          </w:p>
        </w:tc>
      </w:tr>
      <w:tr>
        <w:trPr/>
        <w:tc>
          <w:tcPr>
            <w:tcW w:w="6919" w:type="dxa"/>
            <w:tcBorders/>
            <w:shd w:fill="E5E5E5" w:val="clear"/>
            <w:vAlign w:val="center"/>
          </w:tcPr>
          <w:p>
            <w:pPr>
              <w:pStyle w:val="TableContents"/>
              <w:bidi w:val="0"/>
              <w:spacing w:before="0" w:after="283"/>
              <w:jc w:val="left"/>
              <w:rPr>
                <w:rFonts w:ascii="Arial" w:hAnsi="Arial"/>
                <w:color w:val="666666"/>
                <w:sz w:val="20"/>
              </w:rPr>
            </w:pPr>
            <w:r>
              <w:rPr>
                <w:rFonts w:ascii="Arial" w:hAnsi="Arial"/>
                <w:color w:val="666666"/>
                <w:sz w:val="20"/>
              </w:rPr>
              <w:t>Other long-term assets</w:t>
            </w:r>
          </w:p>
        </w:tc>
        <w:tc>
          <w:tcPr>
            <w:tcW w:w="986" w:type="dxa"/>
            <w:tcBorders/>
            <w:shd w:fill="E5E5E5" w:val="clear"/>
            <w:vAlign w:val="center"/>
          </w:tcPr>
          <w:p>
            <w:pPr>
              <w:pStyle w:val="TableContents"/>
              <w:bidi w:val="0"/>
              <w:spacing w:before="0" w:after="283"/>
              <w:jc w:val="left"/>
              <w:rPr/>
            </w:pPr>
            <w:r>
              <w:rPr/>
              <w:t> </w:t>
            </w:r>
          </w:p>
        </w:tc>
        <w:tc>
          <w:tcPr>
            <w:tcW w:w="982"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35,551</w:t>
            </w:r>
          </w:p>
        </w:tc>
        <w:tc>
          <w:tcPr>
            <w:tcW w:w="146" w:type="dxa"/>
            <w:tcBorders/>
            <w:shd w:fill="E5E5E5" w:val="clear"/>
            <w:vAlign w:val="center"/>
          </w:tcPr>
          <w:p>
            <w:pPr>
              <w:pStyle w:val="TableContents"/>
              <w:bidi w:val="0"/>
              <w:spacing w:before="0" w:after="283"/>
              <w:jc w:val="left"/>
              <w:rPr/>
            </w:pPr>
            <w:r>
              <w:rPr/>
              <w:t> </w:t>
            </w:r>
          </w:p>
        </w:tc>
        <w:tc>
          <w:tcPr>
            <w:tcW w:w="1172"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30,601</w:t>
            </w:r>
          </w:p>
        </w:tc>
      </w:tr>
      <w:tr>
        <w:trPr/>
        <w:tc>
          <w:tcPr>
            <w:tcW w:w="6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91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ind w:left="0" w:right="0" w:firstLine="980"/>
              <w:jc w:val="right"/>
              <w:rPr/>
            </w:pPr>
            <w:r>
              <w:rPr/>
              <w:t> </w:t>
            </w:r>
          </w:p>
        </w:tc>
      </w:tr>
      <w:tr>
        <w:trPr/>
        <w:tc>
          <w:tcPr>
            <w:tcW w:w="6919" w:type="dxa"/>
            <w:tcBorders/>
            <w:shd w:fill="FFFFFF" w:val="clear"/>
            <w:vAlign w:val="center"/>
          </w:tcPr>
          <w:p>
            <w:pPr>
              <w:pStyle w:val="TableContents"/>
              <w:bidi w:val="0"/>
              <w:spacing w:before="0" w:after="283"/>
              <w:ind w:left="0" w:right="0" w:firstLine="840"/>
              <w:jc w:val="left"/>
              <w:rPr>
                <w:rFonts w:ascii="Arial" w:hAnsi="Arial"/>
                <w:color w:val="666666"/>
                <w:sz w:val="20"/>
              </w:rPr>
            </w:pPr>
            <w:r>
              <w:rPr>
                <w:rFonts w:ascii="Arial" w:hAnsi="Arial"/>
                <w:color w:val="666666"/>
                <w:sz w:val="20"/>
              </w:rPr>
              <w:t>Total assets</w:t>
            </w:r>
          </w:p>
        </w:tc>
        <w:tc>
          <w:tcPr>
            <w:tcW w:w="986" w:type="dxa"/>
            <w:tcBorders/>
            <w:shd w:fill="FFFFFF" w:val="clear"/>
            <w:vAlign w:val="center"/>
          </w:tcPr>
          <w:p>
            <w:pPr>
              <w:pStyle w:val="TableContents"/>
              <w:bidi w:val="0"/>
              <w:spacing w:before="0" w:after="283"/>
              <w:ind w:left="840" w:right="0" w:firstLine="840"/>
              <w:jc w:val="left"/>
              <w:rPr/>
            </w:pPr>
            <w:r>
              <w:rPr/>
              <w:t> </w:t>
            </w:r>
          </w:p>
        </w:tc>
        <w:tc>
          <w:tcPr>
            <w:tcW w:w="982"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$484,275</w:t>
            </w:r>
          </w:p>
        </w:tc>
        <w:tc>
          <w:tcPr>
            <w:tcW w:w="146"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$411,976</w:t>
            </w:r>
          </w:p>
        </w:tc>
      </w:tr>
      <w:tr>
        <w:trPr/>
        <w:tc>
          <w:tcPr>
            <w:tcW w:w="691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left"/>
              <w:rPr/>
            </w:pPr>
            <w:r>
              <w:rPr/>
              <w:t> </w:t>
            </w:r>
          </w:p>
        </w:tc>
        <w:tc>
          <w:tcPr>
            <w:tcW w:w="98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91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pPr>
            <w:r>
              <w:rPr/>
              <w:t> </w:t>
            </w:r>
          </w:p>
        </w:tc>
      </w:tr>
      <w:tr>
        <w:trPr/>
        <w:tc>
          <w:tcPr>
            <w:tcW w:w="6919" w:type="dxa"/>
            <w:tcBorders/>
            <w:shd w:fill="E5E5E5" w:val="clear"/>
            <w:vAlign w:val="center"/>
          </w:tcPr>
          <w:p>
            <w:pPr>
              <w:pStyle w:val="TableContents"/>
              <w:bidi w:val="0"/>
              <w:spacing w:before="0" w:after="283"/>
              <w:jc w:val="left"/>
              <w:rPr>
                <w:rFonts w:ascii="Arial" w:hAnsi="Arial"/>
                <w:b/>
                <w:color w:val="666666"/>
                <w:sz w:val="20"/>
              </w:rPr>
            </w:pPr>
            <w:r>
              <w:rPr>
                <w:rFonts w:ascii="Arial" w:hAnsi="Arial"/>
                <w:b/>
                <w:color w:val="666666"/>
                <w:sz w:val="20"/>
              </w:rPr>
              <w:t>Liabilities and stockholders' equity</w:t>
            </w:r>
          </w:p>
        </w:tc>
        <w:tc>
          <w:tcPr>
            <w:tcW w:w="986" w:type="dxa"/>
            <w:tcBorders/>
            <w:shd w:fill="E5E5E5" w:val="clear"/>
            <w:vAlign w:val="center"/>
          </w:tcPr>
          <w:p>
            <w:pPr>
              <w:pStyle w:val="TableContents"/>
              <w:bidi w:val="0"/>
              <w:spacing w:before="0" w:after="283"/>
              <w:jc w:val="left"/>
              <w:rPr/>
            </w:pPr>
            <w:r>
              <w:rPr/>
              <w:t> </w:t>
            </w:r>
          </w:p>
        </w:tc>
        <w:tc>
          <w:tcPr>
            <w:tcW w:w="982"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left"/>
              <w:rPr/>
            </w:pPr>
            <w:r>
              <w:rPr/>
              <w:t> </w:t>
            </w:r>
          </w:p>
        </w:tc>
        <w:tc>
          <w:tcPr>
            <w:tcW w:w="1172" w:type="dxa"/>
            <w:tcBorders/>
            <w:shd w:fill="E5E5E5" w:val="clear"/>
            <w:vAlign w:val="center"/>
          </w:tcPr>
          <w:p>
            <w:pPr>
              <w:pStyle w:val="TableContents"/>
              <w:bidi w:val="0"/>
              <w:spacing w:before="0" w:after="283"/>
              <w:jc w:val="right"/>
              <w:rPr/>
            </w:pPr>
            <w:r>
              <w:rPr/>
              <w:t> </w:t>
            </w:r>
          </w:p>
        </w:tc>
      </w:tr>
      <w:tr>
        <w:trPr/>
        <w:tc>
          <w:tcPr>
            <w:tcW w:w="6919" w:type="dxa"/>
            <w:tcBorders/>
            <w:shd w:fill="FFFFFF" w:val="clear"/>
            <w:vAlign w:val="center"/>
          </w:tcPr>
          <w:p>
            <w:pPr>
              <w:pStyle w:val="TableContents"/>
              <w:bidi w:val="0"/>
              <w:spacing w:before="0" w:after="283"/>
              <w:jc w:val="left"/>
              <w:rPr>
                <w:rFonts w:ascii="Arial" w:hAnsi="Arial"/>
                <w:color w:val="666666"/>
                <w:sz w:val="20"/>
              </w:rPr>
            </w:pPr>
            <w:r>
              <w:rPr>
                <w:rFonts w:ascii="Arial" w:hAnsi="Arial"/>
                <w:color w:val="666666"/>
                <w:sz w:val="20"/>
              </w:rPr>
              <w:t>Current liabilities:</w:t>
            </w:r>
          </w:p>
        </w:tc>
        <w:tc>
          <w:tcPr>
            <w:tcW w:w="98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ind w:left="0" w:right="0" w:firstLine="280"/>
              <w:jc w:val="right"/>
              <w:rPr/>
            </w:pPr>
            <w:r>
              <w:rPr/>
              <w:t> </w:t>
            </w:r>
          </w:p>
        </w:tc>
      </w:tr>
      <w:tr>
        <w:trPr/>
        <w:tc>
          <w:tcPr>
            <w:tcW w:w="6919" w:type="dxa"/>
            <w:tcBorders/>
            <w:shd w:fill="E5E5E5" w:val="cle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Accounts payable</w:t>
            </w:r>
          </w:p>
        </w:tc>
        <w:tc>
          <w:tcPr>
            <w:tcW w:w="986" w:type="dxa"/>
            <w:tcBorders/>
            <w:shd w:fill="E5E5E5" w:val="clear"/>
            <w:vAlign w:val="center"/>
          </w:tcPr>
          <w:p>
            <w:pPr>
              <w:pStyle w:val="TableContents"/>
              <w:bidi w:val="0"/>
              <w:spacing w:before="0" w:after="283"/>
              <w:ind w:left="280" w:right="0" w:firstLine="280"/>
              <w:jc w:val="left"/>
              <w:rPr/>
            </w:pPr>
            <w:r>
              <w:rPr/>
              <w:t> </w:t>
            </w:r>
          </w:p>
        </w:tc>
        <w:tc>
          <w:tcPr>
            <w:tcW w:w="982"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$18,087</w:t>
            </w:r>
          </w:p>
        </w:tc>
        <w:tc>
          <w:tcPr>
            <w:tcW w:w="146" w:type="dxa"/>
            <w:tcBorders/>
            <w:shd w:fill="E5E5E5" w:val="clear"/>
            <w:vAlign w:val="center"/>
          </w:tcPr>
          <w:p>
            <w:pPr>
              <w:pStyle w:val="TableContents"/>
              <w:bidi w:val="0"/>
              <w:spacing w:before="0" w:after="283"/>
              <w:jc w:val="left"/>
              <w:rPr/>
            </w:pPr>
            <w:r>
              <w:rPr/>
              <w:t> </w:t>
            </w:r>
          </w:p>
        </w:tc>
        <w:tc>
          <w:tcPr>
            <w:tcW w:w="1172" w:type="dxa"/>
            <w:tcBorders/>
            <w:shd w:fill="E5E5E5" w:val="cle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$18,095</w:t>
            </w:r>
          </w:p>
        </w:tc>
      </w:tr>
      <w:tr>
        <w:trPr/>
        <w:tc>
          <w:tcPr>
            <w:tcW w:w="6919" w:type="dxa"/>
            <w:tcBorders/>
            <w:shd w:fill="FFFFFF" w:val="cle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Short-term debt</w:t>
            </w:r>
          </w:p>
        </w:tc>
        <w:tc>
          <w:tcPr>
            <w:tcW w:w="986" w:type="dxa"/>
            <w:tcBorders/>
            <w:shd w:fill="FFFFFF" w:val="clear"/>
            <w:vAlign w:val="center"/>
          </w:tcPr>
          <w:p>
            <w:pPr>
              <w:pStyle w:val="TableContents"/>
              <w:bidi w:val="0"/>
              <w:spacing w:before="0" w:after="283"/>
              <w:ind w:left="280" w:right="0" w:firstLine="280"/>
              <w:jc w:val="left"/>
              <w:rPr/>
            </w:pPr>
            <w:r>
              <w:rPr/>
              <w:t> </w:t>
            </w:r>
          </w:p>
        </w:tc>
        <w:tc>
          <w:tcPr>
            <w:tcW w:w="982"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20,535</w:t>
            </w:r>
          </w:p>
        </w:tc>
        <w:tc>
          <w:tcPr>
            <w:tcW w:w="146"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0</w:t>
            </w:r>
          </w:p>
        </w:tc>
      </w:tr>
      <w:tr>
        <w:trPr/>
        <w:tc>
          <w:tcPr>
            <w:tcW w:w="6919" w:type="dxa"/>
            <w:tcBorders/>
            <w:shd w:fill="E5E5E5" w:val="cle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Current portion of long-term debt</w:t>
            </w:r>
          </w:p>
        </w:tc>
        <w:tc>
          <w:tcPr>
            <w:tcW w:w="986" w:type="dxa"/>
            <w:tcBorders/>
            <w:shd w:fill="E5E5E5" w:val="clear"/>
            <w:vAlign w:val="center"/>
          </w:tcPr>
          <w:p>
            <w:pPr>
              <w:pStyle w:val="TableContents"/>
              <w:bidi w:val="0"/>
              <w:spacing w:before="0" w:after="283"/>
              <w:ind w:left="280" w:right="0" w:firstLine="280"/>
              <w:jc w:val="left"/>
              <w:rPr/>
            </w:pPr>
            <w:r>
              <w:rPr/>
              <w:t> </w:t>
            </w:r>
          </w:p>
        </w:tc>
        <w:tc>
          <w:tcPr>
            <w:tcW w:w="982"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2,249</w:t>
            </w:r>
          </w:p>
        </w:tc>
        <w:tc>
          <w:tcPr>
            <w:tcW w:w="146" w:type="dxa"/>
            <w:tcBorders/>
            <w:shd w:fill="E5E5E5" w:val="clear"/>
            <w:vAlign w:val="center"/>
          </w:tcPr>
          <w:p>
            <w:pPr>
              <w:pStyle w:val="TableContents"/>
              <w:bidi w:val="0"/>
              <w:spacing w:before="0" w:after="283"/>
              <w:jc w:val="left"/>
              <w:rPr/>
            </w:pPr>
            <w:r>
              <w:rPr/>
              <w:t> </w:t>
            </w:r>
          </w:p>
        </w:tc>
        <w:tc>
          <w:tcPr>
            <w:tcW w:w="1172" w:type="dxa"/>
            <w:tcBorders/>
            <w:shd w:fill="E5E5E5" w:val="cle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5,247</w:t>
            </w:r>
          </w:p>
        </w:tc>
      </w:tr>
      <w:tr>
        <w:trPr/>
        <w:tc>
          <w:tcPr>
            <w:tcW w:w="6919" w:type="dxa"/>
            <w:tcBorders/>
            <w:shd w:fill="FFFFFF" w:val="cle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Accrued compensation</w:t>
            </w:r>
          </w:p>
        </w:tc>
        <w:tc>
          <w:tcPr>
            <w:tcW w:w="986" w:type="dxa"/>
            <w:tcBorders/>
            <w:shd w:fill="FFFFFF" w:val="clear"/>
            <w:vAlign w:val="center"/>
          </w:tcPr>
          <w:p>
            <w:pPr>
              <w:pStyle w:val="TableContents"/>
              <w:bidi w:val="0"/>
              <w:spacing w:before="0" w:after="283"/>
              <w:ind w:left="280" w:right="0" w:firstLine="280"/>
              <w:jc w:val="left"/>
              <w:rPr/>
            </w:pPr>
            <w:r>
              <w:rPr/>
              <w:t> </w:t>
            </w:r>
          </w:p>
        </w:tc>
        <w:tc>
          <w:tcPr>
            <w:tcW w:w="982"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10,432</w:t>
            </w:r>
          </w:p>
        </w:tc>
        <w:tc>
          <w:tcPr>
            <w:tcW w:w="146"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11,009</w:t>
            </w:r>
          </w:p>
        </w:tc>
      </w:tr>
      <w:tr>
        <w:trPr/>
        <w:tc>
          <w:tcPr>
            <w:tcW w:w="6919" w:type="dxa"/>
            <w:tcBorders/>
            <w:shd w:fill="E5E5E5" w:val="cle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Short-term income taxes</w:t>
            </w:r>
          </w:p>
        </w:tc>
        <w:tc>
          <w:tcPr>
            <w:tcW w:w="986" w:type="dxa"/>
            <w:tcBorders/>
            <w:shd w:fill="E5E5E5" w:val="clear"/>
            <w:vAlign w:val="center"/>
          </w:tcPr>
          <w:p>
            <w:pPr>
              <w:pStyle w:val="TableContents"/>
              <w:bidi w:val="0"/>
              <w:spacing w:before="0" w:after="283"/>
              <w:ind w:left="280" w:right="0" w:firstLine="280"/>
              <w:jc w:val="left"/>
              <w:rPr/>
            </w:pPr>
            <w:r>
              <w:rPr/>
              <w:t> </w:t>
            </w:r>
          </w:p>
        </w:tc>
        <w:tc>
          <w:tcPr>
            <w:tcW w:w="982"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7,311</w:t>
            </w:r>
          </w:p>
        </w:tc>
        <w:tc>
          <w:tcPr>
            <w:tcW w:w="146" w:type="dxa"/>
            <w:tcBorders/>
            <w:shd w:fill="E5E5E5" w:val="clear"/>
            <w:vAlign w:val="center"/>
          </w:tcPr>
          <w:p>
            <w:pPr>
              <w:pStyle w:val="TableContents"/>
              <w:bidi w:val="0"/>
              <w:spacing w:before="0" w:after="283"/>
              <w:jc w:val="left"/>
              <w:rPr/>
            </w:pPr>
            <w:r>
              <w:rPr/>
              <w:t> </w:t>
            </w:r>
          </w:p>
        </w:tc>
        <w:tc>
          <w:tcPr>
            <w:tcW w:w="1172" w:type="dxa"/>
            <w:tcBorders/>
            <w:shd w:fill="E5E5E5" w:val="cle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4,152</w:t>
            </w:r>
          </w:p>
        </w:tc>
      </w:tr>
      <w:tr>
        <w:trPr/>
        <w:tc>
          <w:tcPr>
            <w:tcW w:w="6919" w:type="dxa"/>
            <w:tcBorders/>
            <w:shd w:fill="FFFFFF" w:val="cle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Short-term unearned revenue</w:t>
            </w:r>
          </w:p>
        </w:tc>
        <w:tc>
          <w:tcPr>
            <w:tcW w:w="986" w:type="dxa"/>
            <w:tcBorders/>
            <w:shd w:fill="FFFFFF" w:val="clear"/>
            <w:vAlign w:val="center"/>
          </w:tcPr>
          <w:p>
            <w:pPr>
              <w:pStyle w:val="TableContents"/>
              <w:bidi w:val="0"/>
              <w:spacing w:before="0" w:after="283"/>
              <w:ind w:left="280" w:right="0" w:firstLine="280"/>
              <w:jc w:val="left"/>
              <w:rPr/>
            </w:pPr>
            <w:r>
              <w:rPr/>
              <w:t> </w:t>
            </w:r>
          </w:p>
        </w:tc>
        <w:tc>
          <w:tcPr>
            <w:tcW w:w="982"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41,888</w:t>
            </w:r>
          </w:p>
        </w:tc>
        <w:tc>
          <w:tcPr>
            <w:tcW w:w="146"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50,901</w:t>
            </w:r>
          </w:p>
        </w:tc>
      </w:tr>
      <w:tr>
        <w:trPr/>
        <w:tc>
          <w:tcPr>
            <w:tcW w:w="6919" w:type="dxa"/>
            <w:tcBorders/>
            <w:shd w:fill="E5E5E5" w:val="cle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Other current liabilities</w:t>
            </w:r>
          </w:p>
        </w:tc>
        <w:tc>
          <w:tcPr>
            <w:tcW w:w="986" w:type="dxa"/>
            <w:tcBorders/>
            <w:shd w:fill="E5E5E5" w:val="clear"/>
            <w:vAlign w:val="center"/>
          </w:tcPr>
          <w:p>
            <w:pPr>
              <w:pStyle w:val="TableContents"/>
              <w:bidi w:val="0"/>
              <w:spacing w:before="0" w:after="283"/>
              <w:ind w:left="280" w:right="0" w:firstLine="280"/>
              <w:jc w:val="left"/>
              <w:rPr/>
            </w:pPr>
            <w:r>
              <w:rPr/>
              <w:t> </w:t>
            </w:r>
          </w:p>
        </w:tc>
        <w:tc>
          <w:tcPr>
            <w:tcW w:w="982"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18,023</w:t>
            </w:r>
          </w:p>
        </w:tc>
        <w:tc>
          <w:tcPr>
            <w:tcW w:w="146" w:type="dxa"/>
            <w:tcBorders/>
            <w:shd w:fill="E5E5E5" w:val="clear"/>
            <w:vAlign w:val="center"/>
          </w:tcPr>
          <w:p>
            <w:pPr>
              <w:pStyle w:val="TableContents"/>
              <w:bidi w:val="0"/>
              <w:spacing w:before="0" w:after="283"/>
              <w:jc w:val="left"/>
              <w:rPr/>
            </w:pPr>
            <w:r>
              <w:rPr/>
              <w:t> </w:t>
            </w:r>
          </w:p>
        </w:tc>
        <w:tc>
          <w:tcPr>
            <w:tcW w:w="1172"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14,745</w:t>
            </w:r>
          </w:p>
        </w:tc>
      </w:tr>
      <w:tr>
        <w:trPr/>
        <w:tc>
          <w:tcPr>
            <w:tcW w:w="6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91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ind w:left="0" w:right="0" w:firstLine="560"/>
              <w:jc w:val="right"/>
              <w:rPr/>
            </w:pPr>
            <w:r>
              <w:rPr/>
              <w:t> </w:t>
            </w:r>
          </w:p>
        </w:tc>
      </w:tr>
      <w:tr>
        <w:trPr/>
        <w:tc>
          <w:tcPr>
            <w:tcW w:w="6919" w:type="dxa"/>
            <w:tcBorders/>
            <w:shd w:fill="FFFFFF" w:val="cle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Total current liabilities</w:t>
            </w:r>
          </w:p>
        </w:tc>
        <w:tc>
          <w:tcPr>
            <w:tcW w:w="986" w:type="dxa"/>
            <w:tcBorders/>
            <w:shd w:fill="FFFFFF" w:val="clear"/>
            <w:vAlign w:val="center"/>
          </w:tcPr>
          <w:p>
            <w:pPr>
              <w:pStyle w:val="TableContents"/>
              <w:bidi w:val="0"/>
              <w:spacing w:before="0" w:after="283"/>
              <w:ind w:left="560" w:right="0" w:firstLine="560"/>
              <w:jc w:val="left"/>
              <w:rPr/>
            </w:pPr>
            <w:r>
              <w:rPr/>
              <w:t> </w:t>
            </w:r>
          </w:p>
        </w:tc>
        <w:tc>
          <w:tcPr>
            <w:tcW w:w="982"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118,525</w:t>
            </w:r>
          </w:p>
        </w:tc>
        <w:tc>
          <w:tcPr>
            <w:tcW w:w="146"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104,149</w:t>
            </w:r>
          </w:p>
        </w:tc>
      </w:tr>
      <w:tr>
        <w:trPr/>
        <w:tc>
          <w:tcPr>
            <w:tcW w:w="6919" w:type="dxa"/>
            <w:tcBorders/>
            <w:shd w:fill="E5E5E5" w:val="clear"/>
            <w:vAlign w:val="center"/>
          </w:tcPr>
          <w:p>
            <w:pPr>
              <w:pStyle w:val="TableContents"/>
              <w:bidi w:val="0"/>
              <w:spacing w:before="0" w:after="283"/>
              <w:jc w:val="left"/>
              <w:rPr>
                <w:rFonts w:ascii="Arial" w:hAnsi="Arial"/>
                <w:color w:val="666666"/>
                <w:sz w:val="20"/>
              </w:rPr>
            </w:pPr>
            <w:r>
              <w:rPr>
                <w:rFonts w:ascii="Arial" w:hAnsi="Arial"/>
                <w:color w:val="666666"/>
                <w:sz w:val="20"/>
              </w:rPr>
              <w:t>Long-term debt</w:t>
            </w:r>
          </w:p>
        </w:tc>
        <w:tc>
          <w:tcPr>
            <w:tcW w:w="986" w:type="dxa"/>
            <w:tcBorders/>
            <w:shd w:fill="E5E5E5" w:val="clear"/>
            <w:vAlign w:val="center"/>
          </w:tcPr>
          <w:p>
            <w:pPr>
              <w:pStyle w:val="TableContents"/>
              <w:bidi w:val="0"/>
              <w:spacing w:before="0" w:after="283"/>
              <w:jc w:val="left"/>
              <w:rPr/>
            </w:pPr>
            <w:r>
              <w:rPr/>
              <w:t> </w:t>
            </w:r>
          </w:p>
        </w:tc>
        <w:tc>
          <w:tcPr>
            <w:tcW w:w="982"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42,658</w:t>
            </w:r>
          </w:p>
        </w:tc>
        <w:tc>
          <w:tcPr>
            <w:tcW w:w="146" w:type="dxa"/>
            <w:tcBorders/>
            <w:shd w:fill="E5E5E5" w:val="clear"/>
            <w:vAlign w:val="center"/>
          </w:tcPr>
          <w:p>
            <w:pPr>
              <w:pStyle w:val="TableContents"/>
              <w:bidi w:val="0"/>
              <w:spacing w:before="0" w:after="283"/>
              <w:jc w:val="left"/>
              <w:rPr/>
            </w:pPr>
            <w:r>
              <w:rPr/>
              <w:t> </w:t>
            </w:r>
          </w:p>
        </w:tc>
        <w:tc>
          <w:tcPr>
            <w:tcW w:w="1172"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41,990</w:t>
            </w:r>
          </w:p>
        </w:tc>
      </w:tr>
      <w:tr>
        <w:trPr/>
        <w:tc>
          <w:tcPr>
            <w:tcW w:w="6919" w:type="dxa"/>
            <w:tcBorders/>
            <w:shd w:fill="FFFFFF" w:val="clear"/>
            <w:vAlign w:val="center"/>
          </w:tcPr>
          <w:p>
            <w:pPr>
              <w:pStyle w:val="TableContents"/>
              <w:bidi w:val="0"/>
              <w:spacing w:before="0" w:after="283"/>
              <w:jc w:val="left"/>
              <w:rPr>
                <w:rFonts w:ascii="Arial" w:hAnsi="Arial"/>
                <w:color w:val="666666"/>
                <w:sz w:val="20"/>
              </w:rPr>
            </w:pPr>
            <w:r>
              <w:rPr>
                <w:rFonts w:ascii="Arial" w:hAnsi="Arial"/>
                <w:color w:val="666666"/>
                <w:sz w:val="20"/>
              </w:rPr>
              <w:t>Long-term income taxes</w:t>
            </w:r>
          </w:p>
        </w:tc>
        <w:tc>
          <w:tcPr>
            <w:tcW w:w="98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26,786</w:t>
            </w:r>
          </w:p>
        </w:tc>
        <w:tc>
          <w:tcPr>
            <w:tcW w:w="146"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25,560</w:t>
            </w:r>
          </w:p>
        </w:tc>
      </w:tr>
      <w:tr>
        <w:trPr/>
        <w:tc>
          <w:tcPr>
            <w:tcW w:w="6919" w:type="dxa"/>
            <w:tcBorders/>
            <w:shd w:fill="E5E5E5" w:val="clear"/>
            <w:vAlign w:val="center"/>
          </w:tcPr>
          <w:p>
            <w:pPr>
              <w:pStyle w:val="TableContents"/>
              <w:bidi w:val="0"/>
              <w:spacing w:before="0" w:after="283"/>
              <w:jc w:val="left"/>
              <w:rPr>
                <w:rFonts w:ascii="Arial" w:hAnsi="Arial"/>
                <w:color w:val="666666"/>
                <w:sz w:val="20"/>
              </w:rPr>
            </w:pPr>
            <w:r>
              <w:rPr>
                <w:rFonts w:ascii="Arial" w:hAnsi="Arial"/>
                <w:color w:val="666666"/>
                <w:sz w:val="20"/>
              </w:rPr>
              <w:t>Long-term unearned revenue</w:t>
            </w:r>
          </w:p>
        </w:tc>
        <w:tc>
          <w:tcPr>
            <w:tcW w:w="986" w:type="dxa"/>
            <w:tcBorders/>
            <w:shd w:fill="E5E5E5" w:val="clear"/>
            <w:vAlign w:val="center"/>
          </w:tcPr>
          <w:p>
            <w:pPr>
              <w:pStyle w:val="TableContents"/>
              <w:bidi w:val="0"/>
              <w:spacing w:before="0" w:after="283"/>
              <w:jc w:val="left"/>
              <w:rPr/>
            </w:pPr>
            <w:r>
              <w:rPr/>
              <w:t> </w:t>
            </w:r>
          </w:p>
        </w:tc>
        <w:tc>
          <w:tcPr>
            <w:tcW w:w="982"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2,945</w:t>
            </w:r>
          </w:p>
        </w:tc>
        <w:tc>
          <w:tcPr>
            <w:tcW w:w="146" w:type="dxa"/>
            <w:tcBorders/>
            <w:shd w:fill="E5E5E5" w:val="clear"/>
            <w:vAlign w:val="center"/>
          </w:tcPr>
          <w:p>
            <w:pPr>
              <w:pStyle w:val="TableContents"/>
              <w:bidi w:val="0"/>
              <w:spacing w:before="0" w:after="283"/>
              <w:jc w:val="left"/>
              <w:rPr/>
            </w:pPr>
            <w:r>
              <w:rPr/>
              <w:t> </w:t>
            </w:r>
          </w:p>
        </w:tc>
        <w:tc>
          <w:tcPr>
            <w:tcW w:w="1172"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2,912</w:t>
            </w:r>
          </w:p>
        </w:tc>
      </w:tr>
      <w:tr>
        <w:trPr/>
        <w:tc>
          <w:tcPr>
            <w:tcW w:w="6919" w:type="dxa"/>
            <w:tcBorders/>
            <w:shd w:fill="FFFFFF" w:val="clear"/>
            <w:vAlign w:val="center"/>
          </w:tcPr>
          <w:p>
            <w:pPr>
              <w:pStyle w:val="TableContents"/>
              <w:bidi w:val="0"/>
              <w:spacing w:before="0" w:after="283"/>
              <w:jc w:val="left"/>
              <w:rPr>
                <w:rFonts w:ascii="Arial" w:hAnsi="Arial"/>
                <w:color w:val="666666"/>
                <w:sz w:val="20"/>
              </w:rPr>
            </w:pPr>
            <w:r>
              <w:rPr>
                <w:rFonts w:ascii="Arial" w:hAnsi="Arial"/>
                <w:color w:val="666666"/>
                <w:sz w:val="20"/>
              </w:rPr>
              <w:t>Deferred income taxes</w:t>
            </w:r>
          </w:p>
        </w:tc>
        <w:tc>
          <w:tcPr>
            <w:tcW w:w="98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2,469</w:t>
            </w:r>
          </w:p>
        </w:tc>
        <w:tc>
          <w:tcPr>
            <w:tcW w:w="146"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433</w:t>
            </w:r>
          </w:p>
        </w:tc>
      </w:tr>
      <w:tr>
        <w:trPr/>
        <w:tc>
          <w:tcPr>
            <w:tcW w:w="6919" w:type="dxa"/>
            <w:tcBorders/>
            <w:shd w:fill="E5E5E5" w:val="clear"/>
            <w:vAlign w:val="center"/>
          </w:tcPr>
          <w:p>
            <w:pPr>
              <w:pStyle w:val="TableContents"/>
              <w:bidi w:val="0"/>
              <w:spacing w:before="0" w:after="283"/>
              <w:jc w:val="left"/>
              <w:rPr>
                <w:rFonts w:ascii="Arial" w:hAnsi="Arial"/>
                <w:color w:val="666666"/>
                <w:sz w:val="20"/>
              </w:rPr>
            </w:pPr>
            <w:r>
              <w:rPr>
                <w:rFonts w:ascii="Arial" w:hAnsi="Arial"/>
                <w:color w:val="666666"/>
                <w:sz w:val="20"/>
              </w:rPr>
              <w:t>Operating lease liabilities</w:t>
            </w:r>
          </w:p>
        </w:tc>
        <w:tc>
          <w:tcPr>
            <w:tcW w:w="986" w:type="dxa"/>
            <w:tcBorders/>
            <w:shd w:fill="E5E5E5" w:val="clear"/>
            <w:vAlign w:val="center"/>
          </w:tcPr>
          <w:p>
            <w:pPr>
              <w:pStyle w:val="TableContents"/>
              <w:bidi w:val="0"/>
              <w:spacing w:before="0" w:after="283"/>
              <w:jc w:val="left"/>
              <w:rPr/>
            </w:pPr>
            <w:r>
              <w:rPr/>
              <w:t> </w:t>
            </w:r>
          </w:p>
        </w:tc>
        <w:tc>
          <w:tcPr>
            <w:tcW w:w="982"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14,469</w:t>
            </w:r>
          </w:p>
        </w:tc>
        <w:tc>
          <w:tcPr>
            <w:tcW w:w="146" w:type="dxa"/>
            <w:tcBorders/>
            <w:shd w:fill="E5E5E5" w:val="clear"/>
            <w:vAlign w:val="center"/>
          </w:tcPr>
          <w:p>
            <w:pPr>
              <w:pStyle w:val="TableContents"/>
              <w:bidi w:val="0"/>
              <w:spacing w:before="0" w:after="283"/>
              <w:jc w:val="left"/>
              <w:rPr/>
            </w:pPr>
            <w:r>
              <w:rPr/>
              <w:t> </w:t>
            </w:r>
          </w:p>
        </w:tc>
        <w:tc>
          <w:tcPr>
            <w:tcW w:w="1172"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12,728</w:t>
            </w:r>
          </w:p>
        </w:tc>
      </w:tr>
      <w:tr>
        <w:trPr/>
        <w:tc>
          <w:tcPr>
            <w:tcW w:w="6919" w:type="dxa"/>
            <w:tcBorders/>
            <w:shd w:fill="FFFFFF" w:val="clear"/>
            <w:vAlign w:val="center"/>
          </w:tcPr>
          <w:p>
            <w:pPr>
              <w:pStyle w:val="TableContents"/>
              <w:bidi w:val="0"/>
              <w:spacing w:before="0" w:after="283"/>
              <w:jc w:val="left"/>
              <w:rPr>
                <w:rFonts w:ascii="Arial" w:hAnsi="Arial"/>
                <w:color w:val="666666"/>
                <w:sz w:val="20"/>
              </w:rPr>
            </w:pPr>
            <w:r>
              <w:rPr>
                <w:rFonts w:ascii="Arial" w:hAnsi="Arial"/>
                <w:color w:val="666666"/>
                <w:sz w:val="20"/>
              </w:rPr>
              <w:t>Other long-term liabilities</w:t>
            </w:r>
          </w:p>
        </w:tc>
        <w:tc>
          <w:tcPr>
            <w:tcW w:w="98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23,271</w:t>
            </w:r>
          </w:p>
        </w:tc>
        <w:tc>
          <w:tcPr>
            <w:tcW w:w="146"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17,981</w:t>
            </w:r>
          </w:p>
        </w:tc>
      </w:tr>
      <w:tr>
        <w:trPr/>
        <w:tc>
          <w:tcPr>
            <w:tcW w:w="6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91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ind w:left="0" w:right="0" w:firstLine="700"/>
              <w:jc w:val="right"/>
              <w:rPr/>
            </w:pPr>
            <w:r>
              <w:rPr/>
              <w:t> </w:t>
            </w:r>
          </w:p>
        </w:tc>
      </w:tr>
      <w:tr>
        <w:trPr/>
        <w:tc>
          <w:tcPr>
            <w:tcW w:w="6919" w:type="dxa"/>
            <w:tcBorders/>
            <w:shd w:fill="E5E5E5" w:val="clear"/>
            <w:vAlign w:val="center"/>
          </w:tcPr>
          <w:p>
            <w:pPr>
              <w:pStyle w:val="TableContents"/>
              <w:bidi w:val="0"/>
              <w:spacing w:before="0" w:after="283"/>
              <w:ind w:left="0" w:right="0" w:firstLine="840"/>
              <w:jc w:val="left"/>
              <w:rPr>
                <w:rFonts w:ascii="Arial" w:hAnsi="Arial"/>
                <w:color w:val="666666"/>
                <w:sz w:val="20"/>
              </w:rPr>
            </w:pPr>
            <w:r>
              <w:rPr>
                <w:rFonts w:ascii="Arial" w:hAnsi="Arial"/>
                <w:color w:val="666666"/>
                <w:sz w:val="20"/>
              </w:rPr>
              <w:t>Total liabilities</w:t>
            </w:r>
          </w:p>
        </w:tc>
        <w:tc>
          <w:tcPr>
            <w:tcW w:w="986" w:type="dxa"/>
            <w:tcBorders/>
            <w:shd w:fill="E5E5E5" w:val="clear"/>
            <w:vAlign w:val="center"/>
          </w:tcPr>
          <w:p>
            <w:pPr>
              <w:pStyle w:val="TableContents"/>
              <w:bidi w:val="0"/>
              <w:spacing w:before="0" w:after="283"/>
              <w:ind w:left="840" w:right="0" w:firstLine="840"/>
              <w:jc w:val="left"/>
              <w:rPr/>
            </w:pPr>
            <w:r>
              <w:rPr/>
              <w:t> </w:t>
            </w:r>
          </w:p>
        </w:tc>
        <w:tc>
          <w:tcPr>
            <w:tcW w:w="982"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231,123</w:t>
            </w:r>
          </w:p>
        </w:tc>
        <w:tc>
          <w:tcPr>
            <w:tcW w:w="146" w:type="dxa"/>
            <w:tcBorders/>
            <w:shd w:fill="E5E5E5" w:val="clear"/>
            <w:vAlign w:val="center"/>
          </w:tcPr>
          <w:p>
            <w:pPr>
              <w:pStyle w:val="TableContents"/>
              <w:bidi w:val="0"/>
              <w:spacing w:before="0" w:after="283"/>
              <w:jc w:val="left"/>
              <w:rPr/>
            </w:pPr>
            <w:r>
              <w:rPr/>
              <w:t> </w:t>
            </w:r>
          </w:p>
        </w:tc>
        <w:tc>
          <w:tcPr>
            <w:tcW w:w="1172"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205,753</w:t>
            </w:r>
          </w:p>
        </w:tc>
      </w:tr>
      <w:tr>
        <w:trPr/>
        <w:tc>
          <w:tcPr>
            <w:tcW w:w="6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91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pPr>
            <w:r>
              <w:rPr/>
              <w:t> </w:t>
            </w:r>
          </w:p>
        </w:tc>
      </w:tr>
      <w:tr>
        <w:trPr/>
        <w:tc>
          <w:tcPr>
            <w:tcW w:w="6919" w:type="dxa"/>
            <w:tcBorders/>
            <w:shd w:fill="FFFFFF" w:val="clear"/>
            <w:vAlign w:val="center"/>
          </w:tcPr>
          <w:p>
            <w:pPr>
              <w:pStyle w:val="TableContents"/>
              <w:bidi w:val="0"/>
              <w:spacing w:before="0" w:after="283"/>
              <w:jc w:val="left"/>
              <w:rPr>
                <w:rFonts w:ascii="Arial" w:hAnsi="Arial"/>
                <w:color w:val="666666"/>
                <w:sz w:val="20"/>
              </w:rPr>
            </w:pPr>
            <w:r>
              <w:rPr>
                <w:rFonts w:ascii="Arial" w:hAnsi="Arial"/>
                <w:color w:val="666666"/>
                <w:sz w:val="20"/>
              </w:rPr>
              <w:t>Commitments and contingencies</w:t>
            </w:r>
          </w:p>
        </w:tc>
        <w:tc>
          <w:tcPr>
            <w:tcW w:w="98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pPr>
            <w:r>
              <w:rPr/>
              <w:t> </w:t>
            </w:r>
          </w:p>
        </w:tc>
      </w:tr>
      <w:tr>
        <w:trPr/>
        <w:tc>
          <w:tcPr>
            <w:tcW w:w="6919" w:type="dxa"/>
            <w:tcBorders/>
            <w:shd w:fill="E5E5E5" w:val="clear"/>
            <w:vAlign w:val="center"/>
          </w:tcPr>
          <w:p>
            <w:pPr>
              <w:pStyle w:val="TableContents"/>
              <w:bidi w:val="0"/>
              <w:spacing w:before="0" w:after="283"/>
              <w:jc w:val="left"/>
              <w:rPr>
                <w:rFonts w:ascii="Arial" w:hAnsi="Arial"/>
                <w:color w:val="666666"/>
                <w:sz w:val="20"/>
              </w:rPr>
            </w:pPr>
            <w:r>
              <w:rPr>
                <w:rFonts w:ascii="Arial" w:hAnsi="Arial"/>
                <w:color w:val="666666"/>
                <w:sz w:val="20"/>
              </w:rPr>
              <w:t>Stockholders' equity:</w:t>
            </w:r>
          </w:p>
        </w:tc>
        <w:tc>
          <w:tcPr>
            <w:tcW w:w="986" w:type="dxa"/>
            <w:tcBorders/>
            <w:shd w:fill="E5E5E5" w:val="clear"/>
            <w:vAlign w:val="center"/>
          </w:tcPr>
          <w:p>
            <w:pPr>
              <w:pStyle w:val="TableContents"/>
              <w:bidi w:val="0"/>
              <w:spacing w:before="0" w:after="283"/>
              <w:jc w:val="left"/>
              <w:rPr/>
            </w:pPr>
            <w:r>
              <w:rPr/>
              <w:t> </w:t>
            </w:r>
          </w:p>
        </w:tc>
        <w:tc>
          <w:tcPr>
            <w:tcW w:w="982"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left"/>
              <w:rPr/>
            </w:pPr>
            <w:r>
              <w:rPr/>
              <w:t> </w:t>
            </w:r>
          </w:p>
        </w:tc>
        <w:tc>
          <w:tcPr>
            <w:tcW w:w="1172" w:type="dxa"/>
            <w:tcBorders/>
            <w:shd w:fill="E5E5E5" w:val="clear"/>
            <w:vAlign w:val="center"/>
          </w:tcPr>
          <w:p>
            <w:pPr>
              <w:pStyle w:val="TableContents"/>
              <w:bidi w:val="0"/>
              <w:spacing w:before="0" w:after="283"/>
              <w:ind w:left="0" w:right="0" w:firstLine="280"/>
              <w:jc w:val="right"/>
              <w:rPr/>
            </w:pPr>
            <w:r>
              <w:rPr/>
              <w:t> </w:t>
            </w:r>
          </w:p>
        </w:tc>
      </w:tr>
      <w:tr>
        <w:trPr/>
        <w:tc>
          <w:tcPr>
            <w:tcW w:w="6919" w:type="dxa"/>
            <w:tcBorders/>
            <w:shd w:fill="FFFFFF" w:val="clear"/>
            <w:vAlign w:val="center"/>
          </w:tcPr>
          <w:p>
            <w:pPr>
              <w:pStyle w:val="TableContents"/>
              <w:bidi w:val="0"/>
              <w:spacing w:before="0" w:after="283"/>
              <w:ind w:left="0" w:right="0" w:firstLine="280"/>
              <w:jc w:val="left"/>
              <w:rPr>
                <w:rFonts w:ascii="Times New Roman" w:hAnsi="Times New Roman"/>
                <w:sz w:val="20"/>
              </w:rPr>
            </w:pPr>
            <w:r>
              <w:rPr>
                <w:rFonts w:ascii="Arial" w:hAnsi="Arial"/>
                <w:color w:val="666666"/>
                <w:sz w:val="20"/>
              </w:rPr>
              <w:t xml:space="preserve">Common stock and paid-in capital - shares authorized 24,000; outstanding </w:t>
            </w:r>
            <w:r>
              <w:rPr>
                <w:rFonts w:ascii="Arial" w:hAnsi="Arial"/>
                <w:b/>
                <w:color w:val="666666"/>
                <w:sz w:val="20"/>
              </w:rPr>
              <w:t>7,433</w:t>
            </w:r>
            <w:r>
              <w:rPr>
                <w:rFonts w:ascii="Times New Roman" w:hAnsi="Times New Roman"/>
                <w:color w:val="666666"/>
                <w:sz w:val="20"/>
              </w:rPr>
              <w:t> </w:t>
            </w:r>
            <w:r>
              <w:rPr>
                <w:rFonts w:ascii="Arial" w:hAnsi="Arial"/>
                <w:color w:val="666666"/>
                <w:sz w:val="20"/>
              </w:rPr>
              <w:t>and 7,432</w:t>
            </w:r>
          </w:p>
        </w:tc>
        <w:tc>
          <w:tcPr>
            <w:tcW w:w="986" w:type="dxa"/>
            <w:tcBorders/>
            <w:shd w:fill="FFFFFF" w:val="clear"/>
            <w:vAlign w:val="center"/>
          </w:tcPr>
          <w:p>
            <w:pPr>
              <w:pStyle w:val="TableContents"/>
              <w:bidi w:val="0"/>
              <w:spacing w:before="0" w:after="283"/>
              <w:ind w:left="280" w:right="0" w:firstLine="280"/>
              <w:jc w:val="left"/>
              <w:rPr/>
            </w:pPr>
            <w:r>
              <w:rPr/>
              <w:t> </w:t>
            </w:r>
          </w:p>
        </w:tc>
        <w:tc>
          <w:tcPr>
            <w:tcW w:w="982"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99,193</w:t>
            </w:r>
          </w:p>
        </w:tc>
        <w:tc>
          <w:tcPr>
            <w:tcW w:w="146"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93,718</w:t>
            </w:r>
          </w:p>
        </w:tc>
      </w:tr>
      <w:tr>
        <w:trPr/>
        <w:tc>
          <w:tcPr>
            <w:tcW w:w="6919" w:type="dxa"/>
            <w:tcBorders/>
            <w:shd w:fill="E5E5E5" w:val="cle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Retained earnings</w:t>
            </w:r>
          </w:p>
        </w:tc>
        <w:tc>
          <w:tcPr>
            <w:tcW w:w="986" w:type="dxa"/>
            <w:tcBorders/>
            <w:shd w:fill="E5E5E5" w:val="clear"/>
            <w:vAlign w:val="center"/>
          </w:tcPr>
          <w:p>
            <w:pPr>
              <w:pStyle w:val="TableContents"/>
              <w:bidi w:val="0"/>
              <w:spacing w:before="0" w:after="283"/>
              <w:ind w:left="280" w:right="0" w:firstLine="280"/>
              <w:jc w:val="left"/>
              <w:rPr/>
            </w:pPr>
            <w:r>
              <w:rPr/>
              <w:t> </w:t>
            </w:r>
          </w:p>
        </w:tc>
        <w:tc>
          <w:tcPr>
            <w:tcW w:w="982"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159,394</w:t>
            </w:r>
          </w:p>
        </w:tc>
        <w:tc>
          <w:tcPr>
            <w:tcW w:w="146" w:type="dxa"/>
            <w:tcBorders/>
            <w:shd w:fill="E5E5E5" w:val="clear"/>
            <w:vAlign w:val="center"/>
          </w:tcPr>
          <w:p>
            <w:pPr>
              <w:pStyle w:val="TableContents"/>
              <w:bidi w:val="0"/>
              <w:spacing w:before="0" w:after="283"/>
              <w:jc w:val="left"/>
              <w:rPr/>
            </w:pPr>
            <w:r>
              <w:rPr/>
              <w:t> </w:t>
            </w:r>
          </w:p>
        </w:tc>
        <w:tc>
          <w:tcPr>
            <w:tcW w:w="1172" w:type="dxa"/>
            <w:tcBorders/>
            <w:shd w:fill="E5E5E5" w:val="cle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118,848</w:t>
            </w:r>
          </w:p>
        </w:tc>
      </w:tr>
      <w:tr>
        <w:trPr/>
        <w:tc>
          <w:tcPr>
            <w:tcW w:w="6919" w:type="dxa"/>
            <w:tcBorders/>
            <w:shd w:fill="FFFFFF" w:val="clear"/>
            <w:vAlign w:val="center"/>
          </w:tcPr>
          <w:p>
            <w:pPr>
              <w:pStyle w:val="TableContents"/>
              <w:bidi w:val="0"/>
              <w:spacing w:before="0" w:after="283"/>
              <w:ind w:left="0" w:right="0" w:firstLine="280"/>
              <w:jc w:val="left"/>
              <w:rPr>
                <w:rFonts w:ascii="Arial" w:hAnsi="Arial"/>
                <w:color w:val="666666"/>
                <w:sz w:val="20"/>
              </w:rPr>
            </w:pPr>
            <w:r>
              <w:rPr>
                <w:rFonts w:ascii="Arial" w:hAnsi="Arial"/>
                <w:color w:val="666666"/>
                <w:sz w:val="20"/>
              </w:rPr>
              <w:t>Accumulated other comprehensive loss</w:t>
            </w:r>
          </w:p>
        </w:tc>
        <w:tc>
          <w:tcPr>
            <w:tcW w:w="986" w:type="dxa"/>
            <w:tcBorders/>
            <w:shd w:fill="FFFFFF" w:val="clear"/>
            <w:vAlign w:val="center"/>
          </w:tcPr>
          <w:p>
            <w:pPr>
              <w:pStyle w:val="TableContents"/>
              <w:bidi w:val="0"/>
              <w:spacing w:before="0" w:after="283"/>
              <w:ind w:left="280" w:right="0" w:firstLine="280"/>
              <w:jc w:val="left"/>
              <w:rPr/>
            </w:pPr>
            <w:r>
              <w:rPr/>
              <w:t> </w:t>
            </w:r>
          </w:p>
        </w:tc>
        <w:tc>
          <w:tcPr>
            <w:tcW w:w="982"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(5,435)</w:t>
            </w:r>
          </w:p>
        </w:tc>
        <w:tc>
          <w:tcPr>
            <w:tcW w:w="146"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(6,343)</w:t>
            </w:r>
          </w:p>
        </w:tc>
      </w:tr>
      <w:tr>
        <w:trPr/>
        <w:tc>
          <w:tcPr>
            <w:tcW w:w="6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91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ind w:left="0" w:right="0" w:firstLine="700"/>
              <w:jc w:val="right"/>
              <w:rPr/>
            </w:pPr>
            <w:r>
              <w:rPr/>
              <w:t> </w:t>
            </w:r>
          </w:p>
        </w:tc>
      </w:tr>
      <w:tr>
        <w:trPr/>
        <w:tc>
          <w:tcPr>
            <w:tcW w:w="6919" w:type="dxa"/>
            <w:tcBorders/>
            <w:shd w:fill="E5E5E5" w:val="clear"/>
            <w:vAlign w:val="center"/>
          </w:tcPr>
          <w:p>
            <w:pPr>
              <w:pStyle w:val="TableContents"/>
              <w:bidi w:val="0"/>
              <w:spacing w:before="0" w:after="283"/>
              <w:ind w:left="0" w:right="0" w:firstLine="560"/>
              <w:jc w:val="left"/>
              <w:rPr>
                <w:rFonts w:ascii="Arial" w:hAnsi="Arial"/>
                <w:color w:val="666666"/>
                <w:sz w:val="20"/>
              </w:rPr>
            </w:pPr>
            <w:r>
              <w:rPr>
                <w:rFonts w:ascii="Arial" w:hAnsi="Arial"/>
                <w:color w:val="666666"/>
                <w:sz w:val="20"/>
              </w:rPr>
              <w:t>Total stockholders' equity</w:t>
            </w:r>
          </w:p>
        </w:tc>
        <w:tc>
          <w:tcPr>
            <w:tcW w:w="986" w:type="dxa"/>
            <w:tcBorders/>
            <w:shd w:fill="E5E5E5" w:val="clear"/>
            <w:vAlign w:val="center"/>
          </w:tcPr>
          <w:p>
            <w:pPr>
              <w:pStyle w:val="TableContents"/>
              <w:bidi w:val="0"/>
              <w:spacing w:before="0" w:after="283"/>
              <w:ind w:left="560" w:right="0" w:firstLine="560"/>
              <w:jc w:val="left"/>
              <w:rPr/>
            </w:pPr>
            <w:r>
              <w:rPr/>
              <w:t> </w:t>
            </w:r>
          </w:p>
        </w:tc>
        <w:tc>
          <w:tcPr>
            <w:tcW w:w="982"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253,152</w:t>
            </w:r>
          </w:p>
        </w:tc>
        <w:tc>
          <w:tcPr>
            <w:tcW w:w="146" w:type="dxa"/>
            <w:tcBorders/>
            <w:shd w:fill="E5E5E5" w:val="clear"/>
            <w:vAlign w:val="center"/>
          </w:tcPr>
          <w:p>
            <w:pPr>
              <w:pStyle w:val="TableContents"/>
              <w:bidi w:val="0"/>
              <w:spacing w:before="0" w:after="283"/>
              <w:jc w:val="left"/>
              <w:rPr/>
            </w:pPr>
            <w:r>
              <w:rPr/>
              <w:t> </w:t>
            </w:r>
          </w:p>
        </w:tc>
        <w:tc>
          <w:tcPr>
            <w:tcW w:w="1172"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206,223</w:t>
            </w:r>
          </w:p>
        </w:tc>
      </w:tr>
      <w:tr>
        <w:trPr/>
        <w:tc>
          <w:tcPr>
            <w:tcW w:w="69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691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ind w:left="0" w:right="0" w:firstLine="980"/>
              <w:jc w:val="right"/>
              <w:rPr/>
            </w:pPr>
            <w:r>
              <w:rPr/>
              <w:t> </w:t>
            </w:r>
          </w:p>
        </w:tc>
      </w:tr>
      <w:tr>
        <w:trPr/>
        <w:tc>
          <w:tcPr>
            <w:tcW w:w="6919" w:type="dxa"/>
            <w:tcBorders/>
            <w:shd w:fill="FFFFFF" w:val="clear"/>
            <w:vAlign w:val="center"/>
          </w:tcPr>
          <w:p>
            <w:pPr>
              <w:pStyle w:val="TableContents"/>
              <w:bidi w:val="0"/>
              <w:spacing w:before="0" w:after="283"/>
              <w:ind w:left="0" w:right="0" w:firstLine="840"/>
              <w:jc w:val="left"/>
              <w:rPr>
                <w:rFonts w:ascii="Arial" w:hAnsi="Arial"/>
                <w:color w:val="666666"/>
                <w:sz w:val="20"/>
              </w:rPr>
            </w:pPr>
            <w:r>
              <w:rPr>
                <w:rFonts w:ascii="Arial" w:hAnsi="Arial"/>
                <w:color w:val="666666"/>
                <w:sz w:val="20"/>
              </w:rPr>
              <w:t>Total liabilities and stockholders' equity</w:t>
            </w:r>
          </w:p>
        </w:tc>
        <w:tc>
          <w:tcPr>
            <w:tcW w:w="986" w:type="dxa"/>
            <w:tcBorders/>
            <w:shd w:fill="FFFFFF" w:val="clear"/>
            <w:vAlign w:val="center"/>
          </w:tcPr>
          <w:p>
            <w:pPr>
              <w:pStyle w:val="TableContents"/>
              <w:bidi w:val="0"/>
              <w:spacing w:before="0" w:after="283"/>
              <w:ind w:left="840" w:right="0" w:firstLine="840"/>
              <w:jc w:val="left"/>
              <w:rPr/>
            </w:pPr>
            <w:r>
              <w:rPr/>
              <w:t> </w:t>
            </w:r>
          </w:p>
        </w:tc>
        <w:tc>
          <w:tcPr>
            <w:tcW w:w="982"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$484,275</w:t>
            </w:r>
          </w:p>
        </w:tc>
        <w:tc>
          <w:tcPr>
            <w:tcW w:w="146" w:type="dxa"/>
            <w:tcBorders/>
            <w:shd w:fill="FFFFFF" w:val="clear"/>
            <w:vAlign w:val="center"/>
          </w:tcPr>
          <w:p>
            <w:pPr>
              <w:pStyle w:val="TableContents"/>
              <w:bidi w:val="0"/>
              <w:spacing w:before="0" w:after="283"/>
              <w:jc w:val="left"/>
              <w:rPr/>
            </w:pPr>
            <w:r>
              <w:rPr/>
              <w:t> </w:t>
            </w:r>
          </w:p>
        </w:tc>
        <w:tc>
          <w:tcPr>
            <w:tcW w:w="1172"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$411,976</w:t>
            </w:r>
          </w:p>
        </w:tc>
      </w:tr>
      <w:tr>
        <w:trPr/>
        <w:tc>
          <w:tcPr>
            <w:tcW w:w="691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left"/>
              <w:rPr/>
            </w:pPr>
            <w:r>
              <w:rPr/>
              <w:t> </w:t>
            </w:r>
          </w:p>
        </w:tc>
        <w:tc>
          <w:tcPr>
            <w:tcW w:w="98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666666"/>
          <w:sz w:val="20"/>
        </w:rPr>
      </w:pPr>
      <w:r>
        <w:rPr>
          <w:rFonts w:ascii="Arial" w:hAnsi="Arial"/>
          <w:color w:val="666666"/>
          <w:sz w:val="20"/>
        </w:rPr>
        <w:t>CASH FLOWS STATEMENTS</w:t>
      </w:r>
    </w:p>
    <w:p>
      <w:pPr>
        <w:pStyle w:val="TextBody"/>
        <w:bidi w:val="0"/>
        <w:spacing w:before="120" w:after="283"/>
        <w:jc w:val="center"/>
        <w:rPr>
          <w:rFonts w:ascii="Arial" w:hAnsi="Arial"/>
          <w:color w:val="666666"/>
          <w:sz w:val="20"/>
        </w:rPr>
      </w:pPr>
      <w:r>
        <w:rPr>
          <w:rFonts w:ascii="Arial" w:hAnsi="Arial"/>
          <w:color w:val="666666"/>
          <w:sz w:val="20"/>
        </w:rPr>
        <w:t>(In millions) (Unaudited)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51"/>
        <w:gridCol w:w="146"/>
        <w:gridCol w:w="881"/>
        <w:gridCol w:w="159"/>
        <w:gridCol w:w="881"/>
        <w:gridCol w:w="146"/>
        <w:gridCol w:w="805"/>
        <w:gridCol w:w="146"/>
        <w:gridCol w:w="1290"/>
      </w:tblGrid>
      <w:tr>
        <w:trPr/>
        <w:tc>
          <w:tcPr>
            <w:tcW w:w="5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r>
      <w:tr>
        <w:trPr/>
        <w:tc>
          <w:tcPr>
            <w:tcW w:w="5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921" w:type="dxa"/>
            <w:gridSpan w:val="3"/>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Three Months Ended</w:t>
            </w:r>
          </w:p>
        </w:tc>
        <w:tc>
          <w:tcPr>
            <w:tcW w:w="146" w:type="dxa"/>
            <w:tcBorders/>
            <w:shd w:fill="FFFFFF" w:val="clear"/>
            <w:vAlign w:val="center"/>
          </w:tcPr>
          <w:p>
            <w:pPr>
              <w:pStyle w:val="TableContents"/>
              <w:bidi w:val="0"/>
              <w:spacing w:before="0" w:after="283"/>
              <w:jc w:val="left"/>
              <w:rPr/>
            </w:pPr>
            <w:r>
              <w:rPr/>
              <w:t> </w:t>
            </w:r>
          </w:p>
        </w:tc>
        <w:tc>
          <w:tcPr>
            <w:tcW w:w="2241" w:type="dxa"/>
            <w:gridSpan w:val="3"/>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Nine Months Ended</w:t>
            </w:r>
          </w:p>
        </w:tc>
      </w:tr>
      <w:tr>
        <w:trPr/>
        <w:tc>
          <w:tcPr>
            <w:tcW w:w="5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921" w:type="dxa"/>
            <w:gridSpan w:val="3"/>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March 31,</w:t>
            </w:r>
          </w:p>
        </w:tc>
        <w:tc>
          <w:tcPr>
            <w:tcW w:w="146" w:type="dxa"/>
            <w:tcBorders/>
            <w:shd w:fill="FFFFFF" w:val="clear"/>
            <w:vAlign w:val="center"/>
          </w:tcPr>
          <w:p>
            <w:pPr>
              <w:pStyle w:val="TableContents"/>
              <w:bidi w:val="0"/>
              <w:spacing w:before="0" w:after="283"/>
              <w:jc w:val="left"/>
              <w:rPr/>
            </w:pPr>
            <w:r>
              <w:rPr/>
              <w:t> </w:t>
            </w:r>
          </w:p>
        </w:tc>
        <w:tc>
          <w:tcPr>
            <w:tcW w:w="2241" w:type="dxa"/>
            <w:gridSpan w:val="3"/>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March 31,</w:t>
            </w:r>
          </w:p>
        </w:tc>
      </w:tr>
      <w:tr>
        <w:trPr/>
        <w:tc>
          <w:tcPr>
            <w:tcW w:w="5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2024</w:t>
            </w:r>
          </w:p>
        </w:tc>
        <w:tc>
          <w:tcPr>
            <w:tcW w:w="15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2023</w:t>
            </w:r>
          </w:p>
        </w:tc>
        <w:tc>
          <w:tcPr>
            <w:tcW w:w="14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2024</w:t>
            </w:r>
          </w:p>
        </w:tc>
        <w:tc>
          <w:tcPr>
            <w:tcW w:w="146"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2023</w:t>
            </w:r>
          </w:p>
        </w:tc>
      </w:tr>
      <w:tr>
        <w:trPr/>
        <w:tc>
          <w:tcPr>
            <w:tcW w:w="5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r>
      <w:tr>
        <w:trPr/>
        <w:tc>
          <w:tcPr>
            <w:tcW w:w="5751" w:type="dxa"/>
            <w:tcBorders/>
            <w:shd w:fill="E5E5E5" w:val="clear"/>
            <w:vAlign w:val="center"/>
          </w:tcPr>
          <w:p>
            <w:pPr>
              <w:pStyle w:val="TableContents"/>
              <w:bidi w:val="0"/>
              <w:spacing w:before="0" w:after="283"/>
              <w:jc w:val="left"/>
              <w:rPr>
                <w:rFonts w:ascii="Arial" w:hAnsi="Arial"/>
                <w:b/>
                <w:color w:val="666666"/>
                <w:sz w:val="20"/>
              </w:rPr>
            </w:pPr>
            <w:r>
              <w:rPr>
                <w:rFonts w:ascii="Arial" w:hAnsi="Arial"/>
                <w:b/>
                <w:color w:val="666666"/>
                <w:sz w:val="20"/>
              </w:rPr>
              <w:t>Operations</w:t>
            </w:r>
          </w:p>
        </w:tc>
        <w:tc>
          <w:tcPr>
            <w:tcW w:w="146"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pPr>
            <w:r>
              <w:rPr/>
              <w:t> </w:t>
            </w:r>
          </w:p>
        </w:tc>
        <w:tc>
          <w:tcPr>
            <w:tcW w:w="159"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left"/>
              <w:rPr/>
            </w:pPr>
            <w:r>
              <w:rPr/>
              <w:t> </w:t>
            </w:r>
          </w:p>
        </w:tc>
        <w:tc>
          <w:tcPr>
            <w:tcW w:w="805"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left"/>
              <w:rPr/>
            </w:pPr>
            <w:r>
              <w:rPr/>
              <w:t> </w:t>
            </w:r>
          </w:p>
        </w:tc>
        <w:tc>
          <w:tcPr>
            <w:tcW w:w="1290" w:type="dxa"/>
            <w:tcBorders/>
            <w:shd w:fill="E5E5E5" w:val="clear"/>
            <w:vAlign w:val="center"/>
          </w:tcPr>
          <w:p>
            <w:pPr>
              <w:pStyle w:val="TableContents"/>
              <w:bidi w:val="0"/>
              <w:spacing w:before="0" w:after="283"/>
              <w:jc w:val="right"/>
              <w:rPr/>
            </w:pPr>
            <w:r>
              <w:rPr/>
              <w:t> </w:t>
            </w:r>
          </w:p>
        </w:tc>
      </w:tr>
      <w:tr>
        <w:trPr/>
        <w:tc>
          <w:tcPr>
            <w:tcW w:w="5751" w:type="dxa"/>
            <w:tcBorders/>
            <w:shd w:fill="FFFFFF" w:val="clear"/>
            <w:vAlign w:val="center"/>
          </w:tcPr>
          <w:p>
            <w:pPr>
              <w:pStyle w:val="TableContents"/>
              <w:bidi w:val="0"/>
              <w:spacing w:before="0" w:after="283"/>
              <w:jc w:val="left"/>
              <w:rPr>
                <w:rFonts w:ascii="Arial" w:hAnsi="Arial"/>
                <w:color w:val="666666"/>
                <w:sz w:val="20"/>
              </w:rPr>
            </w:pPr>
            <w:r>
              <w:rPr>
                <w:rFonts w:ascii="Arial" w:hAnsi="Arial"/>
                <w:color w:val="666666"/>
                <w:sz w:val="20"/>
              </w:rPr>
              <w:t>Net income</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$21,939</w:t>
            </w:r>
          </w:p>
        </w:tc>
        <w:tc>
          <w:tcPr>
            <w:tcW w:w="15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$18,299</w:t>
            </w:r>
          </w:p>
        </w:tc>
        <w:tc>
          <w:tcPr>
            <w:tcW w:w="14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$66,100</w:t>
            </w:r>
          </w:p>
        </w:tc>
        <w:tc>
          <w:tcPr>
            <w:tcW w:w="146"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$52,280</w:t>
            </w:r>
          </w:p>
        </w:tc>
      </w:tr>
      <w:tr>
        <w:trPr/>
        <w:tc>
          <w:tcPr>
            <w:tcW w:w="5751" w:type="dxa"/>
            <w:tcBorders/>
            <w:shd w:fill="E5E5E5" w:val="clear"/>
            <w:vAlign w:val="center"/>
          </w:tcPr>
          <w:p>
            <w:pPr>
              <w:pStyle w:val="TableContents"/>
              <w:bidi w:val="0"/>
              <w:spacing w:before="0" w:after="283"/>
              <w:jc w:val="left"/>
              <w:rPr>
                <w:rFonts w:ascii="Arial" w:hAnsi="Arial"/>
                <w:color w:val="666666"/>
                <w:sz w:val="20"/>
              </w:rPr>
            </w:pPr>
            <w:r>
              <w:rPr>
                <w:rFonts w:ascii="Arial" w:hAnsi="Arial"/>
                <w:color w:val="666666"/>
                <w:sz w:val="20"/>
              </w:rPr>
              <w:t>Adjustments to reconcile net income to net cash from operations:</w:t>
            </w:r>
          </w:p>
        </w:tc>
        <w:tc>
          <w:tcPr>
            <w:tcW w:w="146"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pPr>
            <w:r>
              <w:rPr/>
              <w:t> </w:t>
            </w:r>
          </w:p>
        </w:tc>
        <w:tc>
          <w:tcPr>
            <w:tcW w:w="159"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left"/>
              <w:rPr/>
            </w:pPr>
            <w:r>
              <w:rPr/>
              <w:t> </w:t>
            </w:r>
          </w:p>
        </w:tc>
        <w:tc>
          <w:tcPr>
            <w:tcW w:w="805"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left"/>
              <w:rPr/>
            </w:pPr>
            <w:r>
              <w:rPr/>
              <w:t> </w:t>
            </w:r>
          </w:p>
        </w:tc>
        <w:tc>
          <w:tcPr>
            <w:tcW w:w="1290" w:type="dxa"/>
            <w:tcBorders/>
            <w:shd w:fill="E5E5E5" w:val="clear"/>
            <w:vAlign w:val="center"/>
          </w:tcPr>
          <w:p>
            <w:pPr>
              <w:pStyle w:val="TableContents"/>
              <w:bidi w:val="0"/>
              <w:spacing w:before="0" w:after="283"/>
              <w:ind w:left="0" w:right="0" w:firstLine="280"/>
              <w:jc w:val="right"/>
              <w:rPr/>
            </w:pPr>
            <w:r>
              <w:rPr/>
              <w:t> </w:t>
            </w:r>
          </w:p>
        </w:tc>
      </w:tr>
      <w:tr>
        <w:trPr/>
        <w:tc>
          <w:tcPr>
            <w:tcW w:w="5751" w:type="dxa"/>
            <w:tcBorders/>
            <w:shd w:fill="FFFFFF" w:val="clear"/>
            <w:vAlign w:val="center"/>
          </w:tcPr>
          <w:p>
            <w:pPr>
              <w:pStyle w:val="TableContents"/>
              <w:bidi w:val="0"/>
              <w:spacing w:before="0" w:after="283"/>
              <w:ind w:left="280" w:right="0" w:firstLine="280"/>
              <w:jc w:val="left"/>
              <w:rPr>
                <w:rFonts w:ascii="Arial" w:hAnsi="Arial"/>
                <w:color w:val="666666"/>
                <w:sz w:val="20"/>
              </w:rPr>
            </w:pPr>
            <w:r>
              <w:rPr>
                <w:rFonts w:ascii="Arial" w:hAnsi="Arial"/>
                <w:color w:val="666666"/>
                <w:sz w:val="20"/>
              </w:rPr>
              <w:t>Depreciation, amortization, and other</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6,027</w:t>
            </w:r>
          </w:p>
        </w:tc>
        <w:tc>
          <w:tcPr>
            <w:tcW w:w="15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3,549</w:t>
            </w:r>
          </w:p>
        </w:tc>
        <w:tc>
          <w:tcPr>
            <w:tcW w:w="14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15,907</w:t>
            </w:r>
          </w:p>
        </w:tc>
        <w:tc>
          <w:tcPr>
            <w:tcW w:w="146"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9,987</w:t>
            </w:r>
          </w:p>
        </w:tc>
      </w:tr>
      <w:tr>
        <w:trPr/>
        <w:tc>
          <w:tcPr>
            <w:tcW w:w="5751" w:type="dxa"/>
            <w:tcBorders/>
            <w:shd w:fill="E5E5E5" w:val="clear"/>
            <w:vAlign w:val="center"/>
          </w:tcPr>
          <w:p>
            <w:pPr>
              <w:pStyle w:val="TableContents"/>
              <w:bidi w:val="0"/>
              <w:spacing w:before="0" w:after="283"/>
              <w:ind w:left="280" w:right="0" w:firstLine="280"/>
              <w:jc w:val="left"/>
              <w:rPr>
                <w:rFonts w:ascii="Arial" w:hAnsi="Arial"/>
                <w:color w:val="666666"/>
                <w:sz w:val="20"/>
              </w:rPr>
            </w:pPr>
            <w:r>
              <w:rPr>
                <w:rFonts w:ascii="Arial" w:hAnsi="Arial"/>
                <w:color w:val="666666"/>
                <w:sz w:val="20"/>
              </w:rPr>
              <w:t>Stock-based compensation expense</w:t>
            </w:r>
          </w:p>
        </w:tc>
        <w:tc>
          <w:tcPr>
            <w:tcW w:w="146"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2,703</w:t>
            </w:r>
          </w:p>
        </w:tc>
        <w:tc>
          <w:tcPr>
            <w:tcW w:w="159"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2,465</w:t>
            </w:r>
          </w:p>
        </w:tc>
        <w:tc>
          <w:tcPr>
            <w:tcW w:w="146" w:type="dxa"/>
            <w:tcBorders/>
            <w:shd w:fill="E5E5E5" w:val="clear"/>
            <w:vAlign w:val="center"/>
          </w:tcPr>
          <w:p>
            <w:pPr>
              <w:pStyle w:val="TableContents"/>
              <w:bidi w:val="0"/>
              <w:spacing w:before="0" w:after="283"/>
              <w:jc w:val="left"/>
              <w:rPr/>
            </w:pPr>
            <w:r>
              <w:rPr/>
              <w:t> </w:t>
            </w:r>
          </w:p>
        </w:tc>
        <w:tc>
          <w:tcPr>
            <w:tcW w:w="805"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8,038</w:t>
            </w:r>
          </w:p>
        </w:tc>
        <w:tc>
          <w:tcPr>
            <w:tcW w:w="146" w:type="dxa"/>
            <w:tcBorders/>
            <w:shd w:fill="E5E5E5" w:val="clear"/>
            <w:vAlign w:val="center"/>
          </w:tcPr>
          <w:p>
            <w:pPr>
              <w:pStyle w:val="TableContents"/>
              <w:bidi w:val="0"/>
              <w:spacing w:before="0" w:after="283"/>
              <w:jc w:val="left"/>
              <w:rPr/>
            </w:pPr>
            <w:r>
              <w:rPr/>
              <w:t> </w:t>
            </w:r>
          </w:p>
        </w:tc>
        <w:tc>
          <w:tcPr>
            <w:tcW w:w="1290" w:type="dxa"/>
            <w:tcBorders/>
            <w:shd w:fill="E5E5E5" w:val="cle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7,195</w:t>
            </w:r>
          </w:p>
        </w:tc>
      </w:tr>
      <w:tr>
        <w:trPr/>
        <w:tc>
          <w:tcPr>
            <w:tcW w:w="5751" w:type="dxa"/>
            <w:tcBorders/>
            <w:shd w:fill="FFFFFF" w:val="clear"/>
            <w:vAlign w:val="center"/>
          </w:tcPr>
          <w:p>
            <w:pPr>
              <w:pStyle w:val="TableContents"/>
              <w:bidi w:val="0"/>
              <w:spacing w:before="0" w:after="283"/>
              <w:ind w:left="280" w:right="0" w:firstLine="280"/>
              <w:jc w:val="left"/>
              <w:rPr>
                <w:rFonts w:ascii="Arial" w:hAnsi="Arial"/>
                <w:color w:val="666666"/>
                <w:sz w:val="20"/>
              </w:rPr>
            </w:pPr>
            <w:r>
              <w:rPr>
                <w:rFonts w:ascii="Arial" w:hAnsi="Arial"/>
                <w:color w:val="666666"/>
                <w:sz w:val="20"/>
              </w:rPr>
              <w:t>Net recognized losses (gains) on investments and derivatives</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49</w:t>
            </w:r>
          </w:p>
        </w:tc>
        <w:tc>
          <w:tcPr>
            <w:tcW w:w="15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(40)</w:t>
            </w:r>
          </w:p>
        </w:tc>
        <w:tc>
          <w:tcPr>
            <w:tcW w:w="14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261</w:t>
            </w:r>
          </w:p>
        </w:tc>
        <w:tc>
          <w:tcPr>
            <w:tcW w:w="146"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152</w:t>
            </w:r>
          </w:p>
        </w:tc>
      </w:tr>
      <w:tr>
        <w:trPr/>
        <w:tc>
          <w:tcPr>
            <w:tcW w:w="5751" w:type="dxa"/>
            <w:tcBorders/>
            <w:shd w:fill="E5E5E5" w:val="clear"/>
            <w:vAlign w:val="center"/>
          </w:tcPr>
          <w:p>
            <w:pPr>
              <w:pStyle w:val="TableContents"/>
              <w:bidi w:val="0"/>
              <w:spacing w:before="0" w:after="283"/>
              <w:ind w:left="280" w:right="0" w:firstLine="280"/>
              <w:jc w:val="left"/>
              <w:rPr>
                <w:rFonts w:ascii="Arial" w:hAnsi="Arial"/>
                <w:color w:val="666666"/>
                <w:sz w:val="20"/>
              </w:rPr>
            </w:pPr>
            <w:r>
              <w:rPr>
                <w:rFonts w:ascii="Arial" w:hAnsi="Arial"/>
                <w:color w:val="666666"/>
                <w:sz w:val="20"/>
              </w:rPr>
              <w:t>Deferred income taxes</w:t>
            </w:r>
          </w:p>
        </w:tc>
        <w:tc>
          <w:tcPr>
            <w:tcW w:w="146"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(1,323)</w:t>
            </w:r>
          </w:p>
        </w:tc>
        <w:tc>
          <w:tcPr>
            <w:tcW w:w="159"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(1,675)</w:t>
            </w:r>
          </w:p>
        </w:tc>
        <w:tc>
          <w:tcPr>
            <w:tcW w:w="146" w:type="dxa"/>
            <w:tcBorders/>
            <w:shd w:fill="E5E5E5" w:val="clear"/>
            <w:vAlign w:val="center"/>
          </w:tcPr>
          <w:p>
            <w:pPr>
              <w:pStyle w:val="TableContents"/>
              <w:bidi w:val="0"/>
              <w:spacing w:before="0" w:after="283"/>
              <w:jc w:val="left"/>
              <w:rPr/>
            </w:pPr>
            <w:r>
              <w:rPr/>
              <w:t> </w:t>
            </w:r>
          </w:p>
        </w:tc>
        <w:tc>
          <w:tcPr>
            <w:tcW w:w="805"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(3,593)</w:t>
            </w:r>
          </w:p>
        </w:tc>
        <w:tc>
          <w:tcPr>
            <w:tcW w:w="146" w:type="dxa"/>
            <w:tcBorders/>
            <w:shd w:fill="E5E5E5" w:val="clear"/>
            <w:vAlign w:val="center"/>
          </w:tcPr>
          <w:p>
            <w:pPr>
              <w:pStyle w:val="TableContents"/>
              <w:bidi w:val="0"/>
              <w:spacing w:before="0" w:after="283"/>
              <w:jc w:val="left"/>
              <w:rPr/>
            </w:pPr>
            <w:r>
              <w:rPr/>
              <w:t> </w:t>
            </w:r>
          </w:p>
        </w:tc>
        <w:tc>
          <w:tcPr>
            <w:tcW w:w="1290" w:type="dxa"/>
            <w:tcBorders/>
            <w:shd w:fill="E5E5E5" w:val="clear"/>
            <w:vAlign w:val="center"/>
          </w:tcPr>
          <w:p>
            <w:pPr>
              <w:pStyle w:val="TableContents"/>
              <w:bidi w:val="0"/>
              <w:spacing w:before="0" w:after="283"/>
              <w:ind w:left="0" w:right="0" w:firstLine="280"/>
              <w:jc w:val="right"/>
              <w:rPr>
                <w:rFonts w:ascii="Arial" w:hAnsi="Arial"/>
                <w:color w:val="666666"/>
                <w:sz w:val="20"/>
              </w:rPr>
            </w:pPr>
            <w:r>
              <w:rPr>
                <w:rFonts w:ascii="Arial" w:hAnsi="Arial"/>
                <w:color w:val="666666"/>
                <w:sz w:val="20"/>
              </w:rPr>
              <w:t>(4,171)</w:t>
            </w:r>
          </w:p>
        </w:tc>
      </w:tr>
      <w:tr>
        <w:trPr/>
        <w:tc>
          <w:tcPr>
            <w:tcW w:w="5751" w:type="dxa"/>
            <w:tcBorders/>
            <w:shd w:fill="FFFFFF" w:val="clear"/>
            <w:vAlign w:val="center"/>
          </w:tcPr>
          <w:p>
            <w:pPr>
              <w:pStyle w:val="TableContents"/>
              <w:bidi w:val="0"/>
              <w:spacing w:before="0" w:after="283"/>
              <w:ind w:left="280" w:right="0" w:firstLine="280"/>
              <w:jc w:val="left"/>
              <w:rPr>
                <w:rFonts w:ascii="Arial" w:hAnsi="Arial"/>
                <w:color w:val="666666"/>
                <w:sz w:val="20"/>
              </w:rPr>
            </w:pPr>
            <w:r>
              <w:rPr>
                <w:rFonts w:ascii="Arial" w:hAnsi="Arial"/>
                <w:color w:val="666666"/>
                <w:sz w:val="20"/>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ind w:left="0" w:right="0" w:firstLine="560"/>
              <w:jc w:val="right"/>
              <w:rPr/>
            </w:pPr>
            <w:r>
              <w:rPr/>
              <w:t> </w:t>
            </w:r>
          </w:p>
        </w:tc>
      </w:tr>
      <w:tr>
        <w:trPr/>
        <w:tc>
          <w:tcPr>
            <w:tcW w:w="5751" w:type="dxa"/>
            <w:tcBorders/>
            <w:shd w:fill="E5E5E5" w:val="clear"/>
            <w:vAlign w:val="center"/>
          </w:tcPr>
          <w:p>
            <w:pPr>
              <w:pStyle w:val="TableContents"/>
              <w:bidi w:val="0"/>
              <w:spacing w:before="0" w:after="283"/>
              <w:ind w:left="560" w:right="0" w:firstLine="560"/>
              <w:jc w:val="left"/>
              <w:rPr>
                <w:rFonts w:ascii="Arial" w:hAnsi="Arial"/>
                <w:color w:val="666666"/>
                <w:sz w:val="20"/>
              </w:rPr>
            </w:pPr>
            <w:r>
              <w:rPr>
                <w:rFonts w:ascii="Arial" w:hAnsi="Arial"/>
                <w:color w:val="666666"/>
                <w:sz w:val="20"/>
              </w:rPr>
              <w:t>Accounts receivable</w:t>
            </w:r>
          </w:p>
        </w:tc>
        <w:tc>
          <w:tcPr>
            <w:tcW w:w="146"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(2,028)</w:t>
            </w:r>
          </w:p>
        </w:tc>
        <w:tc>
          <w:tcPr>
            <w:tcW w:w="159"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(1,408)</w:t>
            </w:r>
          </w:p>
        </w:tc>
        <w:tc>
          <w:tcPr>
            <w:tcW w:w="146" w:type="dxa"/>
            <w:tcBorders/>
            <w:shd w:fill="E5E5E5" w:val="clear"/>
            <w:vAlign w:val="center"/>
          </w:tcPr>
          <w:p>
            <w:pPr>
              <w:pStyle w:val="TableContents"/>
              <w:bidi w:val="0"/>
              <w:spacing w:before="0" w:after="283"/>
              <w:jc w:val="left"/>
              <w:rPr/>
            </w:pPr>
            <w:r>
              <w:rPr/>
              <w:t> </w:t>
            </w:r>
          </w:p>
        </w:tc>
        <w:tc>
          <w:tcPr>
            <w:tcW w:w="805"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6,055</w:t>
            </w:r>
          </w:p>
        </w:tc>
        <w:tc>
          <w:tcPr>
            <w:tcW w:w="146" w:type="dxa"/>
            <w:tcBorders/>
            <w:shd w:fill="E5E5E5" w:val="clear"/>
            <w:vAlign w:val="center"/>
          </w:tcPr>
          <w:p>
            <w:pPr>
              <w:pStyle w:val="TableContents"/>
              <w:bidi w:val="0"/>
              <w:spacing w:before="0" w:after="283"/>
              <w:jc w:val="left"/>
              <w:rPr/>
            </w:pPr>
            <w:r>
              <w:rPr/>
              <w:t> </w:t>
            </w:r>
          </w:p>
        </w:tc>
        <w:tc>
          <w:tcPr>
            <w:tcW w:w="1290" w:type="dxa"/>
            <w:tcBorders/>
            <w:shd w:fill="E5E5E5" w:val="clear"/>
            <w:vAlign w:val="center"/>
          </w:tcPr>
          <w:p>
            <w:pPr>
              <w:pStyle w:val="TableContents"/>
              <w:bidi w:val="0"/>
              <w:spacing w:before="0" w:after="283"/>
              <w:ind w:left="0" w:right="0" w:firstLine="560"/>
              <w:jc w:val="right"/>
              <w:rPr>
                <w:rFonts w:ascii="Arial" w:hAnsi="Arial"/>
                <w:color w:val="666666"/>
                <w:sz w:val="20"/>
              </w:rPr>
            </w:pPr>
            <w:r>
              <w:rPr>
                <w:rFonts w:ascii="Arial" w:hAnsi="Arial"/>
                <w:color w:val="666666"/>
                <w:sz w:val="20"/>
              </w:rPr>
              <w:t>7,157</w:t>
            </w:r>
          </w:p>
        </w:tc>
      </w:tr>
      <w:tr>
        <w:trPr/>
        <w:tc>
          <w:tcPr>
            <w:tcW w:w="5751" w:type="dxa"/>
            <w:tcBorders/>
            <w:shd w:fill="FFFFFF" w:val="clear"/>
            <w:vAlign w:val="center"/>
          </w:tcPr>
          <w:p>
            <w:pPr>
              <w:pStyle w:val="TableContents"/>
              <w:bidi w:val="0"/>
              <w:spacing w:before="0" w:after="283"/>
              <w:ind w:left="560" w:right="0" w:firstLine="560"/>
              <w:jc w:val="left"/>
              <w:rPr>
                <w:rFonts w:ascii="Arial" w:hAnsi="Arial"/>
                <w:color w:val="666666"/>
                <w:sz w:val="20"/>
              </w:rPr>
            </w:pPr>
            <w:r>
              <w:rPr>
                <w:rFonts w:ascii="Arial" w:hAnsi="Arial"/>
                <w:color w:val="666666"/>
                <w:sz w:val="20"/>
              </w:rPr>
              <w:t>Inventories</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260</w:t>
            </w:r>
          </w:p>
        </w:tc>
        <w:tc>
          <w:tcPr>
            <w:tcW w:w="15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106</w:t>
            </w:r>
          </w:p>
        </w:tc>
        <w:tc>
          <w:tcPr>
            <w:tcW w:w="14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1,229</w:t>
            </w:r>
          </w:p>
        </w:tc>
        <w:tc>
          <w:tcPr>
            <w:tcW w:w="146"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ind w:left="0" w:right="0" w:firstLine="560"/>
              <w:jc w:val="right"/>
              <w:rPr>
                <w:rFonts w:ascii="Arial" w:hAnsi="Arial"/>
                <w:color w:val="666666"/>
                <w:sz w:val="20"/>
              </w:rPr>
            </w:pPr>
            <w:r>
              <w:rPr>
                <w:rFonts w:ascii="Arial" w:hAnsi="Arial"/>
                <w:color w:val="666666"/>
                <w:sz w:val="20"/>
              </w:rPr>
              <w:t>868</w:t>
            </w:r>
          </w:p>
        </w:tc>
      </w:tr>
      <w:tr>
        <w:trPr/>
        <w:tc>
          <w:tcPr>
            <w:tcW w:w="5751" w:type="dxa"/>
            <w:tcBorders/>
            <w:shd w:fill="E5E5E5" w:val="clear"/>
            <w:vAlign w:val="center"/>
          </w:tcPr>
          <w:p>
            <w:pPr>
              <w:pStyle w:val="TableContents"/>
              <w:bidi w:val="0"/>
              <w:spacing w:before="0" w:after="283"/>
              <w:ind w:left="560" w:right="0" w:firstLine="560"/>
              <w:jc w:val="left"/>
              <w:rPr>
                <w:rFonts w:ascii="Arial" w:hAnsi="Arial"/>
                <w:color w:val="666666"/>
                <w:sz w:val="20"/>
              </w:rPr>
            </w:pPr>
            <w:r>
              <w:rPr>
                <w:rFonts w:ascii="Arial" w:hAnsi="Arial"/>
                <w:color w:val="666666"/>
                <w:sz w:val="20"/>
              </w:rPr>
              <w:t>Other current assets</w:t>
            </w:r>
          </w:p>
        </w:tc>
        <w:tc>
          <w:tcPr>
            <w:tcW w:w="146"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951</w:t>
            </w:r>
          </w:p>
        </w:tc>
        <w:tc>
          <w:tcPr>
            <w:tcW w:w="159"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1,152</w:t>
            </w:r>
          </w:p>
        </w:tc>
        <w:tc>
          <w:tcPr>
            <w:tcW w:w="146" w:type="dxa"/>
            <w:tcBorders/>
            <w:shd w:fill="E5E5E5" w:val="clear"/>
            <w:vAlign w:val="center"/>
          </w:tcPr>
          <w:p>
            <w:pPr>
              <w:pStyle w:val="TableContents"/>
              <w:bidi w:val="0"/>
              <w:spacing w:before="0" w:after="283"/>
              <w:jc w:val="left"/>
              <w:rPr/>
            </w:pPr>
            <w:r>
              <w:rPr/>
              <w:t> </w:t>
            </w:r>
          </w:p>
        </w:tc>
        <w:tc>
          <w:tcPr>
            <w:tcW w:w="805"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880</w:t>
            </w:r>
          </w:p>
        </w:tc>
        <w:tc>
          <w:tcPr>
            <w:tcW w:w="146" w:type="dxa"/>
            <w:tcBorders/>
            <w:shd w:fill="E5E5E5" w:val="clear"/>
            <w:vAlign w:val="center"/>
          </w:tcPr>
          <w:p>
            <w:pPr>
              <w:pStyle w:val="TableContents"/>
              <w:bidi w:val="0"/>
              <w:spacing w:before="0" w:after="283"/>
              <w:jc w:val="left"/>
              <w:rPr/>
            </w:pPr>
            <w:r>
              <w:rPr/>
              <w:t> </w:t>
            </w:r>
          </w:p>
        </w:tc>
        <w:tc>
          <w:tcPr>
            <w:tcW w:w="1290" w:type="dxa"/>
            <w:tcBorders/>
            <w:shd w:fill="E5E5E5" w:val="clear"/>
            <w:vAlign w:val="center"/>
          </w:tcPr>
          <w:p>
            <w:pPr>
              <w:pStyle w:val="TableContents"/>
              <w:bidi w:val="0"/>
              <w:spacing w:before="0" w:after="283"/>
              <w:ind w:left="0" w:right="0" w:firstLine="560"/>
              <w:jc w:val="right"/>
              <w:rPr>
                <w:rFonts w:ascii="Arial" w:hAnsi="Arial"/>
                <w:color w:val="666666"/>
                <w:sz w:val="20"/>
              </w:rPr>
            </w:pPr>
            <w:r>
              <w:rPr>
                <w:rFonts w:ascii="Arial" w:hAnsi="Arial"/>
                <w:color w:val="666666"/>
                <w:sz w:val="20"/>
              </w:rPr>
              <w:t>428</w:t>
            </w:r>
          </w:p>
        </w:tc>
      </w:tr>
      <w:tr>
        <w:trPr/>
        <w:tc>
          <w:tcPr>
            <w:tcW w:w="5751" w:type="dxa"/>
            <w:tcBorders/>
            <w:shd w:fill="FFFFFF" w:val="clear"/>
            <w:vAlign w:val="center"/>
          </w:tcPr>
          <w:p>
            <w:pPr>
              <w:pStyle w:val="TableContents"/>
              <w:bidi w:val="0"/>
              <w:spacing w:before="0" w:after="283"/>
              <w:ind w:left="560" w:right="0" w:firstLine="560"/>
              <w:jc w:val="left"/>
              <w:rPr>
                <w:rFonts w:ascii="Arial" w:hAnsi="Arial"/>
                <w:color w:val="666666"/>
                <w:sz w:val="20"/>
              </w:rPr>
            </w:pPr>
            <w:r>
              <w:rPr>
                <w:rFonts w:ascii="Arial" w:hAnsi="Arial"/>
                <w:color w:val="666666"/>
                <w:sz w:val="20"/>
              </w:rPr>
              <w:t>Other long-term assets</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(2,137)</w:t>
            </w:r>
          </w:p>
        </w:tc>
        <w:tc>
          <w:tcPr>
            <w:tcW w:w="15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(554)</w:t>
            </w:r>
          </w:p>
        </w:tc>
        <w:tc>
          <w:tcPr>
            <w:tcW w:w="14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(5,577)</w:t>
            </w:r>
          </w:p>
        </w:tc>
        <w:tc>
          <w:tcPr>
            <w:tcW w:w="146"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ind w:left="0" w:right="0" w:firstLine="560"/>
              <w:jc w:val="right"/>
              <w:rPr>
                <w:rFonts w:ascii="Arial" w:hAnsi="Arial"/>
                <w:color w:val="666666"/>
                <w:sz w:val="20"/>
              </w:rPr>
            </w:pPr>
            <w:r>
              <w:rPr>
                <w:rFonts w:ascii="Arial" w:hAnsi="Arial"/>
                <w:color w:val="666666"/>
                <w:sz w:val="20"/>
              </w:rPr>
              <w:t>(1,285)</w:t>
            </w:r>
          </w:p>
        </w:tc>
      </w:tr>
      <w:tr>
        <w:trPr/>
        <w:tc>
          <w:tcPr>
            <w:tcW w:w="5751" w:type="dxa"/>
            <w:tcBorders/>
            <w:shd w:fill="E5E5E5" w:val="clear"/>
            <w:vAlign w:val="center"/>
          </w:tcPr>
          <w:p>
            <w:pPr>
              <w:pStyle w:val="TableContents"/>
              <w:bidi w:val="0"/>
              <w:spacing w:before="0" w:after="283"/>
              <w:ind w:left="560" w:right="0" w:firstLine="560"/>
              <w:jc w:val="left"/>
              <w:rPr>
                <w:rFonts w:ascii="Arial" w:hAnsi="Arial"/>
                <w:color w:val="666666"/>
                <w:sz w:val="20"/>
              </w:rPr>
            </w:pPr>
            <w:r>
              <w:rPr>
                <w:rFonts w:ascii="Arial" w:hAnsi="Arial"/>
                <w:color w:val="666666"/>
                <w:sz w:val="20"/>
              </w:rPr>
              <w:t>Accounts payable</w:t>
            </w:r>
          </w:p>
        </w:tc>
        <w:tc>
          <w:tcPr>
            <w:tcW w:w="146"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648</w:t>
            </w:r>
          </w:p>
        </w:tc>
        <w:tc>
          <w:tcPr>
            <w:tcW w:w="159"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(407)</w:t>
            </w:r>
          </w:p>
        </w:tc>
        <w:tc>
          <w:tcPr>
            <w:tcW w:w="146" w:type="dxa"/>
            <w:tcBorders/>
            <w:shd w:fill="E5E5E5" w:val="clear"/>
            <w:vAlign w:val="center"/>
          </w:tcPr>
          <w:p>
            <w:pPr>
              <w:pStyle w:val="TableContents"/>
              <w:bidi w:val="0"/>
              <w:spacing w:before="0" w:after="283"/>
              <w:jc w:val="left"/>
              <w:rPr/>
            </w:pPr>
            <w:r>
              <w:rPr/>
              <w:t> </w:t>
            </w:r>
          </w:p>
        </w:tc>
        <w:tc>
          <w:tcPr>
            <w:tcW w:w="805"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(659)</w:t>
            </w:r>
          </w:p>
        </w:tc>
        <w:tc>
          <w:tcPr>
            <w:tcW w:w="146" w:type="dxa"/>
            <w:tcBorders/>
            <w:shd w:fill="E5E5E5" w:val="clear"/>
            <w:vAlign w:val="center"/>
          </w:tcPr>
          <w:p>
            <w:pPr>
              <w:pStyle w:val="TableContents"/>
              <w:bidi w:val="0"/>
              <w:spacing w:before="0" w:after="283"/>
              <w:jc w:val="left"/>
              <w:rPr/>
            </w:pPr>
            <w:r>
              <w:rPr/>
              <w:t> </w:t>
            </w:r>
          </w:p>
        </w:tc>
        <w:tc>
          <w:tcPr>
            <w:tcW w:w="1290" w:type="dxa"/>
            <w:tcBorders/>
            <w:shd w:fill="E5E5E5" w:val="clear"/>
            <w:vAlign w:val="center"/>
          </w:tcPr>
          <w:p>
            <w:pPr>
              <w:pStyle w:val="TableContents"/>
              <w:bidi w:val="0"/>
              <w:spacing w:before="0" w:after="283"/>
              <w:ind w:left="0" w:right="0" w:firstLine="560"/>
              <w:jc w:val="right"/>
              <w:rPr>
                <w:rFonts w:ascii="Arial" w:hAnsi="Arial"/>
                <w:color w:val="666666"/>
                <w:sz w:val="20"/>
              </w:rPr>
            </w:pPr>
            <w:r>
              <w:rPr>
                <w:rFonts w:ascii="Arial" w:hAnsi="Arial"/>
                <w:color w:val="666666"/>
                <w:sz w:val="20"/>
              </w:rPr>
              <w:t>(4,032)</w:t>
            </w:r>
          </w:p>
        </w:tc>
      </w:tr>
      <w:tr>
        <w:trPr/>
        <w:tc>
          <w:tcPr>
            <w:tcW w:w="5751" w:type="dxa"/>
            <w:tcBorders/>
            <w:shd w:fill="FFFFFF" w:val="clear"/>
            <w:vAlign w:val="center"/>
          </w:tcPr>
          <w:p>
            <w:pPr>
              <w:pStyle w:val="TableContents"/>
              <w:bidi w:val="0"/>
              <w:spacing w:before="0" w:after="283"/>
              <w:ind w:left="560" w:right="0" w:firstLine="560"/>
              <w:jc w:val="left"/>
              <w:rPr>
                <w:rFonts w:ascii="Arial" w:hAnsi="Arial"/>
                <w:color w:val="666666"/>
                <w:sz w:val="20"/>
              </w:rPr>
            </w:pPr>
            <w:r>
              <w:rPr>
                <w:rFonts w:ascii="Arial" w:hAnsi="Arial"/>
                <w:color w:val="666666"/>
                <w:sz w:val="20"/>
              </w:rPr>
              <w:t>Unearned revenue</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(645)</w:t>
            </w:r>
          </w:p>
        </w:tc>
        <w:tc>
          <w:tcPr>
            <w:tcW w:w="15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(181)</w:t>
            </w:r>
          </w:p>
        </w:tc>
        <w:tc>
          <w:tcPr>
            <w:tcW w:w="14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(10,309)</w:t>
            </w:r>
          </w:p>
        </w:tc>
        <w:tc>
          <w:tcPr>
            <w:tcW w:w="146"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ind w:left="0" w:right="0" w:firstLine="560"/>
              <w:jc w:val="right"/>
              <w:rPr>
                <w:rFonts w:ascii="Arial" w:hAnsi="Arial"/>
                <w:color w:val="666666"/>
                <w:sz w:val="20"/>
              </w:rPr>
            </w:pPr>
            <w:r>
              <w:rPr>
                <w:rFonts w:ascii="Arial" w:hAnsi="Arial"/>
                <w:color w:val="666666"/>
                <w:sz w:val="20"/>
              </w:rPr>
              <w:t>(8,689)</w:t>
            </w:r>
          </w:p>
        </w:tc>
      </w:tr>
      <w:tr>
        <w:trPr/>
        <w:tc>
          <w:tcPr>
            <w:tcW w:w="5751" w:type="dxa"/>
            <w:tcBorders/>
            <w:shd w:fill="E5E5E5" w:val="clear"/>
            <w:vAlign w:val="center"/>
          </w:tcPr>
          <w:p>
            <w:pPr>
              <w:pStyle w:val="TableContents"/>
              <w:bidi w:val="0"/>
              <w:spacing w:before="0" w:after="283"/>
              <w:ind w:left="560" w:right="0" w:firstLine="560"/>
              <w:jc w:val="left"/>
              <w:rPr>
                <w:rFonts w:ascii="Arial" w:hAnsi="Arial"/>
                <w:color w:val="666666"/>
                <w:sz w:val="20"/>
              </w:rPr>
            </w:pPr>
            <w:r>
              <w:rPr>
                <w:rFonts w:ascii="Arial" w:hAnsi="Arial"/>
                <w:color w:val="666666"/>
                <w:sz w:val="20"/>
              </w:rPr>
              <w:t>Income taxes</w:t>
            </w:r>
          </w:p>
        </w:tc>
        <w:tc>
          <w:tcPr>
            <w:tcW w:w="146"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2,622</w:t>
            </w:r>
          </w:p>
        </w:tc>
        <w:tc>
          <w:tcPr>
            <w:tcW w:w="159"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1,414</w:t>
            </w:r>
          </w:p>
        </w:tc>
        <w:tc>
          <w:tcPr>
            <w:tcW w:w="146" w:type="dxa"/>
            <w:tcBorders/>
            <w:shd w:fill="E5E5E5" w:val="clear"/>
            <w:vAlign w:val="center"/>
          </w:tcPr>
          <w:p>
            <w:pPr>
              <w:pStyle w:val="TableContents"/>
              <w:bidi w:val="0"/>
              <w:spacing w:before="0" w:after="283"/>
              <w:jc w:val="left"/>
              <w:rPr/>
            </w:pPr>
            <w:r>
              <w:rPr/>
              <w:t> </w:t>
            </w:r>
          </w:p>
        </w:tc>
        <w:tc>
          <w:tcPr>
            <w:tcW w:w="805"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2,493</w:t>
            </w:r>
          </w:p>
        </w:tc>
        <w:tc>
          <w:tcPr>
            <w:tcW w:w="146" w:type="dxa"/>
            <w:tcBorders/>
            <w:shd w:fill="E5E5E5" w:val="clear"/>
            <w:vAlign w:val="center"/>
          </w:tcPr>
          <w:p>
            <w:pPr>
              <w:pStyle w:val="TableContents"/>
              <w:bidi w:val="0"/>
              <w:spacing w:before="0" w:after="283"/>
              <w:jc w:val="left"/>
              <w:rPr/>
            </w:pPr>
            <w:r>
              <w:rPr/>
              <w:t> </w:t>
            </w:r>
          </w:p>
        </w:tc>
        <w:tc>
          <w:tcPr>
            <w:tcW w:w="1290" w:type="dxa"/>
            <w:tcBorders/>
            <w:shd w:fill="E5E5E5" w:val="clear"/>
            <w:vAlign w:val="center"/>
          </w:tcPr>
          <w:p>
            <w:pPr>
              <w:pStyle w:val="TableContents"/>
              <w:bidi w:val="0"/>
              <w:spacing w:before="0" w:after="283"/>
              <w:ind w:left="0" w:right="0" w:firstLine="560"/>
              <w:jc w:val="right"/>
              <w:rPr>
                <w:rFonts w:ascii="Arial" w:hAnsi="Arial"/>
                <w:color w:val="666666"/>
                <w:sz w:val="20"/>
              </w:rPr>
            </w:pPr>
            <w:r>
              <w:rPr>
                <w:rFonts w:ascii="Arial" w:hAnsi="Arial"/>
                <w:color w:val="666666"/>
                <w:sz w:val="20"/>
              </w:rPr>
              <w:t>(1,039)</w:t>
            </w:r>
          </w:p>
        </w:tc>
      </w:tr>
      <w:tr>
        <w:trPr/>
        <w:tc>
          <w:tcPr>
            <w:tcW w:w="5751" w:type="dxa"/>
            <w:tcBorders/>
            <w:shd w:fill="FFFFFF" w:val="clear"/>
            <w:vAlign w:val="center"/>
          </w:tcPr>
          <w:p>
            <w:pPr>
              <w:pStyle w:val="TableContents"/>
              <w:bidi w:val="0"/>
              <w:spacing w:before="0" w:after="283"/>
              <w:ind w:left="560" w:right="0" w:firstLine="560"/>
              <w:jc w:val="left"/>
              <w:rPr>
                <w:rFonts w:ascii="Arial" w:hAnsi="Arial"/>
                <w:color w:val="666666"/>
                <w:sz w:val="20"/>
              </w:rPr>
            </w:pPr>
            <w:r>
              <w:rPr>
                <w:rFonts w:ascii="Arial" w:hAnsi="Arial"/>
                <w:color w:val="666666"/>
                <w:sz w:val="20"/>
              </w:rPr>
              <w:t>Other current liabilities</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2,803</w:t>
            </w:r>
          </w:p>
        </w:tc>
        <w:tc>
          <w:tcPr>
            <w:tcW w:w="15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1,715</w:t>
            </w:r>
          </w:p>
        </w:tc>
        <w:tc>
          <w:tcPr>
            <w:tcW w:w="14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215</w:t>
            </w:r>
          </w:p>
        </w:tc>
        <w:tc>
          <w:tcPr>
            <w:tcW w:w="146"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ind w:left="0" w:right="0" w:firstLine="560"/>
              <w:jc w:val="right"/>
              <w:rPr>
                <w:rFonts w:ascii="Arial" w:hAnsi="Arial"/>
                <w:color w:val="666666"/>
                <w:sz w:val="20"/>
              </w:rPr>
            </w:pPr>
            <w:r>
              <w:rPr>
                <w:rFonts w:ascii="Arial" w:hAnsi="Arial"/>
                <w:color w:val="666666"/>
                <w:sz w:val="20"/>
              </w:rPr>
              <w:t>(490)</w:t>
            </w:r>
          </w:p>
        </w:tc>
      </w:tr>
      <w:tr>
        <w:trPr/>
        <w:tc>
          <w:tcPr>
            <w:tcW w:w="5751" w:type="dxa"/>
            <w:tcBorders/>
            <w:shd w:fill="E5E5E5" w:val="clear"/>
            <w:vAlign w:val="center"/>
          </w:tcPr>
          <w:p>
            <w:pPr>
              <w:pStyle w:val="TableContents"/>
              <w:bidi w:val="0"/>
              <w:spacing w:before="0" w:after="283"/>
              <w:ind w:left="560" w:right="0" w:firstLine="560"/>
              <w:jc w:val="left"/>
              <w:rPr>
                <w:rFonts w:ascii="Arial" w:hAnsi="Arial"/>
                <w:color w:val="666666"/>
                <w:sz w:val="20"/>
              </w:rPr>
            </w:pPr>
            <w:r>
              <w:rPr>
                <w:rFonts w:ascii="Arial" w:hAnsi="Arial"/>
                <w:color w:val="666666"/>
                <w:sz w:val="20"/>
              </w:rPr>
              <w:t>Other long-term liabilities</w:t>
            </w:r>
          </w:p>
        </w:tc>
        <w:tc>
          <w:tcPr>
            <w:tcW w:w="146"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48</w:t>
            </w:r>
          </w:p>
        </w:tc>
        <w:tc>
          <w:tcPr>
            <w:tcW w:w="159"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6</w:t>
            </w:r>
          </w:p>
        </w:tc>
        <w:tc>
          <w:tcPr>
            <w:tcW w:w="146" w:type="dxa"/>
            <w:tcBorders/>
            <w:shd w:fill="E5E5E5" w:val="clear"/>
            <w:vAlign w:val="center"/>
          </w:tcPr>
          <w:p>
            <w:pPr>
              <w:pStyle w:val="TableContents"/>
              <w:bidi w:val="0"/>
              <w:spacing w:before="0" w:after="283"/>
              <w:jc w:val="left"/>
              <w:rPr/>
            </w:pPr>
            <w:r>
              <w:rPr/>
              <w:t> </w:t>
            </w:r>
          </w:p>
        </w:tc>
        <w:tc>
          <w:tcPr>
            <w:tcW w:w="805"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313</w:t>
            </w:r>
          </w:p>
        </w:tc>
        <w:tc>
          <w:tcPr>
            <w:tcW w:w="146" w:type="dxa"/>
            <w:tcBorders/>
            <w:shd w:fill="E5E5E5" w:val="clear"/>
            <w:vAlign w:val="center"/>
          </w:tcPr>
          <w:p>
            <w:pPr>
              <w:pStyle w:val="TableContents"/>
              <w:bidi w:val="0"/>
              <w:spacing w:before="0" w:after="283"/>
              <w:jc w:val="left"/>
              <w:rPr/>
            </w:pPr>
            <w:r>
              <w:rPr/>
              <w:t> </w:t>
            </w:r>
          </w:p>
        </w:tc>
        <w:tc>
          <w:tcPr>
            <w:tcW w:w="1290"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451</w:t>
            </w:r>
          </w:p>
        </w:tc>
      </w:tr>
      <w:tr>
        <w:trPr/>
        <w:tc>
          <w:tcPr>
            <w:tcW w:w="5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ind w:left="0" w:right="0" w:firstLine="840"/>
              <w:jc w:val="right"/>
              <w:rPr/>
            </w:pPr>
            <w:r>
              <w:rPr/>
              <w:t> </w:t>
            </w:r>
          </w:p>
        </w:tc>
      </w:tr>
      <w:tr>
        <w:trPr/>
        <w:tc>
          <w:tcPr>
            <w:tcW w:w="5751" w:type="dxa"/>
            <w:tcBorders/>
            <w:shd w:fill="FFFFFF" w:val="clear"/>
            <w:vAlign w:val="center"/>
          </w:tcPr>
          <w:p>
            <w:pPr>
              <w:pStyle w:val="TableContents"/>
              <w:bidi w:val="0"/>
              <w:spacing w:before="0" w:after="283"/>
              <w:ind w:left="840" w:right="0" w:firstLine="840"/>
              <w:jc w:val="left"/>
              <w:rPr>
                <w:rFonts w:ascii="Arial" w:hAnsi="Arial"/>
                <w:color w:val="666666"/>
                <w:sz w:val="20"/>
              </w:rPr>
            </w:pPr>
            <w:r>
              <w:rPr>
                <w:rFonts w:ascii="Arial" w:hAnsi="Arial"/>
                <w:color w:val="666666"/>
                <w:sz w:val="20"/>
              </w:rPr>
              <w:t>Net cash from operations</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31,917</w:t>
            </w:r>
          </w:p>
        </w:tc>
        <w:tc>
          <w:tcPr>
            <w:tcW w:w="15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24,441</w:t>
            </w:r>
          </w:p>
        </w:tc>
        <w:tc>
          <w:tcPr>
            <w:tcW w:w="14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81,353</w:t>
            </w:r>
          </w:p>
        </w:tc>
        <w:tc>
          <w:tcPr>
            <w:tcW w:w="146"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58,812</w:t>
            </w:r>
          </w:p>
        </w:tc>
      </w:tr>
      <w:tr>
        <w:trPr/>
        <w:tc>
          <w:tcPr>
            <w:tcW w:w="5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r>
      <w:tr>
        <w:trPr/>
        <w:tc>
          <w:tcPr>
            <w:tcW w:w="5751" w:type="dxa"/>
            <w:tcBorders/>
            <w:shd w:fill="E5E5E5" w:val="clear"/>
            <w:vAlign w:val="center"/>
          </w:tcPr>
          <w:p>
            <w:pPr>
              <w:pStyle w:val="TableContents"/>
              <w:bidi w:val="0"/>
              <w:spacing w:before="0" w:after="283"/>
              <w:jc w:val="left"/>
              <w:rPr>
                <w:rFonts w:ascii="Arial" w:hAnsi="Arial"/>
                <w:b/>
                <w:color w:val="666666"/>
                <w:sz w:val="20"/>
              </w:rPr>
            </w:pPr>
            <w:r>
              <w:rPr>
                <w:rFonts w:ascii="Arial" w:hAnsi="Arial"/>
                <w:b/>
                <w:color w:val="666666"/>
                <w:sz w:val="20"/>
              </w:rPr>
              <w:t>Financing</w:t>
            </w:r>
          </w:p>
        </w:tc>
        <w:tc>
          <w:tcPr>
            <w:tcW w:w="146"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pPr>
            <w:r>
              <w:rPr/>
              <w:t> </w:t>
            </w:r>
          </w:p>
        </w:tc>
        <w:tc>
          <w:tcPr>
            <w:tcW w:w="159"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left"/>
              <w:rPr/>
            </w:pPr>
            <w:r>
              <w:rPr/>
              <w:t> </w:t>
            </w:r>
          </w:p>
        </w:tc>
        <w:tc>
          <w:tcPr>
            <w:tcW w:w="805" w:type="dxa"/>
            <w:tcBorders/>
            <w:shd w:fill="E5E5E5" w:val="clear"/>
            <w:vAlign w:val="center"/>
          </w:tcPr>
          <w:p>
            <w:pPr>
              <w:pStyle w:val="TableContents"/>
              <w:bidi w:val="0"/>
              <w:spacing w:before="0" w:after="283"/>
              <w:jc w:val="right"/>
              <w:rPr/>
            </w:pPr>
            <w:r>
              <w:rPr/>
              <w:t> </w:t>
            </w:r>
          </w:p>
        </w:tc>
        <w:tc>
          <w:tcPr>
            <w:tcW w:w="146" w:type="dxa"/>
            <w:tcBorders/>
            <w:shd w:fill="E5E5E5" w:val="clear"/>
            <w:vAlign w:val="center"/>
          </w:tcPr>
          <w:p>
            <w:pPr>
              <w:pStyle w:val="TableContents"/>
              <w:bidi w:val="0"/>
              <w:spacing w:before="0" w:after="283"/>
              <w:jc w:val="left"/>
              <w:rPr/>
            </w:pPr>
            <w:r>
              <w:rPr/>
              <w:t> </w:t>
            </w:r>
          </w:p>
        </w:tc>
        <w:tc>
          <w:tcPr>
            <w:tcW w:w="1290" w:type="dxa"/>
            <w:tcBorders/>
            <w:shd w:fill="E5E5E5" w:val="clear"/>
            <w:vAlign w:val="center"/>
          </w:tcPr>
          <w:p>
            <w:pPr>
              <w:pStyle w:val="TableContents"/>
              <w:bidi w:val="0"/>
              <w:spacing w:before="0" w:after="283"/>
              <w:jc w:val="right"/>
              <w:rPr/>
            </w:pPr>
            <w:r>
              <w:rPr/>
              <w:t> </w:t>
            </w:r>
          </w:p>
        </w:tc>
      </w:tr>
      <w:tr>
        <w:trPr/>
        <w:tc>
          <w:tcPr>
            <w:tcW w:w="5751" w:type="dxa"/>
            <w:tcBorders/>
            <w:shd w:fill="FFFFFF" w:val="clear"/>
            <w:vAlign w:val="center"/>
          </w:tcPr>
          <w:p>
            <w:pPr>
              <w:pStyle w:val="TableContents"/>
              <w:bidi w:val="0"/>
              <w:spacing w:before="0" w:after="283"/>
              <w:jc w:val="left"/>
              <w:rPr>
                <w:rFonts w:ascii="Arial" w:hAnsi="Arial"/>
                <w:color w:val="666666"/>
                <w:sz w:val="20"/>
              </w:rPr>
            </w:pPr>
            <w:r>
              <w:rPr>
                <w:rFonts w:ascii="Arial" w:hAnsi="Arial"/>
                <w:color w:val="666666"/>
                <w:sz w:val="20"/>
              </w:rPr>
              <w:t>Proceeds from issuance (repayments) of debt, maturities of 90 days or less, net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(3,810)</w:t>
            </w:r>
          </w:p>
        </w:tc>
        <w:tc>
          <w:tcPr>
            <w:tcW w:w="15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0</w:t>
            </w:r>
          </w:p>
        </w:tc>
        <w:tc>
          <w:tcPr>
            <w:tcW w:w="14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6,392</w:t>
            </w:r>
          </w:p>
        </w:tc>
        <w:tc>
          <w:tcPr>
            <w:tcW w:w="146"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0</w:t>
            </w:r>
          </w:p>
        </w:tc>
      </w:tr>
      <w:tr>
        <w:trPr/>
        <w:tc>
          <w:tcPr>
            <w:tcW w:w="5751" w:type="dxa"/>
            <w:tcBorders/>
            <w:shd w:fill="E5E5E5" w:val="clear"/>
            <w:vAlign w:val="center"/>
          </w:tcPr>
          <w:p>
            <w:pPr>
              <w:pStyle w:val="TableContents"/>
              <w:bidi w:val="0"/>
              <w:spacing w:before="0" w:after="283"/>
              <w:jc w:val="left"/>
              <w:rPr>
                <w:rFonts w:ascii="Arial" w:hAnsi="Arial"/>
                <w:color w:val="666666"/>
                <w:sz w:val="20"/>
              </w:rPr>
            </w:pPr>
            <w:r>
              <w:rPr>
                <w:rFonts w:ascii="Arial" w:hAnsi="Arial"/>
                <w:color w:val="666666"/>
                <w:sz w:val="20"/>
              </w:rPr>
              <w:t>Proceeds from issuance of debt</w:t>
            </w:r>
          </w:p>
        </w:tc>
        <w:tc>
          <w:tcPr>
            <w:tcW w:w="146"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6,352</w:t>
            </w:r>
          </w:p>
        </w:tc>
        <w:tc>
          <w:tcPr>
            <w:tcW w:w="159"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0</w:t>
            </w:r>
          </w:p>
        </w:tc>
        <w:tc>
          <w:tcPr>
            <w:tcW w:w="146" w:type="dxa"/>
            <w:tcBorders/>
            <w:shd w:fill="E5E5E5" w:val="clear"/>
            <w:vAlign w:val="center"/>
          </w:tcPr>
          <w:p>
            <w:pPr>
              <w:pStyle w:val="TableContents"/>
              <w:bidi w:val="0"/>
              <w:spacing w:before="0" w:after="283"/>
              <w:jc w:val="left"/>
              <w:rPr/>
            </w:pPr>
            <w:r>
              <w:rPr/>
              <w:t> </w:t>
            </w:r>
          </w:p>
        </w:tc>
        <w:tc>
          <w:tcPr>
            <w:tcW w:w="805"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24,198</w:t>
            </w:r>
          </w:p>
        </w:tc>
        <w:tc>
          <w:tcPr>
            <w:tcW w:w="146" w:type="dxa"/>
            <w:tcBorders/>
            <w:shd w:fill="E5E5E5" w:val="clear"/>
            <w:vAlign w:val="center"/>
          </w:tcPr>
          <w:p>
            <w:pPr>
              <w:pStyle w:val="TableContents"/>
              <w:bidi w:val="0"/>
              <w:spacing w:before="0" w:after="283"/>
              <w:jc w:val="left"/>
              <w:rPr/>
            </w:pPr>
            <w:r>
              <w:rPr/>
              <w:t> </w:t>
            </w:r>
          </w:p>
        </w:tc>
        <w:tc>
          <w:tcPr>
            <w:tcW w:w="1290"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0</w:t>
            </w:r>
          </w:p>
        </w:tc>
      </w:tr>
      <w:tr>
        <w:trPr/>
        <w:tc>
          <w:tcPr>
            <w:tcW w:w="5751" w:type="dxa"/>
            <w:tcBorders/>
            <w:shd w:fill="FFFFFF" w:val="clear"/>
            <w:vAlign w:val="center"/>
          </w:tcPr>
          <w:p>
            <w:pPr>
              <w:pStyle w:val="TableContents"/>
              <w:bidi w:val="0"/>
              <w:spacing w:before="0" w:after="283"/>
              <w:jc w:val="left"/>
              <w:rPr>
                <w:rFonts w:ascii="Arial" w:hAnsi="Arial"/>
                <w:color w:val="666666"/>
                <w:sz w:val="20"/>
              </w:rPr>
            </w:pPr>
            <w:r>
              <w:rPr>
                <w:rFonts w:ascii="Arial" w:hAnsi="Arial"/>
                <w:color w:val="666666"/>
                <w:sz w:val="20"/>
              </w:rPr>
              <w:t>Repayments of debt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(11,589)</w:t>
            </w:r>
          </w:p>
        </w:tc>
        <w:tc>
          <w:tcPr>
            <w:tcW w:w="15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0</w:t>
            </w:r>
          </w:p>
        </w:tc>
        <w:tc>
          <w:tcPr>
            <w:tcW w:w="14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(16,005)</w:t>
            </w:r>
          </w:p>
        </w:tc>
        <w:tc>
          <w:tcPr>
            <w:tcW w:w="146"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(1,750)</w:t>
            </w:r>
          </w:p>
        </w:tc>
      </w:tr>
      <w:tr>
        <w:trPr/>
        <w:tc>
          <w:tcPr>
            <w:tcW w:w="5751" w:type="dxa"/>
            <w:tcBorders/>
            <w:shd w:fill="E5E5E5" w:val="clear"/>
            <w:vAlign w:val="center"/>
          </w:tcPr>
          <w:p>
            <w:pPr>
              <w:pStyle w:val="TableContents"/>
              <w:bidi w:val="0"/>
              <w:spacing w:before="0" w:after="283"/>
              <w:jc w:val="left"/>
              <w:rPr>
                <w:rFonts w:ascii="Arial" w:hAnsi="Arial"/>
                <w:color w:val="666666"/>
                <w:sz w:val="20"/>
              </w:rPr>
            </w:pPr>
            <w:r>
              <w:rPr>
                <w:rFonts w:ascii="Arial" w:hAnsi="Arial"/>
                <w:color w:val="666666"/>
                <w:sz w:val="20"/>
              </w:rPr>
              <w:t>Common stock issued</w:t>
            </w:r>
          </w:p>
        </w:tc>
        <w:tc>
          <w:tcPr>
            <w:tcW w:w="146"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522</w:t>
            </w:r>
          </w:p>
        </w:tc>
        <w:tc>
          <w:tcPr>
            <w:tcW w:w="159"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536</w:t>
            </w:r>
          </w:p>
        </w:tc>
        <w:tc>
          <w:tcPr>
            <w:tcW w:w="146" w:type="dxa"/>
            <w:tcBorders/>
            <w:shd w:fill="E5E5E5" w:val="clear"/>
            <w:vAlign w:val="center"/>
          </w:tcPr>
          <w:p>
            <w:pPr>
              <w:pStyle w:val="TableContents"/>
              <w:bidi w:val="0"/>
              <w:spacing w:before="0" w:after="283"/>
              <w:jc w:val="left"/>
              <w:rPr/>
            </w:pPr>
            <w:r>
              <w:rPr/>
              <w:t> </w:t>
            </w:r>
          </w:p>
        </w:tc>
        <w:tc>
          <w:tcPr>
            <w:tcW w:w="805"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1,468</w:t>
            </w:r>
          </w:p>
        </w:tc>
        <w:tc>
          <w:tcPr>
            <w:tcW w:w="146" w:type="dxa"/>
            <w:tcBorders/>
            <w:shd w:fill="E5E5E5" w:val="clear"/>
            <w:vAlign w:val="center"/>
          </w:tcPr>
          <w:p>
            <w:pPr>
              <w:pStyle w:val="TableContents"/>
              <w:bidi w:val="0"/>
              <w:spacing w:before="0" w:after="283"/>
              <w:jc w:val="left"/>
              <w:rPr/>
            </w:pPr>
            <w:r>
              <w:rPr/>
              <w:t> </w:t>
            </w:r>
          </w:p>
        </w:tc>
        <w:tc>
          <w:tcPr>
            <w:tcW w:w="1290"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1,354</w:t>
            </w:r>
          </w:p>
        </w:tc>
      </w:tr>
      <w:tr>
        <w:trPr/>
        <w:tc>
          <w:tcPr>
            <w:tcW w:w="5751" w:type="dxa"/>
            <w:tcBorders/>
            <w:shd w:fill="FFFFFF" w:val="clear"/>
            <w:vAlign w:val="center"/>
          </w:tcPr>
          <w:p>
            <w:pPr>
              <w:pStyle w:val="TableContents"/>
              <w:bidi w:val="0"/>
              <w:spacing w:before="0" w:after="283"/>
              <w:jc w:val="left"/>
              <w:rPr>
                <w:rFonts w:ascii="Arial" w:hAnsi="Arial"/>
                <w:color w:val="666666"/>
                <w:sz w:val="20"/>
              </w:rPr>
            </w:pPr>
            <w:r>
              <w:rPr>
                <w:rFonts w:ascii="Arial" w:hAnsi="Arial"/>
                <w:color w:val="666666"/>
                <w:sz w:val="20"/>
              </w:rPr>
              <w:t>Common stock repurchased</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(4,213)</w:t>
            </w:r>
          </w:p>
        </w:tc>
        <w:tc>
          <w:tcPr>
            <w:tcW w:w="15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(5,509)</w:t>
            </w:r>
          </w:p>
        </w:tc>
        <w:tc>
          <w:tcPr>
            <w:tcW w:w="14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(13,044)</w:t>
            </w:r>
          </w:p>
        </w:tc>
        <w:tc>
          <w:tcPr>
            <w:tcW w:w="146"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(16,541)</w:t>
            </w:r>
          </w:p>
        </w:tc>
      </w:tr>
      <w:tr>
        <w:trPr/>
        <w:tc>
          <w:tcPr>
            <w:tcW w:w="5751" w:type="dxa"/>
            <w:tcBorders/>
            <w:shd w:fill="E5E5E5" w:val="clear"/>
            <w:vAlign w:val="center"/>
          </w:tcPr>
          <w:p>
            <w:pPr>
              <w:pStyle w:val="TableContents"/>
              <w:bidi w:val="0"/>
              <w:spacing w:before="0" w:after="283"/>
              <w:jc w:val="left"/>
              <w:rPr>
                <w:rFonts w:ascii="Arial" w:hAnsi="Arial"/>
                <w:color w:val="666666"/>
                <w:sz w:val="20"/>
              </w:rPr>
            </w:pPr>
            <w:r>
              <w:rPr>
                <w:rFonts w:ascii="Arial" w:hAnsi="Arial"/>
                <w:color w:val="666666"/>
                <w:sz w:val="20"/>
              </w:rPr>
              <w:t>Common stock cash dividends paid</w:t>
            </w:r>
          </w:p>
        </w:tc>
        <w:tc>
          <w:tcPr>
            <w:tcW w:w="146"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(5,572)</w:t>
            </w:r>
          </w:p>
        </w:tc>
        <w:tc>
          <w:tcPr>
            <w:tcW w:w="159"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(5,059)</w:t>
            </w:r>
          </w:p>
        </w:tc>
        <w:tc>
          <w:tcPr>
            <w:tcW w:w="146" w:type="dxa"/>
            <w:tcBorders/>
            <w:shd w:fill="E5E5E5" w:val="clear"/>
            <w:vAlign w:val="center"/>
          </w:tcPr>
          <w:p>
            <w:pPr>
              <w:pStyle w:val="TableContents"/>
              <w:bidi w:val="0"/>
              <w:spacing w:before="0" w:after="283"/>
              <w:jc w:val="left"/>
              <w:rPr/>
            </w:pPr>
            <w:r>
              <w:rPr/>
              <w:t> </w:t>
            </w:r>
          </w:p>
        </w:tc>
        <w:tc>
          <w:tcPr>
            <w:tcW w:w="805"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(16,197)</w:t>
            </w:r>
          </w:p>
        </w:tc>
        <w:tc>
          <w:tcPr>
            <w:tcW w:w="146" w:type="dxa"/>
            <w:tcBorders/>
            <w:shd w:fill="E5E5E5" w:val="clear"/>
            <w:vAlign w:val="center"/>
          </w:tcPr>
          <w:p>
            <w:pPr>
              <w:pStyle w:val="TableContents"/>
              <w:bidi w:val="0"/>
              <w:spacing w:before="0" w:after="283"/>
              <w:jc w:val="left"/>
              <w:rPr/>
            </w:pPr>
            <w:r>
              <w:rPr/>
              <w:t> </w:t>
            </w:r>
          </w:p>
        </w:tc>
        <w:tc>
          <w:tcPr>
            <w:tcW w:w="1290"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(14,746)</w:t>
            </w:r>
          </w:p>
        </w:tc>
      </w:tr>
      <w:tr>
        <w:trPr/>
        <w:tc>
          <w:tcPr>
            <w:tcW w:w="5751" w:type="dxa"/>
            <w:tcBorders/>
            <w:shd w:fill="FFFFFF" w:val="clear"/>
            <w:vAlign w:val="center"/>
          </w:tcPr>
          <w:p>
            <w:pPr>
              <w:pStyle w:val="TableContents"/>
              <w:bidi w:val="0"/>
              <w:spacing w:before="0" w:after="283"/>
              <w:jc w:val="left"/>
              <w:rPr>
                <w:rFonts w:ascii="Arial" w:hAnsi="Arial"/>
                <w:color w:val="666666"/>
                <w:sz w:val="20"/>
              </w:rPr>
            </w:pPr>
            <w:r>
              <w:rPr>
                <w:rFonts w:ascii="Arial" w:hAnsi="Arial"/>
                <w:color w:val="666666"/>
                <w:sz w:val="20"/>
              </w:rPr>
              <w:t>Other, net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(498)</w:t>
            </w:r>
          </w:p>
        </w:tc>
        <w:tc>
          <w:tcPr>
            <w:tcW w:w="15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(258)</w:t>
            </w:r>
          </w:p>
        </w:tc>
        <w:tc>
          <w:tcPr>
            <w:tcW w:w="14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(1,006)</w:t>
            </w:r>
          </w:p>
        </w:tc>
        <w:tc>
          <w:tcPr>
            <w:tcW w:w="146"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(839)</w:t>
            </w:r>
          </w:p>
        </w:tc>
      </w:tr>
      <w:tr>
        <w:trPr/>
        <w:tc>
          <w:tcPr>
            <w:tcW w:w="5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ind w:left="0" w:right="0" w:firstLine="840"/>
              <w:jc w:val="right"/>
              <w:rPr/>
            </w:pPr>
            <w:r>
              <w:rPr/>
              <w:t> </w:t>
            </w:r>
          </w:p>
        </w:tc>
      </w:tr>
      <w:tr>
        <w:trPr/>
        <w:tc>
          <w:tcPr>
            <w:tcW w:w="5751" w:type="dxa"/>
            <w:tcBorders/>
            <w:shd w:fill="E5E5E5" w:val="clear"/>
            <w:vAlign w:val="center"/>
          </w:tcPr>
          <w:p>
            <w:pPr>
              <w:pStyle w:val="TableContents"/>
              <w:bidi w:val="0"/>
              <w:spacing w:before="0" w:after="283"/>
              <w:ind w:left="840" w:right="0" w:firstLine="840"/>
              <w:jc w:val="left"/>
              <w:rPr>
                <w:rFonts w:ascii="Arial" w:hAnsi="Arial"/>
                <w:color w:val="666666"/>
                <w:sz w:val="20"/>
              </w:rPr>
            </w:pPr>
            <w:r>
              <w:rPr>
                <w:rFonts w:ascii="Arial" w:hAnsi="Arial"/>
                <w:color w:val="666666"/>
                <w:sz w:val="20"/>
              </w:rPr>
              <w:t>Net cash used in financing</w:t>
            </w:r>
          </w:p>
        </w:tc>
        <w:tc>
          <w:tcPr>
            <w:tcW w:w="146"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(18,808)</w:t>
            </w:r>
          </w:p>
        </w:tc>
        <w:tc>
          <w:tcPr>
            <w:tcW w:w="159"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(10,290)</w:t>
            </w:r>
          </w:p>
        </w:tc>
        <w:tc>
          <w:tcPr>
            <w:tcW w:w="146" w:type="dxa"/>
            <w:tcBorders/>
            <w:shd w:fill="E5E5E5" w:val="clear"/>
            <w:vAlign w:val="center"/>
          </w:tcPr>
          <w:p>
            <w:pPr>
              <w:pStyle w:val="TableContents"/>
              <w:bidi w:val="0"/>
              <w:spacing w:before="0" w:after="283"/>
              <w:jc w:val="left"/>
              <w:rPr/>
            </w:pPr>
            <w:r>
              <w:rPr/>
              <w:t> </w:t>
            </w:r>
          </w:p>
        </w:tc>
        <w:tc>
          <w:tcPr>
            <w:tcW w:w="805"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(14,194)</w:t>
            </w:r>
          </w:p>
        </w:tc>
        <w:tc>
          <w:tcPr>
            <w:tcW w:w="146" w:type="dxa"/>
            <w:tcBorders/>
            <w:shd w:fill="E5E5E5" w:val="clear"/>
            <w:vAlign w:val="center"/>
          </w:tcPr>
          <w:p>
            <w:pPr>
              <w:pStyle w:val="TableContents"/>
              <w:bidi w:val="0"/>
              <w:spacing w:before="0" w:after="283"/>
              <w:jc w:val="left"/>
              <w:rPr/>
            </w:pPr>
            <w:r>
              <w:rPr/>
              <w:t> </w:t>
            </w:r>
          </w:p>
        </w:tc>
        <w:tc>
          <w:tcPr>
            <w:tcW w:w="1290"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(32,522)</w:t>
            </w:r>
          </w:p>
        </w:tc>
      </w:tr>
      <w:tr>
        <w:trPr/>
        <w:tc>
          <w:tcPr>
            <w:tcW w:w="5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r>
      <w:tr>
        <w:trPr/>
        <w:tc>
          <w:tcPr>
            <w:tcW w:w="5751" w:type="dxa"/>
            <w:tcBorders/>
            <w:shd w:fill="FFFFFF" w:val="clear"/>
            <w:vAlign w:val="center"/>
          </w:tcPr>
          <w:p>
            <w:pPr>
              <w:pStyle w:val="TableContents"/>
              <w:bidi w:val="0"/>
              <w:spacing w:before="0" w:after="283"/>
              <w:jc w:val="left"/>
              <w:rPr>
                <w:rFonts w:ascii="Arial" w:hAnsi="Arial"/>
                <w:b/>
                <w:color w:val="666666"/>
                <w:sz w:val="20"/>
              </w:rPr>
            </w:pPr>
            <w:r>
              <w:rPr>
                <w:rFonts w:ascii="Arial" w:hAnsi="Arial"/>
                <w:b/>
                <w:color w:val="666666"/>
                <w:sz w:val="20"/>
              </w:rPr>
              <w:t>Investing</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r>
      <w:tr>
        <w:trPr/>
        <w:tc>
          <w:tcPr>
            <w:tcW w:w="5751" w:type="dxa"/>
            <w:tcBorders/>
            <w:shd w:fill="E5E5E5" w:val="clear"/>
            <w:vAlign w:val="center"/>
          </w:tcPr>
          <w:p>
            <w:pPr>
              <w:pStyle w:val="TableContents"/>
              <w:bidi w:val="0"/>
              <w:spacing w:before="0" w:after="283"/>
              <w:jc w:val="left"/>
              <w:rPr>
                <w:rFonts w:ascii="Arial" w:hAnsi="Arial"/>
                <w:color w:val="666666"/>
                <w:sz w:val="20"/>
              </w:rPr>
            </w:pPr>
            <w:r>
              <w:rPr>
                <w:rFonts w:ascii="Arial" w:hAnsi="Arial"/>
                <w:color w:val="666666"/>
                <w:sz w:val="20"/>
              </w:rPr>
              <w:t>Additions to property and equipment</w:t>
            </w:r>
          </w:p>
        </w:tc>
        <w:tc>
          <w:tcPr>
            <w:tcW w:w="146"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(10,952)</w:t>
            </w:r>
          </w:p>
        </w:tc>
        <w:tc>
          <w:tcPr>
            <w:tcW w:w="159"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(6,607)</w:t>
            </w:r>
          </w:p>
        </w:tc>
        <w:tc>
          <w:tcPr>
            <w:tcW w:w="146" w:type="dxa"/>
            <w:tcBorders/>
            <w:shd w:fill="E5E5E5" w:val="clear"/>
            <w:vAlign w:val="center"/>
          </w:tcPr>
          <w:p>
            <w:pPr>
              <w:pStyle w:val="TableContents"/>
              <w:bidi w:val="0"/>
              <w:spacing w:before="0" w:after="283"/>
              <w:jc w:val="left"/>
              <w:rPr/>
            </w:pPr>
            <w:r>
              <w:rPr/>
              <w:t> </w:t>
            </w:r>
          </w:p>
        </w:tc>
        <w:tc>
          <w:tcPr>
            <w:tcW w:w="805"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(30,604)</w:t>
            </w:r>
          </w:p>
        </w:tc>
        <w:tc>
          <w:tcPr>
            <w:tcW w:w="146" w:type="dxa"/>
            <w:tcBorders/>
            <w:shd w:fill="E5E5E5" w:val="clear"/>
            <w:vAlign w:val="center"/>
          </w:tcPr>
          <w:p>
            <w:pPr>
              <w:pStyle w:val="TableContents"/>
              <w:bidi w:val="0"/>
              <w:spacing w:before="0" w:after="283"/>
              <w:jc w:val="left"/>
              <w:rPr/>
            </w:pPr>
            <w:r>
              <w:rPr/>
              <w:t> </w:t>
            </w:r>
          </w:p>
        </w:tc>
        <w:tc>
          <w:tcPr>
            <w:tcW w:w="1290"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(19,164)</w:t>
            </w:r>
          </w:p>
        </w:tc>
      </w:tr>
      <w:tr>
        <w:trPr/>
        <w:tc>
          <w:tcPr>
            <w:tcW w:w="5751" w:type="dxa"/>
            <w:tcBorders/>
            <w:shd w:fill="FFFFFF" w:val="clear"/>
            <w:vAlign w:val="center"/>
          </w:tcPr>
          <w:p>
            <w:pPr>
              <w:pStyle w:val="TableContents"/>
              <w:bidi w:val="0"/>
              <w:spacing w:before="0" w:after="283"/>
              <w:jc w:val="left"/>
              <w:rPr>
                <w:rFonts w:ascii="Arial" w:hAnsi="Arial"/>
                <w:color w:val="666666"/>
                <w:sz w:val="20"/>
              </w:rPr>
            </w:pPr>
            <w:r>
              <w:rPr>
                <w:rFonts w:ascii="Arial" w:hAnsi="Arial"/>
                <w:color w:val="666666"/>
                <w:sz w:val="20"/>
              </w:rPr>
              <w:t>Acquisition of companies, net of cash acquired, and purchases of intangible and other assets</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(1,575)</w:t>
            </w:r>
          </w:p>
        </w:tc>
        <w:tc>
          <w:tcPr>
            <w:tcW w:w="15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(301)</w:t>
            </w:r>
          </w:p>
        </w:tc>
        <w:tc>
          <w:tcPr>
            <w:tcW w:w="14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(67,790)</w:t>
            </w:r>
          </w:p>
        </w:tc>
        <w:tc>
          <w:tcPr>
            <w:tcW w:w="146"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(1,329)</w:t>
            </w:r>
          </w:p>
        </w:tc>
      </w:tr>
      <w:tr>
        <w:trPr/>
        <w:tc>
          <w:tcPr>
            <w:tcW w:w="5751" w:type="dxa"/>
            <w:tcBorders/>
            <w:shd w:fill="E5E5E5" w:val="clear"/>
            <w:vAlign w:val="center"/>
          </w:tcPr>
          <w:p>
            <w:pPr>
              <w:pStyle w:val="TableContents"/>
              <w:bidi w:val="0"/>
              <w:spacing w:before="0" w:after="283"/>
              <w:jc w:val="left"/>
              <w:rPr>
                <w:rFonts w:ascii="Arial" w:hAnsi="Arial"/>
                <w:color w:val="666666"/>
                <w:sz w:val="20"/>
              </w:rPr>
            </w:pPr>
            <w:r>
              <w:rPr>
                <w:rFonts w:ascii="Arial" w:hAnsi="Arial"/>
                <w:color w:val="666666"/>
                <w:sz w:val="20"/>
              </w:rPr>
              <w:t>Purchases of investments</w:t>
            </w:r>
          </w:p>
        </w:tc>
        <w:tc>
          <w:tcPr>
            <w:tcW w:w="146"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(2,183)</w:t>
            </w:r>
          </w:p>
        </w:tc>
        <w:tc>
          <w:tcPr>
            <w:tcW w:w="159"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(9,063)</w:t>
            </w:r>
          </w:p>
        </w:tc>
        <w:tc>
          <w:tcPr>
            <w:tcW w:w="146" w:type="dxa"/>
            <w:tcBorders/>
            <w:shd w:fill="E5E5E5" w:val="clear"/>
            <w:vAlign w:val="center"/>
          </w:tcPr>
          <w:p>
            <w:pPr>
              <w:pStyle w:val="TableContents"/>
              <w:bidi w:val="0"/>
              <w:spacing w:before="0" w:after="283"/>
              <w:jc w:val="left"/>
              <w:rPr/>
            </w:pPr>
            <w:r>
              <w:rPr/>
              <w:t> </w:t>
            </w:r>
          </w:p>
        </w:tc>
        <w:tc>
          <w:tcPr>
            <w:tcW w:w="805"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(14,901)</w:t>
            </w:r>
          </w:p>
        </w:tc>
        <w:tc>
          <w:tcPr>
            <w:tcW w:w="146" w:type="dxa"/>
            <w:tcBorders/>
            <w:shd w:fill="E5E5E5" w:val="clear"/>
            <w:vAlign w:val="center"/>
          </w:tcPr>
          <w:p>
            <w:pPr>
              <w:pStyle w:val="TableContents"/>
              <w:bidi w:val="0"/>
              <w:spacing w:before="0" w:after="283"/>
              <w:jc w:val="left"/>
              <w:rPr/>
            </w:pPr>
            <w:r>
              <w:rPr/>
              <w:t> </w:t>
            </w:r>
          </w:p>
        </w:tc>
        <w:tc>
          <w:tcPr>
            <w:tcW w:w="1290"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(25,675)</w:t>
            </w:r>
          </w:p>
        </w:tc>
      </w:tr>
      <w:tr>
        <w:trPr/>
        <w:tc>
          <w:tcPr>
            <w:tcW w:w="5751" w:type="dxa"/>
            <w:tcBorders/>
            <w:shd w:fill="FFFFFF" w:val="clear"/>
            <w:vAlign w:val="center"/>
          </w:tcPr>
          <w:p>
            <w:pPr>
              <w:pStyle w:val="TableContents"/>
              <w:bidi w:val="0"/>
              <w:spacing w:before="0" w:after="283"/>
              <w:jc w:val="left"/>
              <w:rPr>
                <w:rFonts w:ascii="Arial" w:hAnsi="Arial"/>
                <w:color w:val="666666"/>
                <w:sz w:val="20"/>
              </w:rPr>
            </w:pPr>
            <w:r>
              <w:rPr>
                <w:rFonts w:ascii="Arial" w:hAnsi="Arial"/>
                <w:color w:val="666666"/>
                <w:sz w:val="20"/>
              </w:rPr>
              <w:t>Maturities of investments</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3,350</w:t>
            </w:r>
          </w:p>
        </w:tc>
        <w:tc>
          <w:tcPr>
            <w:tcW w:w="15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13,154</w:t>
            </w:r>
          </w:p>
        </w:tc>
        <w:tc>
          <w:tcPr>
            <w:tcW w:w="14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23,218</w:t>
            </w:r>
          </w:p>
        </w:tc>
        <w:tc>
          <w:tcPr>
            <w:tcW w:w="146"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26,744</w:t>
            </w:r>
          </w:p>
        </w:tc>
      </w:tr>
      <w:tr>
        <w:trPr/>
        <w:tc>
          <w:tcPr>
            <w:tcW w:w="5751" w:type="dxa"/>
            <w:tcBorders/>
            <w:shd w:fill="E5E5E5" w:val="clear"/>
            <w:vAlign w:val="center"/>
          </w:tcPr>
          <w:p>
            <w:pPr>
              <w:pStyle w:val="TableContents"/>
              <w:bidi w:val="0"/>
              <w:spacing w:before="0" w:after="283"/>
              <w:jc w:val="left"/>
              <w:rPr>
                <w:rFonts w:ascii="Arial" w:hAnsi="Arial"/>
                <w:color w:val="666666"/>
                <w:sz w:val="20"/>
              </w:rPr>
            </w:pPr>
            <w:r>
              <w:rPr>
                <w:rFonts w:ascii="Arial" w:hAnsi="Arial"/>
                <w:color w:val="666666"/>
                <w:sz w:val="20"/>
              </w:rPr>
              <w:t>Sales of investments</w:t>
            </w:r>
          </w:p>
        </w:tc>
        <w:tc>
          <w:tcPr>
            <w:tcW w:w="146"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1,941</w:t>
            </w:r>
          </w:p>
        </w:tc>
        <w:tc>
          <w:tcPr>
            <w:tcW w:w="159"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1,239</w:t>
            </w:r>
          </w:p>
        </w:tc>
        <w:tc>
          <w:tcPr>
            <w:tcW w:w="146" w:type="dxa"/>
            <w:tcBorders/>
            <w:shd w:fill="E5E5E5" w:val="clear"/>
            <w:vAlign w:val="center"/>
          </w:tcPr>
          <w:p>
            <w:pPr>
              <w:pStyle w:val="TableContents"/>
              <w:bidi w:val="0"/>
              <w:spacing w:before="0" w:after="283"/>
              <w:jc w:val="left"/>
              <w:rPr/>
            </w:pPr>
            <w:r>
              <w:rPr/>
              <w:t> </w:t>
            </w:r>
          </w:p>
        </w:tc>
        <w:tc>
          <w:tcPr>
            <w:tcW w:w="805"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8,871</w:t>
            </w:r>
          </w:p>
        </w:tc>
        <w:tc>
          <w:tcPr>
            <w:tcW w:w="146" w:type="dxa"/>
            <w:tcBorders/>
            <w:shd w:fill="E5E5E5" w:val="clear"/>
            <w:vAlign w:val="center"/>
          </w:tcPr>
          <w:p>
            <w:pPr>
              <w:pStyle w:val="TableContents"/>
              <w:bidi w:val="0"/>
              <w:spacing w:before="0" w:after="283"/>
              <w:jc w:val="left"/>
              <w:rPr/>
            </w:pPr>
            <w:r>
              <w:rPr/>
              <w:t> </w:t>
            </w:r>
          </w:p>
        </w:tc>
        <w:tc>
          <w:tcPr>
            <w:tcW w:w="1290"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8,725</w:t>
            </w:r>
          </w:p>
        </w:tc>
      </w:tr>
      <w:tr>
        <w:trPr/>
        <w:tc>
          <w:tcPr>
            <w:tcW w:w="5751" w:type="dxa"/>
            <w:tcBorders/>
            <w:shd w:fill="FFFFFF" w:val="clear"/>
            <w:vAlign w:val="center"/>
          </w:tcPr>
          <w:p>
            <w:pPr>
              <w:pStyle w:val="TableContents"/>
              <w:bidi w:val="0"/>
              <w:spacing w:before="0" w:after="283"/>
              <w:jc w:val="left"/>
              <w:rPr>
                <w:rFonts w:ascii="Arial" w:hAnsi="Arial"/>
                <w:color w:val="666666"/>
                <w:sz w:val="20"/>
              </w:rPr>
            </w:pPr>
            <w:r>
              <w:rPr>
                <w:rFonts w:ascii="Arial" w:hAnsi="Arial"/>
                <w:color w:val="666666"/>
                <w:sz w:val="20"/>
              </w:rPr>
              <w:t>Other, net</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(1,281)</w:t>
            </w:r>
          </w:p>
        </w:tc>
        <w:tc>
          <w:tcPr>
            <w:tcW w:w="15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(1,686)</w:t>
            </w:r>
          </w:p>
        </w:tc>
        <w:tc>
          <w:tcPr>
            <w:tcW w:w="14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(916)</w:t>
            </w:r>
          </w:p>
        </w:tc>
        <w:tc>
          <w:tcPr>
            <w:tcW w:w="146"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(2,847)</w:t>
            </w:r>
          </w:p>
        </w:tc>
      </w:tr>
      <w:tr>
        <w:trPr/>
        <w:tc>
          <w:tcPr>
            <w:tcW w:w="5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ind w:left="0" w:right="0" w:firstLine="840"/>
              <w:jc w:val="right"/>
              <w:rPr/>
            </w:pPr>
            <w:r>
              <w:rPr/>
              <w:t> </w:t>
            </w:r>
          </w:p>
        </w:tc>
      </w:tr>
      <w:tr>
        <w:trPr/>
        <w:tc>
          <w:tcPr>
            <w:tcW w:w="5751" w:type="dxa"/>
            <w:tcBorders/>
            <w:shd w:fill="E5E5E5" w:val="clear"/>
            <w:vAlign w:val="center"/>
          </w:tcPr>
          <w:p>
            <w:pPr>
              <w:pStyle w:val="TableContents"/>
              <w:bidi w:val="0"/>
              <w:spacing w:before="0" w:after="283"/>
              <w:ind w:left="840" w:right="0" w:firstLine="840"/>
              <w:jc w:val="left"/>
              <w:rPr>
                <w:rFonts w:ascii="Arial" w:hAnsi="Arial"/>
                <w:color w:val="666666"/>
                <w:sz w:val="20"/>
              </w:rPr>
            </w:pPr>
            <w:r>
              <w:rPr>
                <w:rFonts w:ascii="Arial" w:hAnsi="Arial"/>
                <w:color w:val="666666"/>
                <w:sz w:val="20"/>
              </w:rPr>
              <w:t>Net cash used in investing</w:t>
            </w:r>
          </w:p>
        </w:tc>
        <w:tc>
          <w:tcPr>
            <w:tcW w:w="146"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(10,700)</w:t>
            </w:r>
          </w:p>
        </w:tc>
        <w:tc>
          <w:tcPr>
            <w:tcW w:w="159"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(3,264)</w:t>
            </w:r>
          </w:p>
        </w:tc>
        <w:tc>
          <w:tcPr>
            <w:tcW w:w="146" w:type="dxa"/>
            <w:tcBorders/>
            <w:shd w:fill="E5E5E5" w:val="clear"/>
            <w:vAlign w:val="center"/>
          </w:tcPr>
          <w:p>
            <w:pPr>
              <w:pStyle w:val="TableContents"/>
              <w:bidi w:val="0"/>
              <w:spacing w:before="0" w:after="283"/>
              <w:jc w:val="left"/>
              <w:rPr/>
            </w:pPr>
            <w:r>
              <w:rPr/>
              <w:t> </w:t>
            </w:r>
          </w:p>
        </w:tc>
        <w:tc>
          <w:tcPr>
            <w:tcW w:w="805"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(82,122)</w:t>
            </w:r>
          </w:p>
        </w:tc>
        <w:tc>
          <w:tcPr>
            <w:tcW w:w="146" w:type="dxa"/>
            <w:tcBorders/>
            <w:shd w:fill="E5E5E5" w:val="clear"/>
            <w:vAlign w:val="center"/>
          </w:tcPr>
          <w:p>
            <w:pPr>
              <w:pStyle w:val="TableContents"/>
              <w:bidi w:val="0"/>
              <w:spacing w:before="0" w:after="283"/>
              <w:jc w:val="left"/>
              <w:rPr/>
            </w:pPr>
            <w:r>
              <w:rPr/>
              <w:t> </w:t>
            </w:r>
          </w:p>
        </w:tc>
        <w:tc>
          <w:tcPr>
            <w:tcW w:w="1290"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(13,546)</w:t>
            </w:r>
          </w:p>
        </w:tc>
      </w:tr>
      <w:tr>
        <w:trPr/>
        <w:tc>
          <w:tcPr>
            <w:tcW w:w="5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r>
      <w:tr>
        <w:trPr/>
        <w:tc>
          <w:tcPr>
            <w:tcW w:w="5751" w:type="dxa"/>
            <w:tcBorders/>
            <w:shd w:fill="FFFFFF" w:val="clear"/>
            <w:vAlign w:val="center"/>
          </w:tcPr>
          <w:p>
            <w:pPr>
              <w:pStyle w:val="TableContents"/>
              <w:bidi w:val="0"/>
              <w:spacing w:before="0" w:after="283"/>
              <w:jc w:val="left"/>
              <w:rPr>
                <w:rFonts w:ascii="Arial" w:hAnsi="Arial"/>
                <w:color w:val="666666"/>
                <w:sz w:val="20"/>
              </w:rPr>
            </w:pPr>
            <w:r>
              <w:rPr>
                <w:rFonts w:ascii="Arial" w:hAnsi="Arial"/>
                <w:color w:val="666666"/>
                <w:sz w:val="20"/>
              </w:rPr>
              <w:t>Effect of foreign exchange rates on cash and cash equivalents</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(80)</w:t>
            </w:r>
          </w:p>
        </w:tc>
        <w:tc>
          <w:tcPr>
            <w:tcW w:w="15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29</w:t>
            </w:r>
          </w:p>
        </w:tc>
        <w:tc>
          <w:tcPr>
            <w:tcW w:w="14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(107)</w:t>
            </w:r>
          </w:p>
        </w:tc>
        <w:tc>
          <w:tcPr>
            <w:tcW w:w="146"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(113)</w:t>
            </w:r>
          </w:p>
        </w:tc>
      </w:tr>
      <w:tr>
        <w:trPr/>
        <w:tc>
          <w:tcPr>
            <w:tcW w:w="5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r>
      <w:tr>
        <w:trPr/>
        <w:tc>
          <w:tcPr>
            <w:tcW w:w="5751" w:type="dxa"/>
            <w:tcBorders/>
            <w:shd w:fill="E5E5E5" w:val="clear"/>
            <w:vAlign w:val="center"/>
          </w:tcPr>
          <w:p>
            <w:pPr>
              <w:pStyle w:val="TableContents"/>
              <w:bidi w:val="0"/>
              <w:spacing w:before="0" w:after="283"/>
              <w:jc w:val="left"/>
              <w:rPr>
                <w:rFonts w:ascii="Arial" w:hAnsi="Arial"/>
                <w:color w:val="666666"/>
                <w:sz w:val="20"/>
              </w:rPr>
            </w:pPr>
            <w:r>
              <w:rPr>
                <w:rFonts w:ascii="Arial" w:hAnsi="Arial"/>
                <w:color w:val="666666"/>
                <w:sz w:val="20"/>
              </w:rPr>
              <w:t>Net change in cash and cash equivalents</w:t>
            </w:r>
          </w:p>
        </w:tc>
        <w:tc>
          <w:tcPr>
            <w:tcW w:w="146"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2,329</w:t>
            </w:r>
          </w:p>
        </w:tc>
        <w:tc>
          <w:tcPr>
            <w:tcW w:w="159"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10,916</w:t>
            </w:r>
          </w:p>
        </w:tc>
        <w:tc>
          <w:tcPr>
            <w:tcW w:w="146" w:type="dxa"/>
            <w:tcBorders/>
            <w:shd w:fill="E5E5E5" w:val="clear"/>
            <w:vAlign w:val="center"/>
          </w:tcPr>
          <w:p>
            <w:pPr>
              <w:pStyle w:val="TableContents"/>
              <w:bidi w:val="0"/>
              <w:spacing w:before="0" w:after="283"/>
              <w:jc w:val="left"/>
              <w:rPr/>
            </w:pPr>
            <w:r>
              <w:rPr/>
              <w:t> </w:t>
            </w:r>
          </w:p>
        </w:tc>
        <w:tc>
          <w:tcPr>
            <w:tcW w:w="805"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(15,070)</w:t>
            </w:r>
          </w:p>
        </w:tc>
        <w:tc>
          <w:tcPr>
            <w:tcW w:w="146" w:type="dxa"/>
            <w:tcBorders/>
            <w:shd w:fill="E5E5E5" w:val="clear"/>
            <w:vAlign w:val="center"/>
          </w:tcPr>
          <w:p>
            <w:pPr>
              <w:pStyle w:val="TableContents"/>
              <w:bidi w:val="0"/>
              <w:spacing w:before="0" w:after="283"/>
              <w:jc w:val="left"/>
              <w:rPr/>
            </w:pPr>
            <w:r>
              <w:rPr/>
              <w:t> </w:t>
            </w:r>
          </w:p>
        </w:tc>
        <w:tc>
          <w:tcPr>
            <w:tcW w:w="1290"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12,631</w:t>
            </w:r>
          </w:p>
        </w:tc>
      </w:tr>
      <w:tr>
        <w:trPr/>
        <w:tc>
          <w:tcPr>
            <w:tcW w:w="5751" w:type="dxa"/>
            <w:tcBorders/>
            <w:shd w:fill="FFFFFF" w:val="clear"/>
            <w:vAlign w:val="center"/>
          </w:tcPr>
          <w:p>
            <w:pPr>
              <w:pStyle w:val="TableContents"/>
              <w:bidi w:val="0"/>
              <w:spacing w:before="0" w:after="283"/>
              <w:jc w:val="left"/>
              <w:rPr>
                <w:rFonts w:ascii="Arial" w:hAnsi="Arial"/>
                <w:color w:val="666666"/>
                <w:sz w:val="20"/>
              </w:rPr>
            </w:pPr>
            <w:r>
              <w:rPr>
                <w:rFonts w:ascii="Arial" w:hAnsi="Arial"/>
                <w:color w:val="666666"/>
                <w:sz w:val="20"/>
              </w:rPr>
              <w:t>Cash and cash equivalents, beginning of period</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17,305</w:t>
            </w:r>
          </w:p>
        </w:tc>
        <w:tc>
          <w:tcPr>
            <w:tcW w:w="15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15,646</w:t>
            </w:r>
          </w:p>
        </w:tc>
        <w:tc>
          <w:tcPr>
            <w:tcW w:w="14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34,704</w:t>
            </w:r>
          </w:p>
        </w:tc>
        <w:tc>
          <w:tcPr>
            <w:tcW w:w="146"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13,931</w:t>
            </w:r>
          </w:p>
        </w:tc>
      </w:tr>
      <w:tr>
        <w:trPr/>
        <w:tc>
          <w:tcPr>
            <w:tcW w:w="5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7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pPr>
            <w:r>
              <w:rPr/>
              <w:t> </w:t>
            </w:r>
          </w:p>
        </w:tc>
      </w:tr>
      <w:tr>
        <w:trPr/>
        <w:tc>
          <w:tcPr>
            <w:tcW w:w="5751" w:type="dxa"/>
            <w:tcBorders/>
            <w:shd w:fill="E5E5E5" w:val="clear"/>
            <w:vAlign w:val="center"/>
          </w:tcPr>
          <w:p>
            <w:pPr>
              <w:pStyle w:val="TableContents"/>
              <w:bidi w:val="0"/>
              <w:spacing w:before="0" w:after="283"/>
              <w:jc w:val="left"/>
              <w:rPr>
                <w:rFonts w:ascii="Arial" w:hAnsi="Arial"/>
                <w:color w:val="666666"/>
                <w:sz w:val="20"/>
              </w:rPr>
            </w:pPr>
            <w:r>
              <w:rPr>
                <w:rFonts w:ascii="Arial" w:hAnsi="Arial"/>
                <w:color w:val="666666"/>
                <w:sz w:val="20"/>
              </w:rPr>
              <w:t>Cash and cash equivalents, end of period</w:t>
            </w:r>
          </w:p>
        </w:tc>
        <w:tc>
          <w:tcPr>
            <w:tcW w:w="146"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$19,634</w:t>
            </w:r>
          </w:p>
        </w:tc>
        <w:tc>
          <w:tcPr>
            <w:tcW w:w="159" w:type="dxa"/>
            <w:tcBorders/>
            <w:shd w:fill="E5E5E5" w:val="clear"/>
            <w:vAlign w:val="center"/>
          </w:tcPr>
          <w:p>
            <w:pPr>
              <w:pStyle w:val="TableContents"/>
              <w:bidi w:val="0"/>
              <w:spacing w:before="0" w:after="283"/>
              <w:jc w:val="left"/>
              <w:rPr/>
            </w:pPr>
            <w:r>
              <w:rPr/>
              <w:t> </w:t>
            </w:r>
          </w:p>
        </w:tc>
        <w:tc>
          <w:tcPr>
            <w:tcW w:w="881"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$26,562</w:t>
            </w:r>
          </w:p>
        </w:tc>
        <w:tc>
          <w:tcPr>
            <w:tcW w:w="146" w:type="dxa"/>
            <w:tcBorders/>
            <w:shd w:fill="E5E5E5" w:val="clear"/>
            <w:vAlign w:val="center"/>
          </w:tcPr>
          <w:p>
            <w:pPr>
              <w:pStyle w:val="TableContents"/>
              <w:bidi w:val="0"/>
              <w:spacing w:before="0" w:after="283"/>
              <w:jc w:val="left"/>
              <w:rPr/>
            </w:pPr>
            <w:r>
              <w:rPr/>
              <w:t> </w:t>
            </w:r>
          </w:p>
        </w:tc>
        <w:tc>
          <w:tcPr>
            <w:tcW w:w="805"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$19,634</w:t>
            </w:r>
          </w:p>
        </w:tc>
        <w:tc>
          <w:tcPr>
            <w:tcW w:w="146" w:type="dxa"/>
            <w:tcBorders/>
            <w:shd w:fill="E5E5E5" w:val="clear"/>
            <w:vAlign w:val="center"/>
          </w:tcPr>
          <w:p>
            <w:pPr>
              <w:pStyle w:val="TableContents"/>
              <w:bidi w:val="0"/>
              <w:spacing w:before="0" w:after="283"/>
              <w:jc w:val="left"/>
              <w:rPr/>
            </w:pPr>
            <w:r>
              <w:rPr/>
              <w:t> </w:t>
            </w:r>
          </w:p>
        </w:tc>
        <w:tc>
          <w:tcPr>
            <w:tcW w:w="1290"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$26,562</w:t>
            </w:r>
          </w:p>
        </w:tc>
      </w:tr>
      <w:tr>
        <w:trPr/>
        <w:tc>
          <w:tcPr>
            <w:tcW w:w="57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666666"/>
          <w:sz w:val="20"/>
        </w:rPr>
      </w:pPr>
      <w:r>
        <w:rPr>
          <w:rFonts w:ascii="Arial" w:hAnsi="Arial"/>
          <w:color w:val="666666"/>
          <w:sz w:val="20"/>
        </w:rPr>
        <w:t>SEGMENT REVENUE AND OPERATING INCOME</w:t>
      </w:r>
    </w:p>
    <w:p>
      <w:pPr>
        <w:pStyle w:val="TextBody"/>
        <w:bidi w:val="0"/>
        <w:spacing w:before="120" w:after="283"/>
        <w:jc w:val="center"/>
        <w:rPr>
          <w:rFonts w:ascii="Arial" w:hAnsi="Arial"/>
          <w:color w:val="666666"/>
          <w:sz w:val="20"/>
        </w:rPr>
      </w:pPr>
      <w:r>
        <w:rPr>
          <w:rFonts w:ascii="Arial" w:hAnsi="Arial"/>
          <w:color w:val="666666"/>
          <w:sz w:val="20"/>
        </w:rPr>
        <w:t>(In millions) (Unaudited)</w:t>
      </w:r>
    </w:p>
    <w:p>
      <w:pPr>
        <w:pStyle w:val="TextBody"/>
        <w:bidi w:val="0"/>
        <w:jc w:val="left"/>
        <w:rPr/>
      </w:pPr>
      <w:r>
        <w:rPr/>
        <w:t> </w:t>
      </w:r>
    </w:p>
    <w:tbl>
      <w:tblPr>
        <w:tblW w:w="7755" w:type="dxa"/>
        <w:jc w:val="left"/>
        <w:tblInd w:w="0" w:type="dxa"/>
        <w:tblLayout w:type="fixed"/>
        <w:tblCellMar>
          <w:top w:w="28" w:type="dxa"/>
          <w:left w:w="28" w:type="dxa"/>
          <w:bottom w:w="28" w:type="dxa"/>
          <w:right w:w="28" w:type="dxa"/>
        </w:tblCellMar>
      </w:tblPr>
      <w:tblGrid>
        <w:gridCol w:w="3391"/>
        <w:gridCol w:w="146"/>
        <w:gridCol w:w="934"/>
        <w:gridCol w:w="171"/>
        <w:gridCol w:w="934"/>
        <w:gridCol w:w="146"/>
        <w:gridCol w:w="901"/>
        <w:gridCol w:w="146"/>
        <w:gridCol w:w="986"/>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039" w:type="dxa"/>
            <w:gridSpan w:val="3"/>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Three Months Ended</w:t>
            </w:r>
          </w:p>
        </w:tc>
        <w:tc>
          <w:tcPr>
            <w:tcW w:w="146" w:type="dxa"/>
            <w:tcBorders/>
            <w:shd w:fill="FFFFFF" w:val="clear"/>
            <w:vAlign w:val="center"/>
          </w:tcPr>
          <w:p>
            <w:pPr>
              <w:pStyle w:val="TableContents"/>
              <w:bidi w:val="0"/>
              <w:spacing w:before="0" w:after="283"/>
              <w:jc w:val="left"/>
              <w:rPr/>
            </w:pPr>
            <w:r>
              <w:rPr/>
              <w:t> </w:t>
            </w:r>
          </w:p>
        </w:tc>
        <w:tc>
          <w:tcPr>
            <w:tcW w:w="2033" w:type="dxa"/>
            <w:gridSpan w:val="3"/>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Nine Months Ended</w:t>
            </w:r>
          </w:p>
        </w:tc>
      </w:tr>
      <w:tr>
        <w:trPr/>
        <w:tc>
          <w:tcPr>
            <w:tcW w:w="33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039" w:type="dxa"/>
            <w:gridSpan w:val="3"/>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March 31,</w:t>
            </w:r>
          </w:p>
        </w:tc>
        <w:tc>
          <w:tcPr>
            <w:tcW w:w="146" w:type="dxa"/>
            <w:tcBorders/>
            <w:shd w:fill="FFFFFF" w:val="clear"/>
            <w:vAlign w:val="center"/>
          </w:tcPr>
          <w:p>
            <w:pPr>
              <w:pStyle w:val="TableContents"/>
              <w:bidi w:val="0"/>
              <w:spacing w:before="0" w:after="283"/>
              <w:jc w:val="left"/>
              <w:rPr/>
            </w:pPr>
            <w:r>
              <w:rPr/>
              <w:t> </w:t>
            </w:r>
          </w:p>
        </w:tc>
        <w:tc>
          <w:tcPr>
            <w:tcW w:w="2033" w:type="dxa"/>
            <w:gridSpan w:val="3"/>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March 31,</w:t>
            </w:r>
          </w:p>
        </w:tc>
      </w:tr>
      <w:tr>
        <w:trPr/>
        <w:tc>
          <w:tcPr>
            <w:tcW w:w="33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2024</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2023</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2024</w:t>
            </w:r>
          </w:p>
        </w:tc>
        <w:tc>
          <w:tcPr>
            <w:tcW w:w="146"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2023</w:t>
            </w:r>
          </w:p>
        </w:tc>
      </w:tr>
      <w:tr>
        <w:trPr/>
        <w:tc>
          <w:tcPr>
            <w:tcW w:w="3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 </w:t>
            </w:r>
          </w:p>
        </w:tc>
      </w:tr>
      <w:tr>
        <w:trPr/>
        <w:tc>
          <w:tcPr>
            <w:tcW w:w="3391" w:type="dxa"/>
            <w:tcBorders/>
            <w:shd w:fill="FFFFFF" w:val="clear"/>
            <w:vAlign w:val="center"/>
          </w:tcPr>
          <w:p>
            <w:pPr>
              <w:pStyle w:val="TableContents"/>
              <w:bidi w:val="0"/>
              <w:spacing w:before="0" w:after="283"/>
              <w:jc w:val="left"/>
              <w:rPr>
                <w:rFonts w:ascii="Arial" w:hAnsi="Arial"/>
                <w:b/>
                <w:color w:val="666666"/>
                <w:sz w:val="20"/>
              </w:rPr>
            </w:pPr>
            <w:r>
              <w:rPr>
                <w:rFonts w:ascii="Arial" w:hAnsi="Arial"/>
                <w:b/>
                <w:color w:val="666666"/>
                <w:sz w:val="20"/>
              </w:rPr>
              <w:t>Revenue</w:t>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 </w:t>
            </w:r>
          </w:p>
        </w:tc>
      </w:tr>
      <w:tr>
        <w:trPr/>
        <w:tc>
          <w:tcPr>
            <w:tcW w:w="3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 </w:t>
            </w:r>
          </w:p>
        </w:tc>
      </w:tr>
      <w:tr>
        <w:trPr/>
        <w:tc>
          <w:tcPr>
            <w:tcW w:w="3391" w:type="dxa"/>
            <w:tcBorders/>
            <w:shd w:fill="E5E5E5" w:val="clear"/>
            <w:vAlign w:val="center"/>
          </w:tcPr>
          <w:p>
            <w:pPr>
              <w:pStyle w:val="TableContents"/>
              <w:bidi w:val="0"/>
              <w:spacing w:before="0" w:after="283"/>
              <w:jc w:val="left"/>
              <w:rPr>
                <w:rFonts w:ascii="Arial" w:hAnsi="Arial"/>
                <w:color w:val="666666"/>
                <w:sz w:val="20"/>
              </w:rPr>
            </w:pPr>
            <w:r>
              <w:rPr>
                <w:rFonts w:ascii="Arial" w:hAnsi="Arial"/>
                <w:color w:val="666666"/>
                <w:sz w:val="20"/>
              </w:rPr>
              <w:t>Productivity and Business Processes</w:t>
            </w:r>
          </w:p>
        </w:tc>
        <w:tc>
          <w:tcPr>
            <w:tcW w:w="146" w:type="dxa"/>
            <w:tcBorders/>
            <w:shd w:fill="E5E5E5" w:val="clear"/>
            <w:vAlign w:val="center"/>
          </w:tcPr>
          <w:p>
            <w:pPr>
              <w:pStyle w:val="TableContents"/>
              <w:bidi w:val="0"/>
              <w:spacing w:before="0" w:after="283"/>
              <w:jc w:val="left"/>
              <w:rPr/>
            </w:pPr>
            <w:r>
              <w:rPr/>
              <w:t> </w:t>
            </w:r>
          </w:p>
        </w:tc>
        <w:tc>
          <w:tcPr>
            <w:tcW w:w="934"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$19,570</w:t>
            </w:r>
          </w:p>
        </w:tc>
        <w:tc>
          <w:tcPr>
            <w:tcW w:w="171" w:type="dxa"/>
            <w:tcBorders/>
            <w:shd w:fill="E5E5E5" w:val="clear"/>
            <w:vAlign w:val="center"/>
          </w:tcPr>
          <w:p>
            <w:pPr>
              <w:pStyle w:val="TableContents"/>
              <w:bidi w:val="0"/>
              <w:spacing w:before="0" w:after="283"/>
              <w:jc w:val="left"/>
              <w:rPr/>
            </w:pPr>
            <w:r>
              <w:rPr/>
              <w:t> </w:t>
            </w:r>
          </w:p>
        </w:tc>
        <w:tc>
          <w:tcPr>
            <w:tcW w:w="934"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$17,516</w:t>
            </w:r>
          </w:p>
        </w:tc>
        <w:tc>
          <w:tcPr>
            <w:tcW w:w="146" w:type="dxa"/>
            <w:tcBorders/>
            <w:shd w:fill="E5E5E5" w:val="clear"/>
            <w:vAlign w:val="center"/>
          </w:tcPr>
          <w:p>
            <w:pPr>
              <w:pStyle w:val="TableContents"/>
              <w:bidi w:val="0"/>
              <w:spacing w:before="0" w:after="283"/>
              <w:jc w:val="left"/>
              <w:rPr/>
            </w:pPr>
            <w:r>
              <w:rPr/>
              <w:t> </w:t>
            </w:r>
          </w:p>
        </w:tc>
        <w:tc>
          <w:tcPr>
            <w:tcW w:w="901"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$57,411</w:t>
            </w:r>
          </w:p>
        </w:tc>
        <w:tc>
          <w:tcPr>
            <w:tcW w:w="146" w:type="dxa"/>
            <w:tcBorders/>
            <w:shd w:fill="E5E5E5" w:val="clear"/>
            <w:vAlign w:val="center"/>
          </w:tcPr>
          <w:p>
            <w:pPr>
              <w:pStyle w:val="TableContents"/>
              <w:bidi w:val="0"/>
              <w:spacing w:before="0" w:after="283"/>
              <w:jc w:val="left"/>
              <w:rPr/>
            </w:pPr>
            <w:r>
              <w:rPr/>
              <w:t> </w:t>
            </w:r>
          </w:p>
        </w:tc>
        <w:tc>
          <w:tcPr>
            <w:tcW w:w="986"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$50,983</w:t>
            </w:r>
          </w:p>
        </w:tc>
      </w:tr>
      <w:tr>
        <w:trPr/>
        <w:tc>
          <w:tcPr>
            <w:tcW w:w="3391" w:type="dxa"/>
            <w:tcBorders/>
            <w:shd w:fill="FFFFFF" w:val="clear"/>
            <w:vAlign w:val="center"/>
          </w:tcPr>
          <w:p>
            <w:pPr>
              <w:pStyle w:val="TableContents"/>
              <w:bidi w:val="0"/>
              <w:spacing w:before="0" w:after="283"/>
              <w:jc w:val="left"/>
              <w:rPr>
                <w:rFonts w:ascii="Arial" w:hAnsi="Arial"/>
                <w:color w:val="666666"/>
                <w:sz w:val="20"/>
              </w:rPr>
            </w:pPr>
            <w:r>
              <w:rPr>
                <w:rFonts w:ascii="Arial" w:hAnsi="Arial"/>
                <w:color w:val="666666"/>
                <w:sz w:val="20"/>
              </w:rPr>
              <w:t>Intelligent Cloud</w:t>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26,708</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22,081</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76,847</w:t>
            </w:r>
          </w:p>
        </w:tc>
        <w:tc>
          <w:tcPr>
            <w:tcW w:w="146"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63,914</w:t>
            </w:r>
          </w:p>
        </w:tc>
      </w:tr>
      <w:tr>
        <w:trPr/>
        <w:tc>
          <w:tcPr>
            <w:tcW w:w="3391" w:type="dxa"/>
            <w:tcBorders/>
            <w:shd w:fill="E5E5E5" w:val="clear"/>
            <w:vAlign w:val="center"/>
          </w:tcPr>
          <w:p>
            <w:pPr>
              <w:pStyle w:val="TableContents"/>
              <w:bidi w:val="0"/>
              <w:spacing w:before="0" w:after="283"/>
              <w:jc w:val="left"/>
              <w:rPr>
                <w:rFonts w:ascii="Arial" w:hAnsi="Arial"/>
                <w:color w:val="666666"/>
                <w:sz w:val="20"/>
              </w:rPr>
            </w:pPr>
            <w:r>
              <w:rPr>
                <w:rFonts w:ascii="Arial" w:hAnsi="Arial"/>
                <w:color w:val="666666"/>
                <w:sz w:val="20"/>
              </w:rPr>
              <w:t>More Personal Computing</w:t>
            </w:r>
          </w:p>
        </w:tc>
        <w:tc>
          <w:tcPr>
            <w:tcW w:w="146" w:type="dxa"/>
            <w:tcBorders/>
            <w:shd w:fill="E5E5E5" w:val="clear"/>
            <w:vAlign w:val="center"/>
          </w:tcPr>
          <w:p>
            <w:pPr>
              <w:pStyle w:val="TableContents"/>
              <w:bidi w:val="0"/>
              <w:spacing w:before="0" w:after="283"/>
              <w:jc w:val="left"/>
              <w:rPr/>
            </w:pPr>
            <w:r>
              <w:rPr/>
              <w:t> </w:t>
            </w:r>
          </w:p>
        </w:tc>
        <w:tc>
          <w:tcPr>
            <w:tcW w:w="934"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15,580</w:t>
            </w:r>
          </w:p>
        </w:tc>
        <w:tc>
          <w:tcPr>
            <w:tcW w:w="171" w:type="dxa"/>
            <w:tcBorders/>
            <w:shd w:fill="E5E5E5" w:val="clear"/>
            <w:vAlign w:val="center"/>
          </w:tcPr>
          <w:p>
            <w:pPr>
              <w:pStyle w:val="TableContents"/>
              <w:bidi w:val="0"/>
              <w:spacing w:before="0" w:after="283"/>
              <w:jc w:val="left"/>
              <w:rPr/>
            </w:pPr>
            <w:r>
              <w:rPr/>
              <w:t> </w:t>
            </w:r>
          </w:p>
        </w:tc>
        <w:tc>
          <w:tcPr>
            <w:tcW w:w="934"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13,260</w:t>
            </w:r>
          </w:p>
        </w:tc>
        <w:tc>
          <w:tcPr>
            <w:tcW w:w="146" w:type="dxa"/>
            <w:tcBorders/>
            <w:shd w:fill="E5E5E5" w:val="clear"/>
            <w:vAlign w:val="center"/>
          </w:tcPr>
          <w:p>
            <w:pPr>
              <w:pStyle w:val="TableContents"/>
              <w:bidi w:val="0"/>
              <w:spacing w:before="0" w:after="283"/>
              <w:jc w:val="left"/>
              <w:rPr/>
            </w:pPr>
            <w:r>
              <w:rPr/>
              <w:t> </w:t>
            </w:r>
          </w:p>
        </w:tc>
        <w:tc>
          <w:tcPr>
            <w:tcW w:w="901"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46,137</w:t>
            </w:r>
          </w:p>
        </w:tc>
        <w:tc>
          <w:tcPr>
            <w:tcW w:w="146" w:type="dxa"/>
            <w:tcBorders/>
            <w:shd w:fill="E5E5E5" w:val="clear"/>
            <w:vAlign w:val="center"/>
          </w:tcPr>
          <w:p>
            <w:pPr>
              <w:pStyle w:val="TableContents"/>
              <w:bidi w:val="0"/>
              <w:spacing w:before="0" w:after="283"/>
              <w:jc w:val="left"/>
              <w:rPr/>
            </w:pPr>
            <w:r>
              <w:rPr/>
              <w:t> </w:t>
            </w:r>
          </w:p>
        </w:tc>
        <w:tc>
          <w:tcPr>
            <w:tcW w:w="986"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40,829</w:t>
            </w:r>
          </w:p>
        </w:tc>
      </w:tr>
      <w:tr>
        <w:trPr/>
        <w:tc>
          <w:tcPr>
            <w:tcW w:w="3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ind w:left="0" w:right="0" w:firstLine="280"/>
              <w:jc w:val="right"/>
              <w:rPr/>
            </w:pPr>
            <w:r>
              <w:rPr/>
              <w:t> </w:t>
            </w:r>
          </w:p>
        </w:tc>
      </w:tr>
      <w:tr>
        <w:trPr/>
        <w:tc>
          <w:tcPr>
            <w:tcW w:w="3391" w:type="dxa"/>
            <w:tcBorders/>
            <w:shd w:fill="FFFFFF" w:val="clear"/>
            <w:vAlign w:val="center"/>
          </w:tcPr>
          <w:p>
            <w:pPr>
              <w:pStyle w:val="TableContents"/>
              <w:bidi w:val="0"/>
              <w:spacing w:before="0" w:after="283"/>
              <w:ind w:left="280" w:right="0" w:firstLine="280"/>
              <w:jc w:val="left"/>
              <w:rPr>
                <w:rFonts w:ascii="Arial" w:hAnsi="Arial"/>
                <w:color w:val="666666"/>
                <w:sz w:val="20"/>
              </w:rPr>
            </w:pPr>
            <w:r>
              <w:rPr>
                <w:rFonts w:ascii="Arial" w:hAnsi="Arial"/>
                <w:color w:val="666666"/>
                <w:sz w:val="20"/>
              </w:rPr>
              <w:t>Total</w:t>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$61,858</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$52,857</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$180,395</w:t>
            </w:r>
          </w:p>
        </w:tc>
        <w:tc>
          <w:tcPr>
            <w:tcW w:w="146"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ind w:left="0" w:right="0" w:firstLine="40"/>
              <w:jc w:val="right"/>
              <w:rPr>
                <w:rFonts w:ascii="Arial" w:hAnsi="Arial"/>
                <w:color w:val="666666"/>
                <w:sz w:val="20"/>
              </w:rPr>
            </w:pPr>
            <w:r>
              <w:rPr>
                <w:rFonts w:ascii="Arial" w:hAnsi="Arial"/>
                <w:color w:val="666666"/>
                <w:sz w:val="20"/>
              </w:rPr>
              <w:t>$155,726</w:t>
            </w:r>
          </w:p>
        </w:tc>
      </w:tr>
      <w:tr>
        <w:trPr/>
        <w:tc>
          <w:tcPr>
            <w:tcW w:w="3391" w:type="dxa"/>
            <w:tcBorders/>
            <w:shd w:fill="FFFFFF" w:val="clear"/>
            <w:vAlign w:val="center"/>
          </w:tcPr>
          <w:p>
            <w:pPr>
              <w:pStyle w:val="TableContents"/>
              <w:bidi w:val="0"/>
              <w:spacing w:before="0" w:after="283"/>
              <w:ind w:left="40" w:right="0" w:firstLine="4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40"/>
              <w:jc w:val="right"/>
              <w:rPr/>
            </w:pPr>
            <w:r>
              <w:rPr/>
              <w:t> </w:t>
            </w:r>
          </w:p>
        </w:tc>
      </w:tr>
      <w:tr>
        <w:trPr/>
        <w:tc>
          <w:tcPr>
            <w:tcW w:w="3391" w:type="dxa"/>
            <w:tcBorders/>
            <w:shd w:fill="FFFFFF" w:val="clear"/>
            <w:vAlign w:val="center"/>
          </w:tcPr>
          <w:p>
            <w:pPr>
              <w:pStyle w:val="TableContents"/>
              <w:bidi w:val="0"/>
              <w:spacing w:before="0" w:after="283"/>
              <w:ind w:left="40" w:right="0" w:firstLine="4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 </w:t>
            </w:r>
          </w:p>
        </w:tc>
      </w:tr>
      <w:tr>
        <w:trPr/>
        <w:tc>
          <w:tcPr>
            <w:tcW w:w="3391" w:type="dxa"/>
            <w:tcBorders/>
            <w:shd w:fill="FFFFFF" w:val="clear"/>
            <w:vAlign w:val="center"/>
          </w:tcPr>
          <w:p>
            <w:pPr>
              <w:pStyle w:val="TableContents"/>
              <w:bidi w:val="0"/>
              <w:spacing w:before="0" w:after="283"/>
              <w:jc w:val="left"/>
              <w:rPr>
                <w:rFonts w:ascii="Arial" w:hAnsi="Arial"/>
                <w:b/>
                <w:color w:val="666666"/>
                <w:sz w:val="20"/>
              </w:rPr>
            </w:pPr>
            <w:r>
              <w:rPr>
                <w:rFonts w:ascii="Arial" w:hAnsi="Arial"/>
                <w:b/>
                <w:color w:val="666666"/>
                <w:sz w:val="20"/>
              </w:rPr>
              <w:t>Operating Income</w:t>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 </w:t>
            </w:r>
          </w:p>
        </w:tc>
      </w:tr>
      <w:tr>
        <w:trPr/>
        <w:tc>
          <w:tcPr>
            <w:tcW w:w="3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 </w:t>
            </w:r>
          </w:p>
        </w:tc>
      </w:tr>
      <w:tr>
        <w:trPr/>
        <w:tc>
          <w:tcPr>
            <w:tcW w:w="3391" w:type="dxa"/>
            <w:tcBorders/>
            <w:shd w:fill="E5E5E5" w:val="clear"/>
            <w:vAlign w:val="center"/>
          </w:tcPr>
          <w:p>
            <w:pPr>
              <w:pStyle w:val="TableContents"/>
              <w:bidi w:val="0"/>
              <w:spacing w:before="0" w:after="283"/>
              <w:jc w:val="left"/>
              <w:rPr>
                <w:rFonts w:ascii="Arial" w:hAnsi="Arial"/>
                <w:color w:val="666666"/>
                <w:sz w:val="20"/>
              </w:rPr>
            </w:pPr>
            <w:r>
              <w:rPr>
                <w:rFonts w:ascii="Arial" w:hAnsi="Arial"/>
                <w:color w:val="666666"/>
                <w:sz w:val="20"/>
              </w:rPr>
              <w:t>Productivity and Business Processes</w:t>
            </w:r>
          </w:p>
        </w:tc>
        <w:tc>
          <w:tcPr>
            <w:tcW w:w="146" w:type="dxa"/>
            <w:tcBorders/>
            <w:shd w:fill="E5E5E5" w:val="clear"/>
            <w:vAlign w:val="center"/>
          </w:tcPr>
          <w:p>
            <w:pPr>
              <w:pStyle w:val="TableContents"/>
              <w:bidi w:val="0"/>
              <w:spacing w:before="0" w:after="283"/>
              <w:jc w:val="left"/>
              <w:rPr/>
            </w:pPr>
            <w:r>
              <w:rPr/>
              <w:t> </w:t>
            </w:r>
          </w:p>
        </w:tc>
        <w:tc>
          <w:tcPr>
            <w:tcW w:w="934"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$10,143</w:t>
            </w:r>
          </w:p>
        </w:tc>
        <w:tc>
          <w:tcPr>
            <w:tcW w:w="171" w:type="dxa"/>
            <w:tcBorders/>
            <w:shd w:fill="E5E5E5" w:val="clear"/>
            <w:vAlign w:val="center"/>
          </w:tcPr>
          <w:p>
            <w:pPr>
              <w:pStyle w:val="TableContents"/>
              <w:bidi w:val="0"/>
              <w:spacing w:before="0" w:after="283"/>
              <w:jc w:val="left"/>
              <w:rPr/>
            </w:pPr>
            <w:r>
              <w:rPr/>
              <w:t> </w:t>
            </w:r>
          </w:p>
        </w:tc>
        <w:tc>
          <w:tcPr>
            <w:tcW w:w="934"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$8,639</w:t>
            </w:r>
          </w:p>
        </w:tc>
        <w:tc>
          <w:tcPr>
            <w:tcW w:w="146" w:type="dxa"/>
            <w:tcBorders/>
            <w:shd w:fill="E5E5E5" w:val="clear"/>
            <w:vAlign w:val="center"/>
          </w:tcPr>
          <w:p>
            <w:pPr>
              <w:pStyle w:val="TableContents"/>
              <w:bidi w:val="0"/>
              <w:spacing w:before="0" w:after="283"/>
              <w:jc w:val="left"/>
              <w:rPr/>
            </w:pPr>
            <w:r>
              <w:rPr/>
              <w:t> </w:t>
            </w:r>
          </w:p>
        </w:tc>
        <w:tc>
          <w:tcPr>
            <w:tcW w:w="901"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$30,397</w:t>
            </w:r>
          </w:p>
        </w:tc>
        <w:tc>
          <w:tcPr>
            <w:tcW w:w="146" w:type="dxa"/>
            <w:tcBorders/>
            <w:shd w:fill="E5E5E5" w:val="clear"/>
            <w:vAlign w:val="center"/>
          </w:tcPr>
          <w:p>
            <w:pPr>
              <w:pStyle w:val="TableContents"/>
              <w:bidi w:val="0"/>
              <w:spacing w:before="0" w:after="283"/>
              <w:jc w:val="left"/>
              <w:rPr/>
            </w:pPr>
            <w:r>
              <w:rPr/>
              <w:t> </w:t>
            </w:r>
          </w:p>
        </w:tc>
        <w:tc>
          <w:tcPr>
            <w:tcW w:w="986"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$25,137</w:t>
            </w:r>
          </w:p>
        </w:tc>
      </w:tr>
      <w:tr>
        <w:trPr/>
        <w:tc>
          <w:tcPr>
            <w:tcW w:w="3391" w:type="dxa"/>
            <w:tcBorders/>
            <w:shd w:fill="FFFFFF" w:val="clear"/>
            <w:vAlign w:val="center"/>
          </w:tcPr>
          <w:p>
            <w:pPr>
              <w:pStyle w:val="TableContents"/>
              <w:bidi w:val="0"/>
              <w:spacing w:before="0" w:after="283"/>
              <w:jc w:val="left"/>
              <w:rPr>
                <w:rFonts w:ascii="Arial" w:hAnsi="Arial"/>
                <w:color w:val="666666"/>
                <w:sz w:val="20"/>
              </w:rPr>
            </w:pPr>
            <w:r>
              <w:rPr>
                <w:rFonts w:ascii="Arial" w:hAnsi="Arial"/>
                <w:color w:val="666666"/>
                <w:sz w:val="20"/>
              </w:rPr>
              <w:t>Intelligent Cloud</w:t>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12,513</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9,476</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36,725</w:t>
            </w:r>
          </w:p>
        </w:tc>
        <w:tc>
          <w:tcPr>
            <w:tcW w:w="146"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27,358</w:t>
            </w:r>
          </w:p>
        </w:tc>
      </w:tr>
      <w:tr>
        <w:trPr/>
        <w:tc>
          <w:tcPr>
            <w:tcW w:w="3391" w:type="dxa"/>
            <w:tcBorders/>
            <w:shd w:fill="E5E5E5" w:val="clear"/>
            <w:vAlign w:val="center"/>
          </w:tcPr>
          <w:p>
            <w:pPr>
              <w:pStyle w:val="TableContents"/>
              <w:bidi w:val="0"/>
              <w:spacing w:before="0" w:after="283"/>
              <w:jc w:val="left"/>
              <w:rPr>
                <w:rFonts w:ascii="Arial" w:hAnsi="Arial"/>
                <w:color w:val="666666"/>
                <w:sz w:val="20"/>
              </w:rPr>
            </w:pPr>
            <w:r>
              <w:rPr>
                <w:rFonts w:ascii="Arial" w:hAnsi="Arial"/>
                <w:color w:val="666666"/>
                <w:sz w:val="20"/>
              </w:rPr>
              <w:t>More Personal Computing</w:t>
            </w:r>
          </w:p>
        </w:tc>
        <w:tc>
          <w:tcPr>
            <w:tcW w:w="146" w:type="dxa"/>
            <w:tcBorders/>
            <w:shd w:fill="E5E5E5" w:val="clear"/>
            <w:vAlign w:val="center"/>
          </w:tcPr>
          <w:p>
            <w:pPr>
              <w:pStyle w:val="TableContents"/>
              <w:bidi w:val="0"/>
              <w:spacing w:before="0" w:after="283"/>
              <w:jc w:val="left"/>
              <w:rPr/>
            </w:pPr>
            <w:r>
              <w:rPr/>
              <w:t> </w:t>
            </w:r>
          </w:p>
        </w:tc>
        <w:tc>
          <w:tcPr>
            <w:tcW w:w="934"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4,925</w:t>
            </w:r>
          </w:p>
        </w:tc>
        <w:tc>
          <w:tcPr>
            <w:tcW w:w="171" w:type="dxa"/>
            <w:tcBorders/>
            <w:shd w:fill="E5E5E5" w:val="clear"/>
            <w:vAlign w:val="center"/>
          </w:tcPr>
          <w:p>
            <w:pPr>
              <w:pStyle w:val="TableContents"/>
              <w:bidi w:val="0"/>
              <w:spacing w:before="0" w:after="283"/>
              <w:jc w:val="left"/>
              <w:rPr/>
            </w:pPr>
            <w:r>
              <w:rPr/>
              <w:t> </w:t>
            </w:r>
          </w:p>
        </w:tc>
        <w:tc>
          <w:tcPr>
            <w:tcW w:w="934"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4,237</w:t>
            </w:r>
          </w:p>
        </w:tc>
        <w:tc>
          <w:tcPr>
            <w:tcW w:w="146" w:type="dxa"/>
            <w:tcBorders/>
            <w:shd w:fill="E5E5E5" w:val="clear"/>
            <w:vAlign w:val="center"/>
          </w:tcPr>
          <w:p>
            <w:pPr>
              <w:pStyle w:val="TableContents"/>
              <w:bidi w:val="0"/>
              <w:spacing w:before="0" w:after="283"/>
              <w:jc w:val="left"/>
              <w:rPr/>
            </w:pPr>
            <w:r>
              <w:rPr/>
              <w:t> </w:t>
            </w:r>
          </w:p>
        </w:tc>
        <w:tc>
          <w:tcPr>
            <w:tcW w:w="901" w:type="dxa"/>
            <w:tcBorders/>
            <w:shd w:fill="E5E5E5"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14,386</w:t>
            </w:r>
          </w:p>
        </w:tc>
        <w:tc>
          <w:tcPr>
            <w:tcW w:w="146" w:type="dxa"/>
            <w:tcBorders/>
            <w:shd w:fill="E5E5E5" w:val="clear"/>
            <w:vAlign w:val="center"/>
          </w:tcPr>
          <w:p>
            <w:pPr>
              <w:pStyle w:val="TableContents"/>
              <w:bidi w:val="0"/>
              <w:spacing w:before="0" w:after="283"/>
              <w:jc w:val="left"/>
              <w:rPr/>
            </w:pPr>
            <w:r>
              <w:rPr/>
              <w:t> </w:t>
            </w:r>
          </w:p>
        </w:tc>
        <w:tc>
          <w:tcPr>
            <w:tcW w:w="986" w:type="dxa"/>
            <w:tcBorders/>
            <w:shd w:fill="E5E5E5" w:val="clear"/>
            <w:vAlign w:val="center"/>
          </w:tcPr>
          <w:p>
            <w:pPr>
              <w:pStyle w:val="TableContents"/>
              <w:bidi w:val="0"/>
              <w:spacing w:before="0" w:after="283"/>
              <w:jc w:val="right"/>
              <w:rPr>
                <w:rFonts w:ascii="Arial" w:hAnsi="Arial"/>
                <w:color w:val="666666"/>
                <w:sz w:val="20"/>
              </w:rPr>
            </w:pPr>
            <w:r>
              <w:rPr>
                <w:rFonts w:ascii="Arial" w:hAnsi="Arial"/>
                <w:color w:val="666666"/>
                <w:sz w:val="20"/>
              </w:rPr>
              <w:t>11,774</w:t>
            </w:r>
          </w:p>
        </w:tc>
      </w:tr>
      <w:tr>
        <w:trPr/>
        <w:tc>
          <w:tcPr>
            <w:tcW w:w="3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3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ind w:left="0" w:right="0" w:firstLine="280"/>
              <w:jc w:val="right"/>
              <w:rPr/>
            </w:pPr>
            <w:r>
              <w:rPr/>
              <w:t> </w:t>
            </w:r>
          </w:p>
        </w:tc>
      </w:tr>
      <w:tr>
        <w:trPr/>
        <w:tc>
          <w:tcPr>
            <w:tcW w:w="3391" w:type="dxa"/>
            <w:tcBorders/>
            <w:shd w:fill="FFFFFF" w:val="clear"/>
            <w:vAlign w:val="center"/>
          </w:tcPr>
          <w:p>
            <w:pPr>
              <w:pStyle w:val="TableContents"/>
              <w:bidi w:val="0"/>
              <w:spacing w:before="0" w:after="283"/>
              <w:ind w:left="280" w:right="0" w:firstLine="280"/>
              <w:jc w:val="left"/>
              <w:rPr>
                <w:rFonts w:ascii="Arial" w:hAnsi="Arial"/>
                <w:color w:val="666666"/>
                <w:sz w:val="20"/>
              </w:rPr>
            </w:pPr>
            <w:r>
              <w:rPr>
                <w:rFonts w:ascii="Arial" w:hAnsi="Arial"/>
                <w:color w:val="666666"/>
                <w:sz w:val="20"/>
              </w:rPr>
              <w:t>Total</w:t>
            </w:r>
          </w:p>
        </w:tc>
        <w:tc>
          <w:tcPr>
            <w:tcW w:w="14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$27,581</w:t>
            </w:r>
          </w:p>
        </w:tc>
        <w:tc>
          <w:tcPr>
            <w:tcW w:w="171"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Arial" w:hAnsi="Arial"/>
                <w:color w:val="666666"/>
                <w:sz w:val="20"/>
              </w:rPr>
            </w:pPr>
            <w:r>
              <w:rPr>
                <w:rFonts w:ascii="Arial" w:hAnsi="Arial"/>
                <w:color w:val="666666"/>
                <w:sz w:val="20"/>
              </w:rPr>
              <w:t>$22,352</w:t>
            </w:r>
          </w:p>
        </w:tc>
        <w:tc>
          <w:tcPr>
            <w:tcW w:w="146"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Arial" w:hAnsi="Arial"/>
                <w:b/>
                <w:color w:val="666666"/>
                <w:sz w:val="20"/>
              </w:rPr>
            </w:pPr>
            <w:r>
              <w:rPr>
                <w:rFonts w:ascii="Arial" w:hAnsi="Arial"/>
                <w:b/>
                <w:color w:val="666666"/>
                <w:sz w:val="20"/>
              </w:rPr>
              <w:t>$81,508</w:t>
            </w:r>
          </w:p>
        </w:tc>
        <w:tc>
          <w:tcPr>
            <w:tcW w:w="146"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ind w:left="0" w:right="0" w:firstLine="40"/>
              <w:jc w:val="right"/>
              <w:rPr>
                <w:rFonts w:ascii="Arial" w:hAnsi="Arial"/>
                <w:color w:val="666666"/>
                <w:sz w:val="20"/>
              </w:rPr>
            </w:pPr>
            <w:r>
              <w:rPr>
                <w:rFonts w:ascii="Arial" w:hAnsi="Arial"/>
                <w:color w:val="666666"/>
                <w:sz w:val="20"/>
              </w:rPr>
              <w:t>$64,269</w:t>
            </w:r>
          </w:p>
        </w:tc>
      </w:tr>
      <w:tr>
        <w:trPr/>
        <w:tc>
          <w:tcPr>
            <w:tcW w:w="3391" w:type="dxa"/>
            <w:tcBorders/>
            <w:shd w:fill="FFFFFF" w:val="clear"/>
            <w:vAlign w:val="center"/>
          </w:tcPr>
          <w:p>
            <w:pPr>
              <w:pStyle w:val="TableContents"/>
              <w:bidi w:val="0"/>
              <w:spacing w:before="0" w:after="283"/>
              <w:ind w:left="40" w:right="0" w:firstLine="4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3055</Words>
  <Characters>17763</Characters>
  <CharactersWithSpaces>21433</CharactersWithSpaces>
  <Paragraphs>2187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