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Althoff Judson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MICROSOFT CORPORATION ONE MICROSOFT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MICROSOFT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MSFT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Commercial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REDMOND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98052-6399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26,151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145,561.681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Stock Award under the Executive Incentive Plan that will vest over four years with 25% vesting on August 31, 2026, and then 12.5% vesting each six months thereafter, subject to continued employment.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Julia Stark,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Judson Althoff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September 16, 2024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and Exchange Commission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100 F Street, N.E.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8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Washington, D.C.</w:t>
        <w:tab/>
        <w:t>20549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7"/>
          <w:szCs w:val="17"/>
          <w:color w:val="auto"/>
        </w:rPr>
        <w:t>Microsoft Corporation - Power of Attorney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 whom it may concern: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539"/>
        <w:spacing w:after="0" w:line="26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 revoke my prior Microsoft Corporation - Power of Attorney. This will confirm that, effective as of the date above, I have granted each of the individuals listed below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53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authority to, on my behalf, execute and file the Statement of Changes in Beneficial Ownership of Securities (Form 4) and the Annual Statement of Changes in Beneficial Ownership (Form 5),</w:t>
      </w:r>
    </w:p>
    <w:p>
      <w:pPr>
        <w:ind w:right="2919"/>
        <w:spacing w:after="0" w:line="26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 connection with transactions in Microsoft Corporation securities, as my Attorney-In-Fact. Such power of attorney shall remain in full force and effect until either (i) I am no longer subject to the reporting requirements under Section 16 of the Securities Act of 1933, as amended or (ii) I have provided you with written notice withdrawing this authority.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right="3339"/>
        <w:spacing w:after="0" w:line="37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individuals who are authorized to act as my Attorney-In-Fact under this Power of Attorney are as follows: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Julia Stark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Benjamin O. Orndorff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Michael Pressman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Keith R. Dolliver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Christyne Mayberry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2819"/>
        <w:spacing w:after="0" w:line="31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Power of Attorney is effective immediately upon filing with the Securities Exchange Commission and for purposes of my future Form 4 and Form 5 filings relating to Microsoft securities and transactions.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Sincerely,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/s/ Judson Althoff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Judson Althoff</w:t>
      </w:r>
    </w:p>
    <w:sectPr>
      <w:pgSz w:w="11900" w:h="16838" w:orient="portrait"/>
      <w:cols w:equalWidth="0" w:num="1">
        <w:col w:w="9999"/>
      </w:cols>
      <w:pgMar w:left="460" w:top="909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8758" TargetMode="External"/><Relationship Id="rId14" Type="http://schemas.openxmlformats.org/officeDocument/2006/relationships/hyperlink" Target="http://www.sec.gov/cgi-bin/browse-edgar?action=getcompany&amp;CIK=0000789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2025-09-17T17:10:42Z</dcterms:created>
  <dcterms:modified xsi:type="dcterms:W3CDTF">2025-09-17T17:10:42Z</dcterms:modified>
</cp:coreProperties>
</file>