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80" w:type="dxa"/>
        <w:tblCellMar>
          <w:top w:w="0" w:type="dxa"/>
          <w:left w:w="0" w:type="dxa"/>
          <w:bottom w:w="0" w:type="dxa"/>
          <w:right w:w="0" w:type="dxa"/>
        </w:tblCellMar>
      </w:tblPr>
      <w:tr>
        <w:trPr>
          <w:trHeight w:val="176"/>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00813D"/>
              </w:rPr>
              <w:t>Main Post Office, P.O. Box 751</w:t>
            </w:r>
          </w:p>
        </w:tc>
        <w:tc>
          <w:tcPr>
            <w:tcW w:w="4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73C167"/>
              </w:rPr>
              <w:t>www.asyousow.org</w:t>
            </w:r>
          </w:p>
        </w:tc>
      </w:tr>
      <w:tr>
        <w:trPr>
          <w:trHeight w:val="190"/>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00813D"/>
              </w:rPr>
              <w:t>Berkeley, CA 94704</w:t>
            </w:r>
          </w:p>
        </w:tc>
        <w:tc>
          <w:tcPr>
            <w:tcW w:w="4420" w:type="dxa"/>
            <w:vAlign w:val="bottom"/>
          </w:tcPr>
          <w:p>
            <w:pPr>
              <w:ind w:left="340"/>
              <w:spacing w:after="0"/>
              <w:rPr>
                <w:sz w:val="20"/>
                <w:szCs w:val="20"/>
                <w:color w:val="auto"/>
              </w:rPr>
            </w:pPr>
            <w:r>
              <w:rPr>
                <w:rFonts w:ascii="Times New Roman" w:cs="Times New Roman" w:eastAsia="Times New Roman" w:hAnsi="Times New Roman"/>
                <w:sz w:val="13"/>
                <w:szCs w:val="13"/>
                <w:color w:val="73C167"/>
              </w:rPr>
              <w:t>BUILDING A SAFE, JUST, AND SUSTAINABLE WORLD SINCE 1992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49161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Notice of Exempt Solicitation Pursuant to Rule 14a-103</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the Registrant: Microsoft Corp</w:t>
      </w:r>
    </w:p>
    <w:p>
      <w:pPr>
        <w:spacing w:after="0" w:line="198" w:lineRule="auto"/>
        <w:rPr>
          <w:sz w:val="20"/>
          <w:szCs w:val="20"/>
          <w:color w:val="auto"/>
        </w:rPr>
      </w:pPr>
      <w:r>
        <w:rPr>
          <w:rFonts w:ascii="Times New Roman" w:cs="Times New Roman" w:eastAsia="Times New Roman" w:hAnsi="Times New Roman"/>
          <w:sz w:val="20"/>
          <w:szCs w:val="20"/>
          <w:color w:val="auto"/>
        </w:rPr>
        <w:t>Name of persons relying on exemption: As You Sow</w:t>
      </w:r>
      <w:r>
        <w:rPr>
          <w:rFonts w:ascii="Times New Roman" w:cs="Times New Roman" w:eastAsia="Times New Roman" w:hAnsi="Times New Roman"/>
          <w:sz w:val="32"/>
          <w:szCs w:val="32"/>
          <w:color w:val="auto"/>
          <w:vertAlign w:val="superscript"/>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Address of persons relying on exemption: Main Post Office, P.O. Box 751, Berkeley, CA 94704</w:t>
      </w:r>
    </w:p>
    <w:p>
      <w:pPr>
        <w:spacing w:after="0" w:line="207" w:lineRule="exact"/>
        <w:rPr>
          <w:sz w:val="24"/>
          <w:szCs w:val="24"/>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Microsoft Corp (MSFT)</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Vote Yes: Item #7 – Report on the Risks of Advanced Technology for Oil and Gas</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Extraction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Annual Meeting: December 10, 2024</w:t>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CONTACT: Parker Caswell | pcaswell@asyousow.org</w:t>
      </w:r>
    </w:p>
    <w:p>
      <w:pPr>
        <w:spacing w:after="0" w:line="22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4"/>
          <w:szCs w:val="24"/>
          <w:color w:val="auto"/>
        </w:rPr>
      </w:pPr>
    </w:p>
    <w:p>
      <w:pPr>
        <w:ind w:right="20"/>
        <w:spacing w:after="0" w:line="203" w:lineRule="auto"/>
        <w:rPr>
          <w:sz w:val="20"/>
          <w:szCs w:val="20"/>
          <w:color w:val="auto"/>
        </w:rPr>
      </w:pPr>
      <w:r>
        <w:rPr>
          <w:rFonts w:ascii="Times New Roman" w:cs="Times New Roman" w:eastAsia="Times New Roman" w:hAnsi="Times New Roman"/>
          <w:sz w:val="20"/>
          <w:szCs w:val="20"/>
          <w:color w:val="auto"/>
        </w:rPr>
        <w:t>Immediate and sustained reductions in greenhouse gas (“GHG”) emissions are required to keep the Paris goal within reach and stave off the most dire economic consequences of climate change.</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0"/>
          <w:szCs w:val="20"/>
          <w:color w:val="auto"/>
        </w:rPr>
        <w:t xml:space="preserve"> Emissions from the combustion of fossil fuels are responsible for three-quarters of global GHG emissions,</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0"/>
          <w:szCs w:val="20"/>
          <w:color w:val="auto"/>
        </w:rPr>
        <w:t xml:space="preserve"> and the International Energy Agency reports that “no new long lead-time conventional oil and gas projects are</w:t>
      </w:r>
    </w:p>
    <w:p>
      <w:pPr>
        <w:spacing w:after="0" w:line="4" w:lineRule="exact"/>
        <w:rPr>
          <w:sz w:val="24"/>
          <w:szCs w:val="24"/>
          <w:color w:val="auto"/>
        </w:rPr>
      </w:pPr>
    </w:p>
    <w:p>
      <w:pPr>
        <w:ind w:right="100"/>
        <w:spacing w:after="0" w:line="231" w:lineRule="auto"/>
        <w:rPr>
          <w:sz w:val="20"/>
          <w:szCs w:val="20"/>
          <w:color w:val="auto"/>
        </w:rPr>
      </w:pPr>
      <w:r>
        <w:rPr>
          <w:rFonts w:ascii="Times New Roman" w:cs="Times New Roman" w:eastAsia="Times New Roman" w:hAnsi="Times New Roman"/>
          <w:sz w:val="20"/>
          <w:szCs w:val="20"/>
          <w:color w:val="auto"/>
        </w:rPr>
        <w:t>required” to meet global energy demand in a 1.5°C compatible energy transition scenario.</w:t>
      </w: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20"/>
          <w:szCs w:val="20"/>
          <w:color w:val="auto"/>
        </w:rPr>
        <w:t xml:space="preserve"> These findings are reflected in the most recent United Nations Conference of Parties (COP28) global stocktake, which unambiguously called for a “just, orderly, and equitable” transition away from fossil fuels.</w:t>
      </w:r>
      <w:r>
        <w:rPr>
          <w:rFonts w:ascii="Times New Roman" w:cs="Times New Roman" w:eastAsia="Times New Roman" w:hAnsi="Times New Roman"/>
          <w:sz w:val="32"/>
          <w:szCs w:val="32"/>
          <w:color w:val="auto"/>
          <w:vertAlign w:val="superscript"/>
        </w:rPr>
        <w:t>4</w:t>
      </w:r>
    </w:p>
    <w:p>
      <w:pPr>
        <w:spacing w:after="0" w:line="45"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Microsoft (“the Company”) identifies itself as a “first mover” on climate change, asserting that the Company “advocate[s] for the expansion of clean energy solutions around the world.”</w:t>
      </w: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9"/>
          <w:szCs w:val="19"/>
          <w:color w:val="auto"/>
        </w:rPr>
        <w:t xml:space="preserve"> Despite this public-facing positioning and stated commitments, Microsoft has identified fossil fuels as the top growth opportunity for its artificial intelligence (“AI”), machine learning (“ML”), and cloud computing (collectively</w:t>
      </w:r>
    </w:p>
    <w:p>
      <w:pPr>
        <w:spacing w:after="0" w:line="3" w:lineRule="exact"/>
        <w:rPr>
          <w:sz w:val="24"/>
          <w:szCs w:val="24"/>
          <w:color w:val="auto"/>
        </w:rPr>
      </w:pPr>
    </w:p>
    <w:p>
      <w:pPr>
        <w:ind w:right="160"/>
        <w:spacing w:after="0" w:line="190" w:lineRule="auto"/>
        <w:rPr>
          <w:sz w:val="20"/>
          <w:szCs w:val="20"/>
          <w:color w:val="auto"/>
        </w:rPr>
      </w:pPr>
      <w:r>
        <w:rPr>
          <w:rFonts w:ascii="Times New Roman" w:cs="Times New Roman" w:eastAsia="Times New Roman" w:hAnsi="Times New Roman"/>
          <w:sz w:val="19"/>
          <w:szCs w:val="19"/>
          <w:color w:val="auto"/>
        </w:rPr>
        <w:t>“advanced technology”) services.</w:t>
      </w:r>
      <w:r>
        <w:rPr>
          <w:rFonts w:ascii="Times New Roman" w:cs="Times New Roman" w:eastAsia="Times New Roman" w:hAnsi="Times New Roman"/>
          <w:sz w:val="31"/>
          <w:szCs w:val="31"/>
          <w:color w:val="auto"/>
          <w:vertAlign w:val="superscript"/>
        </w:rPr>
        <w:t>6,7,8</w:t>
      </w:r>
      <w:r>
        <w:rPr>
          <w:rFonts w:ascii="Times New Roman" w:cs="Times New Roman" w:eastAsia="Times New Roman" w:hAnsi="Times New Roman"/>
          <w:sz w:val="19"/>
          <w:szCs w:val="19"/>
          <w:color w:val="auto"/>
        </w:rPr>
        <w:t xml:space="preserve"> Reporting by the Atlantic indicates that Microsoft’s partnerships with the fossil fuel industry “could represent a market opportunity of $35 billion to $75 billion annually” in the coming years.</w:t>
      </w:r>
      <w:r>
        <w:rPr>
          <w:rFonts w:ascii="Times New Roman" w:cs="Times New Roman" w:eastAsia="Times New Roman" w:hAnsi="Times New Roman"/>
          <w:sz w:val="31"/>
          <w:szCs w:val="31"/>
          <w:color w:val="auto"/>
          <w:vertAlign w:val="superscript"/>
        </w:rPr>
        <w:t>9</w:t>
      </w:r>
      <w:r>
        <w:rPr>
          <w:rFonts w:ascii="Times New Roman" w:cs="Times New Roman" w:eastAsia="Times New Roman" w:hAnsi="Times New Roman"/>
          <w:sz w:val="19"/>
          <w:szCs w:val="19"/>
          <w:color w:val="auto"/>
        </w:rPr>
        <w:t xml:space="preserve"> Although Microsoft suggests it limits its</w:t>
      </w:r>
    </w:p>
    <w:p>
      <w:pPr>
        <w:spacing w:after="0" w:line="3" w:lineRule="exact"/>
        <w:rPr>
          <w:sz w:val="24"/>
          <w:szCs w:val="24"/>
          <w:color w:val="auto"/>
        </w:rPr>
      </w:pPr>
    </w:p>
    <w:p>
      <w:pPr>
        <w:ind w:right="40"/>
        <w:spacing w:after="0" w:line="231" w:lineRule="auto"/>
        <w:rPr>
          <w:sz w:val="20"/>
          <w:szCs w:val="20"/>
          <w:color w:val="auto"/>
        </w:rPr>
      </w:pPr>
      <w:r>
        <w:rPr>
          <w:rFonts w:ascii="Times New Roman" w:cs="Times New Roman" w:eastAsia="Times New Roman" w:hAnsi="Times New Roman"/>
          <w:sz w:val="20"/>
          <w:szCs w:val="20"/>
          <w:color w:val="auto"/>
        </w:rPr>
        <w:t>advanced technology partnerships to energy companies “who have publicly committed to net zero carbon targets,”</w:t>
      </w:r>
      <w:r>
        <w:rPr>
          <w:rFonts w:ascii="Times New Roman" w:cs="Times New Roman" w:eastAsia="Times New Roman" w:hAnsi="Times New Roman"/>
          <w:sz w:val="32"/>
          <w:szCs w:val="32"/>
          <w:color w:val="auto"/>
          <w:vertAlign w:val="superscript"/>
        </w:rPr>
        <w:t>10</w:t>
      </w:r>
      <w:r>
        <w:rPr>
          <w:rFonts w:ascii="Times New Roman" w:cs="Times New Roman" w:eastAsia="Times New Roman" w:hAnsi="Times New Roman"/>
          <w:sz w:val="20"/>
          <w:szCs w:val="20"/>
          <w:color w:val="auto"/>
        </w:rPr>
        <w:t xml:space="preserve"> the Company does not identify any credible external standard used to evaluate the net zero claims of its partners. This gap in Microsoft’s policy has left the Company with multiple partnerships with energy companies that lack credible net zero commitments.</w:t>
      </w:r>
      <w:r>
        <w:rPr>
          <w:rFonts w:ascii="Times New Roman" w:cs="Times New Roman" w:eastAsia="Times New Roman" w:hAnsi="Times New Roman"/>
          <w:sz w:val="32"/>
          <w:szCs w:val="32"/>
          <w:color w:val="auto"/>
          <w:vertAlign w:val="superscript"/>
        </w:rPr>
        <w:t>11</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161"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https://www.ipcc.ch/report/ar6/syr/downloads/report/IPCC_AR6_SYR_FullVolume.pdf%20 p.20-21</w:t>
      </w:r>
    </w:p>
    <w:p>
      <w:pPr>
        <w:spacing w:after="0" w:line="50" w:lineRule="exact"/>
        <w:rPr>
          <w:rFonts w:ascii="Times New Roman" w:cs="Times New Roman" w:eastAsia="Times New Roman" w:hAnsi="Times New Roman"/>
          <w:sz w:val="27"/>
          <w:szCs w:val="27"/>
          <w:color w:val="auto"/>
          <w:vertAlign w:val="superscript"/>
        </w:rPr>
      </w:pP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https://www.un.org/en/climatechange/science/causes-effects-climate-change</w:t>
      </w:r>
    </w:p>
    <w:p>
      <w:pPr>
        <w:spacing w:after="0" w:line="18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5"/>
          <w:szCs w:val="15"/>
          <w:color w:val="auto"/>
        </w:rPr>
        <w:t xml:space="preserve"> https://www.iea.org/reports/the-oil-and-gas-industry-in-net-zero-transitions/executive-summary</w:t>
      </w:r>
    </w:p>
    <w:p>
      <w:pPr>
        <w:ind w:left="140" w:hanging="132"/>
        <w:spacing w:after="0" w:line="180" w:lineRule="auto"/>
        <w:tabs>
          <w:tab w:leader="none" w:pos="140" w:val="left"/>
        </w:tabs>
        <w:numPr>
          <w:ilvl w:val="0"/>
          <w:numId w:val="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https://unfccc.int/sites/default/files/resource/cma2023_L17_adv.pdf p.5</w:t>
      </w:r>
    </w:p>
    <w:p>
      <w:pPr>
        <w:ind w:left="120" w:hanging="112"/>
        <w:spacing w:after="0" w:line="188" w:lineRule="auto"/>
        <w:tabs>
          <w:tab w:leader="none" w:pos="1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https://query.prod.cms.rt.microsoft.com/cms/api/am/binary/RW1lMjE p.10</w:t>
      </w:r>
    </w:p>
    <w:p>
      <w:pPr>
        <w:ind w:left="120" w:hanging="112"/>
        <w:spacing w:after="0" w:line="187" w:lineRule="auto"/>
        <w:tabs>
          <w:tab w:leader="none" w:pos="1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https://novilabs.com/wp-content/uploads/2020/02/Barclays_Frac-to-the-Future-Oils-Digital-Rebirth_01152020.pdf p.10</w:t>
      </w:r>
    </w:p>
    <w:p>
      <w:pPr>
        <w:spacing w:after="0" w:line="51" w:lineRule="exact"/>
        <w:rPr>
          <w:rFonts w:ascii="Times New Roman" w:cs="Times New Roman" w:eastAsia="Times New Roman" w:hAnsi="Times New Roman"/>
          <w:sz w:val="27"/>
          <w:szCs w:val="27"/>
          <w:color w:val="auto"/>
          <w:vertAlign w:val="superscript"/>
        </w:rPr>
      </w:pP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xml:space="preserve"> https://www.kimberliteresearch.com/single-post/microsoft-is-the-leading-cloud-provider-for-the-oil-gas-industry-2</w:t>
      </w: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https://eu.boell.org/sites/default/files/2021-04/Artificial%20Intelligence%20and%20Climate%20Change_FINAL_14042021.pdf p.10</w:t>
      </w: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color w:val="auto"/>
        </w:rPr>
        <w:t xml:space="preserve"> https://www.theatlantic.com/technology/archive/2024/09/microsoft-ai-oil-contracts/679804/</w:t>
      </w: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https://blogs.microsoft.com/blog/2022/03/10/working-toward-a-net-zero-future-evolving-our-work-with-energy-companies/</w:t>
      </w:r>
    </w:p>
    <w:p>
      <w:pPr>
        <w:ind w:right="800"/>
        <w:spacing w:after="0" w:line="209"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6"/>
          <w:szCs w:val="16"/>
          <w:color w:val="auto"/>
        </w:rPr>
        <w:t xml:space="preserve"> https://www.theatlantic.com/technology/archive/2024/09/microsoft-ai-oil-contracts/679804/; https://www.climateaction100.org/whos-involved/companies/? search_companies=schl&amp;company_sector=All; https://www.iigcc.org/resources/net-zero-standard-for-oil-gas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466" w:right="479" w:bottom="1440" w:gutter="0" w:footer="0" w:header="0"/>
        </w:sectPr>
      </w:pPr>
    </w:p>
    <w:bookmarkStart w:id="1" w:name="page2"/>
    <w:bookmarkEnd w:id="1"/>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Despite its stated climate commitments, Microsoft’s continued sale of advanced technology products to fossil fuel companies that lack credible net zero climate commitments exposes the Company to material, reputational, operational, and competitive risks and contradicts the</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Company’s stated sustainability commitments.</w:t>
      </w:r>
      <w:r>
        <w:rPr>
          <w:rFonts w:ascii="Times New Roman" w:cs="Times New Roman" w:eastAsia="Times New Roman" w:hAnsi="Times New Roman"/>
          <w:sz w:val="32"/>
          <w:szCs w:val="32"/>
          <w:color w:val="auto"/>
          <w:vertAlign w:val="superscript"/>
        </w:rPr>
        <w:t>12</w:t>
      </w:r>
      <w:r>
        <w:rPr>
          <w:rFonts w:ascii="Times New Roman" w:cs="Times New Roman" w:eastAsia="Times New Roman" w:hAnsi="Times New Roman"/>
          <w:sz w:val="20"/>
          <w:szCs w:val="20"/>
          <w:color w:val="auto"/>
        </w:rPr>
        <w:t xml:space="preserve"> The expansion of advanced technology into fossil fuel exploration and production has been the subject of international outcry</w:t>
      </w:r>
      <w:r>
        <w:rPr>
          <w:rFonts w:ascii="Times New Roman" w:cs="Times New Roman" w:eastAsia="Times New Roman" w:hAnsi="Times New Roman"/>
          <w:sz w:val="32"/>
          <w:szCs w:val="32"/>
          <w:color w:val="auto"/>
          <w:vertAlign w:val="superscript"/>
        </w:rPr>
        <w:t>13</w:t>
      </w:r>
      <w:r>
        <w:rPr>
          <w:rFonts w:ascii="Times New Roman" w:cs="Times New Roman" w:eastAsia="Times New Roman" w:hAnsi="Times New Roman"/>
          <w:sz w:val="20"/>
          <w:szCs w:val="20"/>
          <w:color w:val="auto"/>
        </w:rPr>
        <w:t xml:space="preserve"> and has led to publicized staff resignations at Microsoft.</w:t>
      </w:r>
      <w:r>
        <w:rPr>
          <w:rFonts w:ascii="Times New Roman" w:cs="Times New Roman" w:eastAsia="Times New Roman" w:hAnsi="Times New Roman"/>
          <w:sz w:val="32"/>
          <w:szCs w:val="32"/>
          <w:color w:val="auto"/>
          <w:vertAlign w:val="superscript"/>
        </w:rPr>
        <w:t>14</w:t>
      </w:r>
    </w:p>
    <w:p>
      <w:pPr>
        <w:spacing w:after="0" w:line="7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By selectively reporting on the climate-positive applications of advanced technologies</w:t>
      </w:r>
      <w:r>
        <w:rPr>
          <w:rFonts w:ascii="Times New Roman" w:cs="Times New Roman" w:eastAsia="Times New Roman" w:hAnsi="Times New Roman"/>
          <w:sz w:val="32"/>
          <w:szCs w:val="32"/>
          <w:color w:val="auto"/>
          <w:vertAlign w:val="superscript"/>
        </w:rPr>
        <w:t>15</w:t>
      </w:r>
      <w:r>
        <w:rPr>
          <w:rFonts w:ascii="Times New Roman" w:cs="Times New Roman" w:eastAsia="Times New Roman" w:hAnsi="Times New Roman"/>
          <w:sz w:val="20"/>
          <w:szCs w:val="20"/>
          <w:color w:val="auto"/>
        </w:rPr>
        <w:t xml:space="preserve"> while omitting the climate-related risks of deploying advanced technologies to increase the extraction of fossil fuels, Microsoft is at risk of greenwashing allegations and reputational damage, further employee upheaval and significant legal consequences. By identifying the risks associated with these technologies, reporting them to shareholders, and even offering solutions that would limit associated harms, Microsoft can increase transparency, decrease risk, and provide investors with decision-useful information about the Company’s exposure to material climate-related risk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BE IT RESOLVED: </w:t>
      </w:r>
      <w:r>
        <w:rPr>
          <w:rFonts w:ascii="Times New Roman" w:cs="Times New Roman" w:eastAsia="Times New Roman" w:hAnsi="Times New Roman"/>
          <w:sz w:val="20"/>
          <w:szCs w:val="20"/>
          <w:color w:val="auto"/>
        </w:rPr>
        <w:t>Shareholders request that Microsoft report on the risks to the Company of providing advanced technology,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artificial intelligence and machine learning tools, to facilitate new oil and gas development and production.</w:t>
      </w:r>
    </w:p>
    <w:p>
      <w:pPr>
        <w:spacing w:after="0" w:line="165" w:lineRule="exact"/>
        <w:rPr>
          <w:sz w:val="20"/>
          <w:szCs w:val="20"/>
          <w:color w:val="auto"/>
        </w:rPr>
      </w:pPr>
    </w:p>
    <w:p>
      <w:pPr>
        <w:jc w:val="both"/>
        <w:ind w:right="5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SUPPORTING STATEMENT: </w:t>
      </w:r>
      <w:r>
        <w:rPr>
          <w:rFonts w:ascii="Times New Roman" w:cs="Times New Roman" w:eastAsia="Times New Roman" w:hAnsi="Times New Roman"/>
          <w:sz w:val="20"/>
          <w:szCs w:val="20"/>
          <w:color w:val="auto"/>
        </w:rPr>
        <w:t>The report should address, at Board discretion: the Company’s exposure to financial, reputational,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competitive risks, including harm to employee hiring and retention associated with Microsoft’s deployment of advanced technology to facilitate new oil and gas development and production.</w:t>
      </w:r>
    </w:p>
    <w:p>
      <w:pPr>
        <w:spacing w:after="0" w:line="1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RATIONALE FOR A YES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Microsoft’s custom advanced technology tools for fossil fuel extraction expose the Company to material financial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18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https://query.prod.cms.rt.microsoft.com/cms/api/am/binary/RW1lMjE p.10</w:t>
      </w:r>
    </w:p>
    <w:p>
      <w:pPr>
        <w:spacing w:after="0" w:line="50" w:lineRule="exact"/>
        <w:rPr>
          <w:rFonts w:ascii="Times New Roman" w:cs="Times New Roman" w:eastAsia="Times New Roman" w:hAnsi="Times New Roman"/>
          <w:sz w:val="25"/>
          <w:szCs w:val="25"/>
          <w:color w:val="auto"/>
          <w:vertAlign w:val="superscript"/>
        </w:rPr>
      </w:pPr>
    </w:p>
    <w:p>
      <w:pPr>
        <w:ind w:right="580" w:firstLine="8"/>
        <w:spacing w:after="0" w:line="206" w:lineRule="auto"/>
        <w:tabs>
          <w:tab w:leader="none" w:pos="175"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https://github.com/MSworkers/for.ClimateAction?tab=readme-ov-file; https://www.globalwitness.org/en/blog/digital-drill-how-big-oil-using-ai-speed-fossil-fuel-extraction/; https://greenpeace.org/usa/reports/oil-in-the-cloud/; https://www.theatlantic.com/technology/archive/2024/09/microsoft-ai-oil-contracts/679804/</w:t>
      </w:r>
    </w:p>
    <w:p>
      <w:pPr>
        <w:ind w:left="180" w:hanging="172"/>
        <w:spacing w:after="0" w:line="202" w:lineRule="auto"/>
        <w:tabs>
          <w:tab w:leader="none" w:pos="18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https://grist.org/accountability/microsoft-employees-spent-years-fighting-the-tech-giants-oil-ties-now-theyre-speaking-out/</w:t>
      </w:r>
    </w:p>
    <w:p>
      <w:pPr>
        <w:spacing w:after="0" w:line="51" w:lineRule="exact"/>
        <w:rPr>
          <w:rFonts w:ascii="Times New Roman" w:cs="Times New Roman" w:eastAsia="Times New Roman" w:hAnsi="Times New Roman"/>
          <w:sz w:val="25"/>
          <w:szCs w:val="25"/>
          <w:color w:val="auto"/>
          <w:vertAlign w:val="superscript"/>
        </w:rPr>
      </w:pPr>
    </w:p>
    <w:p>
      <w:pPr>
        <w:ind w:left="180" w:hanging="172"/>
        <w:spacing w:after="0" w:line="182"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https://blogs.microsoft.com/on-the-issues/2023/11/16/accelerating-sustainability-ai-playbook/</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 w:name="page3"/>
    <w:bookmarkEnd w:id="2"/>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69" w:lineRule="exact"/>
        <w:rPr>
          <w:sz w:val="20"/>
          <w:szCs w:val="20"/>
          <w:color w:val="auto"/>
        </w:rPr>
      </w:pPr>
    </w:p>
    <w:p>
      <w:pPr>
        <w:ind w:left="660" w:right="280" w:hanging="328"/>
        <w:spacing w:after="0" w:line="273" w:lineRule="auto"/>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Microsoft’s advanced technology disclosures are insufficient and do not provide investors with decision-useful information about the Company’s exposure to risk.</w:t>
      </w:r>
    </w:p>
    <w:p>
      <w:pPr>
        <w:spacing w:after="0" w:line="165" w:lineRule="exact"/>
        <w:rPr>
          <w:rFonts w:ascii="Times New Roman" w:cs="Times New Roman" w:eastAsia="Times New Roman" w:hAnsi="Times New Roman"/>
          <w:sz w:val="20"/>
          <w:szCs w:val="20"/>
          <w:b w:val="1"/>
          <w:bCs w:val="1"/>
          <w:color w:val="auto"/>
        </w:rPr>
      </w:pPr>
    </w:p>
    <w:p>
      <w:pPr>
        <w:ind w:left="660" w:right="80" w:hanging="328"/>
        <w:spacing w:after="0" w:line="273" w:lineRule="auto"/>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Microsoft lags behind peers, who have more readily addressed the risks of developing artificial intelligence (AI) and machine learning (ML) tools for fossil fuel extraction.</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Microsoft’s custom advanced technology tools for fossil fuel extraction expose the Company to material financial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Reputational Risk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Misalignment with stated sustainability goals, or “greenwashing”</w:t>
      </w:r>
    </w:p>
    <w:p>
      <w:pPr>
        <w:ind w:right="140"/>
        <w:spacing w:after="0" w:line="253" w:lineRule="auto"/>
        <w:rPr>
          <w:sz w:val="20"/>
          <w:szCs w:val="20"/>
          <w:color w:val="auto"/>
        </w:rPr>
      </w:pPr>
      <w:r>
        <w:rPr>
          <w:rFonts w:ascii="Times New Roman" w:cs="Times New Roman" w:eastAsia="Times New Roman" w:hAnsi="Times New Roman"/>
          <w:sz w:val="19"/>
          <w:szCs w:val="19"/>
          <w:color w:val="auto"/>
        </w:rPr>
        <w:t>Microsoft’s ties to fossil fuel extraction have already materially damaged the Company’s reputation. The Company has positioned itself as a leader on climate change and has cultivated a brand image that centers the Company as a sustainability leader, going so far as to advocate</w:t>
      </w:r>
    </w:p>
    <w:p>
      <w:pPr>
        <w:spacing w:after="0" w:line="1" w:lineRule="exact"/>
        <w:rPr>
          <w:sz w:val="20"/>
          <w:szCs w:val="20"/>
          <w:color w:val="auto"/>
        </w:rPr>
      </w:pPr>
    </w:p>
    <w:p>
      <w:pPr>
        <w:ind w:right="260"/>
        <w:spacing w:after="0" w:line="207" w:lineRule="auto"/>
        <w:rPr>
          <w:sz w:val="20"/>
          <w:szCs w:val="20"/>
          <w:color w:val="auto"/>
        </w:rPr>
      </w:pPr>
      <w:r>
        <w:rPr>
          <w:rFonts w:ascii="Times New Roman" w:cs="Times New Roman" w:eastAsia="Times New Roman" w:hAnsi="Times New Roman"/>
          <w:sz w:val="20"/>
          <w:szCs w:val="20"/>
          <w:color w:val="auto"/>
        </w:rPr>
        <w:t>specifically for the clean energy transition.</w:t>
      </w:r>
      <w:r>
        <w:rPr>
          <w:rFonts w:ascii="Times New Roman" w:cs="Times New Roman" w:eastAsia="Times New Roman" w:hAnsi="Times New Roman"/>
          <w:sz w:val="32"/>
          <w:szCs w:val="32"/>
          <w:color w:val="auto"/>
          <w:vertAlign w:val="superscript"/>
        </w:rPr>
        <w:t>16</w:t>
      </w:r>
      <w:r>
        <w:rPr>
          <w:rFonts w:ascii="Times New Roman" w:cs="Times New Roman" w:eastAsia="Times New Roman" w:hAnsi="Times New Roman"/>
          <w:sz w:val="20"/>
          <w:szCs w:val="20"/>
          <w:color w:val="auto"/>
        </w:rPr>
        <w:t xml:space="preserve"> This positioning exacerbates the reputational risk posed by Microsoft’s misalignment with its own stated climate goals.</w:t>
      </w:r>
    </w:p>
    <w:p>
      <w:pPr>
        <w:spacing w:after="0" w:line="175" w:lineRule="exact"/>
        <w:rPr>
          <w:sz w:val="20"/>
          <w:szCs w:val="20"/>
          <w:color w:val="auto"/>
        </w:rPr>
      </w:pPr>
    </w:p>
    <w:p>
      <w:pPr>
        <w:ind w:right="180"/>
        <w:spacing w:after="0" w:line="213" w:lineRule="auto"/>
        <w:rPr>
          <w:sz w:val="20"/>
          <w:szCs w:val="20"/>
          <w:color w:val="auto"/>
        </w:rPr>
      </w:pPr>
      <w:r>
        <w:rPr>
          <w:rFonts w:ascii="Times New Roman" w:cs="Times New Roman" w:eastAsia="Times New Roman" w:hAnsi="Times New Roman"/>
          <w:sz w:val="20"/>
          <w:szCs w:val="20"/>
          <w:color w:val="auto"/>
        </w:rPr>
        <w:t>Many of Microsoft’s endorsements of the sustainability benefits of AI notably fail to recognize that the fossil fuel industry is among its largest customers for Microsoft’s advanced technology products.</w:t>
      </w:r>
      <w:r>
        <w:rPr>
          <w:rFonts w:ascii="Times New Roman" w:cs="Times New Roman" w:eastAsia="Times New Roman" w:hAnsi="Times New Roman"/>
          <w:sz w:val="32"/>
          <w:szCs w:val="32"/>
          <w:color w:val="auto"/>
          <w:vertAlign w:val="superscript"/>
        </w:rPr>
        <w:t>17</w:t>
      </w:r>
      <w:r>
        <w:rPr>
          <w:rFonts w:ascii="Times New Roman" w:cs="Times New Roman" w:eastAsia="Times New Roman" w:hAnsi="Times New Roman"/>
          <w:sz w:val="20"/>
          <w:szCs w:val="20"/>
          <w:color w:val="auto"/>
        </w:rPr>
        <w:t xml:space="preserve"> A Barclay’s report cites Microsoft as identifying the fossil fuel industry “as the #1 growth market” for its advanced technology products.</w:t>
      </w:r>
      <w:r>
        <w:rPr>
          <w:rFonts w:ascii="Times New Roman" w:cs="Times New Roman" w:eastAsia="Times New Roman" w:hAnsi="Times New Roman"/>
          <w:sz w:val="32"/>
          <w:szCs w:val="32"/>
          <w:color w:val="auto"/>
          <w:vertAlign w:val="superscript"/>
        </w:rPr>
        <w:t>18</w:t>
      </w:r>
      <w:r>
        <w:rPr>
          <w:rFonts w:ascii="Times New Roman" w:cs="Times New Roman" w:eastAsia="Times New Roman" w:hAnsi="Times New Roman"/>
          <w:sz w:val="20"/>
          <w:szCs w:val="20"/>
          <w:color w:val="auto"/>
        </w:rPr>
        <w:t xml:space="preserve"> Research has shown that advanced technology deployment in the fossil fuel industry has the potential to slow the energy transition by increasing the rate at which new reserves are found and produced,</w:t>
      </w:r>
      <w:r>
        <w:rPr>
          <w:rFonts w:ascii="Times New Roman" w:cs="Times New Roman" w:eastAsia="Times New Roman" w:hAnsi="Times New Roman"/>
          <w:sz w:val="32"/>
          <w:szCs w:val="32"/>
          <w:color w:val="auto"/>
          <w:vertAlign w:val="superscript"/>
        </w:rPr>
        <w:t>19</w:t>
      </w:r>
      <w:r>
        <w:rPr>
          <w:rFonts w:ascii="Times New Roman" w:cs="Times New Roman" w:eastAsia="Times New Roman" w:hAnsi="Times New Roman"/>
          <w:sz w:val="20"/>
          <w:szCs w:val="20"/>
          <w:color w:val="auto"/>
        </w:rPr>
        <w:t xml:space="preserve"> in direct opposition to Microsoft’s claims that “the energy sector is turning to AI to accelerate the energy transition.”</w:t>
      </w:r>
      <w:r>
        <w:rPr>
          <w:rFonts w:ascii="Times New Roman" w:cs="Times New Roman" w:eastAsia="Times New Roman" w:hAnsi="Times New Roman"/>
          <w:sz w:val="32"/>
          <w:szCs w:val="32"/>
          <w:color w:val="auto"/>
          <w:vertAlign w:val="superscript"/>
        </w:rPr>
        <w:t>20</w:t>
      </w:r>
      <w:r>
        <w:rPr>
          <w:rFonts w:ascii="Times New Roman" w:cs="Times New Roman" w:eastAsia="Times New Roman" w:hAnsi="Times New Roman"/>
          <w:sz w:val="20"/>
          <w:szCs w:val="20"/>
          <w:color w:val="auto"/>
        </w:rPr>
        <w:t xml:space="preserve"> These contradictions are the subject of increasing media scrutiny,</w:t>
      </w:r>
      <w:r>
        <w:rPr>
          <w:rFonts w:ascii="Times New Roman" w:cs="Times New Roman" w:eastAsia="Times New Roman" w:hAnsi="Times New Roman"/>
          <w:sz w:val="32"/>
          <w:szCs w:val="32"/>
          <w:color w:val="auto"/>
          <w:vertAlign w:val="superscript"/>
        </w:rPr>
        <w:t>21</w:t>
      </w:r>
      <w:r>
        <w:rPr>
          <w:rFonts w:ascii="Times New Roman" w:cs="Times New Roman" w:eastAsia="Times New Roman" w:hAnsi="Times New Roman"/>
          <w:sz w:val="20"/>
          <w:szCs w:val="20"/>
          <w:color w:val="auto"/>
        </w:rPr>
        <w:t xml:space="preserve"> which risks materially damaging Microsoft’s reputation. A September 13, 2024, investigation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Atlantic </w:t>
      </w:r>
      <w:r>
        <w:rPr>
          <w:rFonts w:ascii="Times New Roman" w:cs="Times New Roman" w:eastAsia="Times New Roman" w:hAnsi="Times New Roman"/>
          <w:sz w:val="20"/>
          <w:szCs w:val="20"/>
          <w:color w:val="auto"/>
        </w:rPr>
        <w:t>went as far as to call out “</w:t>
      </w:r>
      <w:r>
        <w:rPr>
          <w:rFonts w:ascii="Times New Roman" w:cs="Times New Roman" w:eastAsia="Times New Roman" w:hAnsi="Times New Roman"/>
          <w:sz w:val="20"/>
          <w:szCs w:val="20"/>
          <w:i w:val="1"/>
          <w:iCs w:val="1"/>
          <w:color w:val="auto"/>
        </w:rPr>
        <w:t>Microsoft’s Hypocrisy on AI</w:t>
      </w:r>
      <w:r>
        <w:rPr>
          <w:rFonts w:ascii="Times New Roman" w:cs="Times New Roman" w:eastAsia="Times New Roman" w:hAnsi="Times New Roman"/>
          <w:sz w:val="20"/>
          <w:szCs w:val="20"/>
          <w:color w:val="auto"/>
        </w:rPr>
        <w:t>” in the title,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32"/>
          <w:szCs w:val="32"/>
          <w:color w:val="auto"/>
          <w:vertAlign w:val="superscript"/>
        </w:rPr>
        <w:t>22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while a later report accuses the Company of “secretly selling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AI to fossil fuel companies while bragging about environmental progress.”</w:t>
      </w:r>
      <w:r>
        <w:rPr>
          <w:rFonts w:ascii="Times New Roman" w:cs="Times New Roman" w:eastAsia="Times New Roman" w:hAnsi="Times New Roman"/>
          <w:sz w:val="32"/>
          <w:szCs w:val="32"/>
          <w:color w:val="auto"/>
          <w:vertAlign w:val="superscript"/>
        </w:rPr>
        <w:t>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161"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https://query.prod.cms.rt.microsoft.com/cms/api/am/binary/RW1lMjE p.10</w:t>
      </w:r>
    </w:p>
    <w:p>
      <w:pPr>
        <w:spacing w:after="0" w:line="50" w:lineRule="exact"/>
        <w:rPr>
          <w:rFonts w:ascii="Times New Roman" w:cs="Times New Roman" w:eastAsia="Times New Roman" w:hAnsi="Times New Roman"/>
          <w:sz w:val="27"/>
          <w:szCs w:val="27"/>
          <w:color w:val="auto"/>
          <w:vertAlign w:val="superscript"/>
        </w:rPr>
      </w:pPr>
    </w:p>
    <w:p>
      <w:pPr>
        <w:ind w:right="60" w:firstLine="8"/>
        <w:spacing w:after="0" w:line="214" w:lineRule="auto"/>
        <w:tabs>
          <w:tab w:leader="none" w:pos="184"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https://www.microsoft.com/en-us/industry/blog/energy-and-resources/2024/04/30/from-pledge-to-action-enabling-the-multidimensional-energy-transition-with-data-and-ai/; https://www.microsoft.com/en-us/industry/blog/energy-and-resources/2024/03/13/microsoft-at-ceraweek-2024-power-a-sustainable-future-with-data-and-ai/; https://blogs.microsoft.com/on-the-issues/2023/11/16/accelerating-sustainability-ai-playbook/</w:t>
      </w:r>
    </w:p>
    <w:p>
      <w:pPr>
        <w:spacing w:after="0" w:line="2" w:lineRule="exact"/>
        <w:rPr>
          <w:rFonts w:ascii="Times New Roman" w:cs="Times New Roman" w:eastAsia="Times New Roman" w:hAnsi="Times New Roman"/>
          <w:sz w:val="26"/>
          <w:szCs w:val="26"/>
          <w:color w:val="auto"/>
          <w:vertAlign w:val="superscript"/>
        </w:rPr>
      </w:pPr>
    </w:p>
    <w:p>
      <w:pPr>
        <w:ind w:left="200" w:hanging="192"/>
        <w:spacing w:after="0" w:line="187" w:lineRule="auto"/>
        <w:tabs>
          <w:tab w:leader="none" w:pos="20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https://novilabs.com/wp-content/uploads/2020/02/Barclays_Frac-to-the-Future-Oils-Digital-Rebirth_01152020.pdf p.10</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https://eu.boell.org/sites/default/files/2021-04/Artificial%20Intelligence%20and%20Climate%20Change_FINAL_14042021.pdf p.10</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https://www.microsoft.com/en-us/industry/blog/energy-and-resources/2023/09/28/the-era-of-ai-transformative-ai-solutions-powering-the-energy-and-resources-industry/</w:t>
      </w:r>
    </w:p>
    <w:p>
      <w:pPr>
        <w:spacing w:after="0" w:line="51" w:lineRule="exact"/>
        <w:rPr>
          <w:rFonts w:ascii="Times New Roman" w:cs="Times New Roman" w:eastAsia="Times New Roman" w:hAnsi="Times New Roman"/>
          <w:sz w:val="22"/>
          <w:szCs w:val="22"/>
          <w:color w:val="auto"/>
          <w:vertAlign w:val="superscript"/>
        </w:rPr>
      </w:pPr>
    </w:p>
    <w:p>
      <w:pPr>
        <w:ind w:right="3020" w:firstLine="8"/>
        <w:spacing w:after="0" w:line="196" w:lineRule="auto"/>
        <w:tabs>
          <w:tab w:leader="none" w:pos="184"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https://grist.org/accountability/microsoft-employees-spent-years-fighting-the-tech-giants-oil-ties-now-theyre-speaking-out/; https://coinmarketcap.com/community/articles/66e5fdef17720037214044af/</w:t>
      </w:r>
    </w:p>
    <w:p>
      <w:pPr>
        <w:ind w:left="200" w:hanging="192"/>
        <w:spacing w:after="0" w:line="187" w:lineRule="auto"/>
        <w:tabs>
          <w:tab w:leader="none" w:pos="20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https://www.theatlantic.com/technology/archive/2024/09/microsoft-ai-oil-contracts/679804/</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https://futurism.com/the-byte/microsoft-secret-oil-company-pitches</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3" w:name="page4"/>
    <w:bookmarkEnd w:id="3"/>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The reputational risk posed to Microsoft by growing accusations of greenwashing goes far beyond bad press. A 2023 study by the Harvard Business Review found that perceived brand sustainability is a “critical driver” of consumer sentiment and noted that this trend is especially</w:t>
      </w:r>
    </w:p>
    <w:p>
      <w:pPr>
        <w:spacing w:after="0" w:line="1"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20"/>
          <w:szCs w:val="20"/>
          <w:color w:val="auto"/>
        </w:rPr>
        <w:t>strong among younger generations, who will soon own the most purchasing power in the country.</w:t>
      </w:r>
      <w:r>
        <w:rPr>
          <w:rFonts w:ascii="Times New Roman" w:cs="Times New Roman" w:eastAsia="Times New Roman" w:hAnsi="Times New Roman"/>
          <w:sz w:val="32"/>
          <w:szCs w:val="32"/>
          <w:color w:val="auto"/>
          <w:vertAlign w:val="superscript"/>
        </w:rPr>
        <w:t>24</w:t>
      </w:r>
      <w:r>
        <w:rPr>
          <w:rFonts w:ascii="Times New Roman" w:cs="Times New Roman" w:eastAsia="Times New Roman" w:hAnsi="Times New Roman"/>
          <w:sz w:val="20"/>
          <w:szCs w:val="20"/>
          <w:color w:val="auto"/>
        </w:rPr>
        <w:t xml:space="preserve"> An earlier Harvard Business Review study sought to quantify the impacts of greenwashing and found that the damage caused to brands by greenwashing was “economically significant.”</w:t>
      </w:r>
      <w:r>
        <w:rPr>
          <w:rFonts w:ascii="Times New Roman" w:cs="Times New Roman" w:eastAsia="Times New Roman" w:hAnsi="Times New Roman"/>
          <w:sz w:val="32"/>
          <w:szCs w:val="32"/>
          <w:color w:val="auto"/>
          <w:vertAlign w:val="superscript"/>
        </w:rPr>
        <w:t>25</w:t>
      </w:r>
    </w:p>
    <w:p>
      <w:pPr>
        <w:spacing w:after="0" w:line="7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9"/>
          <w:szCs w:val="19"/>
          <w:color w:val="auto"/>
        </w:rPr>
        <w:t>Recent research has found that the prominence of greenwashing litigation is growing worldwide and warns that companies should be prepared for increasing reputational, regulatory, and legal risks associated with misleading statements.</w:t>
      </w:r>
      <w:r>
        <w:rPr>
          <w:rFonts w:ascii="Times New Roman" w:cs="Times New Roman" w:eastAsia="Times New Roman" w:hAnsi="Times New Roman"/>
          <w:sz w:val="31"/>
          <w:szCs w:val="31"/>
          <w:color w:val="auto"/>
          <w:vertAlign w:val="superscript"/>
        </w:rPr>
        <w:t>26</w:t>
      </w:r>
      <w:r>
        <w:rPr>
          <w:rFonts w:ascii="Times New Roman" w:cs="Times New Roman" w:eastAsia="Times New Roman" w:hAnsi="Times New Roman"/>
          <w:sz w:val="19"/>
          <w:szCs w:val="19"/>
          <w:color w:val="auto"/>
        </w:rPr>
        <w:t xml:space="preserve"> The article cites situations where “[a] statement… relates to one part of the product or service but misleads people about the other parts or the overall impact on the environment.” This is a common issue in recent greenwashing controversies, adding to investor concern about the risks posed by Microsoft’s</w:t>
      </w:r>
    </w:p>
    <w:p>
      <w:pPr>
        <w:spacing w:after="0" w:line="1" w:lineRule="exact"/>
        <w:rPr>
          <w:sz w:val="20"/>
          <w:szCs w:val="20"/>
          <w:color w:val="auto"/>
        </w:rPr>
      </w:pPr>
    </w:p>
    <w:p>
      <w:pPr>
        <w:ind w:right="760"/>
        <w:spacing w:after="0" w:line="221" w:lineRule="auto"/>
        <w:rPr>
          <w:sz w:val="20"/>
          <w:szCs w:val="20"/>
          <w:color w:val="auto"/>
        </w:rPr>
      </w:pPr>
      <w:r>
        <w:rPr>
          <w:rFonts w:ascii="Times New Roman" w:cs="Times New Roman" w:eastAsia="Times New Roman" w:hAnsi="Times New Roman"/>
          <w:sz w:val="20"/>
          <w:szCs w:val="20"/>
          <w:color w:val="auto"/>
        </w:rPr>
        <w:t>one-sided and potentially misleading claims about the positive climate impact of their advanced technology products.</w:t>
      </w:r>
      <w:r>
        <w:rPr>
          <w:rFonts w:ascii="Times New Roman" w:cs="Times New Roman" w:eastAsia="Times New Roman" w:hAnsi="Times New Roman"/>
          <w:sz w:val="32"/>
          <w:szCs w:val="32"/>
          <w:color w:val="auto"/>
          <w:vertAlign w:val="superscript"/>
        </w:rPr>
        <w:t>27</w:t>
      </w:r>
      <w:r>
        <w:rPr>
          <w:rFonts w:ascii="Times New Roman" w:cs="Times New Roman" w:eastAsia="Times New Roman" w:hAnsi="Times New Roman"/>
          <w:sz w:val="20"/>
          <w:szCs w:val="20"/>
          <w:color w:val="auto"/>
        </w:rPr>
        <w:t xml:space="preserve"> These recommendations are precisely aligned with investor concerns regarding Microsoft’s existing disclosures regarding their advanced technology products and further emphasize the importance of a report on the risks of developing advanced technology for fossil fuel extraction.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Risk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attract or retain top talent is among the most significant operational risks</w:t>
      </w:r>
    </w:p>
    <w:p>
      <w:pPr>
        <w:spacing w:after="0" w:line="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9"/>
          <w:szCs w:val="19"/>
          <w:color w:val="auto"/>
        </w:rPr>
        <w:t>It is widely understood that failure to attract or retain top talent is among the largest operational risks facing companies today.</w:t>
      </w:r>
      <w:r>
        <w:rPr>
          <w:rFonts w:ascii="Times New Roman" w:cs="Times New Roman" w:eastAsia="Times New Roman" w:hAnsi="Times New Roman"/>
          <w:sz w:val="31"/>
          <w:szCs w:val="31"/>
          <w:color w:val="auto"/>
          <w:vertAlign w:val="superscript"/>
        </w:rPr>
        <w:t>28</w:t>
      </w:r>
      <w:r>
        <w:rPr>
          <w:rFonts w:ascii="Times New Roman" w:cs="Times New Roman" w:eastAsia="Times New Roman" w:hAnsi="Times New Roman"/>
          <w:sz w:val="19"/>
          <w:szCs w:val="19"/>
          <w:color w:val="auto"/>
        </w:rPr>
        <w:t xml:space="preserve"> Microsoft’s continued development of custom advanced technology products for the fossil fuel industry has been the subject of widespread employee</w:t>
      </w:r>
    </w:p>
    <w:p>
      <w:pPr>
        <w:ind w:right="80"/>
        <w:spacing w:after="0" w:line="231" w:lineRule="auto"/>
        <w:rPr>
          <w:sz w:val="20"/>
          <w:szCs w:val="20"/>
          <w:color w:val="auto"/>
        </w:rPr>
      </w:pPr>
      <w:r>
        <w:rPr>
          <w:rFonts w:ascii="Times New Roman" w:cs="Times New Roman" w:eastAsia="Times New Roman" w:hAnsi="Times New Roman"/>
          <w:sz w:val="20"/>
          <w:szCs w:val="20"/>
          <w:color w:val="auto"/>
        </w:rPr>
        <w:t>outcry</w:t>
      </w:r>
      <w:r>
        <w:rPr>
          <w:rFonts w:ascii="Times New Roman" w:cs="Times New Roman" w:eastAsia="Times New Roman" w:hAnsi="Times New Roman"/>
          <w:sz w:val="32"/>
          <w:szCs w:val="32"/>
          <w:color w:val="auto"/>
          <w:vertAlign w:val="superscript"/>
        </w:rPr>
        <w:t>29</w:t>
      </w:r>
      <w:r>
        <w:rPr>
          <w:rFonts w:ascii="Times New Roman" w:cs="Times New Roman" w:eastAsia="Times New Roman" w:hAnsi="Times New Roman"/>
          <w:sz w:val="20"/>
          <w:szCs w:val="20"/>
          <w:color w:val="auto"/>
        </w:rPr>
        <w:t xml:space="preserve"> and has materially damaged the Company’s ability to hire and retain top talent. In its most recent annual report, Microsoft cites “the ability to attract and retain talented employees” as a key driver of success. It warns that the Company’s “ability to develop and deliver successful products and services may be adversely affected” if Microsoft “cannot retain highly skilled workers and key leaders.”</w:t>
      </w:r>
      <w:r>
        <w:rPr>
          <w:rFonts w:ascii="Times New Roman" w:cs="Times New Roman" w:eastAsia="Times New Roman" w:hAnsi="Times New Roman"/>
          <w:sz w:val="32"/>
          <w:szCs w:val="32"/>
          <w:color w:val="auto"/>
          <w:vertAlign w:val="superscript"/>
        </w:rPr>
        <w:t>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161"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https://hbr.org/2023/09/research-consumers-sustainability-demands-are-rising</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https://hbr.org/2022/07/how-greenwashing-affects-the-bottom-line</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https://corpgov.law.harvard.edu/2023/07/24/greenwashing-navigating-the-risk/</w:t>
      </w:r>
    </w:p>
    <w:p>
      <w:pPr>
        <w:spacing w:after="0" w:line="51" w:lineRule="exact"/>
        <w:rPr>
          <w:rFonts w:ascii="Times New Roman" w:cs="Times New Roman" w:eastAsia="Times New Roman" w:hAnsi="Times New Roman"/>
          <w:sz w:val="22"/>
          <w:szCs w:val="22"/>
          <w:color w:val="auto"/>
          <w:vertAlign w:val="superscript"/>
        </w:rPr>
      </w:pPr>
    </w:p>
    <w:p>
      <w:pPr>
        <w:ind w:right="1980" w:firstLine="8"/>
        <w:spacing w:after="0" w:line="214" w:lineRule="auto"/>
        <w:tabs>
          <w:tab w:leader="none" w:pos="184"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https://www.theatlantic.com/technology/archive/2024/09/microsoft-ai-oil-contracts/679804/; https://unlocked.microsoft.com/sustainability/; https://www.microsoft.com/en-us/research/project/reducing-ais-carbon-footprint/; https://blogs.microsoft.com/wp-content/uploads/prod/sites/5/2023/11/Microsoft_Accelerating-Sustainability-with-AI-A-Playbook-1.pdf</w:t>
      </w:r>
    </w:p>
    <w:p>
      <w:pPr>
        <w:spacing w:after="0" w:line="2" w:lineRule="exact"/>
        <w:rPr>
          <w:rFonts w:ascii="Times New Roman" w:cs="Times New Roman" w:eastAsia="Times New Roman" w:hAnsi="Times New Roman"/>
          <w:sz w:val="26"/>
          <w:szCs w:val="26"/>
          <w:color w:val="auto"/>
          <w:vertAlign w:val="superscript"/>
        </w:rPr>
      </w:pPr>
    </w:p>
    <w:p>
      <w:pPr>
        <w:ind w:left="180" w:hanging="172"/>
        <w:spacing w:after="0" w:line="202" w:lineRule="auto"/>
        <w:tabs>
          <w:tab w:leader="none" w:pos="1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https://www.aon.com/en/insights/reports/global-risk-management-survey/top-global-risk-4-failure-to-attract-or-retain-top-talent</w:t>
      </w:r>
    </w:p>
    <w:p>
      <w:pPr>
        <w:spacing w:after="0" w:line="51" w:lineRule="exact"/>
        <w:rPr>
          <w:rFonts w:ascii="Times New Roman" w:cs="Times New Roman" w:eastAsia="Times New Roman" w:hAnsi="Times New Roman"/>
          <w:sz w:val="25"/>
          <w:szCs w:val="25"/>
          <w:color w:val="auto"/>
          <w:vertAlign w:val="superscript"/>
        </w:rPr>
      </w:pPr>
    </w:p>
    <w:p>
      <w:pPr>
        <w:ind w:left="180" w:hanging="172"/>
        <w:spacing w:after="0" w:line="182"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https://github.com/MSworkers/for.ClimateAction?tab=readme-ov-file</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8"/>
        </w:numPr>
        <w:rPr>
          <w:rFonts w:ascii="Times New Roman" w:cs="Times New Roman" w:eastAsia="Times New Roman" w:hAnsi="Times New Roman"/>
          <w:sz w:val="14"/>
          <w:szCs w:val="14"/>
          <w:color w:val="0000EE"/>
        </w:rPr>
      </w:pPr>
      <w:hyperlink r:id="rId20">
        <w:r>
          <w:rPr>
            <w:rFonts w:ascii="Times New Roman" w:cs="Times New Roman" w:eastAsia="Times New Roman" w:hAnsi="Times New Roman"/>
            <w:sz w:val="14"/>
            <w:szCs w:val="14"/>
            <w:u w:val="single" w:color="auto"/>
            <w:color w:val="0000EE"/>
          </w:rPr>
          <w:t>https://www.sec.gov/Archives/edgar/data/789019/000095017024087843/msft-20240630.htm</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p.33</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4" w:name="page5"/>
    <w:bookmarkEnd w:id="4"/>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9"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9"/>
          <w:szCs w:val="19"/>
          <w:color w:val="auto"/>
        </w:rPr>
        <w:t>This risk has already materialized for Microsoft, with top sustainability talent leaving the Company over its ties to the fossil fuel industry.</w:t>
      </w:r>
      <w:r>
        <w:rPr>
          <w:rFonts w:ascii="Times New Roman" w:cs="Times New Roman" w:eastAsia="Times New Roman" w:hAnsi="Times New Roman"/>
          <w:sz w:val="31"/>
          <w:szCs w:val="31"/>
          <w:color w:val="auto"/>
          <w:vertAlign w:val="superscript"/>
        </w:rPr>
        <w:t>31</w:t>
      </w:r>
      <w:r>
        <w:rPr>
          <w:rFonts w:ascii="Times New Roman" w:cs="Times New Roman" w:eastAsia="Times New Roman" w:hAnsi="Times New Roman"/>
          <w:sz w:val="19"/>
          <w:szCs w:val="19"/>
          <w:color w:val="auto"/>
        </w:rPr>
        <w:t xml:space="preserve"> Recent departures reflect a broader trend, with sustainability being recognized as a key indicator of employee engagement, retention, and</w:t>
      </w:r>
    </w:p>
    <w:p>
      <w:pPr>
        <w:spacing w:after="0" w:line="2"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20"/>
          <w:szCs w:val="20"/>
          <w:color w:val="auto"/>
        </w:rPr>
        <w:t>performance.</w:t>
      </w:r>
      <w:r>
        <w:rPr>
          <w:rFonts w:ascii="Times New Roman" w:cs="Times New Roman" w:eastAsia="Times New Roman" w:hAnsi="Times New Roman"/>
          <w:sz w:val="32"/>
          <w:szCs w:val="32"/>
          <w:color w:val="auto"/>
          <w:vertAlign w:val="superscript"/>
        </w:rPr>
        <w:t>32</w:t>
      </w:r>
      <w:r>
        <w:rPr>
          <w:rFonts w:ascii="Times New Roman" w:cs="Times New Roman" w:eastAsia="Times New Roman" w:hAnsi="Times New Roman"/>
          <w:sz w:val="20"/>
          <w:szCs w:val="20"/>
          <w:color w:val="auto"/>
        </w:rPr>
        <w:t xml:space="preserve"> An IBM Institute for Business Value survey found that 71% of employees and job seekers believed that “environmentally sustainable companies are more attractive employers” and that “nearly half would accept a lower salary” to work for a more sustainable company, further emphasizing the importance of sustainability for employees.</w:t>
      </w:r>
      <w:r>
        <w:rPr>
          <w:rFonts w:ascii="Times New Roman" w:cs="Times New Roman" w:eastAsia="Times New Roman" w:hAnsi="Times New Roman"/>
          <w:sz w:val="32"/>
          <w:szCs w:val="32"/>
          <w:color w:val="auto"/>
          <w:vertAlign w:val="superscript"/>
        </w:rPr>
        <w:t>33</w:t>
      </w:r>
    </w:p>
    <w:p>
      <w:pPr>
        <w:spacing w:after="0" w:line="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Ongoing staff upheaval caused by Microsoft’s incomplete disclosures regarding the risks of providing custom advanced technology products to the fossil fuel industry is a notable contributor to this crucial operational risk. To mitigate this material risk factor, the Company should enhance its reporting on the risks of its advanced technology partnerships with the fossil fuel industry, providing investors, employees, and the public with a clearer picture of the climate-related risks of advanced technology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fossil fuels in a low-carbon world</w:t>
      </w:r>
    </w:p>
    <w:p>
      <w:pPr>
        <w:spacing w:after="0" w:line="2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Company’s growing financial reliance on oil and gas companies that lack credible net zero commitments exposes it to a large degree of uncertainty and risk related to the changing energy system.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Microsoft has identified cloud computing and advanced technology platforms as a vital part of the Company’s future and noted growth in</w:t>
      </w:r>
    </w:p>
    <w:p>
      <w:pPr>
        <w:spacing w:after="0" w:line="198" w:lineRule="auto"/>
        <w:rPr>
          <w:sz w:val="20"/>
          <w:szCs w:val="20"/>
          <w:color w:val="auto"/>
        </w:rPr>
      </w:pPr>
      <w:r>
        <w:rPr>
          <w:rFonts w:ascii="Times New Roman" w:cs="Times New Roman" w:eastAsia="Times New Roman" w:hAnsi="Times New Roman"/>
          <w:sz w:val="20"/>
          <w:szCs w:val="20"/>
          <w:color w:val="auto"/>
        </w:rPr>
        <w:t>these areas as a highlight of its most recent fiscal year.</w:t>
      </w:r>
      <w:r>
        <w:rPr>
          <w:rFonts w:ascii="Times New Roman" w:cs="Times New Roman" w:eastAsia="Times New Roman" w:hAnsi="Times New Roman"/>
          <w:sz w:val="32"/>
          <w:szCs w:val="32"/>
          <w:color w:val="auto"/>
          <w:vertAlign w:val="superscript"/>
        </w:rPr>
        <w:t>34</w:t>
      </w:r>
      <w:r>
        <w:rPr>
          <w:rFonts w:ascii="Times New Roman" w:cs="Times New Roman" w:eastAsia="Times New Roman" w:hAnsi="Times New Roman"/>
          <w:sz w:val="20"/>
          <w:szCs w:val="20"/>
          <w:color w:val="auto"/>
        </w:rPr>
        <w:t xml:space="preserve"> While growth in the advanced technology market presents Microsoft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unique opportunities, its deep ties to fossil fuels in this segment also present a material set of risks. Fossil fuel applications are a key revenue</w:t>
      </w:r>
    </w:p>
    <w:p>
      <w:pPr>
        <w:spacing w:after="0" w:line="13" w:lineRule="exact"/>
        <w:rPr>
          <w:sz w:val="20"/>
          <w:szCs w:val="20"/>
          <w:color w:val="auto"/>
        </w:rPr>
      </w:pPr>
    </w:p>
    <w:p>
      <w:pPr>
        <w:ind w:right="480"/>
        <w:spacing w:after="0" w:line="232" w:lineRule="auto"/>
        <w:rPr>
          <w:sz w:val="20"/>
          <w:szCs w:val="20"/>
          <w:color w:val="auto"/>
        </w:rPr>
      </w:pPr>
      <w:r>
        <w:rPr>
          <w:rFonts w:ascii="Times New Roman" w:cs="Times New Roman" w:eastAsia="Times New Roman" w:hAnsi="Times New Roman"/>
          <w:sz w:val="20"/>
          <w:szCs w:val="20"/>
          <w:color w:val="auto"/>
        </w:rPr>
        <w:t>driver for Microsoft’s advanced technology segment and are projected to remain as such for the foreseeable future.</w:t>
      </w:r>
      <w:r>
        <w:rPr>
          <w:rFonts w:ascii="Times New Roman" w:cs="Times New Roman" w:eastAsia="Times New Roman" w:hAnsi="Times New Roman"/>
          <w:sz w:val="32"/>
          <w:szCs w:val="32"/>
          <w:color w:val="auto"/>
          <w:vertAlign w:val="superscript"/>
        </w:rPr>
        <w:t>35</w:t>
      </w:r>
      <w:r>
        <w:rPr>
          <w:rFonts w:ascii="Times New Roman" w:cs="Times New Roman" w:eastAsia="Times New Roman" w:hAnsi="Times New Roman"/>
          <w:sz w:val="20"/>
          <w:szCs w:val="20"/>
          <w:color w:val="auto"/>
        </w:rPr>
        <w:t xml:space="preserve"> By deepening the reliance of its advanced technology business on fossil fuel companies without legitimate net zero transition plans, Microsoft is tying the profitability of one of its most important growth opportunities to an industry that faces significant financial disruption in the coming decades,</w:t>
      </w:r>
      <w:r>
        <w:rPr>
          <w:rFonts w:ascii="Times New Roman" w:cs="Times New Roman" w:eastAsia="Times New Roman" w:hAnsi="Times New Roman"/>
          <w:sz w:val="32"/>
          <w:szCs w:val="32"/>
          <w:color w:val="auto"/>
          <w:vertAlign w:val="superscript"/>
        </w:rPr>
        <w:t>36</w:t>
      </w:r>
      <w:r>
        <w:rPr>
          <w:rFonts w:ascii="Times New Roman" w:cs="Times New Roman" w:eastAsia="Times New Roman" w:hAnsi="Times New Roman"/>
          <w:sz w:val="20"/>
          <w:szCs w:val="20"/>
          <w:color w:val="auto"/>
        </w:rPr>
        <w:t xml:space="preserve"> including the potential for major losses associated with stranded assets.</w:t>
      </w:r>
      <w:r>
        <w:rPr>
          <w:rFonts w:ascii="Times New Roman" w:cs="Times New Roman" w:eastAsia="Times New Roman" w:hAnsi="Times New Roman"/>
          <w:sz w:val="32"/>
          <w:szCs w:val="32"/>
          <w:color w:val="auto"/>
          <w:vertAlign w:val="superscript"/>
        </w:rPr>
        <w:t>37</w:t>
      </w:r>
    </w:p>
    <w:p>
      <w:pPr>
        <w:spacing w:after="0" w:line="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Microsoft’s use of advanced technology to “model oil and gas reservoirs and maximize their extraction,” is directly contrary to clear warnings from International Energy Agency (“IEA”), which identifies fossil fuel expansion projects as “very unhealthy and unwise economic</w:t>
      </w:r>
    </w:p>
    <w:p>
      <w:pPr>
        <w:spacing w:after="0" w:line="1" w:lineRule="exact"/>
        <w:rPr>
          <w:sz w:val="20"/>
          <w:szCs w:val="20"/>
          <w:color w:val="auto"/>
        </w:rPr>
      </w:pPr>
    </w:p>
    <w:p>
      <w:pPr>
        <w:jc w:val="both"/>
        <w:ind w:right="240"/>
        <w:spacing w:after="0" w:line="224" w:lineRule="auto"/>
        <w:rPr>
          <w:sz w:val="20"/>
          <w:szCs w:val="20"/>
          <w:color w:val="auto"/>
        </w:rPr>
      </w:pPr>
      <w:r>
        <w:rPr>
          <w:rFonts w:ascii="Times New Roman" w:cs="Times New Roman" w:eastAsia="Times New Roman" w:hAnsi="Times New Roman"/>
          <w:sz w:val="20"/>
          <w:szCs w:val="20"/>
          <w:color w:val="auto"/>
        </w:rPr>
        <w:t>risks”</w:t>
      </w:r>
      <w:r>
        <w:rPr>
          <w:rFonts w:ascii="Times New Roman" w:cs="Times New Roman" w:eastAsia="Times New Roman" w:hAnsi="Times New Roman"/>
          <w:sz w:val="32"/>
          <w:szCs w:val="32"/>
          <w:color w:val="auto"/>
          <w:vertAlign w:val="superscript"/>
        </w:rPr>
        <w:t>38</w:t>
      </w:r>
      <w:r>
        <w:rPr>
          <w:rFonts w:ascii="Times New Roman" w:cs="Times New Roman" w:eastAsia="Times New Roman" w:hAnsi="Times New Roman"/>
          <w:sz w:val="20"/>
          <w:szCs w:val="20"/>
          <w:color w:val="auto"/>
        </w:rPr>
        <w:t xml:space="preserve"> if the world is to achieve its goal of avoiding the worst consequences of climate change. Changing market conditions, innovative new energy technologies, and growing climate regulations around the world all present material financial risks to the fossil fuel industry, which are passed on to Microsoft and its shareholders by the Company’s reliance on revenue from oil and gas companies in this advanced technology segment. Shareholders deserve decision-useful information on their exposure to any material financial risk, and climate-related risks are no exception.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https://grist.org/accountability/microsoft-employees-spent-years-fighting-the-tech-giants-oil-ties-now-theyre-speaking-out/</w:t>
      </w:r>
    </w:p>
    <w:p>
      <w:pPr>
        <w:spacing w:after="0" w:line="50" w:lineRule="exact"/>
        <w:rPr>
          <w:rFonts w:ascii="Times New Roman" w:cs="Times New Roman" w:eastAsia="Times New Roman" w:hAnsi="Times New Roman"/>
          <w:sz w:val="25"/>
          <w:szCs w:val="25"/>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https://businessleadershiptoday.com/how-important-sustainability-is-to-employees/</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https://thecsrjournal.in/ibm-employees-work-environmentally-sustainable-companies-pandemic/</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14"/>
          <w:szCs w:val="14"/>
          <w:color w:val="0000EE"/>
        </w:rPr>
      </w:pPr>
      <w:hyperlink r:id="rId20">
        <w:r>
          <w:rPr>
            <w:rFonts w:ascii="Times New Roman" w:cs="Times New Roman" w:eastAsia="Times New Roman" w:hAnsi="Times New Roman"/>
            <w:sz w:val="14"/>
            <w:szCs w:val="14"/>
            <w:u w:val="single" w:color="auto"/>
            <w:color w:val="0000EE"/>
          </w:rPr>
          <w:t>https://www.sec.gov/Archives/edgar/data/789019/000095017024087843/msft-20240630.htm</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p.15,39</w:t>
      </w:r>
    </w:p>
    <w:p>
      <w:pPr>
        <w:spacing w:after="0" w:line="51" w:lineRule="exact"/>
        <w:rPr>
          <w:rFonts w:ascii="Times New Roman" w:cs="Times New Roman" w:eastAsia="Times New Roman" w:hAnsi="Times New Roman"/>
          <w:sz w:val="14"/>
          <w:szCs w:val="14"/>
          <w:color w:val="0000EE"/>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https://novilabs.com/wp-content/uploads/2020/02/Barclays_Frac-to-the-Future-Oils-Digital-Rebirth_01152020.pdf p.9</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https://www.nature.com/articles/s41558-022-01356-y</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https://www.nature.com/articles/s41558-022-01356-y</w:t>
      </w:r>
    </w:p>
    <w:p>
      <w:pPr>
        <w:spacing w:after="0" w:line="51" w:lineRule="exact"/>
        <w:rPr>
          <w:rFonts w:ascii="Times New Roman" w:cs="Times New Roman" w:eastAsia="Times New Roman" w:hAnsi="Times New Roman"/>
          <w:sz w:val="22"/>
          <w:szCs w:val="22"/>
          <w:color w:val="auto"/>
          <w:vertAlign w:val="superscript"/>
        </w:rPr>
      </w:pPr>
    </w:p>
    <w:p>
      <w:pPr>
        <w:ind w:right="640" w:firstLine="8"/>
        <w:spacing w:after="0" w:line="206" w:lineRule="auto"/>
        <w:tabs>
          <w:tab w:leader="none" w:pos="175"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https://www.theatlantic.com/technology/archive/2024/09/microsoft-ai-oil-contracts/679804/; https://www.theguardian.com/environment/2023/sep/14/fossil-fuel-investment-very-unwise-economic-risk-energy-expert-fatih-birol</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5" w:name="page6"/>
    <w:bookmarkEnd w:id="5"/>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Physical and economic impacts of climate change</w:t>
      </w:r>
    </w:p>
    <w:p>
      <w:pPr>
        <w:spacing w:after="0" w:line="28"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19"/>
          <w:szCs w:val="19"/>
          <w:color w:val="auto"/>
        </w:rPr>
        <w:t>The global energy system must transition away from fossil fuels to avoid the most dire economic consequences of climate change</w:t>
      </w:r>
      <w:r>
        <w:rPr>
          <w:rFonts w:ascii="Times New Roman" w:cs="Times New Roman" w:eastAsia="Times New Roman" w:hAnsi="Times New Roman"/>
          <w:sz w:val="31"/>
          <w:szCs w:val="31"/>
          <w:color w:val="auto"/>
          <w:vertAlign w:val="superscript"/>
        </w:rPr>
        <w:t>39</w:t>
      </w:r>
      <w:r>
        <w:rPr>
          <w:rFonts w:ascii="Times New Roman" w:cs="Times New Roman" w:eastAsia="Times New Roman" w:hAnsi="Times New Roman"/>
          <w:sz w:val="19"/>
          <w:szCs w:val="19"/>
          <w:color w:val="auto"/>
        </w:rPr>
        <w:t xml:space="preserve"> including a cost to the global economy of as much as $38 trillion per year by 2049.</w:t>
      </w:r>
      <w:r>
        <w:rPr>
          <w:rFonts w:ascii="Times New Roman" w:cs="Times New Roman" w:eastAsia="Times New Roman" w:hAnsi="Times New Roman"/>
          <w:sz w:val="31"/>
          <w:szCs w:val="31"/>
          <w:color w:val="auto"/>
          <w:vertAlign w:val="superscript"/>
        </w:rPr>
        <w:t>40</w:t>
      </w:r>
      <w:r>
        <w:rPr>
          <w:rFonts w:ascii="Times New Roman" w:cs="Times New Roman" w:eastAsia="Times New Roman" w:hAnsi="Times New Roman"/>
          <w:sz w:val="19"/>
          <w:szCs w:val="19"/>
          <w:color w:val="auto"/>
        </w:rPr>
        <w:t xml:space="preserve"> Microsoft controls the largest share of the market for advanced</w:t>
      </w:r>
    </w:p>
    <w:p>
      <w:pPr>
        <w:spacing w:after="0" w:line="3"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9"/>
          <w:szCs w:val="19"/>
          <w:color w:val="auto"/>
        </w:rPr>
        <w:t>technology in fossil fuels,</w:t>
      </w:r>
      <w:r>
        <w:rPr>
          <w:rFonts w:ascii="Times New Roman" w:cs="Times New Roman" w:eastAsia="Times New Roman" w:hAnsi="Times New Roman"/>
          <w:sz w:val="31"/>
          <w:szCs w:val="31"/>
          <w:color w:val="auto"/>
          <w:vertAlign w:val="superscript"/>
        </w:rPr>
        <w:t>41</w:t>
      </w:r>
      <w:r>
        <w:rPr>
          <w:rFonts w:ascii="Times New Roman" w:cs="Times New Roman" w:eastAsia="Times New Roman" w:hAnsi="Times New Roman"/>
          <w:sz w:val="19"/>
          <w:szCs w:val="19"/>
          <w:color w:val="auto"/>
        </w:rPr>
        <w:t xml:space="preserve"> which has been identified as a hindrance to the energy transition.</w:t>
      </w:r>
      <w:r>
        <w:rPr>
          <w:rFonts w:ascii="Times New Roman" w:cs="Times New Roman" w:eastAsia="Times New Roman" w:hAnsi="Times New Roman"/>
          <w:sz w:val="31"/>
          <w:szCs w:val="31"/>
          <w:color w:val="auto"/>
          <w:vertAlign w:val="superscript"/>
        </w:rPr>
        <w:t>42</w:t>
      </w:r>
      <w:r>
        <w:rPr>
          <w:rFonts w:ascii="Times New Roman" w:cs="Times New Roman" w:eastAsia="Times New Roman" w:hAnsi="Times New Roman"/>
          <w:sz w:val="19"/>
          <w:szCs w:val="19"/>
          <w:color w:val="auto"/>
        </w:rPr>
        <w:t xml:space="preserve"> Microsoft's partnerships with the fossil fuel industry have the potential to slow the energy transition, increasing the effects of climate change and contributing to the growing climate-related financial risk facing the global economy. Disruptions from the physical effects of climate change are already causing significant</w:t>
      </w:r>
    </w:p>
    <w:p>
      <w:pPr>
        <w:spacing w:after="0" w:line="2"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20"/>
          <w:szCs w:val="20"/>
          <w:color w:val="auto"/>
        </w:rPr>
        <w:t>economic damage,</w:t>
      </w:r>
      <w:r>
        <w:rPr>
          <w:rFonts w:ascii="Times New Roman" w:cs="Times New Roman" w:eastAsia="Times New Roman" w:hAnsi="Times New Roman"/>
          <w:sz w:val="32"/>
          <w:szCs w:val="32"/>
          <w:color w:val="auto"/>
          <w:vertAlign w:val="superscript"/>
        </w:rPr>
        <w:t>43</w:t>
      </w:r>
      <w:r>
        <w:rPr>
          <w:rFonts w:ascii="Times New Roman" w:cs="Times New Roman" w:eastAsia="Times New Roman" w:hAnsi="Times New Roman"/>
          <w:sz w:val="20"/>
          <w:szCs w:val="20"/>
          <w:color w:val="auto"/>
        </w:rPr>
        <w:t xml:space="preserve"> and Microsoft’s global business is not insulated from these growing costs. Specifically, Microsoft notes that climate change may increase operating costs for its cloud-based services and affect the availability and cost of necessary goods and services, plainly demonstrating the risks posed by the Company’s sale of products that may hinder global efforts to mitigate climate change.</w:t>
      </w:r>
    </w:p>
    <w:p>
      <w:pPr>
        <w:spacing w:after="0" w:line="200" w:lineRule="exact"/>
        <w:rPr>
          <w:sz w:val="20"/>
          <w:szCs w:val="20"/>
          <w:color w:val="auto"/>
        </w:rPr>
      </w:pPr>
    </w:p>
    <w:p>
      <w:pPr>
        <w:spacing w:after="0" w:line="228" w:lineRule="exact"/>
        <w:rPr>
          <w:sz w:val="20"/>
          <w:szCs w:val="20"/>
          <w:color w:val="auto"/>
        </w:rPr>
      </w:pPr>
    </w:p>
    <w:p>
      <w:pPr>
        <w:ind w:left="580" w:right="380" w:hanging="248"/>
        <w:spacing w:after="0" w:line="273" w:lineRule="auto"/>
        <w:tabs>
          <w:tab w:leader="none" w:pos="5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Microsoft’s advanced technology disclosures are insufficient and do not provide investors with decision-useful information about the Company’s exposure to risk.</w:t>
      </w:r>
    </w:p>
    <w:p>
      <w:pPr>
        <w:spacing w:after="0" w:line="165" w:lineRule="exact"/>
        <w:rPr>
          <w:sz w:val="20"/>
          <w:szCs w:val="20"/>
          <w:color w:val="auto"/>
        </w:rPr>
      </w:pPr>
    </w:p>
    <w:p>
      <w:pPr>
        <w:ind w:right="700"/>
        <w:spacing w:after="0" w:line="254" w:lineRule="auto"/>
        <w:rPr>
          <w:sz w:val="20"/>
          <w:szCs w:val="20"/>
          <w:color w:val="auto"/>
        </w:rPr>
      </w:pPr>
      <w:r>
        <w:rPr>
          <w:rFonts w:ascii="Times New Roman" w:cs="Times New Roman" w:eastAsia="Times New Roman" w:hAnsi="Times New Roman"/>
          <w:sz w:val="20"/>
          <w:szCs w:val="20"/>
          <w:color w:val="auto"/>
        </w:rPr>
        <w:t xml:space="preserve">Microsoft has a suite of disclosures about the risks of AI, namely its </w:t>
      </w:r>
      <w:r>
        <w:rPr>
          <w:rFonts w:ascii="Times New Roman" w:cs="Times New Roman" w:eastAsia="Times New Roman" w:hAnsi="Times New Roman"/>
          <w:sz w:val="20"/>
          <w:szCs w:val="20"/>
          <w:i w:val="1"/>
          <w:iCs w:val="1"/>
          <w:color w:val="auto"/>
        </w:rPr>
        <w:t>Responsible AI Transparency Report,</w:t>
      </w:r>
      <w:r>
        <w:rPr>
          <w:rFonts w:ascii="Times New Roman" w:cs="Times New Roman" w:eastAsia="Times New Roman" w:hAnsi="Times New Roman"/>
          <w:sz w:val="20"/>
          <w:szCs w:val="20"/>
          <w:color w:val="auto"/>
        </w:rPr>
        <w:t xml:space="preserve"> which aims to disclose the Company’s efforts to build advanced technology responsibly and share “how we make decisions about releasing our generative</w:t>
      </w:r>
    </w:p>
    <w:p>
      <w:pPr>
        <w:spacing w:after="0" w:line="1"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20"/>
          <w:szCs w:val="20"/>
          <w:color w:val="auto"/>
        </w:rPr>
        <w:t>applications.”</w:t>
      </w:r>
      <w:r>
        <w:rPr>
          <w:rFonts w:ascii="Times New Roman" w:cs="Times New Roman" w:eastAsia="Times New Roman" w:hAnsi="Times New Roman"/>
          <w:sz w:val="32"/>
          <w:szCs w:val="32"/>
          <w:color w:val="auto"/>
          <w:vertAlign w:val="superscript"/>
        </w:rPr>
        <w:t>44</w:t>
      </w:r>
      <w:r>
        <w:rPr>
          <w:rFonts w:ascii="Times New Roman" w:cs="Times New Roman" w:eastAsia="Times New Roman" w:hAnsi="Times New Roman"/>
          <w:sz w:val="20"/>
          <w:szCs w:val="20"/>
          <w:color w:val="auto"/>
        </w:rPr>
        <w:t xml:space="preserve"> Despite these goals, the report does not meaningfully address Microsoft’s sale of advanced technology products to the fossil fuel industry.</w:t>
      </w:r>
    </w:p>
    <w:p>
      <w:pPr>
        <w:spacing w:after="0" w:line="20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9"/>
          <w:szCs w:val="19"/>
          <w:color w:val="auto"/>
        </w:rPr>
        <w:t>The most relevant framework for identifying and addressing potential economic or social harms from the use of Microsoft’s advanced technologies is the Company’s “sensitive use case framework,” which is said to flag any AI development or deployment scenario that falls</w:t>
      </w:r>
    </w:p>
    <w:p>
      <w:pPr>
        <w:spacing w:after="0" w:line="1" w:lineRule="exact"/>
        <w:rPr>
          <w:sz w:val="20"/>
          <w:szCs w:val="20"/>
          <w:color w:val="auto"/>
        </w:rPr>
      </w:pPr>
    </w:p>
    <w:p>
      <w:pPr>
        <w:ind w:right="260"/>
        <w:spacing w:after="0" w:line="216" w:lineRule="auto"/>
        <w:rPr>
          <w:sz w:val="20"/>
          <w:szCs w:val="20"/>
          <w:color w:val="auto"/>
        </w:rPr>
      </w:pPr>
      <w:r>
        <w:rPr>
          <w:rFonts w:ascii="Times New Roman" w:cs="Times New Roman" w:eastAsia="Times New Roman" w:hAnsi="Times New Roman"/>
          <w:sz w:val="20"/>
          <w:szCs w:val="20"/>
          <w:color w:val="auto"/>
        </w:rPr>
        <w:t>into one or more of three categories; “</w:t>
      </w:r>
      <w:r>
        <w:rPr>
          <w:rFonts w:ascii="Times New Roman" w:cs="Times New Roman" w:eastAsia="Times New Roman" w:hAnsi="Times New Roman"/>
          <w:sz w:val="20"/>
          <w:szCs w:val="20"/>
          <w:b w:val="1"/>
          <w:bCs w:val="1"/>
          <w:i w:val="1"/>
          <w:iCs w:val="1"/>
          <w:color w:val="auto"/>
        </w:rPr>
        <w:t>denial of consequential services,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risk of harm,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infringement on human rights</w:t>
      </w:r>
      <w:r>
        <w:rPr>
          <w:rFonts w:ascii="Times New Roman" w:cs="Times New Roman" w:eastAsia="Times New Roman" w:hAnsi="Times New Roman"/>
          <w:sz w:val="20"/>
          <w:szCs w:val="20"/>
          <w:color w:val="auto"/>
        </w:rPr>
        <w:t>.”</w:t>
      </w:r>
      <w:r>
        <w:rPr>
          <w:rFonts w:ascii="Times New Roman" w:cs="Times New Roman" w:eastAsia="Times New Roman" w:hAnsi="Times New Roman"/>
          <w:sz w:val="32"/>
          <w:szCs w:val="32"/>
          <w:color w:val="auto"/>
          <w:vertAlign w:val="superscript"/>
        </w:rPr>
        <w:t>45</w:t>
      </w:r>
      <w:r>
        <w:rPr>
          <w:rFonts w:ascii="Times New Roman" w:cs="Times New Roman" w:eastAsia="Times New Roman" w:hAnsi="Times New Roman"/>
          <w:sz w:val="20"/>
          <w:szCs w:val="20"/>
          <w:color w:val="auto"/>
        </w:rPr>
        <w:t xml:space="preserve"> However, Microsoft’s sensitive uses framework </w:t>
      </w:r>
      <w:r>
        <w:rPr>
          <w:rFonts w:ascii="Times New Roman" w:cs="Times New Roman" w:eastAsia="Times New Roman" w:hAnsi="Times New Roman"/>
          <w:sz w:val="20"/>
          <w:szCs w:val="20"/>
          <w:i w:val="1"/>
          <w:iCs w:val="1"/>
          <w:color w:val="auto"/>
        </w:rPr>
        <w:t>does not include environmental impacts</w:t>
      </w:r>
      <w:r>
        <w:rPr>
          <w:rFonts w:ascii="Times New Roman" w:cs="Times New Roman" w:eastAsia="Times New Roman" w:hAnsi="Times New Roman"/>
          <w:sz w:val="20"/>
          <w:szCs w:val="20"/>
          <w:color w:val="auto"/>
        </w:rPr>
        <w:t xml:space="preserve"> in its considerations and fails to cover the climate risks presented by AI sufficiently.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52" w:lineRule="exact"/>
        <w:rPr>
          <w:sz w:val="20"/>
          <w:szCs w:val="20"/>
          <w:color w:val="auto"/>
        </w:rPr>
      </w:pPr>
    </w:p>
    <w:p>
      <w:pPr>
        <w:ind w:right="360" w:firstLine="8"/>
        <w:spacing w:after="0"/>
        <w:tabs>
          <w:tab w:leader="none" w:pos="175"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https://unfccc.int/sites/default/files/resource/cma2023_L17_adv.pdf p.5, https://www.ipcc.ch/report/ar6/syr/downloads/report/IPCC_AR6_SYR_FullVolume.pdf%20 p.20-21</w:t>
      </w:r>
    </w:p>
    <w:p>
      <w:pPr>
        <w:spacing w:after="0" w:line="125" w:lineRule="exact"/>
        <w:rPr>
          <w:rFonts w:ascii="Times New Roman" w:cs="Times New Roman" w:eastAsia="Times New Roman" w:hAnsi="Times New Roman"/>
          <w:sz w:val="25"/>
          <w:szCs w:val="25"/>
          <w:color w:val="auto"/>
          <w:vertAlign w:val="superscript"/>
        </w:rPr>
      </w:pPr>
    </w:p>
    <w:p>
      <w:pPr>
        <w:ind w:left="180" w:hanging="172"/>
        <w:spacing w:after="0" w:line="202" w:lineRule="auto"/>
        <w:tabs>
          <w:tab w:leader="none" w:pos="1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https://www.nature.com/articles/s41586-024-07219-0</w:t>
      </w:r>
    </w:p>
    <w:p>
      <w:pPr>
        <w:spacing w:after="0" w:line="51" w:lineRule="exact"/>
        <w:rPr>
          <w:rFonts w:ascii="Times New Roman" w:cs="Times New Roman" w:eastAsia="Times New Roman" w:hAnsi="Times New Roman"/>
          <w:sz w:val="25"/>
          <w:szCs w:val="25"/>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https://www.kimberliteresearch.com/single-post/microsoft-is-the-leading-cloud-provider-for-the-oil-gas-industry-2</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https://eu.boell.org/sites/default/files/2021-04/Artificial%20Intelligence%20and%20Climate%20Change_FINAL_14042021.pdf p.10</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https://www.weforum.org/agenda/2023/10/climate-loss-and-damage-cost-16-million-per-hour/</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https://query.prod.cms.rt.microsoft.com/cms/api/am/binary/RW1l5BO p.4</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https://www.microsoft.com/cms/api/am/binary/RE4pKH5</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 w:name="page7"/>
    <w:bookmarkEnd w:id="6"/>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Microsoft’s partnerships with the fossil fuel industry to find and develop new fossil fuel reserves pose a material risk to global efforts to</w:t>
      </w:r>
    </w:p>
    <w:p>
      <w:pPr>
        <w:spacing w:after="0" w:line="24" w:lineRule="exact"/>
        <w:rPr>
          <w:sz w:val="20"/>
          <w:szCs w:val="20"/>
          <w:color w:val="auto"/>
        </w:rPr>
      </w:pPr>
    </w:p>
    <w:p>
      <w:pPr>
        <w:ind w:right="300"/>
        <w:spacing w:after="0" w:line="214" w:lineRule="auto"/>
        <w:rPr>
          <w:sz w:val="20"/>
          <w:szCs w:val="20"/>
          <w:color w:val="auto"/>
        </w:rPr>
      </w:pPr>
      <w:r>
        <w:rPr>
          <w:rFonts w:ascii="Times New Roman" w:cs="Times New Roman" w:eastAsia="Times New Roman" w:hAnsi="Times New Roman"/>
          <w:sz w:val="19"/>
          <w:szCs w:val="19"/>
          <w:color w:val="auto"/>
        </w:rPr>
        <w:t>mitigate climate change,</w:t>
      </w:r>
      <w:r>
        <w:rPr>
          <w:rFonts w:ascii="Times New Roman" w:cs="Times New Roman" w:eastAsia="Times New Roman" w:hAnsi="Times New Roman"/>
          <w:sz w:val="31"/>
          <w:szCs w:val="31"/>
          <w:color w:val="auto"/>
          <w:vertAlign w:val="superscript"/>
        </w:rPr>
        <w:t>46</w:t>
      </w:r>
      <w:r>
        <w:rPr>
          <w:rFonts w:ascii="Times New Roman" w:cs="Times New Roman" w:eastAsia="Times New Roman" w:hAnsi="Times New Roman"/>
          <w:sz w:val="19"/>
          <w:szCs w:val="19"/>
          <w:color w:val="auto"/>
        </w:rPr>
        <w:t xml:space="preserve"> which is a direct contributor to every single one of the categories identified by the Company as sensitive use cases. For example, the physical risks of climate change have caused a major nationwide insurance crisis. In California alone, insurance companies exiting the state have caused almost 7% of real estate deals to fall through because buyers were unable to find affordable home insurance.</w:t>
      </w:r>
      <w:r>
        <w:rPr>
          <w:rFonts w:ascii="Times New Roman" w:cs="Times New Roman" w:eastAsia="Times New Roman" w:hAnsi="Times New Roman"/>
          <w:sz w:val="31"/>
          <w:szCs w:val="31"/>
          <w:color w:val="auto"/>
          <w:vertAlign w:val="superscript"/>
        </w:rPr>
        <w:t>47</w:t>
      </w:r>
      <w:r>
        <w:rPr>
          <w:rFonts w:ascii="Times New Roman" w:cs="Times New Roman" w:eastAsia="Times New Roman" w:hAnsi="Times New Roman"/>
          <w:sz w:val="19"/>
          <w:szCs w:val="19"/>
          <w:color w:val="auto"/>
        </w:rPr>
        <w:t xml:space="preserve"> Microsoft specifically identifies insurance as an example of “</w:t>
      </w:r>
      <w:r>
        <w:rPr>
          <w:rFonts w:ascii="Times New Roman" w:cs="Times New Roman" w:eastAsia="Times New Roman" w:hAnsi="Times New Roman"/>
          <w:sz w:val="19"/>
          <w:szCs w:val="19"/>
          <w:b w:val="1"/>
          <w:bCs w:val="1"/>
          <w:i w:val="1"/>
          <w:iCs w:val="1"/>
          <w:color w:val="auto"/>
        </w:rPr>
        <w:t>denial of consequential services</w:t>
      </w:r>
      <w:r>
        <w:rPr>
          <w:rFonts w:ascii="Times New Roman" w:cs="Times New Roman" w:eastAsia="Times New Roman" w:hAnsi="Times New Roman"/>
          <w:sz w:val="19"/>
          <w:szCs w:val="19"/>
          <w:color w:val="auto"/>
        </w:rPr>
        <w:t>” in its sensitive use case</w:t>
      </w:r>
    </w:p>
    <w:p>
      <w:pPr>
        <w:spacing w:after="0" w:line="1" w:lineRule="exact"/>
        <w:rPr>
          <w:sz w:val="20"/>
          <w:szCs w:val="20"/>
          <w:color w:val="auto"/>
        </w:rPr>
      </w:pPr>
    </w:p>
    <w:p>
      <w:pPr>
        <w:ind w:right="60"/>
        <w:spacing w:after="0" w:line="202" w:lineRule="auto"/>
        <w:rPr>
          <w:sz w:val="20"/>
          <w:szCs w:val="20"/>
          <w:color w:val="auto"/>
        </w:rPr>
      </w:pPr>
      <w:r>
        <w:rPr>
          <w:rFonts w:ascii="Times New Roman" w:cs="Times New Roman" w:eastAsia="Times New Roman" w:hAnsi="Times New Roman"/>
          <w:sz w:val="20"/>
          <w:szCs w:val="20"/>
          <w:color w:val="auto"/>
        </w:rPr>
        <w:t>framework.</w:t>
      </w:r>
      <w:r>
        <w:rPr>
          <w:rFonts w:ascii="Times New Roman" w:cs="Times New Roman" w:eastAsia="Times New Roman" w:hAnsi="Times New Roman"/>
          <w:sz w:val="32"/>
          <w:szCs w:val="32"/>
          <w:color w:val="auto"/>
          <w:vertAlign w:val="superscript"/>
        </w:rPr>
        <w:t>48</w:t>
      </w:r>
      <w:r>
        <w:rPr>
          <w:rFonts w:ascii="Times New Roman" w:cs="Times New Roman" w:eastAsia="Times New Roman" w:hAnsi="Times New Roman"/>
          <w:sz w:val="20"/>
          <w:szCs w:val="20"/>
          <w:color w:val="auto"/>
        </w:rPr>
        <w:t xml:space="preserve"> The World Health Organization projects that climate change will cause more than 250,00 additional deaths per year by 2050,</w:t>
      </w:r>
      <w:r>
        <w:rPr>
          <w:rFonts w:ascii="Times New Roman" w:cs="Times New Roman" w:eastAsia="Times New Roman" w:hAnsi="Times New Roman"/>
          <w:sz w:val="32"/>
          <w:szCs w:val="32"/>
          <w:color w:val="auto"/>
          <w:vertAlign w:val="superscript"/>
        </w:rPr>
        <w:t>49</w:t>
      </w:r>
      <w:r>
        <w:rPr>
          <w:rFonts w:ascii="Times New Roman" w:cs="Times New Roman" w:eastAsia="Times New Roman" w:hAnsi="Times New Roman"/>
          <w:sz w:val="20"/>
          <w:szCs w:val="20"/>
          <w:color w:val="auto"/>
        </w:rPr>
        <w:t xml:space="preserve"> a clear example of “</w:t>
      </w:r>
      <w:r>
        <w:rPr>
          <w:rFonts w:ascii="Times New Roman" w:cs="Times New Roman" w:eastAsia="Times New Roman" w:hAnsi="Times New Roman"/>
          <w:sz w:val="20"/>
          <w:szCs w:val="20"/>
          <w:b w:val="1"/>
          <w:bCs w:val="1"/>
          <w:i w:val="1"/>
          <w:iCs w:val="1"/>
          <w:color w:val="auto"/>
        </w:rPr>
        <w:t>risk of harm</w:t>
      </w:r>
      <w:r>
        <w:rPr>
          <w:rFonts w:ascii="Times New Roman" w:cs="Times New Roman" w:eastAsia="Times New Roman" w:hAnsi="Times New Roman"/>
          <w:sz w:val="20"/>
          <w:szCs w:val="20"/>
          <w:color w:val="auto"/>
        </w:rPr>
        <w:t xml:space="preserve">,” and most notably, the UN Environment Programme calls climate change “one of the </w:t>
      </w:r>
      <w:r>
        <w:rPr>
          <w:rFonts w:ascii="Times New Roman" w:cs="Times New Roman" w:eastAsia="Times New Roman" w:hAnsi="Times New Roman"/>
          <w:sz w:val="20"/>
          <w:szCs w:val="20"/>
          <w:b w:val="1"/>
          <w:bCs w:val="1"/>
          <w:i w:val="1"/>
          <w:iCs w:val="1"/>
          <w:color w:val="auto"/>
        </w:rPr>
        <w:t>greatest threats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human rights </w:t>
      </w:r>
      <w:r>
        <w:rPr>
          <w:rFonts w:ascii="Times New Roman" w:cs="Times New Roman" w:eastAsia="Times New Roman" w:hAnsi="Times New Roman"/>
          <w:sz w:val="20"/>
          <w:szCs w:val="20"/>
          <w:color w:val="auto"/>
        </w:rPr>
        <w:t>of our generation.”</w:t>
      </w:r>
      <w:r>
        <w:rPr>
          <w:rFonts w:ascii="Times New Roman" w:cs="Times New Roman" w:eastAsia="Times New Roman" w:hAnsi="Times New Roman"/>
          <w:sz w:val="32"/>
          <w:szCs w:val="32"/>
          <w:color w:val="auto"/>
          <w:vertAlign w:val="superscript"/>
        </w:rPr>
        <w:t>50</w:t>
      </w:r>
    </w:p>
    <w:p>
      <w:pPr>
        <w:spacing w:after="0" w:line="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Despite the immense evidence showing that climate change is a driver of every single one of Microsoft’s categories for sensitive use case review, the Company has not mitigated or even sufficiently reported on the associated risks and damages caused by its sale of advanced technology products to fossil fuel companies without credible net zero commitments. Microsoft reports that after identifying sensitive use cases, they should be assessed and mitigated, noting that, at times, projects have been blocked when the Company is unable to “deliver them in a way that upholds our principles.”</w:t>
      </w:r>
      <w:r>
        <w:rPr>
          <w:rFonts w:ascii="Times New Roman" w:cs="Times New Roman" w:eastAsia="Times New Roman" w:hAnsi="Times New Roman"/>
          <w:sz w:val="32"/>
          <w:szCs w:val="32"/>
          <w:color w:val="auto"/>
          <w:vertAlign w:val="superscript"/>
        </w:rPr>
        <w:t>51</w:t>
      </w:r>
    </w:p>
    <w:p>
      <w:pPr>
        <w:spacing w:after="0" w:line="57"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20"/>
          <w:szCs w:val="20"/>
          <w:color w:val="auto"/>
        </w:rPr>
        <w:t>In this case, Microsoft’s sensitive use case process has failed to flag the risks its fossil fuel-related technology products pose to climate. Delaying the energy transition</w:t>
      </w:r>
      <w:r>
        <w:rPr>
          <w:rFonts w:ascii="Times New Roman" w:cs="Times New Roman" w:eastAsia="Times New Roman" w:hAnsi="Times New Roman"/>
          <w:sz w:val="32"/>
          <w:szCs w:val="32"/>
          <w:color w:val="auto"/>
          <w:vertAlign w:val="superscript"/>
        </w:rPr>
        <w:t>52</w:t>
      </w:r>
      <w:r>
        <w:rPr>
          <w:rFonts w:ascii="Times New Roman" w:cs="Times New Roman" w:eastAsia="Times New Roman" w:hAnsi="Times New Roman"/>
          <w:sz w:val="20"/>
          <w:szCs w:val="20"/>
          <w:color w:val="auto"/>
        </w:rPr>
        <w:t xml:space="preserve"> contributes to the well-established harms of climate change and does not uphold the guiding AI principles set forth by Microsoft. This further establishes the need for a report on the risks of the Company’s sale of advanced technology products to fossil fuel companies without credible net zero commitments.</w:t>
      </w:r>
    </w:p>
    <w:p>
      <w:pPr>
        <w:spacing w:after="0" w:line="197" w:lineRule="exact"/>
        <w:rPr>
          <w:sz w:val="20"/>
          <w:szCs w:val="20"/>
          <w:color w:val="auto"/>
        </w:rPr>
      </w:pPr>
    </w:p>
    <w:p>
      <w:pPr>
        <w:ind w:left="660" w:right="80" w:hanging="328"/>
        <w:spacing w:after="0" w:line="273" w:lineRule="auto"/>
        <w:tabs>
          <w:tab w:leader="none" w:pos="66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Microsoft lags behind peers, who have more readily addressed the risks of developing artificial intelligence (AI) and machine learning (ML) tools for fossil fuel extraction.</w:t>
      </w:r>
    </w:p>
    <w:p>
      <w:pPr>
        <w:spacing w:after="0" w:line="149"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9"/>
          <w:szCs w:val="19"/>
          <w:color w:val="auto"/>
        </w:rPr>
        <w:t>Microsoft controls the largest portion of the market for advanced technology fossil fuel tools.</w:t>
      </w:r>
      <w:r>
        <w:rPr>
          <w:rFonts w:ascii="Times New Roman" w:cs="Times New Roman" w:eastAsia="Times New Roman" w:hAnsi="Times New Roman"/>
          <w:sz w:val="31"/>
          <w:szCs w:val="31"/>
          <w:color w:val="auto"/>
          <w:vertAlign w:val="superscript"/>
        </w:rPr>
        <w:t>53</w:t>
      </w:r>
      <w:r>
        <w:rPr>
          <w:rFonts w:ascii="Times New Roman" w:cs="Times New Roman" w:eastAsia="Times New Roman" w:hAnsi="Times New Roman"/>
          <w:sz w:val="19"/>
          <w:szCs w:val="19"/>
          <w:color w:val="auto"/>
        </w:rPr>
        <w:t xml:space="preserve"> Yet, peers have made more significant efforts to identify and even mitigate the risks posed by selling advanced technology products to fossil fuel companies lacking net zero commitments. Most notably, Google, one of Microsoft’s top competitors in the advanced technology space, has publicly committed that it will not “build</w:t>
      </w:r>
    </w:p>
    <w:p>
      <w:pPr>
        <w:ind w:right="120"/>
        <w:spacing w:after="0" w:line="216" w:lineRule="auto"/>
        <w:rPr>
          <w:sz w:val="20"/>
          <w:szCs w:val="20"/>
          <w:color w:val="auto"/>
        </w:rPr>
      </w:pPr>
      <w:r>
        <w:rPr>
          <w:rFonts w:ascii="Times New Roman" w:cs="Times New Roman" w:eastAsia="Times New Roman" w:hAnsi="Times New Roman"/>
          <w:sz w:val="20"/>
          <w:szCs w:val="20"/>
          <w:color w:val="auto"/>
        </w:rPr>
        <w:t>custom AI/ML algorithms to facilitate upstream extraction in the oil and gas industry.”</w:t>
      </w:r>
      <w:r>
        <w:rPr>
          <w:rFonts w:ascii="Times New Roman" w:cs="Times New Roman" w:eastAsia="Times New Roman" w:hAnsi="Times New Roman"/>
          <w:sz w:val="32"/>
          <w:szCs w:val="32"/>
          <w:color w:val="auto"/>
          <w:vertAlign w:val="superscript"/>
        </w:rPr>
        <w:t>54</w:t>
      </w:r>
      <w:r>
        <w:rPr>
          <w:rFonts w:ascii="Times New Roman" w:cs="Times New Roman" w:eastAsia="Times New Roman" w:hAnsi="Times New Roman"/>
          <w:sz w:val="20"/>
          <w:szCs w:val="20"/>
          <w:color w:val="auto"/>
        </w:rPr>
        <w:t xml:space="preserve"> This commitment mitigates much of the risk posed to Google and its shareholders from partnership with the fossil fuel industry and creates a significant gap between the environmental and economic sustainability of Microsoft and one of its largest rivals.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262" w:lineRule="exact"/>
        <w:rPr>
          <w:sz w:val="20"/>
          <w:szCs w:val="20"/>
          <w:color w:val="auto"/>
        </w:rPr>
      </w:pPr>
    </w:p>
    <w:p>
      <w:pPr>
        <w:ind w:right="720" w:firstLine="8"/>
        <w:spacing w:after="0" w:line="218" w:lineRule="auto"/>
        <w:tabs>
          <w:tab w:leader="none" w:pos="184"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https://www.kimberliteresearch.com/single-post/microsoft-is-the-leading-cloud-provider-for-the-oil-gas-industry-2; https://eu.boell.org/sites/default/files/2021-04/Artificial%20Intelligence%20and%20Climate%20Change_FINAL_14042021.pdf p.10</w:t>
      </w:r>
    </w:p>
    <w:p>
      <w:pPr>
        <w:spacing w:after="0" w:line="1" w:lineRule="exact"/>
        <w:rPr>
          <w:rFonts w:ascii="Times New Roman" w:cs="Times New Roman" w:eastAsia="Times New Roman" w:hAnsi="Times New Roman"/>
          <w:sz w:val="26"/>
          <w:szCs w:val="26"/>
          <w:color w:val="auto"/>
          <w:vertAlign w:val="superscript"/>
        </w:rPr>
      </w:pPr>
    </w:p>
    <w:p>
      <w:pPr>
        <w:ind w:left="200" w:hanging="192"/>
        <w:spacing w:after="0" w:line="187" w:lineRule="auto"/>
        <w:tabs>
          <w:tab w:leader="none" w:pos="20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https://www.bankrate.com/insurance/homeowners-insurance/carriers-exit-california-home-insurance/</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https://www.microsoft.com/cms/api/am/binary/RE4pKH5 p.11</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https://www.who.int/news-room/fact-sheets/detail/climate-change-and-health</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https://www.unep.org/resources/report/climate-change-and-human-rights</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https://www.microsoft.com/cms/api/am/binary/RE4pKH5 p. 12</w:t>
      </w:r>
    </w:p>
    <w:p>
      <w:pPr>
        <w:spacing w:after="0" w:line="51" w:lineRule="exact"/>
        <w:rPr>
          <w:rFonts w:ascii="Times New Roman" w:cs="Times New Roman" w:eastAsia="Times New Roman" w:hAnsi="Times New Roman"/>
          <w:sz w:val="22"/>
          <w:szCs w:val="22"/>
          <w:color w:val="auto"/>
          <w:vertAlign w:val="superscript"/>
        </w:rPr>
      </w:pPr>
    </w:p>
    <w:p>
      <w:pPr>
        <w:ind w:right="740" w:firstLine="8"/>
        <w:spacing w:after="0" w:line="206" w:lineRule="auto"/>
        <w:tabs>
          <w:tab w:leader="none" w:pos="175"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https://www.kimberliteresearch.com/single-post/microsoft-is-the-leading-cloud-provider-for-the-oil-gas-industry-2; https://eu.boell.org/sites/default/files/2021-04/Artificial%20Intelligence%20and%20Climate%20Change_FINAL_14042021.pdf p.10</w:t>
      </w:r>
    </w:p>
    <w:p>
      <w:pPr>
        <w:spacing w:after="0" w:line="32" w:lineRule="exact"/>
        <w:rPr>
          <w:rFonts w:ascii="Times New Roman" w:cs="Times New Roman" w:eastAsia="Times New Roman" w:hAnsi="Times New Roman"/>
          <w:sz w:val="25"/>
          <w:szCs w:val="25"/>
          <w:color w:val="auto"/>
          <w:vertAlign w:val="superscript"/>
        </w:rPr>
      </w:pPr>
    </w:p>
    <w:p>
      <w:pPr>
        <w:ind w:right="360" w:firstLine="8"/>
        <w:spacing w:after="0" w:line="215" w:lineRule="auto"/>
        <w:tabs>
          <w:tab w:leader="none" w:pos="175"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https://novilabs.com/wp-content/uploads/2020/02/Barclays_Frac-to-the-Future-Oils-Digital-Rebirth_01152020.pdf p.33; https://www.kimberliteresearch.com/single-post/microsoft-is-the-leading-cloud-provider-for-the-oil-gas-industry-2</w:t>
      </w:r>
    </w:p>
    <w:p>
      <w:pPr>
        <w:ind w:left="180" w:hanging="172"/>
        <w:spacing w:after="0" w:line="202" w:lineRule="auto"/>
        <w:tabs>
          <w:tab w:leader="none" w:pos="1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https://onezero.medium.com/google-says-it-will-not-build-custom-a-i-for-oil-and-gas-extraction-72d1f71f42c8</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7" w:name="page8"/>
    <w:bookmarkEnd w:id="7"/>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RESPONSE TO MICROSOFT BOARD OF DIRECTORS’ STATEMENT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Contrary to the Board’s argument, Microsoft’s Energy Principles Lack a Criteria for Evaluating “Net Zero” Partners</w:t>
      </w:r>
    </w:p>
    <w:p>
      <w:pPr>
        <w:spacing w:after="0" w:line="23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The Board opposes the proposal on the basis that Microsoft has published a set of Energy Principles “specifically designed to guide the company’s work addressing [the energy transition].” The most relevant of these principles states that "</w:t>
      </w:r>
      <w:r>
        <w:rPr>
          <w:rFonts w:ascii="Times New Roman" w:cs="Times New Roman" w:eastAsia="Times New Roman" w:hAnsi="Times New Roman"/>
          <w:sz w:val="19"/>
          <w:szCs w:val="19"/>
          <w:b w:val="1"/>
          <w:bCs w:val="1"/>
          <w:color w:val="auto"/>
        </w:rPr>
        <w:t>Microsoft may provide technical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engineering resources to develop or co-develop specialized services for subsurface exploration and extraction of fossil fuels with energy customers who have publicly committed to net zero carbon targets.” </w:t>
      </w:r>
      <w:r>
        <w:rPr>
          <w:rFonts w:ascii="Times New Roman" w:cs="Times New Roman" w:eastAsia="Times New Roman" w:hAnsi="Times New Roman"/>
          <w:sz w:val="19"/>
          <w:szCs w:val="19"/>
          <w:color w:val="auto"/>
        </w:rPr>
        <w:t>Yet, in describing its program, it states that “Specifically,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this includes leveraging Microsoft technical or engineering resources to develop or co-develop specialized subsurface exploration and extraction services </w:t>
      </w:r>
      <w:r>
        <w:rPr>
          <w:rFonts w:ascii="Times New Roman" w:cs="Times New Roman" w:eastAsia="Times New Roman" w:hAnsi="Times New Roman"/>
          <w:sz w:val="19"/>
          <w:szCs w:val="19"/>
          <w:b w:val="1"/>
          <w:bCs w:val="1"/>
          <w:color w:val="auto"/>
        </w:rPr>
        <w:t>for an energy customer</w:t>
      </w:r>
      <w:r>
        <w:rPr>
          <w:rFonts w:ascii="Times New Roman" w:cs="Times New Roman" w:eastAsia="Times New Roman" w:hAnsi="Times New Roman"/>
          <w:sz w:val="19"/>
          <w:szCs w:val="19"/>
          <w:color w:val="auto"/>
        </w:rPr>
        <w:t xml:space="preserve"> or providing Microsoft product or service subscriptions </w:t>
      </w:r>
      <w:r>
        <w:rPr>
          <w:rFonts w:ascii="Times New Roman" w:cs="Times New Roman" w:eastAsia="Times New Roman" w:hAnsi="Times New Roman"/>
          <w:sz w:val="19"/>
          <w:szCs w:val="19"/>
          <w:b w:val="1"/>
          <w:bCs w:val="1"/>
          <w:color w:val="auto"/>
        </w:rPr>
        <w:t>at no cost to energy customers who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have a net zero carbon target </w:t>
      </w:r>
      <w:r>
        <w:rPr>
          <w:rFonts w:ascii="Times New Roman" w:cs="Times New Roman" w:eastAsia="Times New Roman" w:hAnsi="Times New Roman"/>
          <w:sz w:val="19"/>
          <w:szCs w:val="19"/>
          <w:color w:val="auto"/>
        </w:rPr>
        <w:t>(covering Scope 1 and Scope 2 emissions) that is set to be attained by 2050 or sooner” (emphasis added).</w:t>
      </w:r>
      <w:r>
        <w:rPr>
          <w:rFonts w:ascii="Times New Roman" w:cs="Times New Roman" w:eastAsia="Times New Roman" w:hAnsi="Times New Roman"/>
          <w:sz w:val="31"/>
          <w:szCs w:val="31"/>
          <w:color w:val="auto"/>
          <w:vertAlign w:val="superscript"/>
        </w:rPr>
        <w:t>55</w:t>
      </w:r>
    </w:p>
    <w:p>
      <w:pPr>
        <w:spacing w:after="0" w:line="55"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19"/>
          <w:szCs w:val="19"/>
          <w:color w:val="auto"/>
        </w:rPr>
        <w:t>Because of this, Microsoft’s announced partnerships with both ExxonMobil and Chevron</w:t>
      </w:r>
      <w:r>
        <w:rPr>
          <w:rFonts w:ascii="Times New Roman" w:cs="Times New Roman" w:eastAsia="Times New Roman" w:hAnsi="Times New Roman"/>
          <w:sz w:val="31"/>
          <w:szCs w:val="31"/>
          <w:color w:val="auto"/>
          <w:vertAlign w:val="superscript"/>
        </w:rPr>
        <w:t>56</w:t>
      </w:r>
      <w:r>
        <w:rPr>
          <w:rFonts w:ascii="Times New Roman" w:cs="Times New Roman" w:eastAsia="Times New Roman" w:hAnsi="Times New Roman"/>
          <w:sz w:val="19"/>
          <w:szCs w:val="19"/>
          <w:color w:val="auto"/>
        </w:rPr>
        <w:t xml:space="preserve"> technically adhere to the Energy Principals, even though neither ExxonMobil nor Chevron has a net zero commitment that fully meets the criteria set forth by the CA100+ investor alliance’s IIGCC Net Zero Standard for Oil and Gas,</w:t>
      </w:r>
      <w:r>
        <w:rPr>
          <w:rFonts w:ascii="Times New Roman" w:cs="Times New Roman" w:eastAsia="Times New Roman" w:hAnsi="Times New Roman"/>
          <w:sz w:val="31"/>
          <w:szCs w:val="31"/>
          <w:color w:val="auto"/>
          <w:vertAlign w:val="superscript"/>
        </w:rPr>
        <w:t>57</w:t>
      </w:r>
      <w:r>
        <w:rPr>
          <w:rFonts w:ascii="Times New Roman" w:cs="Times New Roman" w:eastAsia="Times New Roman" w:hAnsi="Times New Roman"/>
          <w:sz w:val="19"/>
          <w:szCs w:val="19"/>
          <w:color w:val="auto"/>
        </w:rPr>
        <w:t xml:space="preserve"> or by Oxford Net Zero.</w:t>
      </w:r>
      <w:r>
        <w:rPr>
          <w:rFonts w:ascii="Times New Roman" w:cs="Times New Roman" w:eastAsia="Times New Roman" w:hAnsi="Times New Roman"/>
          <w:sz w:val="31"/>
          <w:szCs w:val="31"/>
          <w:color w:val="auto"/>
          <w:vertAlign w:val="superscript"/>
        </w:rPr>
        <w:t>58</w:t>
      </w:r>
      <w:r>
        <w:rPr>
          <w:rFonts w:ascii="Times New Roman" w:cs="Times New Roman" w:eastAsia="Times New Roman" w:hAnsi="Times New Roman"/>
          <w:sz w:val="19"/>
          <w:szCs w:val="19"/>
          <w:color w:val="auto"/>
        </w:rPr>
        <w:t xml:space="preserve"> Key amongst the net zero criteria set forth by both standards is the</w:t>
      </w:r>
    </w:p>
    <w:p>
      <w:pPr>
        <w:spacing w:after="0" w:line="3" w:lineRule="exact"/>
        <w:rPr>
          <w:sz w:val="20"/>
          <w:szCs w:val="20"/>
          <w:color w:val="auto"/>
        </w:rPr>
      </w:pPr>
    </w:p>
    <w:p>
      <w:pPr>
        <w:ind w:right="480"/>
        <w:spacing w:after="0" w:line="195" w:lineRule="auto"/>
        <w:rPr>
          <w:sz w:val="20"/>
          <w:szCs w:val="20"/>
          <w:color w:val="auto"/>
        </w:rPr>
      </w:pPr>
      <w:r>
        <w:rPr>
          <w:rFonts w:ascii="Times New Roman" w:cs="Times New Roman" w:eastAsia="Times New Roman" w:hAnsi="Times New Roman"/>
          <w:sz w:val="20"/>
          <w:szCs w:val="20"/>
          <w:color w:val="auto"/>
        </w:rPr>
        <w:t>inclusion of Scope 3 emissions,</w:t>
      </w:r>
      <w:r>
        <w:rPr>
          <w:rFonts w:ascii="Times New Roman" w:cs="Times New Roman" w:eastAsia="Times New Roman" w:hAnsi="Times New Roman"/>
          <w:sz w:val="32"/>
          <w:szCs w:val="32"/>
          <w:color w:val="auto"/>
          <w:vertAlign w:val="superscript"/>
        </w:rPr>
        <w:t>59</w:t>
      </w:r>
      <w:r>
        <w:rPr>
          <w:rFonts w:ascii="Times New Roman" w:cs="Times New Roman" w:eastAsia="Times New Roman" w:hAnsi="Times New Roman"/>
          <w:sz w:val="20"/>
          <w:szCs w:val="20"/>
          <w:color w:val="auto"/>
        </w:rPr>
        <w:t xml:space="preserve"> which are known to make up as much as 80-95% of oil and gas companies' total emissions profiles.</w:t>
      </w:r>
      <w:r>
        <w:rPr>
          <w:rFonts w:ascii="Times New Roman" w:cs="Times New Roman" w:eastAsia="Times New Roman" w:hAnsi="Times New Roman"/>
          <w:sz w:val="32"/>
          <w:szCs w:val="32"/>
          <w:color w:val="auto"/>
          <w:vertAlign w:val="superscript"/>
        </w:rPr>
        <w:t>60</w:t>
      </w:r>
      <w:r>
        <w:rPr>
          <w:rFonts w:ascii="Times New Roman" w:cs="Times New Roman" w:eastAsia="Times New Roman" w:hAnsi="Times New Roman"/>
          <w:sz w:val="20"/>
          <w:szCs w:val="20"/>
          <w:color w:val="auto"/>
        </w:rPr>
        <w:t xml:space="preserve"> Because the Energy Principals do not require enterprise-wide net zero commitments (Scope 1-3), the principles do not deliver on their intention to accelerate the energy transition and leave shareholders exposed to material financial risks from partnerships with energy companies that lack credible net zero commitments.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51"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https://blogs.microsoft.com/blog/2022/03/10/working-toward-a-net-zero-future-evolving-our-work-with-energy-companies/</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https://www.theatlantic.com/technology/archive/2024/09/microsoft-ai-oil-contracts/679804/</w:t>
      </w:r>
    </w:p>
    <w:p>
      <w:pPr>
        <w:spacing w:after="0" w:line="51" w:lineRule="exact"/>
        <w:rPr>
          <w:rFonts w:ascii="Times New Roman" w:cs="Times New Roman" w:eastAsia="Times New Roman" w:hAnsi="Times New Roman"/>
          <w:sz w:val="22"/>
          <w:szCs w:val="22"/>
          <w:color w:val="auto"/>
          <w:vertAlign w:val="superscript"/>
        </w:rPr>
      </w:pPr>
    </w:p>
    <w:p>
      <w:pPr>
        <w:ind w:right="120" w:firstLine="8"/>
        <w:spacing w:after="0" w:line="196" w:lineRule="auto"/>
        <w:tabs>
          <w:tab w:leader="none" w:pos="184"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https://www.climateaction100.org/whos-involved/companies/?search_companies=schl&amp;company_sector=All, https://www.iigcc.org/resources/net-zero-standard-for-oil-gas</w:t>
      </w:r>
    </w:p>
    <w:p>
      <w:pPr>
        <w:ind w:left="200" w:hanging="192"/>
        <w:spacing w:after="0" w:line="187" w:lineRule="auto"/>
        <w:tabs>
          <w:tab w:leader="none" w:pos="20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https://netzeroclimate.org/policies-for-net-zero/net-zero-principles/</w:t>
      </w:r>
    </w:p>
    <w:p>
      <w:pPr>
        <w:spacing w:after="0" w:line="51" w:lineRule="exact"/>
        <w:rPr>
          <w:rFonts w:ascii="Times New Roman" w:cs="Times New Roman" w:eastAsia="Times New Roman" w:hAnsi="Times New Roman"/>
          <w:sz w:val="27"/>
          <w:szCs w:val="27"/>
          <w:color w:val="auto"/>
          <w:vertAlign w:val="superscript"/>
        </w:rPr>
      </w:pPr>
    </w:p>
    <w:p>
      <w:pPr>
        <w:ind w:right="3840" w:firstLine="8"/>
        <w:spacing w:after="0" w:line="196" w:lineRule="auto"/>
        <w:tabs>
          <w:tab w:leader="none" w:pos="184"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https://netzeroclimate.org/policies-for-net-zero/net-zero-principles/; https://139838633.fs1.hubspotusercontent-eu1.net/hubfs/139838633/Past%20resource%20uploads/IIGCC_Net-Zero-Standard-for-Oil-Gas_April23.pdf</w:t>
      </w:r>
    </w:p>
    <w:p>
      <w:pPr>
        <w:ind w:left="200" w:hanging="192"/>
        <w:spacing w:after="0" w:line="187" w:lineRule="auto"/>
        <w:tabs>
          <w:tab w:leader="none" w:pos="20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https://www.woodmac.com/press-releases/few-oil-and-gas-companies-commit-to-scope-3-net-zero-emissions-as-significant-challenges-remain/</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8" w:name="page9"/>
    <w:bookmarkEnd w:id="8"/>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3"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Additionally, the Board suggests they oppose the proposal because it is outside their existing reporting frameworks. That is exactly the problem this proposal addresses. Proponents feel strongly that the material reputational, legal, and operational risks described above are of material importance to shareholders and, therefore, warrant transparent and forthright disclosure, regardless of whether they fall within the scope of Microsoft’s current reporting frameworks.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b w:val="1"/>
          <w:bCs w:val="1"/>
          <w:color w:val="auto"/>
        </w:rPr>
        <w:t>Microsoft’s Partnerships with Energy Companies that Lack Credible Net Zero Commitments Contribute to Climate Risk, Impacting both Energy Security and the Developing World</w:t>
      </w:r>
    </w:p>
    <w:p>
      <w:pPr>
        <w:ind w:right="20"/>
        <w:spacing w:after="0" w:line="252" w:lineRule="auto"/>
        <w:rPr>
          <w:sz w:val="20"/>
          <w:szCs w:val="20"/>
          <w:color w:val="auto"/>
        </w:rPr>
      </w:pPr>
      <w:r>
        <w:rPr>
          <w:rFonts w:ascii="Times New Roman" w:cs="Times New Roman" w:eastAsia="Times New Roman" w:hAnsi="Times New Roman"/>
          <w:sz w:val="19"/>
          <w:szCs w:val="19"/>
          <w:color w:val="auto"/>
        </w:rPr>
        <w:t xml:space="preserve">The Board’s assertion that economic growth and quality of life depend on energy is correct. Still, it fails to recognize that the world is quickly moving away from fossil fuel-based energy to renewables. It further does not address the basis of this proposal, which is risk. Although proponents agree that energy is essential for economic development, the </w:t>
      </w:r>
      <w:r>
        <w:rPr>
          <w:rFonts w:ascii="Times New Roman" w:cs="Times New Roman" w:eastAsia="Times New Roman" w:hAnsi="Times New Roman"/>
          <w:sz w:val="19"/>
          <w:szCs w:val="19"/>
          <w:b w:val="1"/>
          <w:bCs w:val="1"/>
          <w:i w:val="1"/>
          <w:iCs w:val="1"/>
          <w:color w:val="auto"/>
        </w:rPr>
        <w:t>World Economic Forum’s research has identified climate-related</w:t>
      </w:r>
    </w:p>
    <w:p>
      <w:pPr>
        <w:spacing w:after="0" w:line="3" w:lineRule="exact"/>
        <w:rPr>
          <w:sz w:val="20"/>
          <w:szCs w:val="20"/>
          <w:color w:val="auto"/>
        </w:rPr>
      </w:pPr>
    </w:p>
    <w:p>
      <w:pPr>
        <w:ind w:right="480"/>
        <w:spacing w:after="0" w:line="225" w:lineRule="auto"/>
        <w:rPr>
          <w:sz w:val="20"/>
          <w:szCs w:val="20"/>
          <w:color w:val="auto"/>
        </w:rPr>
      </w:pPr>
      <w:r>
        <w:rPr>
          <w:rFonts w:ascii="Times New Roman" w:cs="Times New Roman" w:eastAsia="Times New Roman" w:hAnsi="Times New Roman"/>
          <w:sz w:val="19"/>
          <w:szCs w:val="19"/>
          <w:b w:val="1"/>
          <w:bCs w:val="1"/>
          <w:i w:val="1"/>
          <w:iCs w:val="1"/>
          <w:color w:val="auto"/>
        </w:rPr>
        <w:t>environmental impacts as the top four most significant risks in the coming decade</w:t>
      </w:r>
      <w:r>
        <w:rPr>
          <w:rFonts w:ascii="Times New Roman" w:cs="Times New Roman" w:eastAsia="Times New Roman" w:hAnsi="Times New Roman"/>
          <w:sz w:val="19"/>
          <w:szCs w:val="19"/>
          <w:color w:val="auto"/>
        </w:rPr>
        <w:t>.</w:t>
      </w:r>
      <w:r>
        <w:rPr>
          <w:rFonts w:ascii="Times New Roman" w:cs="Times New Roman" w:eastAsia="Times New Roman" w:hAnsi="Times New Roman"/>
          <w:sz w:val="31"/>
          <w:szCs w:val="31"/>
          <w:color w:val="auto"/>
          <w:vertAlign w:val="superscript"/>
        </w:rPr>
        <w:t>61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Since climate change is the largest barrier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achieving a more just and equitable future, the Company can satisfy its suggested commitment to the developing world by transparently reporting on the risks of developing fossil fuel technology that will hamper global efforts to transition to a low-carbon economy.</w:t>
      </w:r>
    </w:p>
    <w:p>
      <w:pPr>
        <w:spacing w:after="0" w:line="200" w:lineRule="exact"/>
        <w:rPr>
          <w:sz w:val="20"/>
          <w:szCs w:val="20"/>
          <w:color w:val="auto"/>
        </w:rPr>
      </w:pPr>
    </w:p>
    <w:p>
      <w:pPr>
        <w:ind w:right="560"/>
        <w:spacing w:after="0" w:line="253" w:lineRule="auto"/>
        <w:rPr>
          <w:sz w:val="20"/>
          <w:szCs w:val="20"/>
          <w:color w:val="auto"/>
        </w:rPr>
      </w:pPr>
      <w:r>
        <w:rPr>
          <w:rFonts w:ascii="Times New Roman" w:cs="Times New Roman" w:eastAsia="Times New Roman" w:hAnsi="Times New Roman"/>
          <w:sz w:val="20"/>
          <w:szCs w:val="20"/>
          <w:b w:val="1"/>
          <w:bCs w:val="1"/>
          <w:color w:val="auto"/>
        </w:rPr>
        <w:t>Microsoft’s Suggested “Commitment to Sustainability” and the Energy Transition is Put at Risk by its Use of Its Technology to Promote New Oil &amp; Gas Development</w:t>
      </w:r>
    </w:p>
    <w:p>
      <w:pPr>
        <w:ind w:right="160"/>
        <w:spacing w:after="0" w:line="253" w:lineRule="auto"/>
        <w:rPr>
          <w:sz w:val="20"/>
          <w:szCs w:val="20"/>
          <w:color w:val="auto"/>
        </w:rPr>
      </w:pPr>
      <w:r>
        <w:rPr>
          <w:rFonts w:ascii="Times New Roman" w:cs="Times New Roman" w:eastAsia="Times New Roman" w:hAnsi="Times New Roman"/>
          <w:sz w:val="19"/>
          <w:szCs w:val="19"/>
          <w:color w:val="auto"/>
        </w:rPr>
        <w:t>Finally, the Board recommends against the proposal by suggesting they are “working hard” to move the world towards a low-carbon energy system. This claim, which is also reflected in Microsoft’s existing sustainably documents, is directly contrary to the established reality that</w:t>
      </w:r>
    </w:p>
    <w:p>
      <w:pPr>
        <w:spacing w:after="0" w:line="1" w:lineRule="exact"/>
        <w:rPr>
          <w:sz w:val="20"/>
          <w:szCs w:val="20"/>
          <w:color w:val="auto"/>
        </w:rPr>
      </w:pPr>
    </w:p>
    <w:p>
      <w:pPr>
        <w:ind w:right="640"/>
        <w:spacing w:after="0" w:line="207" w:lineRule="auto"/>
        <w:rPr>
          <w:sz w:val="20"/>
          <w:szCs w:val="20"/>
          <w:color w:val="auto"/>
        </w:rPr>
      </w:pPr>
      <w:r>
        <w:rPr>
          <w:rFonts w:ascii="Times New Roman" w:cs="Times New Roman" w:eastAsia="Times New Roman" w:hAnsi="Times New Roman"/>
          <w:sz w:val="20"/>
          <w:szCs w:val="20"/>
          <w:color w:val="auto"/>
        </w:rPr>
        <w:t>Microsoft is the largest developer of advanced technology for the oil and gas industry</w:t>
      </w:r>
      <w:r>
        <w:rPr>
          <w:rFonts w:ascii="Times New Roman" w:cs="Times New Roman" w:eastAsia="Times New Roman" w:hAnsi="Times New Roman"/>
          <w:sz w:val="32"/>
          <w:szCs w:val="32"/>
          <w:color w:val="auto"/>
          <w:vertAlign w:val="superscript"/>
        </w:rPr>
        <w:t>62</w:t>
      </w:r>
      <w:r>
        <w:rPr>
          <w:rFonts w:ascii="Times New Roman" w:cs="Times New Roman" w:eastAsia="Times New Roman" w:hAnsi="Times New Roman"/>
          <w:sz w:val="20"/>
          <w:szCs w:val="20"/>
          <w:color w:val="auto"/>
        </w:rPr>
        <w:t xml:space="preserve"> which may hinder the energy transition</w:t>
      </w:r>
      <w:r>
        <w:rPr>
          <w:rFonts w:ascii="Times New Roman" w:cs="Times New Roman" w:eastAsia="Times New Roman" w:hAnsi="Times New Roman"/>
          <w:sz w:val="32"/>
          <w:szCs w:val="32"/>
          <w:color w:val="auto"/>
          <w:vertAlign w:val="superscript"/>
        </w:rPr>
        <w:t>63</w:t>
      </w:r>
      <w:r>
        <w:rPr>
          <w:rFonts w:ascii="Times New Roman" w:cs="Times New Roman" w:eastAsia="Times New Roman" w:hAnsi="Times New Roman"/>
          <w:sz w:val="20"/>
          <w:szCs w:val="20"/>
          <w:color w:val="auto"/>
        </w:rPr>
        <w:t xml:space="preserve"> and increase the climate-related risk already facing Microsoft and the global economy.</w:t>
      </w: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“Yes” on this Shareholder Proposal #7</w:t>
      </w:r>
    </w:p>
    <w:p>
      <w:pPr>
        <w:spacing w:after="0" w:line="206"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To provide investors with transparent and decision-useful information, Microsoft should report on the material reputational, legal, and operational risks of developing advanced technology products for oil and gas extraction. We urge a “yes” vote.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 questions, please contact Parker Caswell, As You Sow, pcaswell@asyousow.org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161"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https://www3.weforum.org/docs/WEF_The_Global_Risks_Report_2024.pdf p.8</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https://www.kimberliteresearch.com/single-post/microsoft-is-the-leading-cloud-provider-for-the-oil-gas-industry-2</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https://eu.boell.org/sites/default/files/2021-04/Artificial%20Intelligence%20and%20Climate%20Change_FINAL_14042021.pdf p.10</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9" w:name="page10"/>
    <w:bookmarkEnd w:id="9"/>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Microsoft Corp | Report on the Risks of Advanced Technology for Oil and Gas Extraction</w:t>
      </w:r>
    </w:p>
    <w:p>
      <w:pPr>
        <w:spacing w:after="0" w:line="200" w:lineRule="exact"/>
        <w:rPr>
          <w:sz w:val="20"/>
          <w:szCs w:val="20"/>
          <w:color w:val="auto"/>
        </w:rPr>
      </w:pPr>
    </w:p>
    <w:p>
      <w:pPr>
        <w:spacing w:after="0" w:line="37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4"/>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6"/>
      <w:numFmt w:val="bullet"/>
      <w:start w:val="1"/>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16"/>
    </w:lvl>
  </w:abstractNum>
  <w:abstractNum w:abstractNumId="7">
    <w:nsid w:val="1190CDE7"/>
    <w:multiLevelType w:val="hybridMultilevel"/>
    <w:lvl w:ilvl="0">
      <w:lvlJc w:val="left"/>
      <w:lvlText w:val="%1"/>
      <w:numFmt w:val="decimal"/>
      <w:start w:val="24"/>
    </w:lvl>
  </w:abstractNum>
  <w:abstractNum w:abstractNumId="8">
    <w:nsid w:val="66EF438D"/>
    <w:multiLevelType w:val="hybridMultilevel"/>
    <w:lvl w:ilvl="0">
      <w:lvlJc w:val="left"/>
      <w:lvlText w:val="%1"/>
      <w:numFmt w:val="decimal"/>
      <w:start w:val="3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39"/>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46"/>
    </w:lvl>
  </w:abstractNum>
  <w:abstractNum w:abstractNumId="13">
    <w:nsid w:val="7FDCC233"/>
    <w:multiLevelType w:val="hybridMultilevel"/>
    <w:lvl w:ilvl="0">
      <w:lvlJc w:val="left"/>
      <w:lvlText w:val="%1"/>
      <w:numFmt w:val="decimal"/>
      <w:start w:val="55"/>
    </w:lvl>
  </w:abstractNum>
  <w:abstractNum w:abstractNumId="14">
    <w:nsid w:val="1BEFD79F"/>
    <w:multiLevelType w:val="hybridMultilevel"/>
    <w:lvl w:ilvl="0">
      <w:lvlJc w:val="left"/>
      <w:lvlText w:val="%1"/>
      <w:numFmt w:val="decimal"/>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20" Type="http://schemas.openxmlformats.org/officeDocument/2006/relationships/hyperlink" Target="https://www.sec.gov/Archives/edgar/data/789019/000095017024087843/msft-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2024-10-29T11:59:34Z</dcterms:created>
  <dcterms:modified xsi:type="dcterms:W3CDTF">2024-10-29T11:59:34Z</dcterms:modified>
</cp:coreProperties>
</file>